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社会投资低风险工程建设项目清单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07"/>
        <w:gridCol w:w="5386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hd w:val="clear" w:color="auto" w:fill="FFFFFF"/>
              </w:rPr>
              <w:t>序号</w:t>
            </w:r>
          </w:p>
        </w:tc>
        <w:tc>
          <w:tcPr>
            <w:tcW w:w="140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hd w:val="clear" w:color="auto" w:fill="FFFFFF"/>
              </w:rPr>
              <w:t>建设类型</w:t>
            </w:r>
          </w:p>
        </w:tc>
        <w:tc>
          <w:tcPr>
            <w:tcW w:w="538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hd w:val="clear" w:color="auto" w:fill="FFFFFF"/>
                <w:lang w:eastAsia="zh-CN"/>
              </w:rPr>
              <w:t>社会投资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hd w:val="clear" w:color="auto" w:fill="FFFFFF"/>
              </w:rPr>
              <w:t>低风险工程建设项目类型</w:t>
            </w:r>
          </w:p>
        </w:tc>
        <w:tc>
          <w:tcPr>
            <w:tcW w:w="94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 w:val="0"/>
                <w:bCs/>
                <w:sz w:val="24"/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厂房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、仓库、储罐、筒仓等设施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工程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技术简单、功能单一，单栋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总建筑面积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val="en-US" w:eastAsia="zh-CN"/>
              </w:rPr>
              <w:t>5000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平方米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跨度＜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val="en-US" w:eastAsia="zh-CN"/>
              </w:rPr>
              <w:t>24米，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非劳动密集型，生产、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使用、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储存、装卸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、输送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非易燃易爆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危险物品的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单层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厂房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、单层仓库、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储罐、筒仓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等设施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工程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（包钢结构工程）。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项目用地红线内</w:t>
            </w: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  <w:lang w:eastAsia="zh-CN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露天堆场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不限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配套工程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水、电、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气、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通讯、消防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、环保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等供应设施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处理设施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以及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配套的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智能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化工程。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其他工程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不涉及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危险物品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的管线及杆线、桩基基础、道路、围墙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、门卫、停车设施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 xml:space="preserve">等工程 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行政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办公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设施工程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技术简单、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功能单一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，单栋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总建筑面积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000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平方米且地下室不超过一层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高度≤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val="en-US" w:eastAsia="zh-CN"/>
              </w:rPr>
              <w:t>24米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的办公、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  <w:lang w:eastAsia="zh-CN"/>
              </w:rPr>
              <w:t>值班及配套用房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。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供水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shd w:val="clear" w:color="auto" w:fill="FFFFFF"/>
              </w:rPr>
              <w:t>管线长度＜150米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从市政管线垂直接入项目</w:t>
            </w: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  <w:lang w:eastAsia="zh-CN"/>
              </w:rPr>
              <w:t>用地</w:t>
            </w: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红线部分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雨水、污水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shd w:val="clear" w:color="auto" w:fill="FFFFFF"/>
              </w:rPr>
              <w:t>管线长度＜150米</w:t>
            </w:r>
          </w:p>
        </w:tc>
        <w:tc>
          <w:tcPr>
            <w:tcW w:w="947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供电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shd w:val="clear" w:color="auto" w:fill="FFFFFF"/>
              </w:rPr>
              <w:t>电压等级为10KV及以下，长度＜150米的</w:t>
            </w:r>
            <w:r>
              <w:rPr>
                <w:rFonts w:hint="default" w:ascii="Times New Roman" w:hAnsi="Times New Roman" w:eastAsia="方正仿宋_GBK" w:cs="Times New Roman"/>
                <w:szCs w:val="21"/>
                <w:shd w:val="clear" w:color="auto" w:fill="FFFFFF"/>
                <w:lang w:eastAsia="zh-CN"/>
              </w:rPr>
              <w:t>管线</w:t>
            </w:r>
            <w:r>
              <w:rPr>
                <w:rFonts w:hint="default" w:ascii="Times New Roman" w:hAnsi="Times New Roman" w:eastAsia="方正仿宋_GBK" w:cs="Times New Roman"/>
                <w:szCs w:val="21"/>
                <w:shd w:val="clear" w:color="auto" w:fill="FFFFFF"/>
              </w:rPr>
              <w:t>及杆线</w:t>
            </w:r>
          </w:p>
        </w:tc>
        <w:tc>
          <w:tcPr>
            <w:tcW w:w="947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_GBK"/>
                <w:b w:val="0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供气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shd w:val="clear" w:color="auto" w:fill="FFFFFF"/>
              </w:rPr>
              <w:t>管道压力＜1.6MPa，长度＜150米</w:t>
            </w:r>
          </w:p>
        </w:tc>
        <w:tc>
          <w:tcPr>
            <w:tcW w:w="947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/>
                <w:sz w:val="24"/>
              </w:rPr>
              <w:t>1</w:t>
            </w:r>
            <w:r>
              <w:rPr>
                <w:rFonts w:hint="default" w:ascii="Times New Roman" w:hAnsi="Times New Roman" w:eastAsia="方正仿宋_GBK"/>
                <w:b w:val="0"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  <w:shd w:val="clear" w:color="auto" w:fill="FFFFFF"/>
              </w:rPr>
              <w:t>通讯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shd w:val="clear" w:color="auto" w:fill="FFFFFF"/>
              </w:rPr>
              <w:t>管线长度＜150米</w:t>
            </w:r>
          </w:p>
        </w:tc>
        <w:tc>
          <w:tcPr>
            <w:tcW w:w="947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/>
          <w:color w:val="333333"/>
          <w:kern w:val="0"/>
          <w:sz w:val="24"/>
          <w:shd w:val="clear" w:color="auto" w:fill="FFFFFF"/>
        </w:rPr>
      </w:pPr>
    </w:p>
    <w:p>
      <w:pPr>
        <w:widowControl/>
        <w:spacing w:line="360" w:lineRule="exact"/>
        <w:jc w:val="left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宋体" w:hAnsi="宋体"/>
          <w:color w:val="333333"/>
          <w:kern w:val="0"/>
          <w:sz w:val="24"/>
          <w:shd w:val="clear" w:color="auto" w:fill="FFFFFF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hd w:val="clear" w:color="auto" w:fill="FFFFFF"/>
        </w:rPr>
        <w:t xml:space="preserve"> 注：认定小组相关部门对上述工程建设项目的低风险性认定如存在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hd w:val="clear" w:color="auto" w:fill="FFFFFF"/>
          <w:lang w:eastAsia="zh-CN"/>
        </w:rPr>
        <w:t>疑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hd w:val="clear" w:color="auto" w:fill="FFFFFF"/>
        </w:rPr>
        <w:t>议的，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hd w:val="clear" w:color="auto" w:fill="FFFFFF"/>
          <w:lang w:eastAsia="zh-CN"/>
        </w:rPr>
        <w:t>应通知行政审批局，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hd w:val="clear" w:color="auto" w:fill="FFFFFF"/>
        </w:rPr>
        <w:t>由行政审批局牵头召集会商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hd w:val="clear" w:color="auto" w:fill="FFFFFF"/>
          <w:lang w:eastAsia="zh-CN"/>
        </w:rPr>
        <w:t>会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hd w:val="clear" w:color="auto" w:fill="FFFFFF"/>
          <w:lang w:eastAsia="zh-CN"/>
        </w:rPr>
        <w:t>必要时可邀请咨询评估机构、行业专家或其他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hd w:val="clear" w:color="auto" w:fill="FFFFFF"/>
        </w:rPr>
        <w:t>部门共同研究认定。</w:t>
      </w:r>
    </w:p>
    <w:sectPr>
      <w:footerReference r:id="rId3" w:type="default"/>
      <w:pgSz w:w="11906" w:h="16838"/>
      <w:pgMar w:top="2154" w:right="1587" w:bottom="153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654685" cy="3733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pt;height:29.4pt;width:51.55pt;mso-position-horizontal:outside;mso-position-horizontal-relative:margin;z-index:251658240;mso-width-relative:page;mso-height-relative:page;" filled="f" stroked="f" coordsize="21600,21600" o:gfxdata="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6ZgNNUAAAAHAQAADwAA&#10;AAAAAAABACAAAAAiAAAAZHJzL2Rvd25yZXYueG1sUEsBAhQAFAAAAAgAh07iQIuua9wZAgAAEwQA&#10;AA4AAAAAAAAAAQAgAAAAJ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87E64"/>
    <w:rsid w:val="19DF3E33"/>
    <w:rsid w:val="2DB51688"/>
    <w:rsid w:val="39760D7D"/>
    <w:rsid w:val="3C6002EC"/>
    <w:rsid w:val="78D11C50"/>
    <w:rsid w:val="7C421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6</Pages>
  <Words>438</Words>
  <Characters>2502</Characters>
  <Lines>20</Lines>
  <Paragraphs>5</Paragraphs>
  <TotalTime>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2021-03-21T03:15:00Z</dcterms:created>
  <dc:creator>钟贞</dc:creator>
  <cp:lastModifiedBy>黄文李</cp:lastModifiedBy>
  <cp:lastPrinted>2021-08-01T15:35:00Z</cp:lastPrinted>
  <dcterms:modified xsi:type="dcterms:W3CDTF">2021-09-16T03:43:49Z</dcterms:modified>
  <dc:title>中国（广西）自由贸易试验区钦州港片区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SaveFontToCloudKey">
    <vt:lpwstr>434282209_cloud</vt:lpwstr>
  </property>
</Properties>
</file>