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75"/>
          <w:tab w:val="left" w:pos="3149"/>
        </w:tabs>
        <w:rPr>
          <w:rFonts w:ascii="Arial" w:hAnsi="Arial" w:eastAsia="宋体" w:cs="Arial"/>
          <w:szCs w:val="28"/>
        </w:rPr>
      </w:pPr>
      <w:bookmarkStart w:id="0" w:name="OLE_LINK23"/>
      <w:bookmarkStart w:id="1" w:name="OLE_LINK24"/>
    </w:p>
    <w:p>
      <w:pPr>
        <w:tabs>
          <w:tab w:val="left" w:pos="575"/>
          <w:tab w:val="left" w:pos="3149"/>
        </w:tabs>
        <w:spacing w:line="700" w:lineRule="exact"/>
        <w:jc w:val="center"/>
        <w:rPr>
          <w:rFonts w:ascii="Arial" w:hAnsi="Arial" w:eastAsia="华文行楷" w:cs="Arial"/>
          <w:spacing w:val="-8"/>
          <w:sz w:val="52"/>
          <w:szCs w:val="52"/>
        </w:rPr>
      </w:pPr>
      <w:r>
        <w:rPr>
          <w:rFonts w:ascii="Arial" w:hAnsi="Arial" w:eastAsia="华文行楷" w:cs="Arial"/>
          <w:spacing w:val="-8"/>
          <w:sz w:val="52"/>
          <w:szCs w:val="52"/>
        </w:rPr>
        <w:t>广西中伟新能源项目一期</w:t>
      </w:r>
      <w:r>
        <w:rPr>
          <w:rFonts w:hint="eastAsia" w:ascii="Arial" w:hAnsi="Arial" w:eastAsia="华文行楷" w:cs="Arial"/>
          <w:spacing w:val="-8"/>
          <w:sz w:val="52"/>
          <w:szCs w:val="52"/>
        </w:rPr>
        <w:t>二阶段</w:t>
      </w:r>
    </w:p>
    <w:p>
      <w:pPr>
        <w:tabs>
          <w:tab w:val="left" w:pos="575"/>
          <w:tab w:val="left" w:pos="3149"/>
        </w:tabs>
        <w:spacing w:line="700" w:lineRule="exact"/>
        <w:jc w:val="center"/>
        <w:rPr>
          <w:rFonts w:ascii="Arial" w:hAnsi="Arial" w:eastAsia="华文行楷" w:cs="Arial"/>
          <w:spacing w:val="-8"/>
          <w:sz w:val="52"/>
          <w:szCs w:val="52"/>
        </w:rPr>
      </w:pPr>
      <w:r>
        <w:rPr>
          <w:rFonts w:ascii="Arial" w:hAnsi="Arial" w:eastAsia="华文行楷" w:cs="Arial"/>
          <w:spacing w:val="-8"/>
          <w:sz w:val="52"/>
          <w:szCs w:val="52"/>
        </w:rPr>
        <w:t>（重大变动）</w:t>
      </w:r>
    </w:p>
    <w:p>
      <w:pPr>
        <w:pStyle w:val="34"/>
        <w:spacing w:line="1000" w:lineRule="exact"/>
        <w:jc w:val="center"/>
        <w:rPr>
          <w:rFonts w:ascii="Arial" w:hAnsi="Arial" w:eastAsia="宋体" w:cs="Arial"/>
          <w:b/>
          <w:spacing w:val="10"/>
          <w:sz w:val="44"/>
          <w:szCs w:val="44"/>
        </w:rPr>
      </w:pPr>
      <w:r>
        <w:rPr>
          <w:rFonts w:ascii="Arial" w:hAnsi="Arial" w:eastAsia="宋体" w:cs="Arial"/>
          <w:b/>
          <w:spacing w:val="10"/>
          <w:sz w:val="44"/>
          <w:szCs w:val="44"/>
        </w:rPr>
        <w:t>环境影响报告书</w:t>
      </w:r>
    </w:p>
    <w:p>
      <w:pPr>
        <w:jc w:val="center"/>
        <w:outlineLvl w:val="0"/>
        <w:rPr>
          <w:rFonts w:ascii="Arial" w:hAnsi="Arial" w:eastAsia="宋体" w:cs="Arial"/>
          <w:b/>
          <w:bCs/>
          <w:spacing w:val="10"/>
          <w:sz w:val="36"/>
          <w:szCs w:val="36"/>
        </w:rPr>
      </w:pPr>
      <w:bookmarkStart w:id="2" w:name="_Toc88674672"/>
      <w:bookmarkStart w:id="3" w:name="_Toc87123972"/>
      <w:bookmarkStart w:id="4" w:name="_Toc171608353"/>
      <w:bookmarkStart w:id="5" w:name="_Toc67921777"/>
      <w:bookmarkStart w:id="6" w:name="_Toc87124158"/>
      <w:bookmarkStart w:id="7" w:name="_Toc104677398"/>
      <w:bookmarkStart w:id="8" w:name="_Toc179816378"/>
      <w:bookmarkStart w:id="9" w:name="_Toc151636719"/>
      <w:bookmarkStart w:id="10" w:name="_Toc153639597"/>
      <w:bookmarkStart w:id="11" w:name="_Toc107420177"/>
      <w:bookmarkStart w:id="12" w:name="_Toc57715528"/>
      <w:bookmarkStart w:id="13" w:name="_Toc152260244"/>
      <w:bookmarkStart w:id="14" w:name="_Toc106006213"/>
      <w:bookmarkStart w:id="15" w:name="_Toc106202472"/>
      <w:bookmarkStart w:id="16" w:name="_Toc105506427"/>
      <w:bookmarkStart w:id="17" w:name="_Toc154599043"/>
      <w:bookmarkStart w:id="18" w:name="_Toc183513647"/>
      <w:bookmarkStart w:id="19" w:name="_Toc108634689"/>
      <w:bookmarkStart w:id="20" w:name="_Toc185950196"/>
      <w:bookmarkStart w:id="21" w:name="_Toc104677205"/>
      <w:bookmarkStart w:id="22" w:name="_Toc58596368"/>
      <w:bookmarkStart w:id="23" w:name="_Toc104971907"/>
      <w:r>
        <w:rPr>
          <w:rFonts w:ascii="Arial" w:hAnsi="Arial" w:eastAsia="宋体" w:cs="Arial"/>
          <w:b/>
          <w:bCs/>
          <w:spacing w:val="10"/>
          <w:sz w:val="36"/>
          <w:szCs w:val="36"/>
        </w:rPr>
        <w:t>（</w:t>
      </w:r>
      <w:r>
        <w:rPr>
          <w:rFonts w:hint="eastAsia" w:ascii="Arial" w:hAnsi="Arial" w:eastAsia="宋体" w:cs="Arial"/>
          <w:b/>
          <w:bCs/>
          <w:spacing w:val="10"/>
          <w:sz w:val="36"/>
          <w:szCs w:val="36"/>
        </w:rPr>
        <w:t>公示本</w:t>
      </w:r>
      <w:r>
        <w:rPr>
          <w:rFonts w:ascii="Arial" w:hAnsi="Arial" w:eastAsia="宋体" w:cs="Arial"/>
          <w:b/>
          <w:bCs/>
          <w:spacing w:val="10"/>
          <w:sz w:val="36"/>
          <w:szCs w:val="36"/>
        </w:rPr>
        <w:t>）</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pStyle w:val="34"/>
        <w:rPr>
          <w:rFonts w:ascii="Arial" w:hAnsi="Arial" w:eastAsia="宋体" w:cs="Arial"/>
          <w:b/>
          <w:spacing w:val="10"/>
          <w:sz w:val="32"/>
        </w:rPr>
      </w:pPr>
    </w:p>
    <w:p>
      <w:pPr>
        <w:widowControl/>
        <w:spacing w:before="210" w:beforeLines="50" w:after="210" w:afterLines="50"/>
        <w:ind w:firstLine="676" w:firstLineChars="196"/>
        <w:jc w:val="left"/>
        <w:rPr>
          <w:rFonts w:ascii="Arial" w:hAnsi="Arial" w:eastAsia="宋体" w:cs="Arial"/>
          <w:b/>
          <w:spacing w:val="20"/>
          <w:sz w:val="32"/>
          <w:szCs w:val="32"/>
        </w:rPr>
      </w:pPr>
      <w:r>
        <w:rPr>
          <w:rFonts w:ascii="Arial" w:hAnsi="Arial" w:eastAsia="宋体" w:cs="Arial"/>
          <w:b/>
          <w:spacing w:val="20"/>
          <w:sz w:val="32"/>
          <w:szCs w:val="32"/>
        </w:rPr>
        <w:t>建设单位：广西中伟新能源科技有限公司</w:t>
      </w:r>
    </w:p>
    <w:p>
      <w:pPr>
        <w:widowControl/>
        <w:spacing w:before="210" w:beforeLines="50" w:after="210" w:afterLines="50"/>
        <w:ind w:firstLine="676" w:firstLineChars="196"/>
        <w:jc w:val="left"/>
        <w:rPr>
          <w:rFonts w:ascii="Arial" w:hAnsi="Arial" w:eastAsia="宋体" w:cs="Arial"/>
          <w:b/>
          <w:spacing w:val="20"/>
          <w:sz w:val="32"/>
          <w:szCs w:val="32"/>
        </w:rPr>
      </w:pPr>
      <w:r>
        <w:rPr>
          <w:rFonts w:ascii="Arial" w:hAnsi="Arial" w:eastAsia="宋体" w:cs="Arial"/>
          <w:b/>
          <w:spacing w:val="20"/>
          <w:sz w:val="32"/>
          <w:szCs w:val="32"/>
        </w:rPr>
        <w:t>编制单位：广西中冠智合生态环境有限公司</w:t>
      </w:r>
    </w:p>
    <w:p>
      <w:pPr>
        <w:pStyle w:val="5"/>
        <w:spacing w:before="210" w:beforeLines="50" w:after="210" w:afterLines="50" w:line="240" w:lineRule="auto"/>
        <w:ind w:firstLine="676" w:firstLineChars="196"/>
        <w:rPr>
          <w:b/>
          <w:spacing w:val="20"/>
          <w:sz w:val="32"/>
          <w:szCs w:val="32"/>
        </w:rPr>
      </w:pPr>
      <w:r>
        <w:rPr>
          <w:b/>
          <w:spacing w:val="20"/>
          <w:sz w:val="32"/>
          <w:szCs w:val="32"/>
        </w:rPr>
        <w:t>编制日期：二</w:t>
      </w:r>
      <w:r>
        <w:rPr>
          <w:rFonts w:hint="eastAsia"/>
          <w:b/>
          <w:spacing w:val="20"/>
          <w:sz w:val="32"/>
          <w:szCs w:val="32"/>
        </w:rPr>
        <w:t>〇</w:t>
      </w:r>
      <w:r>
        <w:rPr>
          <w:b/>
          <w:spacing w:val="20"/>
          <w:sz w:val="32"/>
          <w:szCs w:val="32"/>
        </w:rPr>
        <w:t>二</w:t>
      </w:r>
      <w:r>
        <w:rPr>
          <w:rFonts w:hint="eastAsia"/>
          <w:b/>
          <w:spacing w:val="20"/>
          <w:sz w:val="32"/>
          <w:szCs w:val="32"/>
        </w:rPr>
        <w:t>五</w:t>
      </w:r>
      <w:r>
        <w:rPr>
          <w:b/>
          <w:spacing w:val="20"/>
          <w:sz w:val="32"/>
          <w:szCs w:val="32"/>
        </w:rPr>
        <w:t>年</w:t>
      </w:r>
      <w:r>
        <w:rPr>
          <w:rFonts w:hint="eastAsia"/>
          <w:b/>
          <w:spacing w:val="20"/>
          <w:sz w:val="32"/>
          <w:szCs w:val="32"/>
        </w:rPr>
        <w:t>一</w:t>
      </w:r>
      <w:r>
        <w:rPr>
          <w:b/>
          <w:spacing w:val="20"/>
          <w:sz w:val="32"/>
          <w:szCs w:val="32"/>
        </w:rPr>
        <w:t>月</w:t>
      </w:r>
    </w:p>
    <w:p>
      <w:pPr>
        <w:pStyle w:val="5"/>
        <w:spacing w:before="210" w:beforeLines="50" w:after="210" w:afterLines="50" w:line="240" w:lineRule="auto"/>
        <w:ind w:firstLine="676" w:firstLineChars="196"/>
        <w:rPr>
          <w:b/>
          <w:spacing w:val="20"/>
          <w:sz w:val="32"/>
          <w:szCs w:val="32"/>
        </w:rPr>
      </w:pPr>
    </w:p>
    <w:p>
      <w:pPr>
        <w:pStyle w:val="5"/>
        <w:spacing w:before="210" w:beforeLines="50" w:after="210" w:afterLines="50" w:line="240" w:lineRule="auto"/>
        <w:ind w:firstLine="676" w:firstLineChars="196"/>
        <w:rPr>
          <w:b/>
          <w:spacing w:val="20"/>
          <w:sz w:val="32"/>
          <w:szCs w:val="32"/>
        </w:rPr>
        <w:sectPr>
          <w:footerReference r:id="rId6" w:type="first"/>
          <w:headerReference r:id="rId3" w:type="default"/>
          <w:footerReference r:id="rId4" w:type="default"/>
          <w:footerReference r:id="rId5" w:type="even"/>
          <w:pgSz w:w="11907" w:h="16840"/>
          <w:pgMar w:top="1678" w:right="1408" w:bottom="1901" w:left="1155" w:header="1174" w:footer="1029" w:gutter="567"/>
          <w:pgNumType w:fmt="upperRoman"/>
          <w:cols w:space="720" w:num="1"/>
          <w:docGrid w:type="linesAndChars" w:linePitch="421" w:charSpace="-3161"/>
        </w:sectPr>
      </w:pPr>
    </w:p>
    <w:tbl>
      <w:tblPr>
        <w:tblStyle w:val="88"/>
        <w:tblW w:w="94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0"/>
        <w:gridCol w:w="4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79090" cy="1920240"/>
                  <wp:effectExtent l="0" t="0" r="16510" b="3810"/>
                  <wp:docPr id="6" name="图片 12" descr="说明: C:\Users\Administrator\Desktop\新建文件夹\DJI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descr="说明: C:\Users\Administrator\Desktop\新建文件夹\DJI_0478.JPG"/>
                          <pic:cNvPicPr>
                            <a:picLocks noChangeAspect="1"/>
                          </pic:cNvPicPr>
                        </pic:nvPicPr>
                        <pic:blipFill>
                          <a:blip r:embed="rId21"/>
                          <a:stretch>
                            <a:fillRect/>
                          </a:stretch>
                        </pic:blipFill>
                        <pic:spPr>
                          <a:xfrm>
                            <a:off x="0" y="0"/>
                            <a:ext cx="2879090" cy="1920240"/>
                          </a:xfrm>
                          <a:prstGeom prst="rect">
                            <a:avLst/>
                          </a:prstGeom>
                          <a:noFill/>
                          <a:ln>
                            <a:noFill/>
                          </a:ln>
                        </pic:spPr>
                      </pic:pic>
                    </a:graphicData>
                  </a:graphic>
                </wp:inline>
              </w:drawing>
            </w:r>
          </w:p>
        </w:tc>
        <w:tc>
          <w:tcPr>
            <w:tcW w:w="4701"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1920240"/>
                  <wp:effectExtent l="0" t="0" r="15240" b="3810"/>
                  <wp:docPr id="8" name="图片 15" descr="说明: F:\0在做项目\钦州中伟\现场照片\DJI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说明: F:\0在做项目\钦州中伟\现场照片\DJI_0477.JPG"/>
                          <pic:cNvPicPr>
                            <a:picLocks noChangeAspect="1"/>
                          </pic:cNvPicPr>
                        </pic:nvPicPr>
                        <pic:blipFill>
                          <a:blip r:embed="rId22"/>
                          <a:stretch>
                            <a:fillRect/>
                          </a:stretch>
                        </pic:blipFill>
                        <pic:spPr>
                          <a:xfrm>
                            <a:off x="0" y="0"/>
                            <a:ext cx="2880360" cy="19202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t>厂区东面现状</w:t>
            </w:r>
          </w:p>
        </w:tc>
        <w:tc>
          <w:tcPr>
            <w:tcW w:w="4701"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t>厂区南面现状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drawing>
                <wp:inline distT="0" distB="0" distL="114300" distR="114300">
                  <wp:extent cx="2880360" cy="1920240"/>
                  <wp:effectExtent l="0" t="0" r="15240" b="3810"/>
                  <wp:docPr id="10" name="图片 16" descr="说明: F:\0在做项目\钦州中伟\现场照片\DJI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说明: F:\0在做项目\钦州中伟\现场照片\DJI_0473.JPG"/>
                          <pic:cNvPicPr>
                            <a:picLocks noChangeAspect="1"/>
                          </pic:cNvPicPr>
                        </pic:nvPicPr>
                        <pic:blipFill>
                          <a:blip r:embed="rId23"/>
                          <a:stretch>
                            <a:fillRect/>
                          </a:stretch>
                        </pic:blipFill>
                        <pic:spPr>
                          <a:xfrm>
                            <a:off x="0" y="0"/>
                            <a:ext cx="2880360" cy="1920240"/>
                          </a:xfrm>
                          <a:prstGeom prst="rect">
                            <a:avLst/>
                          </a:prstGeom>
                          <a:noFill/>
                          <a:ln>
                            <a:noFill/>
                          </a:ln>
                        </pic:spPr>
                      </pic:pic>
                    </a:graphicData>
                  </a:graphic>
                </wp:inline>
              </w:drawing>
            </w:r>
          </w:p>
        </w:tc>
        <w:tc>
          <w:tcPr>
            <w:tcW w:w="4701"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drawing>
                <wp:inline distT="0" distB="0" distL="114300" distR="114300">
                  <wp:extent cx="2880360" cy="1920240"/>
                  <wp:effectExtent l="0" t="0" r="15240" b="3810"/>
                  <wp:docPr id="11" name="图片 17" descr="说明: F:\0在做项目\钦州中伟\现场照片\DJI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descr="说明: F:\0在做项目\钦州中伟\现场照片\DJI_0486.JPG"/>
                          <pic:cNvPicPr>
                            <a:picLocks noChangeAspect="1"/>
                          </pic:cNvPicPr>
                        </pic:nvPicPr>
                        <pic:blipFill>
                          <a:blip r:embed="rId24"/>
                          <a:stretch>
                            <a:fillRect/>
                          </a:stretch>
                        </pic:blipFill>
                        <pic:spPr>
                          <a:xfrm>
                            <a:off x="0" y="0"/>
                            <a:ext cx="2880360" cy="19202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t>厂区西面现状</w:t>
            </w:r>
          </w:p>
        </w:tc>
        <w:tc>
          <w:tcPr>
            <w:tcW w:w="4701" w:type="dxa"/>
            <w:shd w:val="clear" w:color="auto" w:fill="auto"/>
            <w:vAlign w:val="center"/>
          </w:tcPr>
          <w:p>
            <w:pPr>
              <w:pStyle w:val="5"/>
              <w:adjustRightInd w:val="0"/>
              <w:snapToGrid w:val="0"/>
              <w:spacing w:line="240" w:lineRule="auto"/>
              <w:ind w:firstLine="0"/>
              <w:jc w:val="center"/>
              <w:rPr>
                <w:b/>
                <w:spacing w:val="20"/>
                <w:szCs w:val="24"/>
              </w:rPr>
            </w:pPr>
            <w:r>
              <w:rPr>
                <w:b/>
                <w:spacing w:val="20"/>
                <w:szCs w:val="24"/>
              </w:rPr>
              <w:t>厂区北面现状（鸡墩头村）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2159635"/>
                  <wp:effectExtent l="0" t="0" r="15240" b="12065"/>
                  <wp:docPr id="12" name="图片 26" descr="说明: G:\1 在做\2024.7.9  中伟羟基钴\照片\微信图片_2024071715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descr="说明: G:\1 在做\2024.7.9  中伟羟基钴\照片\微信图片_20240717151556.jpg"/>
                          <pic:cNvPicPr>
                            <a:picLocks noChangeAspect="1"/>
                          </pic:cNvPicPr>
                        </pic:nvPicPr>
                        <pic:blipFill>
                          <a:blip r:embed="rId25"/>
                          <a:stretch>
                            <a:fillRect/>
                          </a:stretch>
                        </pic:blipFill>
                        <pic:spPr>
                          <a:xfrm>
                            <a:off x="0" y="0"/>
                            <a:ext cx="2880360" cy="2159635"/>
                          </a:xfrm>
                          <a:prstGeom prst="rect">
                            <a:avLst/>
                          </a:prstGeom>
                          <a:noFill/>
                          <a:ln>
                            <a:noFill/>
                          </a:ln>
                        </pic:spPr>
                      </pic:pic>
                    </a:graphicData>
                  </a:graphic>
                </wp:inline>
              </w:drawing>
            </w:r>
          </w:p>
        </w:tc>
        <w:tc>
          <w:tcPr>
            <w:tcW w:w="4701"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2159635"/>
                  <wp:effectExtent l="0" t="0" r="15240" b="12065"/>
                  <wp:docPr id="15" name="图片 230" descr="说明: E:\微信聊天文件\WeChat Files\byghdea\FileStorage\Temp\47e9b1753bf627f1408bbae002e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0" descr="说明: E:\微信聊天文件\WeChat Files\byghdea\FileStorage\Temp\47e9b1753bf627f1408bbae002e3505.jpg"/>
                          <pic:cNvPicPr>
                            <a:picLocks noChangeAspect="1"/>
                          </pic:cNvPicPr>
                        </pic:nvPicPr>
                        <pic:blipFill>
                          <a:blip r:embed="rId26"/>
                          <a:stretch>
                            <a:fillRect/>
                          </a:stretch>
                        </pic:blipFill>
                        <pic:spPr>
                          <a:xfrm>
                            <a:off x="0" y="0"/>
                            <a:ext cx="2880360" cy="2159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00"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t>拟建项目</w:t>
            </w:r>
            <w:r>
              <w:rPr>
                <w:rFonts w:hint="eastAsia"/>
                <w:b/>
                <w:spacing w:val="20"/>
                <w:szCs w:val="24"/>
              </w:rPr>
              <w:t>羟基钴生产线</w:t>
            </w:r>
            <w:r>
              <w:rPr>
                <w:b/>
                <w:spacing w:val="20"/>
                <w:szCs w:val="24"/>
              </w:rPr>
              <w:t>X1</w:t>
            </w:r>
            <w:r>
              <w:rPr>
                <w:rFonts w:hint="eastAsia"/>
                <w:b/>
                <w:spacing w:val="20"/>
                <w:szCs w:val="24"/>
              </w:rPr>
              <w:t>9</w:t>
            </w:r>
            <w:r>
              <w:rPr>
                <w:b/>
                <w:spacing w:val="20"/>
                <w:szCs w:val="24"/>
              </w:rPr>
              <w:t>车间</w:t>
            </w:r>
          </w:p>
        </w:tc>
        <w:tc>
          <w:tcPr>
            <w:tcW w:w="4701" w:type="dxa"/>
            <w:shd w:val="clear" w:color="auto" w:fill="auto"/>
            <w:vAlign w:val="center"/>
          </w:tcPr>
          <w:p>
            <w:pPr>
              <w:pStyle w:val="5"/>
              <w:adjustRightInd w:val="0"/>
              <w:snapToGrid w:val="0"/>
              <w:spacing w:line="240" w:lineRule="auto"/>
              <w:ind w:firstLine="0"/>
              <w:jc w:val="center"/>
              <w:rPr>
                <w:b/>
                <w:spacing w:val="20"/>
                <w:szCs w:val="24"/>
                <w:highlight w:val="yellow"/>
              </w:rPr>
            </w:pPr>
            <w:r>
              <w:rPr>
                <w:b/>
                <w:spacing w:val="20"/>
                <w:szCs w:val="24"/>
              </w:rPr>
              <w:t>X1</w:t>
            </w:r>
            <w:r>
              <w:rPr>
                <w:rFonts w:hint="eastAsia"/>
                <w:b/>
                <w:spacing w:val="20"/>
                <w:szCs w:val="24"/>
              </w:rPr>
              <w:t>9</w:t>
            </w:r>
            <w:r>
              <w:rPr>
                <w:b/>
                <w:spacing w:val="20"/>
                <w:szCs w:val="24"/>
              </w:rPr>
              <w:t>车间</w:t>
            </w:r>
            <w:r>
              <w:rPr>
                <w:rFonts w:hint="eastAsia"/>
                <w:b/>
                <w:spacing w:val="20"/>
                <w:szCs w:val="24"/>
              </w:rPr>
              <w:t>废气处理设施</w:t>
            </w:r>
          </w:p>
        </w:tc>
      </w:tr>
    </w:tbl>
    <w:p>
      <w:pPr>
        <w:pStyle w:val="5"/>
        <w:spacing w:line="500" w:lineRule="exact"/>
        <w:ind w:firstLine="0"/>
        <w:rPr>
          <w:b/>
          <w:spacing w:val="20"/>
          <w:szCs w:val="24"/>
          <w:highlight w:val="yellow"/>
        </w:rPr>
        <w:sectPr>
          <w:headerReference r:id="rId7" w:type="default"/>
          <w:footerReference r:id="rId8" w:type="default"/>
          <w:pgSz w:w="11907" w:h="16840"/>
          <w:pgMar w:top="851" w:right="1021" w:bottom="851" w:left="1134" w:header="851" w:footer="567" w:gutter="567"/>
          <w:pgNumType w:fmt="upperRoman"/>
          <w:cols w:space="720" w:num="1"/>
          <w:docGrid w:type="linesAndChars" w:linePitch="421" w:charSpace="-3161"/>
        </w:sectPr>
      </w:pPr>
    </w:p>
    <w:bookmarkEnd w:id="0"/>
    <w:bookmarkEnd w:id="1"/>
    <w:p>
      <w:pPr>
        <w:keepNext/>
        <w:keepLines/>
        <w:pageBreakBefore/>
        <w:tabs>
          <w:tab w:val="left" w:pos="1080"/>
        </w:tabs>
        <w:adjustRightInd w:val="0"/>
        <w:spacing w:before="120" w:after="120" w:line="360" w:lineRule="auto"/>
        <w:ind w:firstLine="3623" w:firstLineChars="1050"/>
        <w:outlineLvl w:val="0"/>
        <w:rPr>
          <w:rFonts w:ascii="Arial" w:hAnsi="Arial" w:eastAsia="宋体" w:cs="Arial"/>
          <w:b/>
          <w:kern w:val="44"/>
          <w:sz w:val="36"/>
        </w:rPr>
      </w:pPr>
      <w:bookmarkStart w:id="24" w:name="_Toc350777206"/>
      <w:bookmarkStart w:id="25" w:name="_Toc425977209"/>
      <w:bookmarkStart w:id="26" w:name="_Toc371933873"/>
      <w:bookmarkStart w:id="27" w:name="_Toc423097962"/>
      <w:bookmarkStart w:id="28" w:name="_Toc496955684"/>
      <w:bookmarkStart w:id="29" w:name="_Toc345409840"/>
      <w:bookmarkStart w:id="30" w:name="_Toc496719288"/>
      <w:bookmarkStart w:id="31" w:name="_Toc345341296"/>
      <w:bookmarkStart w:id="32" w:name="_Toc497404913"/>
      <w:bookmarkStart w:id="33" w:name="_Toc497405012"/>
      <w:bookmarkStart w:id="34" w:name="_Toc347237480"/>
      <w:bookmarkStart w:id="35" w:name="_Toc429664364"/>
      <w:bookmarkStart w:id="36" w:name="_Toc371958026"/>
      <w:bookmarkStart w:id="37" w:name="_Toc378167460"/>
      <w:bookmarkStart w:id="38" w:name="_Toc497938491"/>
      <w:bookmarkStart w:id="39" w:name="_Toc495187618"/>
      <w:bookmarkStart w:id="40" w:name="_Toc345410209"/>
      <w:bookmarkStart w:id="41" w:name="_Toc352933397"/>
      <w:bookmarkStart w:id="42" w:name="_Toc497894372"/>
      <w:bookmarkStart w:id="43" w:name="_Toc500143990"/>
      <w:bookmarkStart w:id="44" w:name="_Toc345161242"/>
      <w:bookmarkStart w:id="45" w:name="_Toc427223439"/>
      <w:bookmarkStart w:id="46" w:name="_Toc372292112"/>
      <w:bookmarkStart w:id="47" w:name="_Toc425930107"/>
      <w:bookmarkStart w:id="48" w:name="_Toc29155565"/>
      <w:bookmarkStart w:id="49" w:name="_Toc88674673"/>
      <w:bookmarkStart w:id="50" w:name="_Toc104677206"/>
      <w:bookmarkStart w:id="51" w:name="_Toc185950197"/>
      <w:bookmarkStart w:id="52" w:name="_Toc171608354"/>
      <w:bookmarkStart w:id="53" w:name="_Toc58596369"/>
      <w:bookmarkStart w:id="54" w:name="_Toc106202473"/>
      <w:bookmarkStart w:id="55" w:name="_Toc87123973"/>
      <w:bookmarkStart w:id="56" w:name="_Toc106006214"/>
      <w:bookmarkStart w:id="57" w:name="_Toc179816379"/>
      <w:bookmarkStart w:id="58" w:name="_Toc108634690"/>
      <w:bookmarkStart w:id="59" w:name="_Toc152260245"/>
      <w:bookmarkStart w:id="60" w:name="_Toc104971908"/>
      <w:bookmarkStart w:id="61" w:name="_Toc104677399"/>
      <w:bookmarkStart w:id="62" w:name="_Toc153639598"/>
      <w:bookmarkStart w:id="63" w:name="_Toc107420178"/>
      <w:bookmarkStart w:id="64" w:name="_Toc87124159"/>
      <w:bookmarkStart w:id="65" w:name="_Toc515189905"/>
      <w:bookmarkStart w:id="66" w:name="_Toc105506428"/>
      <w:bookmarkStart w:id="67" w:name="_Toc151636720"/>
      <w:bookmarkStart w:id="68" w:name="_Toc154599044"/>
      <w:bookmarkStart w:id="69" w:name="_Toc34494618"/>
      <w:bookmarkStart w:id="70" w:name="_Toc57715529"/>
      <w:bookmarkStart w:id="71" w:name="_Toc67921778"/>
      <w:bookmarkStart w:id="72" w:name="_Toc22029289"/>
      <w:bookmarkStart w:id="73" w:name="_Toc183513648"/>
      <w:bookmarkStart w:id="74" w:name="_Toc104677406"/>
      <w:bookmarkStart w:id="75" w:name="_Toc152260252"/>
      <w:bookmarkStart w:id="76" w:name="_Toc106202480"/>
      <w:bookmarkStart w:id="77" w:name="_Toc107420185"/>
      <w:bookmarkStart w:id="78" w:name="_Toc171608361"/>
      <w:bookmarkStart w:id="79" w:name="_Toc183513655"/>
      <w:bookmarkStart w:id="80" w:name="_Toc151636727"/>
      <w:bookmarkStart w:id="81" w:name="_Toc106006221"/>
      <w:bookmarkStart w:id="82" w:name="_Toc104677213"/>
      <w:bookmarkStart w:id="83" w:name="_Toc108634697"/>
      <w:bookmarkStart w:id="84" w:name="_Toc179816386"/>
      <w:bookmarkStart w:id="85" w:name="_Toc154599051"/>
      <w:bookmarkStart w:id="86" w:name="_Toc153639605"/>
      <w:bookmarkStart w:id="87" w:name="_Toc105506435"/>
      <w:bookmarkStart w:id="88" w:name="_Toc104971915"/>
      <w:r>
        <w:rPr>
          <w:rFonts w:ascii="Arial" w:hAnsi="Arial" w:eastAsia="宋体" w:cs="Arial"/>
          <w:b/>
          <w:kern w:val="44"/>
          <w:sz w:val="36"/>
        </w:rPr>
        <w:t xml:space="preserve">概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Pr>
          <w:rFonts w:ascii="Arial" w:hAnsi="Arial" w:eastAsia="宋体" w:cs="Arial"/>
          <w:b/>
          <w:kern w:val="44"/>
          <w:sz w:val="36"/>
        </w:rPr>
        <w:t xml:space="preserve"> 述</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pPr>
        <w:keepNext/>
        <w:keepLines/>
        <w:numPr>
          <w:ilvl w:val="1"/>
          <w:numId w:val="0"/>
        </w:numPr>
        <w:tabs>
          <w:tab w:val="left" w:pos="567"/>
        </w:tabs>
        <w:adjustRightInd w:val="0"/>
        <w:spacing w:line="360" w:lineRule="auto"/>
        <w:outlineLvl w:val="1"/>
        <w:rPr>
          <w:rFonts w:ascii="Arial" w:hAnsi="Arial" w:eastAsia="宋体" w:cs="Arial"/>
          <w:b/>
        </w:rPr>
      </w:pPr>
      <w:bookmarkStart w:id="89" w:name="_Toc107420179"/>
      <w:bookmarkStart w:id="90" w:name="_Toc500143991"/>
      <w:bookmarkStart w:id="91" w:name="_Toc151636721"/>
      <w:bookmarkStart w:id="92" w:name="_Toc67921779"/>
      <w:bookmarkStart w:id="93" w:name="_Toc185950198"/>
      <w:bookmarkStart w:id="94" w:name="_Toc106006215"/>
      <w:bookmarkStart w:id="95" w:name="_Toc497938492"/>
      <w:bookmarkStart w:id="96" w:name="_Toc153639599"/>
      <w:bookmarkStart w:id="97" w:name="_Toc152260246"/>
      <w:bookmarkStart w:id="98" w:name="_Toc106202474"/>
      <w:bookmarkStart w:id="99" w:name="_Toc496719289"/>
      <w:bookmarkStart w:id="100" w:name="_Toc104677400"/>
      <w:bookmarkStart w:id="101" w:name="_Toc171608355"/>
      <w:bookmarkStart w:id="102" w:name="_Toc425977210"/>
      <w:bookmarkStart w:id="103" w:name="_Toc496955685"/>
      <w:bookmarkStart w:id="104" w:name="_Toc182491361"/>
      <w:bookmarkStart w:id="105" w:name="_Toc179816380"/>
      <w:bookmarkStart w:id="106" w:name="_Toc88674674"/>
      <w:bookmarkStart w:id="107" w:name="_Toc105506429"/>
      <w:bookmarkStart w:id="108" w:name="_Toc497894373"/>
      <w:bookmarkStart w:id="109" w:name="_Toc154599045"/>
      <w:bookmarkStart w:id="110" w:name="_Toc497405013"/>
      <w:bookmarkStart w:id="111" w:name="_Toc104971909"/>
      <w:bookmarkStart w:id="112" w:name="_Toc427223440"/>
      <w:bookmarkStart w:id="113" w:name="_Toc497404914"/>
      <w:bookmarkStart w:id="114" w:name="_Toc429664365"/>
      <w:bookmarkStart w:id="115" w:name="_Toc108634691"/>
      <w:bookmarkStart w:id="116" w:name="_Toc34494619"/>
      <w:bookmarkStart w:id="117" w:name="_Toc104677207"/>
      <w:bookmarkStart w:id="118" w:name="_Toc58596370"/>
      <w:bookmarkStart w:id="119" w:name="_Toc495187619"/>
      <w:bookmarkStart w:id="120" w:name="_Toc425930108"/>
      <w:bookmarkStart w:id="121" w:name="_Toc87123974"/>
      <w:bookmarkStart w:id="122" w:name="_Toc378167461"/>
      <w:bookmarkStart w:id="123" w:name="_Toc29155566"/>
      <w:bookmarkStart w:id="124" w:name="_Toc423097963"/>
      <w:bookmarkStart w:id="125" w:name="_Toc183513649"/>
      <w:bookmarkStart w:id="126" w:name="_Toc515189906"/>
      <w:bookmarkStart w:id="127" w:name="_Toc87124160"/>
      <w:bookmarkStart w:id="128" w:name="_Toc57715530"/>
      <w:r>
        <w:rPr>
          <w:rFonts w:ascii="Arial" w:hAnsi="Arial" w:eastAsia="宋体" w:cs="Arial"/>
          <w:b/>
        </w:rPr>
        <w:t>1. 项目由来</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中伟新材料股份有限公司（后文简称中伟股份）是专业的锂电池新能源材料综合服务商，生产能力全球领先，目前已形成了显著的规模优势。2020年下半年以来由于上游原材料的价格上涨，导致前驱体行业原材料成本占比提升，进一步挤压了行业的盈利空间。为稳定盈利能力，保障上游供应链安全，产业链一体化布局已成为行业发展趋势。作为全球最大的三元前驱体企业，中伟股份正逐步加大前驱体生产所需的上游原材料布局，由前驱体单一生产环节逐渐发展为从原料加工-材料生产-资源回收的一体化企业。</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在国内，中伟股份已建立西部产业基地（贵州铜仁）、中部产业基地（湖南长沙）、</w:t>
      </w:r>
      <w:r>
        <w:rPr>
          <w:rFonts w:ascii="Arial" w:hAnsi="Arial" w:eastAsia="宋体" w:cs="Arial"/>
          <w:b/>
          <w:bCs/>
          <w:spacing w:val="10"/>
          <w:sz w:val="24"/>
          <w:szCs w:val="24"/>
        </w:rPr>
        <w:t>南部产业基地（广西中伟新能源科技有限公司）</w:t>
      </w:r>
      <w:r>
        <w:rPr>
          <w:rFonts w:ascii="Arial" w:hAnsi="Arial" w:eastAsia="宋体" w:cs="Arial"/>
          <w:spacing w:val="10"/>
          <w:sz w:val="24"/>
          <w:szCs w:val="24"/>
        </w:rPr>
        <w:t>、开阳产业基地（贵州贵阳）四大产业基地，覆盖全国；在海外，公司建有印尼原料基地，并启动规划国际化产业基地，业务覆盖日韩、东南亚、欧洲以及北美等多个国家和地区。广西中伟新能源科技有限公司落地于2021年，中伟股份与钦州市政府于2021年1月20日签署北部湾产业基地项目投资合同书，合同书约定，项目主要经营三元前驱体、四氧化三钴等前驱体研发以及金属镍钴及电池材料综合循环利用。广西中伟新能源项目总计划投资约330亿元，规划用地约5000亩，分三期开发建设。</w:t>
      </w:r>
    </w:p>
    <w:p>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从2021年至2024年12月，广西中伟新能源科技有限公司相继完成10个项目的环评工作，即北部湾产业基地三元项目一期一阶段（以下简称“一阶段项目”）、广西中伟新能源项目一期二阶段（以下简称“二阶段项目”）、广西中伟新能源项目一期三阶段（以下简称“三阶段项目”）、广西中伟新能源项目一期新能源材料一体化项目（以下简称“一体化项目”）、广西中伟新能源项目一期G-6#-1A燃气锅炉房（以下简称“燃气锅炉房项目”）、广西中伟新能源项目一期一、二、三阶段项目110kV变电站工程（以下简称“变电站项目”）、广西中伟新能源项目一期一、二、三阶段MSP生产线变更项目（以下简称“MSP变更项目”）、广西中伟新能源项目一期G21#氨水制备、XII-1#柴油加油站项目（以下简称“氨水项目”）、广西中伟新能源项目氢氧化钴处置线技改项目（以下简称“氢氧化钴技改项目”）、广西中伟新能源项目一期新能源材料一体化项目（重大变动）（以下简称“一体化变更项目”）。这些环评项目审批情况见表1。</w:t>
      </w:r>
    </w:p>
    <w:p>
      <w:pPr>
        <w:spacing w:before="210" w:beforeLines="50" w:line="360" w:lineRule="exact"/>
        <w:ind w:firstLine="490" w:firstLineChars="200"/>
        <w:jc w:val="center"/>
        <w:outlineLvl w:val="2"/>
        <w:rPr>
          <w:rFonts w:ascii="Arial" w:hAnsi="Arial" w:eastAsia="宋体" w:cs="Arial"/>
          <w:b/>
          <w:spacing w:val="10"/>
          <w:sz w:val="24"/>
          <w:szCs w:val="24"/>
          <w:u w:val="single"/>
        </w:rPr>
      </w:pPr>
      <w:r>
        <w:rPr>
          <w:rFonts w:hint="eastAsia" w:ascii="Arial" w:hAnsi="Arial" w:eastAsia="宋体" w:cs="Arial"/>
          <w:b/>
          <w:spacing w:val="10"/>
          <w:sz w:val="24"/>
          <w:szCs w:val="24"/>
          <w:u w:val="single"/>
        </w:rPr>
        <w:t>表1  企业环评项目审批情况</w:t>
      </w:r>
    </w:p>
    <w:tbl>
      <w:tblPr>
        <w:tblStyle w:val="89"/>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3261"/>
        <w:gridCol w:w="1775"/>
        <w:gridCol w:w="2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951" w:type="dxa"/>
            <w:vMerge w:val="restart"/>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项目名称</w:t>
            </w:r>
          </w:p>
        </w:tc>
        <w:tc>
          <w:tcPr>
            <w:tcW w:w="7042" w:type="dxa"/>
            <w:gridSpan w:val="3"/>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环境影响评价情况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951" w:type="dxa"/>
            <w:vMerge w:val="continue"/>
            <w:vAlign w:val="center"/>
          </w:tcPr>
          <w:p>
            <w:pPr>
              <w:adjustRightInd w:val="0"/>
              <w:snapToGrid w:val="0"/>
              <w:jc w:val="center"/>
              <w:rPr>
                <w:rFonts w:ascii="Arial" w:hAnsi="Arial" w:eastAsia="宋体" w:cs="Arial"/>
                <w:spacing w:val="10"/>
                <w:sz w:val="21"/>
                <w:szCs w:val="21"/>
                <w:u w:val="single"/>
              </w:rPr>
            </w:pP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批准文号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批准时间</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审批单位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一阶段项目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钦港环管字〔2021〕19号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2021.7.22</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二阶段项目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钦港环管字〔2021〕20号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三阶段项目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钦港环管字〔2021〕21号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一体化项目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自贸钦审批环〔2022〕25号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2022.7.26</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广西壮族自治区生态环境厅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燃气锅炉房项目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自贸钦审批环〔2023〕2号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2023.1.11</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变电站项目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自贸钦港审批环〔2021〕12号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2021.11.26</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MSP变更项目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2024.1.10</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氨水项目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w:t>
            </w:r>
            <w:r>
              <w:rPr>
                <w:rFonts w:hint="eastAsia" w:ascii="Arial" w:hAnsi="Arial" w:eastAsia="宋体" w:cs="Arial"/>
                <w:spacing w:val="10"/>
                <w:sz w:val="21"/>
                <w:szCs w:val="21"/>
                <w:u w:val="single"/>
              </w:rPr>
              <w:t>0</w:t>
            </w:r>
            <w:r>
              <w:rPr>
                <w:rFonts w:ascii="Arial" w:hAnsi="Arial" w:eastAsia="宋体" w:cs="Arial"/>
                <w:spacing w:val="10"/>
                <w:sz w:val="21"/>
                <w:szCs w:val="21"/>
                <w:u w:val="single"/>
              </w:rPr>
              <w:t>号</w:t>
            </w:r>
          </w:p>
        </w:tc>
        <w:tc>
          <w:tcPr>
            <w:tcW w:w="177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w:t>
            </w:r>
            <w:r>
              <w:rPr>
                <w:rFonts w:hint="eastAsia" w:ascii="Arial" w:hAnsi="Arial" w:eastAsia="宋体" w:cs="Arial"/>
                <w:spacing w:val="10"/>
                <w:sz w:val="21"/>
                <w:szCs w:val="21"/>
                <w:u w:val="single"/>
              </w:rPr>
              <w:t>5.15</w:t>
            </w:r>
          </w:p>
        </w:tc>
        <w:tc>
          <w:tcPr>
            <w:tcW w:w="2006"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氢氧化钴技改项目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35</w:t>
            </w:r>
            <w:r>
              <w:rPr>
                <w:rFonts w:ascii="Arial" w:hAnsi="Arial" w:eastAsia="宋体" w:cs="Arial"/>
                <w:spacing w:val="10"/>
                <w:sz w:val="21"/>
                <w:szCs w:val="21"/>
                <w:u w:val="single"/>
              </w:rPr>
              <w:t>号</w:t>
            </w:r>
          </w:p>
        </w:tc>
        <w:tc>
          <w:tcPr>
            <w:tcW w:w="1775"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2024.7.23</w:t>
            </w:r>
          </w:p>
        </w:tc>
        <w:tc>
          <w:tcPr>
            <w:tcW w:w="2006" w:type="dxa"/>
            <w:vMerge w:val="restart"/>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中国（广西）自由贸易试验区钦州港片区行政审批局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一体化变更项目</w:t>
            </w:r>
          </w:p>
        </w:tc>
        <w:tc>
          <w:tcPr>
            <w:tcW w:w="3261"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54</w:t>
            </w:r>
            <w:r>
              <w:rPr>
                <w:rFonts w:ascii="Arial" w:hAnsi="Arial" w:eastAsia="宋体" w:cs="Arial"/>
                <w:spacing w:val="10"/>
                <w:sz w:val="21"/>
                <w:szCs w:val="21"/>
                <w:u w:val="single"/>
              </w:rPr>
              <w:t>号</w:t>
            </w:r>
          </w:p>
        </w:tc>
        <w:tc>
          <w:tcPr>
            <w:tcW w:w="1775"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2024.11.22</w:t>
            </w:r>
          </w:p>
        </w:tc>
        <w:tc>
          <w:tcPr>
            <w:tcW w:w="2006" w:type="dxa"/>
            <w:vMerge w:val="continue"/>
            <w:vAlign w:val="center"/>
          </w:tcPr>
          <w:p>
            <w:pPr>
              <w:adjustRightInd w:val="0"/>
              <w:snapToGrid w:val="0"/>
              <w:jc w:val="center"/>
              <w:rPr>
                <w:rFonts w:ascii="Arial" w:hAnsi="Arial" w:eastAsia="宋体" w:cs="Arial"/>
                <w:spacing w:val="10"/>
                <w:sz w:val="21"/>
                <w:szCs w:val="21"/>
                <w:u w:val="single"/>
              </w:rPr>
            </w:pPr>
          </w:p>
        </w:tc>
      </w:tr>
    </w:tbl>
    <w:p>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其中，MSP变更项目、氢氧化钴技改项目、一体化变更项目是由一~三阶段项目和一体化项目的变更或者技改而来，这些项目之间的关系详见图1。</w:t>
      </w:r>
    </w:p>
    <w:p>
      <w:pPr>
        <w:ind w:firstLine="530" w:firstLineChars="200"/>
        <w:jc w:val="center"/>
        <w:rPr>
          <w:rFonts w:ascii="Arial" w:hAnsi="Arial" w:eastAsia="宋体" w:cs="Arial"/>
          <w:spacing w:val="10"/>
          <w:sz w:val="24"/>
          <w:szCs w:val="24"/>
          <w:u w:val="single"/>
        </w:rPr>
      </w:pPr>
      <w:r>
        <w:object>
          <v:shape id="_x0000_i1025" o:spt="75" type="#_x0000_t75" style="height:503.1pt;width:278.25pt;" o:ole="t" filled="f" o:preferrelative="t" stroked="f" coordsize="21600,21600">
            <v:path/>
            <v:fill on="f" focussize="0,0"/>
            <v:stroke on="f" joinstyle="miter"/>
            <v:imagedata r:id="rId28" o:title=""/>
            <o:lock v:ext="edit" aspectratio="t"/>
            <w10:wrap type="none"/>
            <w10:anchorlock/>
          </v:shape>
          <o:OLEObject Type="Embed" ProgID="Visio.Drawing.11" ShapeID="_x0000_i1025" DrawAspect="Content" ObjectID="_1468075725" r:id="rId27">
            <o:LockedField>false</o:LockedField>
          </o:OLEObject>
        </w:object>
      </w:r>
    </w:p>
    <w:p>
      <w:pPr>
        <w:spacing w:line="500" w:lineRule="exact"/>
        <w:ind w:firstLine="490" w:firstLineChars="200"/>
        <w:jc w:val="center"/>
        <w:rPr>
          <w:rFonts w:ascii="Arial" w:hAnsi="Arial" w:eastAsia="宋体" w:cs="Arial"/>
          <w:b/>
          <w:spacing w:val="10"/>
          <w:sz w:val="24"/>
          <w:szCs w:val="24"/>
          <w:u w:val="single"/>
        </w:rPr>
      </w:pPr>
      <w:r>
        <w:rPr>
          <w:rFonts w:hint="eastAsia" w:ascii="Arial" w:hAnsi="Arial" w:eastAsia="宋体" w:cs="Arial"/>
          <w:b/>
          <w:spacing w:val="10"/>
          <w:sz w:val="24"/>
          <w:szCs w:val="24"/>
          <w:u w:val="single"/>
        </w:rPr>
        <w:t>图1  企业主要项目的变化及关系图</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u w:val="single"/>
        </w:rPr>
        <w:t>经变更或技改之后，目前企业已建成10×1.5万吨/年三元前驱体生产线、1×2.5万吨/年镍豆镍粉处置线，1×0.5万金吨/年氢氧化钴处置线（含0.2万吨/年电积钴工序）、1×1.7万金吨氢氧化镍钴（MHP）生产线，1×8.2万金吨火法生产线、1条吹炼渣生产线、1×15万t/a烟气制酸生产线、2×4万金吨/年MSP生产线（含1段电积铜工序、2段电积镍工序），1×20t/h燃气锅炉，1条氨水制备生产线等；主要产品包括15万金吨/年三元前驱体、4.2万金吨/年硫酸镍溶液、8万金吨/年硫酸镍晶体、0.5万金吨/年硫酸钴、0.2万吨/年钴板、8.2万吨/年高冰镍、0.49万金吨/年富钴中冰镍、15万吨/年硫酸、1万吨/年1号标准铜、2.5万吨/年镍板；尚未建设2×1.5万吨/年三元前驱体生产线、1×20t/h燃气锅炉。</w:t>
      </w:r>
    </w:p>
    <w:p>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结合图1，企业各项目经过变更或技改之后，现今项目及其主要生产线的建设及验收情况见表2。截至目前，一阶段项目（含镍豆镍粉处置线）、变电站项目、二阶段项目（不含镍豆镍粉处置线）、氨水项目、氢氧化钴技改项目已通过竣工环保验收，其余内容尚未完成验收。</w:t>
      </w:r>
    </w:p>
    <w:p>
      <w:pPr>
        <w:spacing w:before="210" w:beforeLines="50" w:line="360" w:lineRule="exact"/>
        <w:ind w:firstLine="490" w:firstLineChars="200"/>
        <w:jc w:val="center"/>
        <w:outlineLvl w:val="2"/>
        <w:rPr>
          <w:rFonts w:ascii="Arial" w:hAnsi="Arial" w:eastAsia="宋体" w:cs="Arial"/>
          <w:b/>
          <w:spacing w:val="10"/>
          <w:sz w:val="24"/>
          <w:szCs w:val="24"/>
        </w:rPr>
      </w:pPr>
      <w:r>
        <w:rPr>
          <w:rFonts w:ascii="Arial" w:hAnsi="Arial" w:eastAsia="宋体" w:cs="Arial"/>
          <w:b/>
          <w:spacing w:val="10"/>
          <w:sz w:val="24"/>
          <w:szCs w:val="24"/>
        </w:rPr>
        <w:t>表</w:t>
      </w:r>
      <w:r>
        <w:rPr>
          <w:rFonts w:hint="eastAsia" w:ascii="Arial" w:hAnsi="Arial" w:eastAsia="宋体" w:cs="Arial"/>
          <w:b/>
          <w:spacing w:val="10"/>
          <w:sz w:val="24"/>
          <w:szCs w:val="24"/>
        </w:rPr>
        <w:t>2</w:t>
      </w:r>
      <w:r>
        <w:rPr>
          <w:rFonts w:ascii="Arial" w:hAnsi="Arial" w:eastAsia="宋体" w:cs="Arial"/>
          <w:b/>
          <w:spacing w:val="10"/>
          <w:sz w:val="24"/>
          <w:szCs w:val="24"/>
        </w:rPr>
        <w:t xml:space="preserve">  企业</w:t>
      </w:r>
      <w:r>
        <w:rPr>
          <w:rFonts w:hint="eastAsia" w:ascii="Arial" w:hAnsi="Arial" w:eastAsia="宋体" w:cs="Arial"/>
          <w:b/>
          <w:spacing w:val="10"/>
          <w:sz w:val="24"/>
          <w:szCs w:val="24"/>
        </w:rPr>
        <w:t>目前</w:t>
      </w:r>
      <w:r>
        <w:rPr>
          <w:rFonts w:ascii="Arial" w:hAnsi="Arial" w:eastAsia="宋体" w:cs="Arial"/>
          <w:b/>
          <w:spacing w:val="10"/>
          <w:sz w:val="24"/>
          <w:szCs w:val="24"/>
        </w:rPr>
        <w:t>各项目建设</w:t>
      </w:r>
      <w:r>
        <w:rPr>
          <w:rFonts w:hint="eastAsia" w:ascii="Arial" w:hAnsi="Arial" w:eastAsia="宋体" w:cs="Arial"/>
          <w:b/>
          <w:spacing w:val="10"/>
          <w:sz w:val="24"/>
          <w:szCs w:val="24"/>
        </w:rPr>
        <w:t>及验收情况表</w:t>
      </w:r>
    </w:p>
    <w:tbl>
      <w:tblPr>
        <w:tblStyle w:val="88"/>
        <w:tblW w:w="89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31"/>
        <w:gridCol w:w="1746"/>
        <w:gridCol w:w="1842"/>
        <w:gridCol w:w="1984"/>
        <w:gridCol w:w="1419"/>
        <w:gridCol w:w="13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blHeader/>
        </w:trPr>
        <w:tc>
          <w:tcPr>
            <w:tcW w:w="631" w:type="dxa"/>
            <w:vMerge w:val="restart"/>
            <w:vAlign w:val="center"/>
          </w:tcPr>
          <w:p>
            <w:pPr>
              <w:pStyle w:val="5"/>
              <w:adjustRightInd w:val="0"/>
              <w:snapToGrid w:val="0"/>
              <w:spacing w:line="240" w:lineRule="auto"/>
              <w:ind w:firstLine="0"/>
              <w:jc w:val="center"/>
              <w:rPr>
                <w:b/>
                <w:sz w:val="18"/>
                <w:szCs w:val="18"/>
              </w:rPr>
            </w:pPr>
            <w:r>
              <w:rPr>
                <w:b/>
                <w:sz w:val="18"/>
                <w:szCs w:val="18"/>
              </w:rPr>
              <w:t>项目名称</w:t>
            </w:r>
          </w:p>
        </w:tc>
        <w:tc>
          <w:tcPr>
            <w:tcW w:w="3588" w:type="dxa"/>
            <w:gridSpan w:val="2"/>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环评批复建设内容</w:t>
            </w:r>
          </w:p>
        </w:tc>
        <w:tc>
          <w:tcPr>
            <w:tcW w:w="1984" w:type="dxa"/>
            <w:vMerge w:val="restart"/>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已建已验收</w:t>
            </w:r>
          </w:p>
        </w:tc>
        <w:tc>
          <w:tcPr>
            <w:tcW w:w="1419" w:type="dxa"/>
            <w:vMerge w:val="restart"/>
            <w:vAlign w:val="center"/>
          </w:tcPr>
          <w:p>
            <w:pPr>
              <w:pStyle w:val="5"/>
              <w:adjustRightInd w:val="0"/>
              <w:snapToGrid w:val="0"/>
              <w:spacing w:line="240" w:lineRule="auto"/>
              <w:ind w:firstLine="0"/>
              <w:jc w:val="center"/>
              <w:rPr>
                <w:b/>
                <w:sz w:val="18"/>
                <w:szCs w:val="18"/>
              </w:rPr>
            </w:pPr>
            <w:r>
              <w:rPr>
                <w:b/>
                <w:sz w:val="18"/>
                <w:szCs w:val="18"/>
              </w:rPr>
              <w:t>已建未验收</w:t>
            </w:r>
          </w:p>
        </w:tc>
        <w:tc>
          <w:tcPr>
            <w:tcW w:w="1371" w:type="dxa"/>
            <w:vMerge w:val="restart"/>
            <w:vAlign w:val="center"/>
          </w:tcPr>
          <w:p>
            <w:pPr>
              <w:pStyle w:val="5"/>
              <w:adjustRightInd w:val="0"/>
              <w:snapToGrid w:val="0"/>
              <w:spacing w:line="240" w:lineRule="auto"/>
              <w:ind w:firstLine="0"/>
              <w:jc w:val="center"/>
              <w:rPr>
                <w:b/>
                <w:sz w:val="18"/>
                <w:szCs w:val="18"/>
              </w:rPr>
            </w:pPr>
            <w:r>
              <w:rPr>
                <w:b/>
                <w:sz w:val="18"/>
                <w:szCs w:val="18"/>
              </w:rPr>
              <w:t>未建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blHeader/>
        </w:trPr>
        <w:tc>
          <w:tcPr>
            <w:tcW w:w="631" w:type="dxa"/>
            <w:vMerge w:val="continue"/>
            <w:vAlign w:val="center"/>
          </w:tcPr>
          <w:p>
            <w:pPr>
              <w:pStyle w:val="5"/>
              <w:adjustRightInd w:val="0"/>
              <w:snapToGrid w:val="0"/>
              <w:spacing w:line="240" w:lineRule="auto"/>
              <w:ind w:firstLine="0"/>
              <w:jc w:val="center"/>
              <w:rPr>
                <w:b/>
                <w:sz w:val="18"/>
                <w:szCs w:val="18"/>
              </w:rPr>
            </w:pPr>
          </w:p>
        </w:tc>
        <w:tc>
          <w:tcPr>
            <w:tcW w:w="1746" w:type="dxa"/>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主要生产线</w:t>
            </w:r>
          </w:p>
        </w:tc>
        <w:tc>
          <w:tcPr>
            <w:tcW w:w="1842" w:type="dxa"/>
            <w:vAlign w:val="center"/>
          </w:tcPr>
          <w:p>
            <w:pPr>
              <w:pStyle w:val="942"/>
              <w:adjustRightInd w:val="0"/>
              <w:snapToGrid w:val="0"/>
              <w:jc w:val="center"/>
              <w:rPr>
                <w:rFonts w:ascii="Arial" w:hAnsi="Arial" w:cs="Arial"/>
                <w:b/>
                <w:sz w:val="18"/>
                <w:szCs w:val="18"/>
                <w:lang w:eastAsia="zh-CN"/>
              </w:rPr>
            </w:pPr>
            <w:r>
              <w:rPr>
                <w:rFonts w:hint="eastAsia" w:ascii="Arial" w:hAnsi="Arial" w:cs="Arial"/>
                <w:b/>
                <w:sz w:val="18"/>
                <w:szCs w:val="18"/>
                <w:lang w:eastAsia="zh-CN"/>
              </w:rPr>
              <w:t>主要产品产能</w:t>
            </w:r>
          </w:p>
        </w:tc>
        <w:tc>
          <w:tcPr>
            <w:tcW w:w="1984" w:type="dxa"/>
            <w:vMerge w:val="continue"/>
            <w:vAlign w:val="center"/>
          </w:tcPr>
          <w:p>
            <w:pPr>
              <w:pStyle w:val="942"/>
              <w:adjustRightInd w:val="0"/>
              <w:snapToGrid w:val="0"/>
              <w:ind w:firstLine="361"/>
              <w:jc w:val="center"/>
              <w:rPr>
                <w:rFonts w:ascii="Arial" w:hAnsi="Arial" w:cs="Arial"/>
                <w:b/>
                <w:sz w:val="18"/>
                <w:szCs w:val="18"/>
                <w:lang w:eastAsia="zh-CN"/>
              </w:rPr>
            </w:pPr>
          </w:p>
        </w:tc>
        <w:tc>
          <w:tcPr>
            <w:tcW w:w="1419" w:type="dxa"/>
            <w:vMerge w:val="continue"/>
            <w:vAlign w:val="center"/>
          </w:tcPr>
          <w:p>
            <w:pPr>
              <w:pStyle w:val="5"/>
              <w:adjustRightInd w:val="0"/>
              <w:snapToGrid w:val="0"/>
              <w:spacing w:line="240" w:lineRule="auto"/>
              <w:ind w:firstLine="0"/>
              <w:jc w:val="center"/>
              <w:rPr>
                <w:b/>
                <w:sz w:val="18"/>
                <w:szCs w:val="18"/>
              </w:rPr>
            </w:pPr>
          </w:p>
        </w:tc>
        <w:tc>
          <w:tcPr>
            <w:tcW w:w="1371" w:type="dxa"/>
            <w:vMerge w:val="continue"/>
            <w:vAlign w:val="center"/>
          </w:tcPr>
          <w:p>
            <w:pPr>
              <w:pStyle w:val="5"/>
              <w:adjustRightInd w:val="0"/>
              <w:snapToGrid w:val="0"/>
              <w:spacing w:line="240" w:lineRule="auto"/>
              <w:ind w:firstLine="0"/>
              <w:jc w:val="center"/>
              <w:rPr>
                <w:b/>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restart"/>
            <w:vAlign w:val="center"/>
          </w:tcPr>
          <w:p>
            <w:pPr>
              <w:pStyle w:val="5"/>
              <w:adjustRightInd w:val="0"/>
              <w:snapToGrid w:val="0"/>
              <w:spacing w:line="240" w:lineRule="auto"/>
              <w:ind w:firstLine="0"/>
              <w:jc w:val="center"/>
              <w:rPr>
                <w:sz w:val="18"/>
                <w:szCs w:val="18"/>
              </w:rPr>
            </w:pPr>
            <w:r>
              <w:rPr>
                <w:sz w:val="18"/>
                <w:szCs w:val="18"/>
              </w:rPr>
              <w:t>一阶段项目</w:t>
            </w:r>
          </w:p>
        </w:tc>
        <w:tc>
          <w:tcPr>
            <w:tcW w:w="1746"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体生产线</w:t>
            </w:r>
          </w:p>
        </w:tc>
        <w:tc>
          <w:tcPr>
            <w:tcW w:w="184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p>
        </w:tc>
        <w:tc>
          <w:tcPr>
            <w:tcW w:w="1419" w:type="dxa"/>
            <w:vAlign w:val="center"/>
          </w:tcPr>
          <w:p>
            <w:pPr>
              <w:pStyle w:val="5"/>
              <w:adjustRightInd w:val="0"/>
              <w:snapToGrid w:val="0"/>
              <w:spacing w:line="240" w:lineRule="auto"/>
              <w:ind w:firstLine="0"/>
              <w:jc w:val="center"/>
              <w:rPr>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continue"/>
            <w:vAlign w:val="center"/>
          </w:tcPr>
          <w:p>
            <w:pPr>
              <w:pStyle w:val="5"/>
              <w:adjustRightInd w:val="0"/>
              <w:snapToGrid w:val="0"/>
              <w:spacing w:line="240" w:lineRule="auto"/>
              <w:ind w:firstLine="0"/>
              <w:jc w:val="center"/>
              <w:rPr>
                <w:sz w:val="18"/>
                <w:szCs w:val="18"/>
              </w:rPr>
            </w:pPr>
          </w:p>
        </w:tc>
        <w:tc>
          <w:tcPr>
            <w:tcW w:w="1746"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419" w:type="dxa"/>
            <w:vAlign w:val="center"/>
          </w:tcPr>
          <w:p>
            <w:pPr>
              <w:pStyle w:val="5"/>
              <w:adjustRightInd w:val="0"/>
              <w:snapToGrid w:val="0"/>
              <w:spacing w:line="240" w:lineRule="auto"/>
              <w:ind w:firstLine="0"/>
              <w:jc w:val="center"/>
              <w:rPr>
                <w:spacing w:val="-3"/>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restart"/>
            <w:vAlign w:val="center"/>
          </w:tcPr>
          <w:p>
            <w:pPr>
              <w:pStyle w:val="5"/>
              <w:adjustRightInd w:val="0"/>
              <w:snapToGrid w:val="0"/>
              <w:spacing w:line="240" w:lineRule="auto"/>
              <w:ind w:firstLine="0"/>
              <w:jc w:val="center"/>
              <w:rPr>
                <w:sz w:val="18"/>
                <w:szCs w:val="18"/>
              </w:rPr>
            </w:pPr>
            <w:r>
              <w:rPr>
                <w:sz w:val="18"/>
                <w:szCs w:val="18"/>
              </w:rPr>
              <w:t>二阶段项目</w:t>
            </w: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84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419" w:type="dxa"/>
            <w:vAlign w:val="center"/>
          </w:tcPr>
          <w:p>
            <w:pPr>
              <w:pStyle w:val="5"/>
              <w:adjustRightInd w:val="0"/>
              <w:snapToGrid w:val="0"/>
              <w:spacing w:line="240" w:lineRule="auto"/>
              <w:ind w:firstLine="0"/>
              <w:jc w:val="center"/>
              <w:rPr>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continue"/>
            <w:vAlign w:val="center"/>
          </w:tcPr>
          <w:p>
            <w:pPr>
              <w:pStyle w:val="5"/>
              <w:adjustRightInd w:val="0"/>
              <w:snapToGrid w:val="0"/>
              <w:spacing w:line="240" w:lineRule="auto"/>
              <w:ind w:firstLine="0"/>
              <w:jc w:val="center"/>
              <w:rPr>
                <w:sz w:val="18"/>
                <w:szCs w:val="18"/>
              </w:rPr>
            </w:pP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842"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w:t>
            </w:r>
            <w:r>
              <w:rPr>
                <w:rFonts w:hint="eastAsia" w:ascii="Arial" w:hAnsi="Arial" w:cs="Arial"/>
                <w:sz w:val="18"/>
                <w:szCs w:val="18"/>
                <w:lang w:eastAsia="zh-CN"/>
              </w:rPr>
              <w:t>.</w:t>
            </w:r>
            <w:r>
              <w:rPr>
                <w:rFonts w:ascii="Arial" w:hAnsi="Arial" w:cs="Arial"/>
                <w:sz w:val="18"/>
                <w:szCs w:val="18"/>
                <w:lang w:eastAsia="zh-CN"/>
              </w:rPr>
              <w:t>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rPr>
              <w:t>/</w:t>
            </w:r>
          </w:p>
        </w:tc>
        <w:tc>
          <w:tcPr>
            <w:tcW w:w="1419" w:type="dxa"/>
            <w:vAlign w:val="center"/>
          </w:tcPr>
          <w:p>
            <w:pPr>
              <w:pStyle w:val="5"/>
              <w:adjustRightInd w:val="0"/>
              <w:snapToGrid w:val="0"/>
              <w:spacing w:line="240" w:lineRule="auto"/>
              <w:ind w:firstLine="0"/>
              <w:jc w:val="center"/>
              <w:rPr>
                <w:sz w:val="18"/>
                <w:szCs w:val="18"/>
              </w:rPr>
            </w:pPr>
            <w:r>
              <w:rPr>
                <w:spacing w:val="-3"/>
                <w:sz w:val="18"/>
                <w:szCs w:val="18"/>
              </w:rPr>
              <w:t>1×</w:t>
            </w:r>
            <w:r>
              <w:rPr>
                <w:sz w:val="18"/>
                <w:szCs w:val="18"/>
              </w:rPr>
              <w:t>2</w:t>
            </w:r>
            <w:r>
              <w:rPr>
                <w:spacing w:val="-3"/>
                <w:sz w:val="18"/>
                <w:szCs w:val="18"/>
              </w:rPr>
              <w:t>.</w:t>
            </w:r>
            <w:r>
              <w:rPr>
                <w:spacing w:val="-1"/>
                <w:sz w:val="18"/>
                <w:szCs w:val="18"/>
              </w:rPr>
              <w:t>5</w:t>
            </w:r>
            <w:r>
              <w:rPr>
                <w:sz w:val="18"/>
                <w:szCs w:val="18"/>
              </w:rPr>
              <w:t>万吨</w:t>
            </w:r>
            <w:r>
              <w:rPr>
                <w:spacing w:val="-2"/>
                <w:sz w:val="18"/>
                <w:szCs w:val="18"/>
              </w:rPr>
              <w:t>/</w:t>
            </w:r>
            <w:r>
              <w:rPr>
                <w:spacing w:val="-3"/>
                <w:sz w:val="18"/>
                <w:szCs w:val="18"/>
              </w:rPr>
              <w:t>年</w:t>
            </w:r>
            <w:r>
              <w:rPr>
                <w:sz w:val="18"/>
                <w:szCs w:val="18"/>
              </w:rPr>
              <w:t>镍</w:t>
            </w:r>
            <w:r>
              <w:rPr>
                <w:spacing w:val="-3"/>
                <w:sz w:val="18"/>
                <w:szCs w:val="18"/>
              </w:rPr>
              <w:t>豆</w:t>
            </w:r>
            <w:r>
              <w:rPr>
                <w:sz w:val="18"/>
                <w:szCs w:val="18"/>
              </w:rPr>
              <w:t>镍</w:t>
            </w:r>
            <w:r>
              <w:rPr>
                <w:spacing w:val="-3"/>
                <w:sz w:val="18"/>
                <w:szCs w:val="18"/>
              </w:rPr>
              <w:t>粉</w:t>
            </w:r>
            <w:r>
              <w:rPr>
                <w:sz w:val="18"/>
                <w:szCs w:val="18"/>
              </w:rPr>
              <w:t>处</w:t>
            </w:r>
            <w:r>
              <w:rPr>
                <w:spacing w:val="-3"/>
                <w:sz w:val="18"/>
                <w:szCs w:val="18"/>
              </w:rPr>
              <w:t>置线</w:t>
            </w:r>
            <w:r>
              <w:rPr>
                <w:rFonts w:hint="eastAsia"/>
                <w:b/>
                <w:spacing w:val="-3"/>
                <w:sz w:val="18"/>
                <w:szCs w:val="18"/>
              </w:rPr>
              <w:t>（发生变动）</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Align w:val="center"/>
          </w:tcPr>
          <w:p>
            <w:pPr>
              <w:pStyle w:val="5"/>
              <w:adjustRightInd w:val="0"/>
              <w:snapToGrid w:val="0"/>
              <w:spacing w:line="240" w:lineRule="auto"/>
              <w:ind w:firstLine="0"/>
              <w:jc w:val="center"/>
              <w:rPr>
                <w:sz w:val="18"/>
                <w:szCs w:val="18"/>
              </w:rPr>
            </w:pPr>
            <w:r>
              <w:rPr>
                <w:sz w:val="18"/>
                <w:szCs w:val="18"/>
              </w:rPr>
              <w:t>三阶段项目</w:t>
            </w: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84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c>
          <w:tcPr>
            <w:tcW w:w="1371" w:type="dxa"/>
            <w:vAlign w:val="center"/>
          </w:tcPr>
          <w:p>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Align w:val="center"/>
          </w:tcPr>
          <w:p>
            <w:pPr>
              <w:pStyle w:val="5"/>
              <w:adjustRightInd w:val="0"/>
              <w:snapToGrid w:val="0"/>
              <w:spacing w:line="240" w:lineRule="auto"/>
              <w:ind w:firstLine="0"/>
              <w:jc w:val="center"/>
              <w:rPr>
                <w:sz w:val="18"/>
                <w:szCs w:val="18"/>
              </w:rPr>
            </w:pPr>
            <w:r>
              <w:rPr>
                <w:sz w:val="18"/>
                <w:szCs w:val="18"/>
              </w:rPr>
              <w:t>燃气锅炉房项目</w:t>
            </w:r>
          </w:p>
        </w:tc>
        <w:tc>
          <w:tcPr>
            <w:tcW w:w="3588" w:type="dxa"/>
            <w:gridSpan w:val="2"/>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val="en-GB" w:eastAsia="zh-CN"/>
              </w:rPr>
              <w:t>2</w:t>
            </w:r>
            <w:r>
              <w:rPr>
                <w:rFonts w:ascii="Arial" w:hAnsi="Arial" w:cs="Arial"/>
                <w:spacing w:val="-3"/>
                <w:sz w:val="18"/>
                <w:szCs w:val="18"/>
                <w:lang w:eastAsia="zh-CN"/>
              </w:rPr>
              <w:t>×</w:t>
            </w:r>
            <w:r>
              <w:rPr>
                <w:rFonts w:ascii="Arial" w:hAnsi="Arial" w:cs="Arial"/>
                <w:sz w:val="18"/>
                <w:szCs w:val="18"/>
                <w:lang w:val="en-GB" w:eastAsia="zh-CN"/>
              </w:rPr>
              <w:t>20t/h燃气锅炉</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c>
          <w:tcPr>
            <w:tcW w:w="1371" w:type="dxa"/>
            <w:vAlign w:val="center"/>
          </w:tcPr>
          <w:p>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Align w:val="center"/>
          </w:tcPr>
          <w:p>
            <w:pPr>
              <w:pStyle w:val="5"/>
              <w:adjustRightInd w:val="0"/>
              <w:snapToGrid w:val="0"/>
              <w:spacing w:line="240" w:lineRule="auto"/>
              <w:ind w:firstLine="0"/>
              <w:jc w:val="center"/>
              <w:rPr>
                <w:sz w:val="18"/>
                <w:szCs w:val="18"/>
              </w:rPr>
            </w:pPr>
            <w:r>
              <w:rPr>
                <w:sz w:val="18"/>
                <w:szCs w:val="18"/>
              </w:rPr>
              <w:t>变电站项目</w:t>
            </w:r>
          </w:p>
        </w:tc>
        <w:tc>
          <w:tcPr>
            <w:tcW w:w="3588" w:type="dxa"/>
            <w:gridSpan w:val="2"/>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1419" w:type="dxa"/>
            <w:vAlign w:val="center"/>
          </w:tcPr>
          <w:p>
            <w:pPr>
              <w:pStyle w:val="5"/>
              <w:adjustRightInd w:val="0"/>
              <w:snapToGrid w:val="0"/>
              <w:spacing w:line="240" w:lineRule="auto"/>
              <w:ind w:firstLine="0"/>
              <w:jc w:val="center"/>
              <w:rPr>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Align w:val="center"/>
          </w:tcPr>
          <w:p>
            <w:pPr>
              <w:pStyle w:val="5"/>
              <w:adjustRightInd w:val="0"/>
              <w:snapToGrid w:val="0"/>
              <w:spacing w:line="240" w:lineRule="auto"/>
              <w:ind w:firstLine="0"/>
              <w:jc w:val="center"/>
              <w:rPr>
                <w:sz w:val="18"/>
                <w:szCs w:val="18"/>
              </w:rPr>
            </w:pPr>
            <w:r>
              <w:rPr>
                <w:sz w:val="18"/>
                <w:szCs w:val="18"/>
              </w:rPr>
              <w:t>氨水项目</w:t>
            </w:r>
          </w:p>
        </w:tc>
        <w:tc>
          <w:tcPr>
            <w:tcW w:w="3588" w:type="dxa"/>
            <w:gridSpan w:val="2"/>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1条氨水制备生产线，设计年产21%氨水15万吨/年；1座柴油加油站</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1×15万t/a氨水制备线、1座柴油加油站</w:t>
            </w:r>
          </w:p>
        </w:tc>
        <w:tc>
          <w:tcPr>
            <w:tcW w:w="1419" w:type="dxa"/>
            <w:vAlign w:val="center"/>
          </w:tcPr>
          <w:p>
            <w:pPr>
              <w:pStyle w:val="5"/>
              <w:adjustRightInd w:val="0"/>
              <w:snapToGrid w:val="0"/>
              <w:spacing w:line="240" w:lineRule="auto"/>
              <w:ind w:firstLine="0"/>
              <w:jc w:val="center"/>
              <w:rPr>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Align w:val="center"/>
          </w:tcPr>
          <w:p>
            <w:pPr>
              <w:pStyle w:val="5"/>
              <w:adjustRightInd w:val="0"/>
              <w:snapToGrid w:val="0"/>
              <w:spacing w:line="240" w:lineRule="auto"/>
              <w:ind w:firstLine="0"/>
              <w:jc w:val="center"/>
              <w:rPr>
                <w:sz w:val="18"/>
                <w:szCs w:val="18"/>
              </w:rPr>
            </w:pPr>
            <w:r>
              <w:rPr>
                <w:rFonts w:hint="eastAsia"/>
                <w:sz w:val="18"/>
                <w:szCs w:val="18"/>
              </w:rPr>
              <w:t>氢氧化钴技改项目</w:t>
            </w:r>
          </w:p>
        </w:tc>
        <w:tc>
          <w:tcPr>
            <w:tcW w:w="1746"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硫酸钴：</w:t>
            </w:r>
            <w:r>
              <w:rPr>
                <w:rFonts w:hint="eastAsia" w:ascii="Arial" w:hAnsi="Arial" w:cs="Arial"/>
                <w:spacing w:val="-3"/>
                <w:sz w:val="18"/>
                <w:szCs w:val="18"/>
                <w:lang w:eastAsia="zh-CN"/>
              </w:rPr>
              <w:t>0.5</w:t>
            </w:r>
            <w:r>
              <w:rPr>
                <w:rFonts w:ascii="Arial" w:hAnsi="Arial" w:cs="Arial"/>
                <w:sz w:val="18"/>
                <w:szCs w:val="18"/>
                <w:lang w:eastAsia="zh-CN"/>
              </w:rPr>
              <w:t>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钴板：0.2万</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硫酸镍溶液：1.7万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984"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419" w:type="dxa"/>
            <w:vAlign w:val="center"/>
          </w:tcPr>
          <w:p>
            <w:pPr>
              <w:pStyle w:val="5"/>
              <w:adjustRightInd w:val="0"/>
              <w:snapToGrid w:val="0"/>
              <w:spacing w:line="240" w:lineRule="auto"/>
              <w:ind w:firstLine="0"/>
              <w:jc w:val="center"/>
              <w:rPr>
                <w:spacing w:val="-3"/>
                <w:sz w:val="18"/>
                <w:szCs w:val="18"/>
              </w:rPr>
            </w:pPr>
            <w:r>
              <w:rPr>
                <w:sz w:val="18"/>
                <w:szCs w:val="18"/>
              </w:rPr>
              <w:t>/</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restart"/>
            <w:vAlign w:val="center"/>
          </w:tcPr>
          <w:p>
            <w:pPr>
              <w:pStyle w:val="5"/>
              <w:adjustRightInd w:val="0"/>
              <w:snapToGrid w:val="0"/>
              <w:spacing w:line="240" w:lineRule="auto"/>
              <w:ind w:firstLine="0"/>
              <w:jc w:val="center"/>
              <w:rPr>
                <w:sz w:val="18"/>
                <w:szCs w:val="18"/>
              </w:rPr>
            </w:pPr>
            <w:r>
              <w:rPr>
                <w:sz w:val="18"/>
                <w:szCs w:val="18"/>
              </w:rPr>
              <w:t>一体化</w:t>
            </w:r>
            <w:r>
              <w:rPr>
                <w:rFonts w:hint="eastAsia"/>
                <w:sz w:val="18"/>
                <w:szCs w:val="18"/>
              </w:rPr>
              <w:t>变更</w:t>
            </w:r>
            <w:r>
              <w:rPr>
                <w:sz w:val="18"/>
                <w:szCs w:val="18"/>
              </w:rPr>
              <w:t>项目</w:t>
            </w: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w:t>
            </w:r>
            <w:r>
              <w:rPr>
                <w:rFonts w:hint="eastAsia" w:ascii="Arial" w:hAnsi="Arial" w:cs="Arial"/>
                <w:sz w:val="18"/>
                <w:szCs w:val="18"/>
                <w:lang w:eastAsia="zh-CN"/>
              </w:rPr>
              <w:t>/年火法</w:t>
            </w:r>
            <w:r>
              <w:rPr>
                <w:rFonts w:ascii="Arial" w:hAnsi="Arial" w:cs="Arial"/>
                <w:sz w:val="18"/>
                <w:szCs w:val="18"/>
                <w:lang w:eastAsia="zh-CN"/>
              </w:rPr>
              <w:t>生产线</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rPr>
              <w:t>高冰镍</w:t>
            </w:r>
            <w:r>
              <w:rPr>
                <w:rFonts w:ascii="Arial" w:hAnsi="Arial" w:cs="Arial"/>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sz w:val="18"/>
                <w:szCs w:val="18"/>
              </w:rPr>
              <w:t>1</w:t>
            </w:r>
            <w:r>
              <w:rPr>
                <w:spacing w:val="-3"/>
                <w:sz w:val="18"/>
                <w:szCs w:val="18"/>
              </w:rPr>
              <w:t>×</w:t>
            </w:r>
            <w:r>
              <w:rPr>
                <w:rFonts w:hint="eastAsia"/>
                <w:sz w:val="18"/>
                <w:szCs w:val="18"/>
              </w:rPr>
              <w:t>8.2</w:t>
            </w:r>
            <w:r>
              <w:rPr>
                <w:sz w:val="18"/>
                <w:szCs w:val="18"/>
              </w:rPr>
              <w:t>万金吨高冰镍生产线</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continue"/>
            <w:vAlign w:val="center"/>
          </w:tcPr>
          <w:p>
            <w:pPr>
              <w:pStyle w:val="5"/>
              <w:adjustRightInd w:val="0"/>
              <w:snapToGrid w:val="0"/>
              <w:spacing w:line="240" w:lineRule="auto"/>
              <w:ind w:firstLine="0"/>
              <w:jc w:val="center"/>
              <w:rPr>
                <w:sz w:val="18"/>
                <w:szCs w:val="18"/>
              </w:rPr>
            </w:pP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hint="eastAsia" w:ascii="Arial" w:hAnsi="Arial" w:cs="Arial"/>
                <w:sz w:val="18"/>
                <w:szCs w:val="18"/>
                <w:lang w:eastAsia="zh-CN"/>
              </w:rPr>
              <w:t>条</w:t>
            </w:r>
            <w:r>
              <w:rPr>
                <w:rFonts w:ascii="Arial" w:hAnsi="Arial" w:cs="Arial"/>
                <w:sz w:val="18"/>
                <w:szCs w:val="18"/>
                <w:lang w:eastAsia="zh-CN"/>
              </w:rPr>
              <w:t>吹炼渣生产线</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hint="eastAsia" w:ascii="Arial" w:hAnsi="Arial" w:cs="Arial"/>
                <w:sz w:val="18"/>
                <w:szCs w:val="18"/>
                <w:lang w:eastAsia="zh-CN"/>
              </w:rPr>
              <w:t>富</w:t>
            </w:r>
            <w:r>
              <w:rPr>
                <w:rFonts w:ascii="Arial" w:hAnsi="Arial" w:cs="Arial"/>
                <w:sz w:val="18"/>
                <w:szCs w:val="18"/>
                <w:lang w:eastAsia="zh-CN"/>
              </w:rPr>
              <w:t>钴</w:t>
            </w:r>
            <w:r>
              <w:rPr>
                <w:rFonts w:hint="eastAsia" w:ascii="Arial" w:hAnsi="Arial" w:cs="Arial"/>
                <w:sz w:val="18"/>
                <w:szCs w:val="18"/>
                <w:lang w:eastAsia="zh-CN"/>
              </w:rPr>
              <w:t>中</w:t>
            </w:r>
            <w:r>
              <w:rPr>
                <w:rFonts w:ascii="Arial" w:hAnsi="Arial" w:cs="Arial"/>
                <w:sz w:val="18"/>
                <w:szCs w:val="18"/>
                <w:lang w:eastAsia="zh-CN"/>
              </w:rPr>
              <w:t>冰镍：0.</w:t>
            </w:r>
            <w:r>
              <w:rPr>
                <w:rFonts w:hint="eastAsia" w:ascii="Arial" w:hAnsi="Arial" w:cs="Arial"/>
                <w:sz w:val="18"/>
                <w:szCs w:val="18"/>
                <w:lang w:eastAsia="zh-CN"/>
              </w:rPr>
              <w:t>49</w:t>
            </w:r>
            <w:r>
              <w:rPr>
                <w:rFonts w:ascii="Arial" w:hAnsi="Arial" w:cs="Arial"/>
                <w:sz w:val="18"/>
                <w:szCs w:val="18"/>
                <w:lang w:eastAsia="zh-CN"/>
              </w:rPr>
              <w:t>万金吨/年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sz w:val="18"/>
                <w:szCs w:val="18"/>
              </w:rPr>
              <w:t>1</w:t>
            </w:r>
            <w:r>
              <w:rPr>
                <w:rFonts w:hint="eastAsia"/>
                <w:spacing w:val="-3"/>
                <w:sz w:val="18"/>
                <w:szCs w:val="18"/>
              </w:rPr>
              <w:t>条</w:t>
            </w:r>
            <w:r>
              <w:rPr>
                <w:sz w:val="18"/>
                <w:szCs w:val="18"/>
              </w:rPr>
              <w:t>吹炼渣生产线</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continue"/>
            <w:vAlign w:val="center"/>
          </w:tcPr>
          <w:p>
            <w:pPr>
              <w:pStyle w:val="5"/>
              <w:adjustRightInd w:val="0"/>
              <w:snapToGrid w:val="0"/>
              <w:spacing w:line="240" w:lineRule="auto"/>
              <w:ind w:firstLine="0"/>
              <w:jc w:val="center"/>
              <w:rPr>
                <w:sz w:val="18"/>
                <w:szCs w:val="18"/>
              </w:rPr>
            </w:pPr>
          </w:p>
        </w:tc>
        <w:tc>
          <w:tcPr>
            <w:tcW w:w="1746"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ascii="Arial" w:hAnsi="Arial" w:cs="Arial"/>
                <w:sz w:val="18"/>
                <w:szCs w:val="18"/>
                <w:lang w:eastAsia="zh-CN"/>
              </w:rPr>
              <w:t>15万t/a烟气制酸生产线</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硫酸：15万t/a</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sz w:val="18"/>
                <w:szCs w:val="18"/>
              </w:rPr>
              <w:t>1</w:t>
            </w:r>
            <w:r>
              <w:rPr>
                <w:spacing w:val="-3"/>
                <w:sz w:val="18"/>
                <w:szCs w:val="18"/>
              </w:rPr>
              <w:t>×</w:t>
            </w:r>
            <w:r>
              <w:rPr>
                <w:sz w:val="18"/>
                <w:szCs w:val="18"/>
              </w:rPr>
              <w:t>15万t/a烟气制酸生产线</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31" w:type="dxa"/>
            <w:vMerge w:val="continue"/>
            <w:vAlign w:val="center"/>
          </w:tcPr>
          <w:p>
            <w:pPr>
              <w:pStyle w:val="5"/>
              <w:adjustRightInd w:val="0"/>
              <w:snapToGrid w:val="0"/>
              <w:spacing w:line="240" w:lineRule="auto"/>
              <w:ind w:firstLine="0"/>
              <w:jc w:val="center"/>
              <w:rPr>
                <w:sz w:val="18"/>
                <w:szCs w:val="18"/>
              </w:rPr>
            </w:pPr>
          </w:p>
        </w:tc>
        <w:tc>
          <w:tcPr>
            <w:tcW w:w="1746"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2×4万金吨/年MSP生产线（含1段电积铜工序、2段电积镍工序）</w:t>
            </w:r>
          </w:p>
        </w:tc>
        <w:tc>
          <w:tcPr>
            <w:tcW w:w="184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晶体</w:t>
            </w:r>
            <w:r>
              <w:rPr>
                <w:rFonts w:ascii="Arial" w:hAnsi="Arial" w:cs="Arial"/>
                <w:spacing w:val="-3"/>
                <w:sz w:val="18"/>
                <w:szCs w:val="18"/>
                <w:lang w:eastAsia="zh-CN"/>
              </w:rPr>
              <w:t>：</w:t>
            </w:r>
            <w:r>
              <w:rPr>
                <w:rFonts w:hint="eastAsia" w:ascii="Arial" w:hAnsi="Arial" w:cs="Arial"/>
                <w:spacing w:val="-3"/>
                <w:sz w:val="18"/>
                <w:szCs w:val="18"/>
                <w:lang w:eastAsia="zh-CN"/>
              </w:rPr>
              <w:t>8</w:t>
            </w:r>
            <w:r>
              <w:rPr>
                <w:rFonts w:ascii="Arial" w:hAnsi="Arial" w:cs="Arial"/>
                <w:spacing w:val="-3"/>
                <w:sz w:val="18"/>
                <w:szCs w:val="18"/>
                <w:lang w:eastAsia="zh-CN"/>
              </w:rPr>
              <w:t>万金吨/年；</w:t>
            </w:r>
          </w:p>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1号标准铜：1万吨/年；</w:t>
            </w:r>
          </w:p>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镍板：2.5万吨/年；</w:t>
            </w:r>
          </w:p>
        </w:tc>
        <w:tc>
          <w:tcPr>
            <w:tcW w:w="198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19" w:type="dxa"/>
            <w:vAlign w:val="center"/>
          </w:tcPr>
          <w:p>
            <w:pPr>
              <w:pStyle w:val="5"/>
              <w:adjustRightInd w:val="0"/>
              <w:snapToGrid w:val="0"/>
              <w:spacing w:line="240" w:lineRule="auto"/>
              <w:ind w:firstLine="0"/>
              <w:jc w:val="center"/>
              <w:rPr>
                <w:sz w:val="18"/>
                <w:szCs w:val="18"/>
              </w:rPr>
            </w:pPr>
            <w:r>
              <w:rPr>
                <w:rFonts w:hint="eastAsia"/>
                <w:sz w:val="18"/>
                <w:szCs w:val="18"/>
              </w:rPr>
              <w:t>2×4万金吨/年MSP生产线（含1段电积铜工序、2段电积镍工序）</w:t>
            </w:r>
          </w:p>
        </w:tc>
        <w:tc>
          <w:tcPr>
            <w:tcW w:w="1371" w:type="dxa"/>
            <w:vAlign w:val="center"/>
          </w:tcPr>
          <w:p>
            <w:pPr>
              <w:pStyle w:val="5"/>
              <w:adjustRightInd w:val="0"/>
              <w:snapToGrid w:val="0"/>
              <w:spacing w:line="240" w:lineRule="auto"/>
              <w:ind w:firstLine="0"/>
              <w:jc w:val="center"/>
              <w:rPr>
                <w:sz w:val="18"/>
                <w:szCs w:val="18"/>
              </w:rPr>
            </w:pPr>
            <w:r>
              <w:rPr>
                <w:sz w:val="18"/>
                <w:szCs w:val="18"/>
              </w:rPr>
              <w:t>/</w:t>
            </w:r>
          </w:p>
        </w:tc>
      </w:tr>
    </w:tbl>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二阶段项目中的镍豆镍粉处置线于2023年建成，但因企业订单量少，该处置线较少开机调试，二阶段项目开展环保验收时，镍豆镍粉处置线也没有试生产，故未进行环保验收。随后企业根据当前市场需求，将二阶段项目中的镍豆镍粉处置线变更为1条1200吨/年的羟基钴生产线，</w:t>
      </w:r>
      <w:r>
        <w:rPr>
          <w:rFonts w:hint="eastAsia" w:ascii="Arial" w:hAnsi="Arial" w:eastAsia="宋体" w:cs="Arial"/>
          <w:spacing w:val="10"/>
          <w:sz w:val="24"/>
          <w:szCs w:val="24"/>
          <w:u w:val="single"/>
        </w:rPr>
        <w:t>利用原有X19车间，以硫酸钴晶体、液碱、氨水及双氧水等为原辅料，经湿法合成→洗涤→烘干→破碎等工序生产羟基钴，目前已完成生产线的改造。</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由于二阶段项目的三元前驱体生产线及相关配套工程已完成环保验收，企业排污许可证已包括该部分内容，其环保手续均已履行。因此，本报告仅针对二阶段项目的镍豆镍粉处置线的变动情况，对照《关于印发&lt;污染影响类建设项目重大变动清单（试行）&gt;的通知》（环办环评函〔2020〕）688号）判定是否发生重大变动。根据表3，镍豆镍粉处置线存在重大变动情形（详见表3），故本报告就镍豆镍粉处置线的变动重新编制环评文件。</w:t>
      </w:r>
    </w:p>
    <w:p>
      <w:pPr>
        <w:spacing w:line="500" w:lineRule="exact"/>
        <w:ind w:firstLine="490" w:firstLineChars="200"/>
        <w:rPr>
          <w:rFonts w:ascii="Arial" w:hAnsi="Arial" w:eastAsia="宋体" w:cs="Arial"/>
          <w:spacing w:val="10"/>
          <w:sz w:val="24"/>
          <w:szCs w:val="24"/>
        </w:rPr>
        <w:sectPr>
          <w:headerReference r:id="rId9" w:type="default"/>
          <w:footerReference r:id="rId10" w:type="default"/>
          <w:pgSz w:w="11907" w:h="16840"/>
          <w:pgMar w:top="1678" w:right="1408" w:bottom="1901" w:left="1155" w:header="1174" w:footer="1029" w:gutter="567"/>
          <w:pgNumType w:fmt="upperRoman"/>
          <w:cols w:space="720" w:num="1"/>
          <w:docGrid w:type="linesAndChars" w:linePitch="421" w:charSpace="-3161"/>
        </w:sectPr>
      </w:pPr>
    </w:p>
    <w:p>
      <w:pPr>
        <w:spacing w:before="210" w:beforeLines="50" w:line="360" w:lineRule="exact"/>
        <w:ind w:firstLine="490" w:firstLineChars="200"/>
        <w:jc w:val="center"/>
        <w:outlineLvl w:val="2"/>
        <w:rPr>
          <w:rFonts w:ascii="Arial" w:hAnsi="Arial" w:eastAsia="宋体" w:cs="Arial"/>
          <w:b/>
          <w:spacing w:val="10"/>
          <w:sz w:val="24"/>
          <w:szCs w:val="24"/>
        </w:rPr>
      </w:pPr>
      <w:r>
        <w:rPr>
          <w:rFonts w:ascii="Arial" w:hAnsi="Arial" w:eastAsia="宋体" w:cs="Arial"/>
          <w:b/>
          <w:spacing w:val="10"/>
          <w:sz w:val="24"/>
          <w:szCs w:val="24"/>
        </w:rPr>
        <w:t>表</w:t>
      </w:r>
      <w:r>
        <w:rPr>
          <w:rFonts w:hint="eastAsia" w:ascii="Arial" w:hAnsi="Arial" w:eastAsia="宋体" w:cs="Arial"/>
          <w:b/>
          <w:spacing w:val="10"/>
          <w:sz w:val="24"/>
          <w:szCs w:val="24"/>
        </w:rPr>
        <w:t>3</w:t>
      </w:r>
      <w:r>
        <w:rPr>
          <w:rFonts w:ascii="Arial" w:hAnsi="Arial" w:eastAsia="宋体" w:cs="Arial"/>
          <w:b/>
          <w:spacing w:val="10"/>
          <w:sz w:val="24"/>
          <w:szCs w:val="24"/>
        </w:rPr>
        <w:t xml:space="preserve">  与《污染影响类建设项目重大变动清单（试行）》的</w:t>
      </w:r>
      <w:r>
        <w:rPr>
          <w:rFonts w:hint="eastAsia" w:ascii="Arial" w:hAnsi="Arial" w:eastAsia="宋体" w:cs="Arial"/>
          <w:b/>
          <w:spacing w:val="10"/>
          <w:sz w:val="24"/>
          <w:szCs w:val="24"/>
        </w:rPr>
        <w:t>对照分析</w:t>
      </w:r>
      <w:r>
        <w:rPr>
          <w:rFonts w:ascii="Arial" w:hAnsi="Arial" w:eastAsia="宋体" w:cs="Arial"/>
          <w:b/>
          <w:spacing w:val="10"/>
          <w:sz w:val="24"/>
          <w:szCs w:val="24"/>
        </w:rPr>
        <w:t>表</w:t>
      </w:r>
    </w:p>
    <w:tbl>
      <w:tblPr>
        <w:tblStyle w:val="88"/>
        <w:tblW w:w="13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2412"/>
        <w:gridCol w:w="3402"/>
        <w:gridCol w:w="3686"/>
        <w:gridCol w:w="1984"/>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943" w:type="dxa"/>
            <w:gridSpan w:val="2"/>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清单内容</w:t>
            </w:r>
          </w:p>
        </w:tc>
        <w:tc>
          <w:tcPr>
            <w:tcW w:w="340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原批复内容</w:t>
            </w:r>
          </w:p>
        </w:tc>
        <w:tc>
          <w:tcPr>
            <w:tcW w:w="3686"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变动后</w:t>
            </w:r>
            <w:r>
              <w:rPr>
                <w:rFonts w:hint="eastAsia" w:ascii="Arial" w:hAnsi="Arial" w:eastAsia="宋体" w:cs="Arial"/>
                <w:spacing w:val="10"/>
                <w:sz w:val="18"/>
                <w:szCs w:val="18"/>
              </w:rPr>
              <w:t>的情况</w:t>
            </w:r>
          </w:p>
        </w:tc>
        <w:tc>
          <w:tcPr>
            <w:tcW w:w="198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变化内容分析</w:t>
            </w:r>
          </w:p>
        </w:tc>
        <w:tc>
          <w:tcPr>
            <w:tcW w:w="146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重大变动判定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Align w:val="center"/>
          </w:tcPr>
          <w:p>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性质</w:t>
            </w: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1.建设项目开发、使用功能发生变化的</w:t>
            </w:r>
          </w:p>
        </w:tc>
        <w:tc>
          <w:tcPr>
            <w:tcW w:w="340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新建</w:t>
            </w:r>
            <w:r>
              <w:rPr>
                <w:rFonts w:hint="eastAsia" w:ascii="Arial" w:hAnsi="Arial" w:eastAsia="宋体" w:cs="Arial"/>
                <w:spacing w:val="10"/>
                <w:sz w:val="18"/>
                <w:szCs w:val="18"/>
              </w:rPr>
              <w:t>1</w:t>
            </w:r>
            <w:r>
              <w:rPr>
                <w:rFonts w:ascii="Arial" w:hAnsi="Arial" w:eastAsia="宋体" w:cs="Arial"/>
                <w:spacing w:val="10"/>
                <w:sz w:val="18"/>
                <w:szCs w:val="18"/>
              </w:rPr>
              <w:t>×2</w:t>
            </w:r>
            <w:r>
              <w:rPr>
                <w:rFonts w:hint="eastAsia" w:ascii="Arial" w:hAnsi="Arial" w:eastAsia="宋体" w:cs="Arial"/>
                <w:spacing w:val="10"/>
                <w:sz w:val="18"/>
                <w:szCs w:val="18"/>
              </w:rPr>
              <w:t>.5</w:t>
            </w:r>
            <w:r>
              <w:rPr>
                <w:rFonts w:ascii="Arial" w:hAnsi="Arial" w:eastAsia="宋体" w:cs="Arial"/>
                <w:spacing w:val="10"/>
                <w:sz w:val="18"/>
                <w:szCs w:val="18"/>
              </w:rPr>
              <w:t>万吨/年</w:t>
            </w:r>
            <w:r>
              <w:rPr>
                <w:rFonts w:hint="eastAsia" w:ascii="Arial" w:hAnsi="Arial" w:eastAsia="宋体" w:cs="Arial"/>
                <w:spacing w:val="10"/>
                <w:sz w:val="18"/>
                <w:szCs w:val="18"/>
              </w:rPr>
              <w:t>镍豆镍粉处置线</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1</w:t>
            </w:r>
            <w:r>
              <w:rPr>
                <w:rFonts w:ascii="Arial" w:hAnsi="Arial" w:eastAsia="宋体" w:cs="Arial"/>
                <w:spacing w:val="10"/>
                <w:sz w:val="18"/>
                <w:szCs w:val="18"/>
              </w:rPr>
              <w:t>×</w:t>
            </w:r>
            <w:r>
              <w:rPr>
                <w:rFonts w:hint="eastAsia" w:ascii="Arial" w:hAnsi="Arial" w:eastAsia="宋体" w:cs="Arial"/>
                <w:spacing w:val="10"/>
                <w:sz w:val="18"/>
                <w:szCs w:val="18"/>
              </w:rPr>
              <w:t>1200</w:t>
            </w:r>
            <w:r>
              <w:rPr>
                <w:rFonts w:ascii="Arial" w:hAnsi="Arial" w:eastAsia="宋体" w:cs="Arial"/>
                <w:spacing w:val="10"/>
                <w:sz w:val="18"/>
                <w:szCs w:val="18"/>
              </w:rPr>
              <w:t>吨/年</w:t>
            </w:r>
            <w:r>
              <w:rPr>
                <w:rFonts w:hint="eastAsia" w:ascii="Arial" w:hAnsi="Arial" w:eastAsia="宋体" w:cs="Arial"/>
                <w:spacing w:val="10"/>
                <w:sz w:val="18"/>
                <w:szCs w:val="18"/>
              </w:rPr>
              <w:t>羟基钴生产线</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处置线变为生产线</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，使用功能有改变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restart"/>
            <w:vAlign w:val="center"/>
          </w:tcPr>
          <w:p>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规模</w:t>
            </w: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2.生产、处置或储存能力增大30%及以上</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年处置镍豆（粉）50000吨，可年产硫酸镍2.5万金吨</w:t>
            </w:r>
          </w:p>
        </w:tc>
        <w:tc>
          <w:tcPr>
            <w:tcW w:w="3686"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年</w:t>
            </w:r>
            <w:r>
              <w:rPr>
                <w:rFonts w:hint="eastAsia" w:ascii="Arial" w:hAnsi="Arial" w:eastAsia="宋体" w:cs="Arial"/>
                <w:spacing w:val="10"/>
                <w:sz w:val="18"/>
                <w:szCs w:val="18"/>
              </w:rPr>
              <w:t>产羟基钴1200吨</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生产能力减小95%</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不属于，</w:t>
            </w:r>
            <w:r>
              <w:rPr>
                <w:rFonts w:hint="eastAsia" w:ascii="Arial" w:hAnsi="Arial" w:eastAsia="宋体" w:cs="Arial"/>
                <w:spacing w:val="10"/>
                <w:sz w:val="18"/>
                <w:szCs w:val="18"/>
              </w:rPr>
              <w:t>生产能力未增加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rPr>
            </w:pP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3.生产、处置或储存能力增大，导致废水第一类污染物排放量增加</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年处置镍豆（粉）50000吨，可年产硫酸镍2.5万金吨；不排放废水第一类污染物</w:t>
            </w:r>
          </w:p>
        </w:tc>
        <w:tc>
          <w:tcPr>
            <w:tcW w:w="3686"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年</w:t>
            </w:r>
            <w:r>
              <w:rPr>
                <w:rFonts w:hint="eastAsia" w:ascii="Arial" w:hAnsi="Arial" w:eastAsia="宋体" w:cs="Arial"/>
                <w:spacing w:val="10"/>
                <w:sz w:val="18"/>
                <w:szCs w:val="18"/>
              </w:rPr>
              <w:t>产羟基钴1200吨；不排放废水第一类污染物</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生产能力未增加</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不属于，生产能力未增加，不排放</w:t>
            </w:r>
            <w:r>
              <w:rPr>
                <w:rFonts w:ascii="Arial" w:hAnsi="Arial" w:eastAsia="宋体" w:cs="Arial"/>
                <w:spacing w:val="10"/>
                <w:sz w:val="18"/>
                <w:szCs w:val="18"/>
              </w:rPr>
              <w:t>废水第一类污染物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4.位于环境质量不达标区的建设项目生产、处置或储存能力增大，导致相应污染物排放量增加（细颗粒物不达标区，相应污染物为二氧化硫、氮氧化物、可吸入颗粒物、挥发性有机物；臭氧不达标区，相应污染物为氮氧化物、挥发性有机物；其他大气、水污染物因子不达标区，相应污染物为超标污染物因子）；位于达标区的建设项目生产、处置或储存能力增加，导致污染物排放量增加10%及以上的。</w:t>
            </w:r>
          </w:p>
        </w:tc>
        <w:tc>
          <w:tcPr>
            <w:tcW w:w="3402" w:type="dxa"/>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项目位于钦州市，2022年钦州市属于达标区，</w:t>
            </w:r>
            <w:r>
              <w:rPr>
                <w:rFonts w:hint="eastAsia" w:ascii="Arial" w:hAnsi="Arial" w:eastAsia="宋体" w:cs="Arial"/>
                <w:spacing w:val="10"/>
                <w:sz w:val="18"/>
                <w:szCs w:val="18"/>
              </w:rPr>
              <w:t>年处置镍豆（粉）50000吨，可年产硫酸镍2.5万金吨；主要污染物排放情况为硫酸雾8.012t/a。</w:t>
            </w:r>
          </w:p>
        </w:tc>
        <w:tc>
          <w:tcPr>
            <w:tcW w:w="3686" w:type="dxa"/>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项目位于钦州市，2022年钦州市属于达标区，</w:t>
            </w:r>
            <w:r>
              <w:rPr>
                <w:rFonts w:hint="eastAsia" w:ascii="Arial" w:hAnsi="Arial" w:eastAsia="宋体" w:cs="Arial"/>
                <w:spacing w:val="10"/>
                <w:sz w:val="18"/>
                <w:szCs w:val="18"/>
              </w:rPr>
              <w:t>年产羟基钴1200吨；主要污染物排放情况为</w:t>
            </w:r>
            <w:r>
              <w:rPr>
                <w:rFonts w:hint="eastAsia" w:ascii="Arial" w:hAnsi="Arial" w:eastAsia="宋体" w:cs="Arial"/>
                <w:spacing w:val="10"/>
                <w:sz w:val="18"/>
                <w:szCs w:val="18"/>
                <w:u w:val="single"/>
              </w:rPr>
              <w:t>颗粒物1.6579t/a、钴及其化合物1.0292t/a</w:t>
            </w:r>
            <w:r>
              <w:rPr>
                <w:rFonts w:hint="eastAsia" w:ascii="Arial" w:hAnsi="Arial" w:eastAsia="宋体" w:cs="Arial"/>
                <w:spacing w:val="10"/>
                <w:sz w:val="18"/>
                <w:szCs w:val="18"/>
              </w:rPr>
              <w:t>、氨3.3399t/a，不排放硫酸雾。</w:t>
            </w:r>
          </w:p>
        </w:tc>
        <w:tc>
          <w:tcPr>
            <w:tcW w:w="198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生产能力</w:t>
            </w:r>
            <w:r>
              <w:rPr>
                <w:rFonts w:hint="eastAsia" w:ascii="Arial" w:hAnsi="Arial" w:eastAsia="宋体" w:cs="Arial"/>
                <w:spacing w:val="10"/>
                <w:sz w:val="18"/>
                <w:szCs w:val="18"/>
              </w:rPr>
              <w:t>并未增加</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不属于，生产能力未增加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Align w:val="center"/>
          </w:tcPr>
          <w:p>
            <w:pPr>
              <w:spacing w:line="240" w:lineRule="exact"/>
              <w:jc w:val="center"/>
              <w:rPr>
                <w:rFonts w:ascii="Arial" w:hAnsi="Arial" w:eastAsia="宋体" w:cs="Arial"/>
                <w:b/>
                <w:spacing w:val="10"/>
                <w:sz w:val="18"/>
                <w:szCs w:val="18"/>
                <w:highlight w:val="yellow"/>
              </w:rPr>
            </w:pPr>
            <w:r>
              <w:rPr>
                <w:rFonts w:ascii="Arial" w:hAnsi="Arial" w:eastAsia="宋体" w:cs="Arial"/>
                <w:b/>
                <w:spacing w:val="10"/>
                <w:sz w:val="18"/>
                <w:szCs w:val="18"/>
              </w:rPr>
              <w:t>地点</w:t>
            </w: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5.重新选址；在原厂址附近调整（包括总平面布置变化）导致环境防护距离范围变化且新增敏感点的。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项目位于中伟南部基地内2#地块；</w:t>
            </w:r>
            <w:r>
              <w:rPr>
                <w:rFonts w:ascii="Arial" w:hAnsi="Arial" w:eastAsia="宋体" w:cs="Arial"/>
                <w:spacing w:val="10"/>
                <w:sz w:val="18"/>
                <w:szCs w:val="18"/>
              </w:rPr>
              <w:t>无环境防护距离要求</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项目位于中伟南部基地内2#地块；</w:t>
            </w:r>
            <w:r>
              <w:rPr>
                <w:rFonts w:ascii="Arial" w:hAnsi="Arial" w:eastAsia="宋体" w:cs="Arial"/>
                <w:spacing w:val="10"/>
                <w:sz w:val="18"/>
                <w:szCs w:val="18"/>
              </w:rPr>
              <w:t>无环境防护距离要求</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不变</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Align w:val="center"/>
          </w:tcPr>
          <w:p>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生产工艺</w:t>
            </w: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6.新增产品品种或生产工艺（含主要生产装置、设备及配套设施）、主要原辅材料、燃料变化，导致以下情形之一：（1）新增排放污染物种类的（毒性、挥发性降低的除外）；（2）位于环境质量不达标区的建设项目相应污染物排放量增加的；（3）废水第一类污染物排放量增加的；（4）其他污染物排放量增加10%及以上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以镍豆（粉）、硫酸、双氧水、液碱等为原辅料，采用浸出、过滤、除铁除铜、过滤、精滤工艺生产硫酸镍，产能2.5万金吨/年；主要大气污染物排放情况为硫酸雾8.012t/a；不排放废水第一类污染物。</w:t>
            </w:r>
          </w:p>
        </w:tc>
        <w:tc>
          <w:tcPr>
            <w:tcW w:w="3686" w:type="dxa"/>
            <w:vAlign w:val="center"/>
          </w:tcPr>
          <w:p>
            <w:pPr>
              <w:spacing w:line="240" w:lineRule="exact"/>
              <w:jc w:val="center"/>
              <w:rPr>
                <w:rFonts w:ascii="Arial" w:hAnsi="Arial" w:eastAsia="宋体" w:cs="Arial"/>
                <w:b/>
                <w:spacing w:val="10"/>
                <w:sz w:val="18"/>
                <w:szCs w:val="18"/>
              </w:rPr>
            </w:pPr>
            <w:r>
              <w:rPr>
                <w:rFonts w:hint="eastAsia" w:ascii="Arial" w:hAnsi="Arial" w:eastAsia="宋体" w:cs="Arial"/>
                <w:spacing w:val="10"/>
                <w:sz w:val="18"/>
                <w:szCs w:val="18"/>
              </w:rPr>
              <w:t>以硫酸钴晶体、液碱、氨水及双氧水为原辅料，经湿法合成→洗涤→烘干→破碎等工序生产羟基钴，产能1200吨/年；主要大气污染物排放情况为</w:t>
            </w:r>
            <w:r>
              <w:rPr>
                <w:rFonts w:hint="eastAsia" w:ascii="Arial" w:hAnsi="Arial" w:eastAsia="宋体" w:cs="Arial"/>
                <w:spacing w:val="10"/>
                <w:sz w:val="18"/>
                <w:szCs w:val="18"/>
                <w:u w:val="single"/>
              </w:rPr>
              <w:t>颗粒物1.6579t/a、钴及其化合物1.0292t/a</w:t>
            </w:r>
            <w:r>
              <w:rPr>
                <w:rFonts w:hint="eastAsia" w:ascii="Arial" w:hAnsi="Arial" w:eastAsia="宋体" w:cs="Arial"/>
                <w:spacing w:val="10"/>
                <w:sz w:val="18"/>
                <w:szCs w:val="18"/>
              </w:rPr>
              <w:t>、氨3.3399t/a，不排放硫酸雾；不排放废水第一类污染物。</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生产工艺和产品品种改变，主要原辅材料改变，新增了钴及其化合物、氨及颗粒物等污染物种类</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，生产工艺、原辅料、产品均发生改变，导致新增排放污染物种类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restart"/>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环境保护措施</w:t>
            </w: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7.物料运输、装卸、贮存方式变化，导致大气污染物无组织排放量增加10%及以上的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液态物料</w:t>
            </w:r>
            <w:r>
              <w:rPr>
                <w:rFonts w:ascii="Arial" w:hAnsi="Arial" w:eastAsia="宋体" w:cs="Arial"/>
                <w:spacing w:val="10"/>
                <w:sz w:val="18"/>
                <w:szCs w:val="18"/>
              </w:rPr>
              <w:t>贮存于储罐中，其他固体物料贮存于仓库，采用汽车运输</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液体物料</w:t>
            </w:r>
            <w:r>
              <w:rPr>
                <w:rFonts w:ascii="Arial" w:hAnsi="Arial" w:eastAsia="宋体" w:cs="Arial"/>
                <w:spacing w:val="10"/>
                <w:sz w:val="18"/>
                <w:szCs w:val="18"/>
              </w:rPr>
              <w:t>贮存于储罐中，其他固体物料贮存于仓库，采用汽车运输</w:t>
            </w:r>
          </w:p>
        </w:tc>
        <w:tc>
          <w:tcPr>
            <w:tcW w:w="198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不变</w:t>
            </w:r>
          </w:p>
        </w:tc>
        <w:tc>
          <w:tcPr>
            <w:tcW w:w="146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Merge w:val="restart"/>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8.废气、废水防治措施变化，导致第6条中所列情形之一（废气无组织排放改为有组织排放、污染防治措施强化或改进的除外）或大气污染物无组织排放量增加10%及以上的。</w:t>
            </w:r>
          </w:p>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10、新增废气主要排放口（废气无组织排放改为有组织排放的除外）；主要排放口排气筒高度降低10%及以上的。</w:t>
            </w:r>
          </w:p>
        </w:tc>
        <w:tc>
          <w:tcPr>
            <w:tcW w:w="3402" w:type="dxa"/>
            <w:vAlign w:val="center"/>
          </w:tcPr>
          <w:p>
            <w:pPr>
              <w:spacing w:line="240" w:lineRule="exact"/>
              <w:jc w:val="left"/>
              <w:rPr>
                <w:rFonts w:ascii="Arial" w:hAnsi="Arial" w:eastAsia="宋体" w:cs="Arial"/>
                <w:spacing w:val="10"/>
                <w:sz w:val="18"/>
                <w:szCs w:val="18"/>
              </w:rPr>
            </w:pPr>
            <w:r>
              <w:rPr>
                <w:rFonts w:hint="eastAsia" w:ascii="宋体" w:hAnsi="宋体" w:eastAsia="宋体" w:cs="宋体"/>
                <w:sz w:val="18"/>
                <w:szCs w:val="18"/>
              </w:rPr>
              <w:t>镍豆镍粉处置线无生产废水排放，纯水站浓水与综合污水处理站处理后的废水一同排往厂区生产废水总排口，不排放废水第一类污染物</w:t>
            </w:r>
          </w:p>
        </w:tc>
        <w:tc>
          <w:tcPr>
            <w:tcW w:w="3686" w:type="dxa"/>
            <w:vAlign w:val="center"/>
          </w:tcPr>
          <w:p>
            <w:pPr>
              <w:spacing w:line="240" w:lineRule="exact"/>
              <w:jc w:val="left"/>
              <w:rPr>
                <w:rFonts w:ascii="Arial" w:hAnsi="Arial" w:eastAsia="宋体" w:cs="Arial"/>
                <w:spacing w:val="10"/>
                <w:sz w:val="18"/>
                <w:szCs w:val="18"/>
              </w:rPr>
            </w:pPr>
            <w:r>
              <w:rPr>
                <w:rFonts w:hint="eastAsia" w:ascii="Arial" w:hAnsi="Arial" w:eastAsia="宋体" w:cs="Arial"/>
                <w:sz w:val="18"/>
                <w:szCs w:val="18"/>
              </w:rPr>
              <w:t>羟基钴生产线硫酸钠废水经车间内板框压滤处理后通过管道泵入S7污水处理车间，在S7污水处理车间经脱氨、陶瓷膜过滤处理后，通过管道泵入S8、S9污水处理车间，经4#~12#MVR处理</w:t>
            </w:r>
            <w:r>
              <w:rPr>
                <w:rFonts w:ascii="Arial" w:hAnsi="Arial" w:eastAsia="宋体" w:cs="Arial"/>
                <w:sz w:val="18"/>
                <w:szCs w:val="18"/>
              </w:rPr>
              <w:t>，MVR处理后的开路母液通过管道泵入厂区综合污水处理站，经臭氧催化氧化处理后排入废水总排口</w:t>
            </w:r>
            <w:r>
              <w:rPr>
                <w:rFonts w:hint="eastAsia" w:ascii="Arial" w:hAnsi="Arial" w:eastAsia="宋体" w:cs="Arial"/>
                <w:sz w:val="18"/>
                <w:szCs w:val="18"/>
              </w:rPr>
              <w:t>；</w:t>
            </w:r>
            <w:r>
              <w:rPr>
                <w:rFonts w:hint="eastAsia" w:ascii="宋体" w:hAnsi="宋体" w:eastAsia="宋体" w:cs="宋体"/>
                <w:sz w:val="18"/>
                <w:szCs w:val="18"/>
              </w:rPr>
              <w:t>不排放废水第一类污染物</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废水防治措施改变，不涉及废水第一类污染物</w:t>
            </w:r>
          </w:p>
        </w:tc>
        <w:tc>
          <w:tcPr>
            <w:tcW w:w="1464" w:type="dxa"/>
            <w:vMerge w:val="restart"/>
            <w:vAlign w:val="center"/>
          </w:tcPr>
          <w:p>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，废气治理措施变化，导致</w:t>
            </w:r>
            <w:r>
              <w:rPr>
                <w:rFonts w:ascii="Arial" w:hAnsi="Arial" w:eastAsia="宋体" w:cs="Arial"/>
                <w:spacing w:val="10"/>
                <w:sz w:val="18"/>
                <w:szCs w:val="18"/>
              </w:rPr>
              <w:t>大气污染物无组织排放量增加</w:t>
            </w:r>
            <w:r>
              <w:rPr>
                <w:rFonts w:hint="eastAsia" w:ascii="Arial" w:hAnsi="Arial" w:eastAsia="宋体" w:cs="Arial"/>
                <w:spacing w:val="10"/>
                <w:sz w:val="18"/>
                <w:szCs w:val="18"/>
              </w:rPr>
              <w:t>超过</w:t>
            </w:r>
            <w:r>
              <w:rPr>
                <w:rFonts w:ascii="Arial" w:hAnsi="Arial" w:eastAsia="宋体" w:cs="Arial"/>
                <w:spacing w:val="10"/>
                <w:sz w:val="18"/>
                <w:szCs w:val="18"/>
              </w:rPr>
              <w:t>10%</w:t>
            </w:r>
            <w:r>
              <w:rPr>
                <w:rFonts w:hint="eastAsia" w:ascii="Arial" w:hAnsi="Arial" w:eastAsia="宋体" w:cs="Arial"/>
                <w:spacing w:val="1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Merge w:val="continue"/>
            <w:vAlign w:val="center"/>
          </w:tcPr>
          <w:p>
            <w:pPr>
              <w:spacing w:line="240" w:lineRule="exact"/>
              <w:jc w:val="center"/>
              <w:rPr>
                <w:rFonts w:ascii="Arial" w:hAnsi="Arial" w:eastAsia="宋体" w:cs="Arial"/>
                <w:spacing w:val="10"/>
                <w:sz w:val="18"/>
                <w:szCs w:val="18"/>
                <w:highlight w:val="yellow"/>
              </w:rPr>
            </w:pPr>
          </w:p>
        </w:tc>
        <w:tc>
          <w:tcPr>
            <w:tcW w:w="3402" w:type="dxa"/>
            <w:vAlign w:val="center"/>
          </w:tcPr>
          <w:p>
            <w:pPr>
              <w:adjustRightInd w:val="0"/>
              <w:snapToGrid w:val="0"/>
              <w:jc w:val="left"/>
              <w:rPr>
                <w:rFonts w:ascii="Arial" w:hAnsi="Arial" w:eastAsia="宋体" w:cs="Arial"/>
                <w:sz w:val="18"/>
                <w:szCs w:val="18"/>
              </w:rPr>
            </w:pPr>
            <w:r>
              <w:rPr>
                <w:rFonts w:hint="eastAsia" w:ascii="Arial" w:hAnsi="Arial" w:eastAsia="宋体" w:cs="Arial"/>
                <w:sz w:val="18"/>
                <w:szCs w:val="18"/>
              </w:rPr>
              <w:t>①镍溶解车间产生的硫酸雾采用4套吸收塔处理后，分别由4根20m高排气筒排放；</w:t>
            </w:r>
          </w:p>
          <w:p>
            <w:pPr>
              <w:adjustRightInd w:val="0"/>
              <w:snapToGrid w:val="0"/>
              <w:jc w:val="left"/>
              <w:rPr>
                <w:rFonts w:ascii="Arial" w:hAnsi="Arial" w:eastAsia="宋体" w:cs="Arial"/>
                <w:sz w:val="18"/>
                <w:szCs w:val="18"/>
              </w:rPr>
            </w:pPr>
            <w:r>
              <w:rPr>
                <w:rFonts w:hint="eastAsia" w:ascii="Arial" w:hAnsi="Arial" w:eastAsia="宋体" w:cs="Arial"/>
                <w:sz w:val="18"/>
                <w:szCs w:val="18"/>
              </w:rPr>
              <w:t>②镍净化产生的硫酸雾采用2套吸收塔处理后，分别由2根20m高排气筒排放。</w:t>
            </w:r>
          </w:p>
          <w:p>
            <w:pPr>
              <w:adjustRightInd w:val="0"/>
              <w:snapToGrid w:val="0"/>
              <w:jc w:val="left"/>
              <w:rPr>
                <w:rFonts w:ascii="Arial" w:hAnsi="Arial" w:eastAsia="宋体" w:cs="Arial"/>
                <w:sz w:val="18"/>
                <w:szCs w:val="18"/>
              </w:rPr>
            </w:pPr>
            <w:r>
              <w:rPr>
                <w:rFonts w:hint="eastAsia" w:ascii="Arial" w:hAnsi="Arial" w:eastAsia="宋体" w:cs="Arial"/>
                <w:sz w:val="18"/>
                <w:szCs w:val="18"/>
              </w:rPr>
              <w:t>没有无组织排放的大气污染物。</w:t>
            </w:r>
          </w:p>
        </w:tc>
        <w:tc>
          <w:tcPr>
            <w:tcW w:w="3686" w:type="dxa"/>
            <w:vAlign w:val="center"/>
          </w:tcPr>
          <w:p>
            <w:pPr>
              <w:spacing w:line="240" w:lineRule="exact"/>
              <w:jc w:val="left"/>
              <w:rPr>
                <w:rFonts w:ascii="Arial" w:hAnsi="Arial" w:eastAsia="宋体" w:cs="Arial"/>
                <w:sz w:val="18"/>
                <w:szCs w:val="18"/>
              </w:rPr>
            </w:pPr>
            <w:r>
              <w:rPr>
                <w:rFonts w:hint="eastAsia" w:ascii="Arial" w:hAnsi="Arial" w:eastAsia="宋体" w:cs="Arial"/>
                <w:sz w:val="18"/>
                <w:szCs w:val="18"/>
              </w:rPr>
              <w:t>①羟基钴合成反应废气、压滤废气采用吸收塔处理后，由1根20m高排气筒排放；</w:t>
            </w:r>
          </w:p>
          <w:p>
            <w:pPr>
              <w:spacing w:line="240" w:lineRule="exact"/>
              <w:jc w:val="left"/>
              <w:rPr>
                <w:rFonts w:ascii="Arial" w:hAnsi="Arial" w:eastAsia="宋体" w:cs="Arial"/>
                <w:sz w:val="18"/>
                <w:szCs w:val="18"/>
              </w:rPr>
            </w:pPr>
            <w:r>
              <w:rPr>
                <w:rFonts w:hint="eastAsia" w:ascii="Arial" w:hAnsi="Arial" w:eastAsia="宋体" w:cs="Arial"/>
                <w:sz w:val="18"/>
                <w:szCs w:val="18"/>
              </w:rPr>
              <w:t>②羟基钴烘干粉尘、破碎粉尘、包装粉尘采样布袋除尘器+吸收塔处理后，由1根20m高排气筒排放；</w:t>
            </w:r>
          </w:p>
          <w:p>
            <w:pPr>
              <w:spacing w:line="240" w:lineRule="exact"/>
              <w:jc w:val="left"/>
              <w:rPr>
                <w:rFonts w:ascii="Arial" w:hAnsi="Arial" w:eastAsia="宋体" w:cs="Arial"/>
                <w:sz w:val="18"/>
                <w:szCs w:val="18"/>
              </w:rPr>
            </w:pPr>
            <w:r>
              <w:rPr>
                <w:rFonts w:hint="eastAsia" w:ascii="Arial" w:hAnsi="Arial" w:eastAsia="宋体" w:cs="Arial"/>
                <w:sz w:val="18"/>
                <w:szCs w:val="18"/>
              </w:rPr>
              <w:t>③生产废水依托</w:t>
            </w:r>
            <w:r>
              <w:rPr>
                <w:rFonts w:ascii="Arial" w:hAnsi="Arial" w:eastAsia="宋体" w:cs="Arial"/>
                <w:sz w:val="18"/>
                <w:szCs w:val="18"/>
              </w:rPr>
              <w:t>S7污水处理车间脱氨</w:t>
            </w:r>
            <w:r>
              <w:rPr>
                <w:rFonts w:hint="eastAsia" w:ascii="Arial" w:hAnsi="Arial" w:eastAsia="宋体" w:cs="Arial"/>
                <w:sz w:val="18"/>
                <w:szCs w:val="18"/>
              </w:rPr>
              <w:t>处理新增的氨采样吸收塔处理后，由20m高的DA067排气筒排放。</w:t>
            </w:r>
          </w:p>
          <w:p>
            <w:pPr>
              <w:spacing w:line="240" w:lineRule="exact"/>
              <w:jc w:val="left"/>
              <w:rPr>
                <w:rFonts w:ascii="Arial" w:hAnsi="Arial" w:eastAsia="宋体" w:cs="Arial"/>
                <w:spacing w:val="10"/>
                <w:sz w:val="18"/>
                <w:szCs w:val="18"/>
                <w:highlight w:val="yellow"/>
              </w:rPr>
            </w:pPr>
            <w:r>
              <w:rPr>
                <w:rFonts w:hint="eastAsia" w:ascii="Arial" w:hAnsi="Arial" w:eastAsia="宋体" w:cs="Arial"/>
                <w:spacing w:val="10"/>
                <w:sz w:val="18"/>
                <w:szCs w:val="18"/>
              </w:rPr>
              <w:t>无组织排放情况为氨1.1791t/a。</w:t>
            </w:r>
          </w:p>
        </w:tc>
        <w:tc>
          <w:tcPr>
            <w:tcW w:w="1984" w:type="dxa"/>
            <w:vAlign w:val="center"/>
          </w:tcPr>
          <w:p>
            <w:pPr>
              <w:spacing w:line="240" w:lineRule="exact"/>
              <w:jc w:val="center"/>
              <w:rPr>
                <w:rFonts w:ascii="Arial" w:hAnsi="Arial" w:eastAsia="宋体" w:cs="Arial"/>
                <w:spacing w:val="10"/>
                <w:sz w:val="18"/>
                <w:szCs w:val="18"/>
                <w:highlight w:val="yellow"/>
              </w:rPr>
            </w:pPr>
            <w:r>
              <w:rPr>
                <w:rFonts w:hint="eastAsia" w:ascii="Arial" w:hAnsi="Arial" w:eastAsia="宋体" w:cs="Arial"/>
                <w:spacing w:val="10"/>
                <w:sz w:val="18"/>
                <w:szCs w:val="18"/>
              </w:rPr>
              <w:t>因生产线有变化，</w:t>
            </w:r>
            <w:r>
              <w:rPr>
                <w:rFonts w:ascii="Arial" w:hAnsi="Arial" w:eastAsia="宋体" w:cs="Arial"/>
                <w:spacing w:val="10"/>
                <w:sz w:val="18"/>
                <w:szCs w:val="18"/>
              </w:rPr>
              <w:t>废气处理措施</w:t>
            </w:r>
            <w:r>
              <w:rPr>
                <w:rFonts w:hint="eastAsia" w:ascii="Arial" w:hAnsi="Arial" w:eastAsia="宋体" w:cs="Arial"/>
                <w:spacing w:val="10"/>
                <w:sz w:val="18"/>
                <w:szCs w:val="18"/>
              </w:rPr>
              <w:t>随之改变，增加了无组织排放的氨；变动前后均不涉及主要排放口</w:t>
            </w:r>
            <w:r>
              <w:rPr>
                <w:rFonts w:ascii="Arial" w:hAnsi="Arial" w:eastAsia="宋体" w:cs="Arial"/>
                <w:spacing w:val="10"/>
                <w:sz w:val="18"/>
                <w:szCs w:val="18"/>
              </w:rPr>
              <w:t>。</w:t>
            </w:r>
          </w:p>
        </w:tc>
        <w:tc>
          <w:tcPr>
            <w:tcW w:w="1464" w:type="dxa"/>
            <w:vMerge w:val="continue"/>
            <w:vAlign w:val="center"/>
          </w:tcPr>
          <w:p>
            <w:pPr>
              <w:spacing w:line="240" w:lineRule="exact"/>
              <w:jc w:val="center"/>
              <w:rPr>
                <w:rFonts w:ascii="Arial" w:hAnsi="Arial" w:eastAsia="宋体" w:cs="Arial"/>
                <w:spacing w:val="10"/>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9.新增废水直接排放口；废水由间接排放改为直接排放；废水直接排放口位置变化，导致不利环境影响加重的。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z w:val="18"/>
                <w:szCs w:val="18"/>
              </w:rPr>
              <w:t>不新增废水直接排放口；</w:t>
            </w:r>
            <w:r>
              <w:rPr>
                <w:rFonts w:ascii="Arial" w:hAnsi="Arial" w:eastAsia="宋体" w:cs="Arial"/>
                <w:sz w:val="18"/>
                <w:szCs w:val="18"/>
              </w:rPr>
              <w:t>废水经处理达标后，依托大榄坪污水处理厂的深海排放管排放。</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z w:val="18"/>
                <w:szCs w:val="18"/>
              </w:rPr>
              <w:t>不新增废水直接排放口；</w:t>
            </w:r>
            <w:r>
              <w:rPr>
                <w:rFonts w:ascii="Arial" w:hAnsi="Arial" w:eastAsia="宋体" w:cs="Arial"/>
                <w:sz w:val="18"/>
                <w:szCs w:val="18"/>
              </w:rPr>
              <w:t>废水经处理达标后，依托大榄坪污水处理厂的深海排放管排放。</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不变</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11.噪声、土壤或地下水防治措施变化，导致不利环境影响加重的。</w:t>
            </w:r>
          </w:p>
        </w:tc>
        <w:tc>
          <w:tcPr>
            <w:tcW w:w="340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采取合理的平面布局，以及隔声、消声、减振、隔声等降噪措施；地下水按照源头控制、</w:t>
            </w:r>
            <w:r>
              <w:rPr>
                <w:rFonts w:hint="eastAsia" w:ascii="Arial" w:hAnsi="Arial" w:eastAsia="宋体" w:cs="Arial"/>
                <w:spacing w:val="10"/>
                <w:sz w:val="18"/>
                <w:szCs w:val="18"/>
              </w:rPr>
              <w:t>分区防控</w:t>
            </w:r>
            <w:r>
              <w:rPr>
                <w:rFonts w:ascii="Arial" w:hAnsi="Arial" w:eastAsia="宋体" w:cs="Arial"/>
                <w:spacing w:val="10"/>
                <w:sz w:val="18"/>
                <w:szCs w:val="18"/>
              </w:rPr>
              <w:t>、</w:t>
            </w:r>
            <w:r>
              <w:rPr>
                <w:rFonts w:hint="eastAsia" w:ascii="Arial" w:hAnsi="Arial" w:eastAsia="宋体" w:cs="Arial"/>
                <w:spacing w:val="10"/>
                <w:sz w:val="18"/>
                <w:szCs w:val="18"/>
              </w:rPr>
              <w:t>跟踪</w:t>
            </w:r>
            <w:r>
              <w:rPr>
                <w:rFonts w:ascii="Arial" w:hAnsi="Arial" w:eastAsia="宋体" w:cs="Arial"/>
                <w:spacing w:val="10"/>
                <w:sz w:val="18"/>
                <w:szCs w:val="18"/>
              </w:rPr>
              <w:t>监控</w:t>
            </w:r>
            <w:r>
              <w:rPr>
                <w:rFonts w:hint="eastAsia" w:ascii="Arial" w:hAnsi="Arial" w:eastAsia="宋体" w:cs="Arial"/>
                <w:spacing w:val="10"/>
                <w:sz w:val="18"/>
                <w:szCs w:val="18"/>
              </w:rPr>
              <w:t>等措施</w:t>
            </w:r>
            <w:r>
              <w:rPr>
                <w:rFonts w:ascii="Arial" w:hAnsi="Arial" w:eastAsia="宋体" w:cs="Arial"/>
                <w:spacing w:val="10"/>
                <w:sz w:val="18"/>
                <w:szCs w:val="18"/>
              </w:rPr>
              <w:t>。</w:t>
            </w:r>
          </w:p>
        </w:tc>
        <w:tc>
          <w:tcPr>
            <w:tcW w:w="3686"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采取合理的平面布局，以及隔声、消声、减振、隔声等降噪措施；地下水按照头控制、</w:t>
            </w:r>
            <w:r>
              <w:rPr>
                <w:rFonts w:hint="eastAsia" w:ascii="Arial" w:hAnsi="Arial" w:eastAsia="宋体" w:cs="Arial"/>
                <w:spacing w:val="10"/>
                <w:sz w:val="18"/>
                <w:szCs w:val="18"/>
              </w:rPr>
              <w:t>分区防控</w:t>
            </w:r>
            <w:r>
              <w:rPr>
                <w:rFonts w:ascii="Arial" w:hAnsi="Arial" w:eastAsia="宋体" w:cs="Arial"/>
                <w:spacing w:val="10"/>
                <w:sz w:val="18"/>
                <w:szCs w:val="18"/>
              </w:rPr>
              <w:t>、</w:t>
            </w:r>
            <w:r>
              <w:rPr>
                <w:rFonts w:hint="eastAsia" w:ascii="Arial" w:hAnsi="Arial" w:eastAsia="宋体" w:cs="Arial"/>
                <w:spacing w:val="10"/>
                <w:sz w:val="18"/>
                <w:szCs w:val="18"/>
              </w:rPr>
              <w:t>跟踪</w:t>
            </w:r>
            <w:r>
              <w:rPr>
                <w:rFonts w:ascii="Arial" w:hAnsi="Arial" w:eastAsia="宋体" w:cs="Arial"/>
                <w:spacing w:val="10"/>
                <w:sz w:val="18"/>
                <w:szCs w:val="18"/>
              </w:rPr>
              <w:t>监控</w:t>
            </w:r>
            <w:r>
              <w:rPr>
                <w:rFonts w:hint="eastAsia" w:ascii="Arial" w:hAnsi="Arial" w:eastAsia="宋体" w:cs="Arial"/>
                <w:spacing w:val="10"/>
                <w:sz w:val="18"/>
                <w:szCs w:val="18"/>
              </w:rPr>
              <w:t>等措施；将土壤监测纳入企业环境监测计划</w:t>
            </w:r>
            <w:r>
              <w:rPr>
                <w:rFonts w:ascii="Arial" w:hAnsi="Arial" w:eastAsia="宋体" w:cs="Arial"/>
                <w:spacing w:val="10"/>
                <w:sz w:val="18"/>
                <w:szCs w:val="18"/>
              </w:rPr>
              <w:t>。</w:t>
            </w:r>
          </w:p>
        </w:tc>
        <w:tc>
          <w:tcPr>
            <w:tcW w:w="1984"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噪声防治措施不变</w:t>
            </w:r>
            <w:r>
              <w:rPr>
                <w:rFonts w:hint="eastAsia" w:ascii="Arial" w:hAnsi="Arial" w:eastAsia="宋体" w:cs="Arial"/>
                <w:spacing w:val="10"/>
                <w:sz w:val="18"/>
                <w:szCs w:val="18"/>
              </w:rPr>
              <w:t>，强化了</w:t>
            </w:r>
            <w:r>
              <w:rPr>
                <w:rFonts w:ascii="Arial" w:hAnsi="Arial" w:eastAsia="宋体" w:cs="Arial"/>
                <w:spacing w:val="10"/>
                <w:sz w:val="18"/>
                <w:szCs w:val="18"/>
              </w:rPr>
              <w:t>地下水</w:t>
            </w:r>
            <w:r>
              <w:rPr>
                <w:rFonts w:hint="eastAsia" w:ascii="Arial" w:hAnsi="Arial" w:eastAsia="宋体" w:cs="Arial"/>
                <w:spacing w:val="10"/>
                <w:sz w:val="18"/>
                <w:szCs w:val="18"/>
              </w:rPr>
              <w:t>、土壤</w:t>
            </w:r>
            <w:r>
              <w:rPr>
                <w:rFonts w:ascii="Arial" w:hAnsi="Arial" w:eastAsia="宋体" w:cs="Arial"/>
                <w:spacing w:val="10"/>
                <w:sz w:val="18"/>
                <w:szCs w:val="18"/>
              </w:rPr>
              <w:t>防治措施。</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12.固体废物利用处置方式由委托外单位利用处置改为自行利用处置的（自行利用处置设施单独开展环境影响评价的除外）；固体废物自行处置方式变化，导致不利环境影响加重的。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镍豆镍粉处置线产生的低镍除铁除铜渣委托有资质单位处置。</w:t>
            </w:r>
            <w:r>
              <w:rPr>
                <w:rFonts w:ascii="Arial" w:hAnsi="Arial" w:eastAsia="宋体" w:cs="Arial"/>
                <w:spacing w:val="10"/>
                <w:sz w:val="18"/>
                <w:szCs w:val="18"/>
              </w:rPr>
              <w:t xml:space="preserve"> </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羟基钴生产线产生的沉淀渣压滤后返回X13车间氢氧化钴处置线、氢氧化镍钴生产线回收钴；废润滑油委托有资质单位处置。</w:t>
            </w:r>
          </w:p>
        </w:tc>
        <w:tc>
          <w:tcPr>
            <w:tcW w:w="198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不涉及固体废物</w:t>
            </w:r>
            <w:r>
              <w:rPr>
                <w:rFonts w:ascii="Arial" w:hAnsi="Arial" w:eastAsia="宋体" w:cs="Arial"/>
                <w:spacing w:val="10"/>
                <w:sz w:val="18"/>
                <w:szCs w:val="18"/>
              </w:rPr>
              <w:t>处置方式由委托外利用处置改为自行利用处置的</w:t>
            </w:r>
          </w:p>
        </w:tc>
        <w:tc>
          <w:tcPr>
            <w:tcW w:w="1464"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1" w:type="dxa"/>
            <w:vMerge w:val="continue"/>
            <w:vAlign w:val="center"/>
          </w:tcPr>
          <w:p>
            <w:pPr>
              <w:spacing w:line="240" w:lineRule="exact"/>
              <w:jc w:val="center"/>
              <w:rPr>
                <w:rFonts w:ascii="Arial" w:hAnsi="Arial" w:eastAsia="宋体" w:cs="Arial"/>
                <w:spacing w:val="10"/>
                <w:sz w:val="18"/>
                <w:szCs w:val="18"/>
                <w:highlight w:val="yellow"/>
              </w:rPr>
            </w:pPr>
          </w:p>
        </w:tc>
        <w:tc>
          <w:tcPr>
            <w:tcW w:w="2412" w:type="dxa"/>
            <w:vAlign w:val="center"/>
          </w:tcPr>
          <w:p>
            <w:pPr>
              <w:spacing w:line="240" w:lineRule="exact"/>
              <w:jc w:val="center"/>
              <w:rPr>
                <w:rFonts w:ascii="Arial" w:hAnsi="Arial" w:eastAsia="宋体" w:cs="Arial"/>
                <w:spacing w:val="10"/>
                <w:sz w:val="18"/>
                <w:szCs w:val="18"/>
              </w:rPr>
            </w:pPr>
            <w:r>
              <w:rPr>
                <w:rFonts w:ascii="Arial" w:hAnsi="Arial" w:eastAsia="宋体" w:cs="Arial"/>
                <w:spacing w:val="10"/>
                <w:sz w:val="18"/>
                <w:szCs w:val="18"/>
              </w:rPr>
              <w:t>13.事故废水暂存能力或拦截设施变化，导致环境风险防范能力弱化或降低的。</w:t>
            </w:r>
          </w:p>
        </w:tc>
        <w:tc>
          <w:tcPr>
            <w:tcW w:w="3402"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不需要新增事故池</w:t>
            </w:r>
          </w:p>
        </w:tc>
        <w:tc>
          <w:tcPr>
            <w:tcW w:w="3686" w:type="dxa"/>
            <w:vAlign w:val="center"/>
          </w:tcPr>
          <w:p>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不需要新增事故池</w:t>
            </w:r>
          </w:p>
        </w:tc>
        <w:tc>
          <w:tcPr>
            <w:tcW w:w="1984" w:type="dxa"/>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不变</w:t>
            </w:r>
          </w:p>
        </w:tc>
        <w:tc>
          <w:tcPr>
            <w:tcW w:w="1464" w:type="dxa"/>
            <w:vAlign w:val="center"/>
          </w:tcPr>
          <w:p>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w:t>
            </w:r>
          </w:p>
        </w:tc>
      </w:tr>
    </w:tbl>
    <w:p>
      <w:pPr>
        <w:spacing w:line="500" w:lineRule="exact"/>
        <w:ind w:firstLine="490" w:firstLineChars="200"/>
        <w:rPr>
          <w:rFonts w:ascii="Arial" w:hAnsi="Arial" w:eastAsia="宋体" w:cs="Arial"/>
          <w:spacing w:val="10"/>
          <w:sz w:val="24"/>
          <w:szCs w:val="24"/>
        </w:rPr>
        <w:sectPr>
          <w:pgSz w:w="16840" w:h="11907" w:orient="landscape"/>
          <w:pgMar w:top="1157" w:right="1678" w:bottom="1406" w:left="1899" w:header="1174" w:footer="1026" w:gutter="567"/>
          <w:pgNumType w:fmt="upperRoman"/>
          <w:cols w:space="720" w:num="1"/>
          <w:docGrid w:type="linesAndChars" w:linePitch="421" w:charSpace="-3161"/>
        </w:sectPr>
      </w:pP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根据《中华人民共和国环境保护法》及《中华人民共和国环境影响评价法》中的有关规定，项目需进行环境影响评价。根据《建设项目环境影响评价分类管理名录（2021年版）》，</w:t>
      </w:r>
      <w:r>
        <w:rPr>
          <w:rFonts w:hint="eastAsia" w:ascii="Arial" w:hAnsi="Arial" w:eastAsia="宋体" w:cs="Arial"/>
          <w:spacing w:val="10"/>
          <w:sz w:val="24"/>
          <w:szCs w:val="24"/>
        </w:rPr>
        <w:t>变更后</w:t>
      </w:r>
      <w:r>
        <w:rPr>
          <w:rFonts w:ascii="Arial" w:hAnsi="Arial" w:eastAsia="宋体" w:cs="Arial"/>
          <w:spacing w:val="10"/>
          <w:sz w:val="24"/>
          <w:szCs w:val="24"/>
        </w:rPr>
        <w:t>项目</w:t>
      </w:r>
      <w:r>
        <w:rPr>
          <w:rFonts w:hint="eastAsia" w:ascii="Arial" w:hAnsi="Arial" w:eastAsia="宋体" w:cs="Arial"/>
          <w:spacing w:val="10"/>
          <w:sz w:val="24"/>
          <w:szCs w:val="24"/>
        </w:rPr>
        <w:t>属于</w:t>
      </w:r>
      <w:r>
        <w:rPr>
          <w:rFonts w:ascii="Arial" w:hAnsi="Arial" w:eastAsia="宋体" w:cs="Arial"/>
          <w:spacing w:val="10"/>
          <w:sz w:val="24"/>
          <w:szCs w:val="24"/>
        </w:rPr>
        <w:t>“基础化学原料制造261”，应编制环境影响报告书。为此，受广西中伟新能源科技有限公司委托，广西中冠智合生态环境有限公司承担了该项目的环境影响评价工作。接受任务后，我公司立即组织有关专业技术人员实施了现场踏勘和资料调查收集，在此基础上，根据项目特点及周边具体情况进行了前期调研工作，按照《建设项目环境保护管理条例》和《环境影响评价技术导则》等法规和技术文件的要求，编制完成本项目环境影响报告书。</w:t>
      </w:r>
    </w:p>
    <w:p>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29" w:name="_Toc166675343"/>
      <w:bookmarkStart w:id="130" w:name="_Toc183513650"/>
      <w:bookmarkStart w:id="131" w:name="_Toc182491362"/>
      <w:bookmarkStart w:id="132" w:name="_Toc185950199"/>
      <w:bookmarkStart w:id="133" w:name="_Toc154599046"/>
      <w:bookmarkStart w:id="134" w:name="_Toc158124214"/>
      <w:bookmarkStart w:id="135" w:name="_Toc179816381"/>
      <w:bookmarkStart w:id="136" w:name="_Toc161845673"/>
      <w:r>
        <w:rPr>
          <w:rFonts w:ascii="Arial" w:hAnsi="Arial" w:eastAsia="宋体" w:cs="Arial"/>
          <w:b/>
        </w:rPr>
        <w:t>2. 项目特点</w:t>
      </w:r>
      <w:bookmarkEnd w:id="129"/>
      <w:bookmarkEnd w:id="130"/>
      <w:bookmarkEnd w:id="131"/>
      <w:bookmarkEnd w:id="132"/>
      <w:bookmarkEnd w:id="133"/>
      <w:bookmarkEnd w:id="134"/>
      <w:bookmarkEnd w:id="135"/>
      <w:bookmarkEnd w:id="136"/>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将镍豆镍粉处置线变为羟基钴生产线，羟基钴生产线利用原镍豆镍粉车间及部分设备设施</w:t>
      </w:r>
      <w:r>
        <w:rPr>
          <w:rFonts w:ascii="Arial" w:hAnsi="Arial" w:eastAsia="宋体" w:cs="Arial"/>
          <w:spacing w:val="10"/>
          <w:sz w:val="24"/>
          <w:szCs w:val="24"/>
        </w:rPr>
        <w:t>，</w:t>
      </w:r>
      <w:r>
        <w:rPr>
          <w:rFonts w:hint="eastAsia" w:ascii="Arial" w:hAnsi="Arial" w:eastAsia="宋体" w:cs="Arial"/>
          <w:spacing w:val="10"/>
          <w:sz w:val="24"/>
          <w:szCs w:val="24"/>
        </w:rPr>
        <w:t>生产工艺、原辅材料及产品均发生改变</w:t>
      </w:r>
      <w:r>
        <w:rPr>
          <w:rFonts w:ascii="Arial" w:hAnsi="Arial" w:eastAsia="宋体" w:cs="Arial"/>
          <w:spacing w:val="10"/>
          <w:sz w:val="24"/>
          <w:szCs w:val="24"/>
        </w:rPr>
        <w:t>。</w:t>
      </w:r>
      <w:r>
        <w:rPr>
          <w:rFonts w:hint="eastAsia" w:ascii="Arial" w:hAnsi="Arial" w:eastAsia="宋体" w:cs="Arial"/>
          <w:spacing w:val="10"/>
          <w:sz w:val="24"/>
          <w:szCs w:val="24"/>
        </w:rPr>
        <w:t>变更</w:t>
      </w:r>
      <w:r>
        <w:rPr>
          <w:rFonts w:ascii="Arial" w:hAnsi="Arial" w:eastAsia="宋体" w:cs="Arial"/>
          <w:spacing w:val="10"/>
          <w:sz w:val="24"/>
          <w:szCs w:val="24"/>
        </w:rPr>
        <w:t>后</w:t>
      </w:r>
      <w:r>
        <w:rPr>
          <w:rFonts w:hint="eastAsia" w:ascii="Arial" w:hAnsi="Arial" w:eastAsia="宋体" w:cs="Arial"/>
          <w:spacing w:val="10"/>
          <w:sz w:val="24"/>
          <w:szCs w:val="24"/>
        </w:rPr>
        <w:t>项目生产废水排放量较变更前有所增加</w:t>
      </w:r>
      <w:r>
        <w:rPr>
          <w:rFonts w:ascii="Arial" w:hAnsi="Arial" w:eastAsia="宋体" w:cs="Arial"/>
          <w:spacing w:val="10"/>
          <w:sz w:val="24"/>
          <w:szCs w:val="24"/>
        </w:rPr>
        <w:t>，</w:t>
      </w:r>
      <w:r>
        <w:rPr>
          <w:rFonts w:hint="eastAsia" w:ascii="Arial" w:hAnsi="Arial" w:eastAsia="宋体" w:cs="Arial"/>
          <w:spacing w:val="10"/>
          <w:sz w:val="24"/>
          <w:szCs w:val="24"/>
        </w:rPr>
        <w:t>但企业全厂生产废水排放量与二阶段原环评相比并未增加</w:t>
      </w:r>
      <w:r>
        <w:rPr>
          <w:rFonts w:ascii="Arial" w:hAnsi="Arial" w:eastAsia="宋体" w:cs="Arial"/>
          <w:spacing w:val="10"/>
          <w:sz w:val="24"/>
          <w:szCs w:val="24"/>
        </w:rPr>
        <w:t>；新增排放的大气污染物为颗粒物、</w:t>
      </w:r>
      <w:r>
        <w:rPr>
          <w:rFonts w:hint="eastAsia" w:ascii="Arial" w:hAnsi="Arial" w:eastAsia="宋体" w:cs="Arial"/>
          <w:spacing w:val="10"/>
          <w:sz w:val="24"/>
          <w:szCs w:val="24"/>
        </w:rPr>
        <w:t>钴及其化合物及氨</w:t>
      </w:r>
      <w:r>
        <w:rPr>
          <w:rFonts w:ascii="Arial" w:hAnsi="Arial" w:eastAsia="宋体" w:cs="Arial"/>
          <w:spacing w:val="10"/>
          <w:sz w:val="24"/>
          <w:szCs w:val="24"/>
        </w:rPr>
        <w:t>。</w:t>
      </w:r>
    </w:p>
    <w:p>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37" w:name="_Toc58596372"/>
      <w:bookmarkStart w:id="138" w:name="_Toc482281839"/>
      <w:bookmarkStart w:id="139" w:name="_Toc34494621"/>
      <w:bookmarkStart w:id="140" w:name="_Toc496719290"/>
      <w:bookmarkStart w:id="141" w:name="_Toc495187620"/>
      <w:bookmarkStart w:id="142" w:name="_Toc497938493"/>
      <w:bookmarkStart w:id="143" w:name="_Toc478677428"/>
      <w:bookmarkStart w:id="144" w:name="_Toc479590601"/>
      <w:bookmarkStart w:id="145" w:name="_Toc497405014"/>
      <w:bookmarkStart w:id="146" w:name="_Toc105506431"/>
      <w:bookmarkStart w:id="147" w:name="_Toc29155568"/>
      <w:bookmarkStart w:id="148" w:name="_Toc104971911"/>
      <w:bookmarkStart w:id="149" w:name="_Toc496955686"/>
      <w:bookmarkStart w:id="150" w:name="_Toc479864377"/>
      <w:bookmarkStart w:id="151" w:name="_Toc87123976"/>
      <w:bookmarkStart w:id="152" w:name="_Toc106006217"/>
      <w:bookmarkStart w:id="153" w:name="_Toc158124215"/>
      <w:bookmarkStart w:id="154" w:name="_Toc154599047"/>
      <w:bookmarkStart w:id="155" w:name="_Toc479877099"/>
      <w:bookmarkStart w:id="156" w:name="_Toc497404915"/>
      <w:bookmarkStart w:id="157" w:name="_Toc104677209"/>
      <w:bookmarkStart w:id="158" w:name="_Toc67921781"/>
      <w:bookmarkStart w:id="159" w:name="_Toc479684063"/>
      <w:bookmarkStart w:id="160" w:name="_Toc500143992"/>
      <w:bookmarkStart w:id="161" w:name="_Toc87124162"/>
      <w:bookmarkStart w:id="162" w:name="_Toc493403137"/>
      <w:bookmarkStart w:id="163" w:name="_Toc487569129"/>
      <w:bookmarkStart w:id="164" w:name="_Toc497894374"/>
      <w:bookmarkStart w:id="165" w:name="_Toc151636723"/>
      <w:bookmarkStart w:id="166" w:name="_Toc152260248"/>
      <w:bookmarkStart w:id="167" w:name="_Toc104677402"/>
      <w:bookmarkStart w:id="168" w:name="_Toc185950200"/>
      <w:bookmarkStart w:id="169" w:name="_Toc108634693"/>
      <w:bookmarkStart w:id="170" w:name="_Toc515189907"/>
      <w:bookmarkStart w:id="171" w:name="_Toc161845674"/>
      <w:bookmarkStart w:id="172" w:name="_Toc88674676"/>
      <w:bookmarkStart w:id="173" w:name="_Toc179816382"/>
      <w:bookmarkStart w:id="174" w:name="_Toc166675344"/>
      <w:bookmarkStart w:id="175" w:name="_Toc153639601"/>
      <w:bookmarkStart w:id="176" w:name="_Toc106202476"/>
      <w:bookmarkStart w:id="177" w:name="_Toc107420181"/>
      <w:bookmarkStart w:id="178" w:name="_Toc183513651"/>
      <w:bookmarkStart w:id="179" w:name="_Toc182491363"/>
      <w:bookmarkStart w:id="180" w:name="_Toc57715532"/>
      <w:r>
        <w:rPr>
          <w:rFonts w:ascii="Arial" w:hAnsi="Arial" w:eastAsia="宋体" w:cs="Arial"/>
          <w:b/>
        </w:rPr>
        <w:t>3. 环境影响评价工作过程</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评价工作分三个阶段：</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1、前期准备、调研和工作方案阶段</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接受委托后，收集及研究相关工程相关资料，进行初步工程分析，开展环境状况调查，进行环境影响因素识别、评价因子筛选和环境保护目标，确定工作等级、评价范围及评价标准，制定工作方案。</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2、分析论证和预测评价阶段</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对项目进行工程分析，并同时对评价范围内的环境状况进行调查、监测和评价，各环境要素进行环境影响预测与评价。</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3、环境影响评价文件编制阶段</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根据建设项目对环境的影响程度和范围，提出切实可行的环保措施，并进行技术经济论证，给出建设项目污染物排放清单和环境可行性的评价结论，编制环境影响评价文件。</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评价工作程序框图见图</w:t>
      </w:r>
      <w:r>
        <w:rPr>
          <w:rFonts w:hint="eastAsia" w:ascii="Arial" w:hAnsi="Arial" w:eastAsia="宋体" w:cs="Arial"/>
          <w:spacing w:val="10"/>
          <w:sz w:val="24"/>
          <w:szCs w:val="24"/>
        </w:rPr>
        <w:t>2</w:t>
      </w:r>
      <w:r>
        <w:rPr>
          <w:rFonts w:ascii="Arial" w:hAnsi="Arial" w:eastAsia="宋体" w:cs="Arial"/>
          <w:spacing w:val="10"/>
          <w:sz w:val="24"/>
          <w:szCs w:val="24"/>
        </w:rPr>
        <w:t>。</w: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135890</wp:posOffset>
                </wp:positionV>
                <wp:extent cx="5721350" cy="6250940"/>
                <wp:effectExtent l="4445" t="4445" r="8255" b="12065"/>
                <wp:wrapNone/>
                <wp:docPr id="87" name="矩形 87"/>
                <wp:cNvGraphicFramePr/>
                <a:graphic xmlns:a="http://schemas.openxmlformats.org/drawingml/2006/main">
                  <a:graphicData uri="http://schemas.microsoft.com/office/word/2010/wordprocessingShape">
                    <wps:wsp>
                      <wps:cNvSpPr>
                        <a:spLocks noChangeArrowheads="1"/>
                      </wps:cNvSpPr>
                      <wps:spPr bwMode="auto">
                        <a:xfrm>
                          <a:off x="0" y="0"/>
                          <a:ext cx="5721350" cy="6250940"/>
                        </a:xfrm>
                        <a:prstGeom prst="rect">
                          <a:avLst/>
                        </a:prstGeom>
                        <a:noFill/>
                        <a:ln w="9525" algn="ctr">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0pt;margin-top:10.7pt;height:492.2pt;width:450.5pt;z-index:251678720;mso-width-relative:page;mso-height-relative:page;" filled="f" stroked="t" coordsize="21600,21600" o:gfxdata="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Addl31gAA&#10;AAgBAAAPAAAAAAAAAAEAIAAAACIAAABkcnMvZG93bnJldi54bWxQSwECFAAUAAAACACHTuJA76U4&#10;+CACAAAUBAAADgAAAAAAAAABACAAAAAlAQAAZHJzL2Uyb0RvYy54bWxQSwUGAAAAAAYABgBZAQAA&#10;twUAAAAA&#10;">
                <v:fill on="f" focussize="0,0"/>
                <v:stroke color="#000000" miterlimit="8" joinstyle="miter"/>
                <v:imagedata o:title=""/>
                <o:lock v:ext="edit" aspectratio="f"/>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4864" behindDoc="0" locked="0" layoutInCell="1" allowOverlap="1">
                <wp:simplePos x="0" y="0"/>
                <wp:positionH relativeFrom="column">
                  <wp:posOffset>1492885</wp:posOffset>
                </wp:positionH>
                <wp:positionV relativeFrom="paragraph">
                  <wp:posOffset>165100</wp:posOffset>
                </wp:positionV>
                <wp:extent cx="2187575" cy="210820"/>
                <wp:effectExtent l="4445" t="4445" r="17780" b="13335"/>
                <wp:wrapNone/>
                <wp:docPr id="86" name="矩形 86"/>
                <wp:cNvGraphicFramePr/>
                <a:graphic xmlns:a="http://schemas.openxmlformats.org/drawingml/2006/main">
                  <a:graphicData uri="http://schemas.microsoft.com/office/word/2010/wordprocessingShape">
                    <wps:wsp>
                      <wps:cNvSpPr>
                        <a:spLocks noChangeArrowheads="1"/>
                      </wps:cNvSpPr>
                      <wps:spPr bwMode="auto">
                        <a:xfrm>
                          <a:off x="0" y="0"/>
                          <a:ext cx="2187575" cy="210820"/>
                        </a:xfrm>
                        <a:prstGeom prst="rect">
                          <a:avLst/>
                        </a:prstGeom>
                        <a:noFill/>
                        <a:ln w="9525">
                          <a:solidFill>
                            <a:srgbClr val="000000"/>
                          </a:solidFill>
                          <a:miter lim="800000"/>
                        </a:ln>
                        <a:effectLst/>
                      </wps:spPr>
                      <wps:txbx>
                        <w:txbxContent>
                          <w:p>
                            <w:pPr>
                              <w:spacing w:line="240" w:lineRule="exact"/>
                              <w:jc w:val="center"/>
                              <w:rPr>
                                <w:rFonts w:ascii="宋体" w:hAnsi="宋体" w:eastAsia="宋体"/>
                                <w:sz w:val="21"/>
                                <w:szCs w:val="21"/>
                              </w:rPr>
                            </w:pPr>
                            <w:r>
                              <w:rPr>
                                <w:rFonts w:hint="eastAsia" w:ascii="宋体" w:hAnsi="宋体" w:eastAsia="宋体"/>
                                <w:sz w:val="21"/>
                                <w:szCs w:val="21"/>
                              </w:rPr>
                              <w:t>依据相关规定确定环境影响评价类型</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7.55pt;margin-top:13pt;height:16.6pt;width:172.25pt;z-index:251684864;mso-width-relative:page;mso-height-relative:page;" filled="f" stroked="t" coordsize="21600,21600" o:gfxdata="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ixYbVAAAACQEAAA8AAAAAAAAA&#10;AQAgAAAAIgAAAGRycy9kb3ducmV2LnhtbFBLAQIUABQAAAAIAIdO4kDfG9wjFAIAAAMEAAAOAAAA&#10;AAAAAAEAIAAAACQBAABkcnMvZTJvRG9jLnhtbFBLBQYAAAAABgAGAFkBAACqBQAAAAA=&#10;">
                <v:fill on="f" focussize="0,0"/>
                <v:stroke color="#000000" miterlimit="8" joinstyle="miter"/>
                <v:imagedata o:title=""/>
                <o:lock v:ext="edit" aspectratio="f"/>
                <v:textbox inset="0mm,0mm,0mm,0mm">
                  <w:txbxContent>
                    <w:p>
                      <w:pPr>
                        <w:spacing w:line="240" w:lineRule="exact"/>
                        <w:jc w:val="center"/>
                        <w:rPr>
                          <w:rFonts w:ascii="宋体" w:hAnsi="宋体" w:eastAsia="宋体"/>
                          <w:sz w:val="21"/>
                          <w:szCs w:val="21"/>
                        </w:rPr>
                      </w:pPr>
                      <w:r>
                        <w:rPr>
                          <w:rFonts w:hint="eastAsia" w:ascii="宋体" w:hAnsi="宋体" w:eastAsia="宋体"/>
                          <w:sz w:val="21"/>
                          <w:szCs w:val="21"/>
                        </w:rPr>
                        <w:t>依据相关规定确定环境影响评价类型</w:t>
                      </w:r>
                    </w:p>
                  </w:txbxContent>
                </v:textbox>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5888" behindDoc="0" locked="0" layoutInCell="1" allowOverlap="1">
                <wp:simplePos x="0" y="0"/>
                <wp:positionH relativeFrom="column">
                  <wp:posOffset>2595245</wp:posOffset>
                </wp:positionH>
                <wp:positionV relativeFrom="paragraph">
                  <wp:posOffset>62865</wp:posOffset>
                </wp:positionV>
                <wp:extent cx="0" cy="323850"/>
                <wp:effectExtent l="38100" t="0" r="38100" b="0"/>
                <wp:wrapNone/>
                <wp:docPr id="85" name="直接连接符 85"/>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4.95pt;height:25.5pt;width:0pt;z-index:251685888;mso-width-relative:page;mso-height-relative:page;" filled="f" stroked="t" coordsize="21600,21600" o:gfxdata="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QBL7dcA&#10;AAAIAQAADwAAAAAAAAABACAAAAAiAAAAZHJzL2Rvd25yZXYueG1sUEsBAhQAFAAAAAgAh07iQPl8&#10;4zvnAQAAmQMAAA4AAAAAAAAAAQAgAAAAJgEAAGRycy9lMm9Eb2MueG1sUEsFBgAAAAAGAAYAWQEA&#10;AH8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168910</wp:posOffset>
                </wp:positionH>
                <wp:positionV relativeFrom="paragraph">
                  <wp:posOffset>160020</wp:posOffset>
                </wp:positionV>
                <wp:extent cx="504190" cy="1000760"/>
                <wp:effectExtent l="0" t="0" r="0" b="0"/>
                <wp:wrapNone/>
                <wp:docPr id="84" name="矩形 84"/>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3pt;margin-top:12.6pt;height:78.8pt;width:39.7pt;z-index:251686912;mso-width-relative:page;mso-height-relative:page;" filled="f" stroked="f" coordsize="21600,21600" o:gfxdata="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hRYVl2AAAAAkBAAAPAAAAAAAAAAEAIAAAACIAAABkcnMvZG93bnJldi54bWxQSwECFAAU&#10;AAAACACHTuJAcXIvtvEBAAC/AwAADgAAAAAAAAABACAAAAAnAQAAZHJzL2Uyb0RvYy54bWxQSwUG&#10;AAAAAAYABgBZAQAAigUAAAAA&#10;">
                <v:fill on="f" focussize="0,0"/>
                <v:stroke on="f"/>
                <v:imagedata o:title=""/>
                <o:lock v:ext="edit" aspectratio="f"/>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7936" behindDoc="0" locked="0" layoutInCell="1" allowOverlap="1">
                <wp:simplePos x="0" y="0"/>
                <wp:positionH relativeFrom="column">
                  <wp:posOffset>1504950</wp:posOffset>
                </wp:positionH>
                <wp:positionV relativeFrom="paragraph">
                  <wp:posOffset>62230</wp:posOffset>
                </wp:positionV>
                <wp:extent cx="2187575" cy="575945"/>
                <wp:effectExtent l="5080" t="4445" r="17145" b="10160"/>
                <wp:wrapNone/>
                <wp:docPr id="13" name="矩形 13"/>
                <wp:cNvGraphicFramePr/>
                <a:graphic xmlns:a="http://schemas.openxmlformats.org/drawingml/2006/main">
                  <a:graphicData uri="http://schemas.microsoft.com/office/word/2010/wordprocessingShape">
                    <wps:wsp>
                      <wps:cNvSpPr>
                        <a:spLocks noChangeArrowheads="1"/>
                      </wps:cNvSpPr>
                      <wps:spPr bwMode="auto">
                        <a:xfrm>
                          <a:off x="0" y="0"/>
                          <a:ext cx="2187575" cy="575945"/>
                        </a:xfrm>
                        <a:prstGeom prst="rect">
                          <a:avLst/>
                        </a:prstGeom>
                        <a:noFill/>
                        <a:ln w="9525">
                          <a:solidFill>
                            <a:srgbClr val="000000"/>
                          </a:solidFill>
                          <a:miter lim="800000"/>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1研究相关技术文件和其他有关文件</w:t>
                            </w:r>
                          </w:p>
                          <w:p>
                            <w:pPr>
                              <w:pStyle w:val="523"/>
                              <w:spacing w:line="300" w:lineRule="exact"/>
                              <w:ind w:firstLine="0" w:firstLineChars="0"/>
                              <w:rPr>
                                <w:rFonts w:hAnsi="宋体" w:eastAsia="宋体"/>
                                <w:sz w:val="21"/>
                                <w:szCs w:val="21"/>
                              </w:rPr>
                            </w:pPr>
                            <w:r>
                              <w:rPr>
                                <w:rFonts w:hint="eastAsia" w:hAnsi="宋体" w:eastAsia="宋体"/>
                                <w:sz w:val="21"/>
                                <w:szCs w:val="21"/>
                              </w:rPr>
                              <w:t>2 进行初步工程分析</w:t>
                            </w:r>
                          </w:p>
                          <w:p>
                            <w:pPr>
                              <w:pStyle w:val="523"/>
                              <w:spacing w:line="300" w:lineRule="exact"/>
                              <w:ind w:firstLine="0" w:firstLineChars="0"/>
                              <w:rPr>
                                <w:rFonts w:hAnsi="宋体" w:eastAsia="宋体"/>
                                <w:sz w:val="21"/>
                                <w:szCs w:val="21"/>
                              </w:rPr>
                            </w:pPr>
                            <w:r>
                              <w:rPr>
                                <w:rFonts w:hint="eastAsia" w:hAnsi="宋体" w:eastAsia="宋体"/>
                                <w:sz w:val="21"/>
                                <w:szCs w:val="21"/>
                              </w:rPr>
                              <w:t>3 开展初步的环境现状调查</w:t>
                            </w:r>
                          </w:p>
                          <w:p>
                            <w:pPr>
                              <w:rPr>
                                <w:szCs w:val="21"/>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8.5pt;margin-top:4.9pt;height:45.35pt;width:172.25pt;z-index:251687936;mso-width-relative:page;mso-height-relative:page;" filled="f" stroked="t" coordsize="21600,21600" o:gfxdata="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fsCr3UAAAACQEAAA8AAAAAAAAAAQAg&#10;AAAAIgAAAGRycy9kb3ducmV2LnhtbFBLAQIUABQAAAAIAIdO4kCTrRnXEgIAAAMEAAAOAAAAAAAA&#10;AAEAIAAAACMBAABkcnMvZTJvRG9jLnhtbFBLBQYAAAAABgAGAFkBAACnBQAAAAA=&#10;">
                <v:fill on="f" focussize="0,0"/>
                <v:stroke color="#000000" miterlimit="8" joinstyle="miter"/>
                <v:imagedata o:title=""/>
                <o:lock v:ext="edit" aspectratio="f"/>
                <v:textbox inset="0mm,0mm,0mm,0mm">
                  <w:txbxContent>
                    <w:p>
                      <w:pPr>
                        <w:pStyle w:val="523"/>
                        <w:spacing w:line="300" w:lineRule="exact"/>
                        <w:ind w:firstLine="0" w:firstLineChars="0"/>
                        <w:rPr>
                          <w:rFonts w:hAnsi="宋体" w:eastAsia="宋体"/>
                          <w:sz w:val="21"/>
                          <w:szCs w:val="21"/>
                        </w:rPr>
                      </w:pPr>
                      <w:r>
                        <w:rPr>
                          <w:rFonts w:hint="eastAsia" w:hAnsi="宋体" w:eastAsia="宋体"/>
                          <w:sz w:val="21"/>
                          <w:szCs w:val="21"/>
                        </w:rPr>
                        <w:t>1研究相关技术文件和其他有关文件</w:t>
                      </w:r>
                    </w:p>
                    <w:p>
                      <w:pPr>
                        <w:pStyle w:val="523"/>
                        <w:spacing w:line="300" w:lineRule="exact"/>
                        <w:ind w:firstLine="0" w:firstLineChars="0"/>
                        <w:rPr>
                          <w:rFonts w:hAnsi="宋体" w:eastAsia="宋体"/>
                          <w:sz w:val="21"/>
                          <w:szCs w:val="21"/>
                        </w:rPr>
                      </w:pPr>
                      <w:r>
                        <w:rPr>
                          <w:rFonts w:hint="eastAsia" w:hAnsi="宋体" w:eastAsia="宋体"/>
                          <w:sz w:val="21"/>
                          <w:szCs w:val="21"/>
                        </w:rPr>
                        <w:t>2 进行初步工程分析</w:t>
                      </w:r>
                    </w:p>
                    <w:p>
                      <w:pPr>
                        <w:pStyle w:val="523"/>
                        <w:spacing w:line="300" w:lineRule="exact"/>
                        <w:ind w:firstLine="0" w:firstLineChars="0"/>
                        <w:rPr>
                          <w:rFonts w:hAnsi="宋体" w:eastAsia="宋体"/>
                          <w:sz w:val="21"/>
                          <w:szCs w:val="21"/>
                        </w:rPr>
                      </w:pPr>
                      <w:r>
                        <w:rPr>
                          <w:rFonts w:hint="eastAsia" w:hAnsi="宋体" w:eastAsia="宋体"/>
                          <w:sz w:val="21"/>
                          <w:szCs w:val="21"/>
                        </w:rPr>
                        <w:t>3 开展初步的环境现状调查</w:t>
                      </w:r>
                    </w:p>
                    <w:p>
                      <w:pPr>
                        <w:rPr>
                          <w:szCs w:val="21"/>
                        </w:rPr>
                      </w:pPr>
                    </w:p>
                  </w:txbxContent>
                </v:textbox>
              </v:rect>
            </w:pict>
          </mc:Fallback>
        </mc:AlternateContent>
      </w:r>
    </w:p>
    <w:p>
      <w:pPr>
        <w:widowControl/>
        <w:overflowPunct w:val="0"/>
        <w:autoSpaceDE w:val="0"/>
        <w:autoSpaceDN w:val="0"/>
        <w:adjustRightInd w:val="0"/>
        <w:spacing w:line="500" w:lineRule="exact"/>
        <w:ind w:firstLine="450" w:firstLineChars="200"/>
        <w:jc w:val="left"/>
        <w:textAlignment w:val="baseline"/>
        <w:rPr>
          <w:rFonts w:ascii="Arial" w:hAnsi="Arial" w:eastAsia="宋体" w:cs="Arial"/>
          <w:kern w:val="0"/>
          <w:sz w:val="24"/>
          <w:szCs w:val="24"/>
        </w:rPr>
      </w:pP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8960" behindDoc="0" locked="0" layoutInCell="1" allowOverlap="1">
                <wp:simplePos x="0" y="0"/>
                <wp:positionH relativeFrom="column">
                  <wp:posOffset>2595245</wp:posOffset>
                </wp:positionH>
                <wp:positionV relativeFrom="paragraph">
                  <wp:posOffset>4445</wp:posOffset>
                </wp:positionV>
                <wp:extent cx="0" cy="323850"/>
                <wp:effectExtent l="38100" t="0" r="38100" b="0"/>
                <wp:wrapNone/>
                <wp:docPr id="92" name="直接连接符 92"/>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0.35pt;height:25.5pt;width:0pt;z-index:251688960;mso-width-relative:page;mso-height-relative:page;" filled="f" stroked="t" coordsize="21600,21600" o:gfxdata="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PywHS1gAA&#10;AAcBAAAPAAAAAAAAAAEAIAAAACIAAABkcnMvZG93bnJldi54bWxQSwECFAAUAAAACACHTuJA/3cl&#10;r+cBAACZAwAADgAAAAAAAAABACAAAAAlAQAAZHJzL2Uyb0RvYy54bWxQSwUGAAAAAAYABgBZAQAA&#10;fgUAAAAA&#10;">
                <v:fill on="f" focussize="0,0"/>
                <v:stroke color="#000000" joinstyle="round" endarrow="block"/>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3840" behindDoc="0" locked="0" layoutInCell="1" allowOverlap="1">
                <wp:simplePos x="0" y="0"/>
                <wp:positionH relativeFrom="column">
                  <wp:posOffset>1514475</wp:posOffset>
                </wp:positionH>
                <wp:positionV relativeFrom="paragraph">
                  <wp:posOffset>17145</wp:posOffset>
                </wp:positionV>
                <wp:extent cx="2187575" cy="575945"/>
                <wp:effectExtent l="5080" t="4445" r="17145" b="10160"/>
                <wp:wrapNone/>
                <wp:docPr id="60" name="矩形 60"/>
                <wp:cNvGraphicFramePr/>
                <a:graphic xmlns:a="http://schemas.openxmlformats.org/drawingml/2006/main">
                  <a:graphicData uri="http://schemas.microsoft.com/office/word/2010/wordprocessingShape">
                    <wps:wsp>
                      <wps:cNvSpPr>
                        <a:spLocks noChangeArrowheads="1"/>
                      </wps:cNvSpPr>
                      <wps:spPr bwMode="auto">
                        <a:xfrm>
                          <a:off x="0" y="0"/>
                          <a:ext cx="2187575" cy="575945"/>
                        </a:xfrm>
                        <a:prstGeom prst="rect">
                          <a:avLst/>
                        </a:prstGeom>
                        <a:noFill/>
                        <a:ln w="9525">
                          <a:solidFill>
                            <a:srgbClr val="000000"/>
                          </a:solidFill>
                          <a:miter lim="800000"/>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1境影响识别和评价因子筛选</w:t>
                            </w:r>
                          </w:p>
                          <w:p>
                            <w:pPr>
                              <w:pStyle w:val="523"/>
                              <w:spacing w:line="300" w:lineRule="exact"/>
                              <w:ind w:firstLine="0" w:firstLineChars="0"/>
                              <w:rPr>
                                <w:rFonts w:hAnsi="宋体" w:eastAsia="宋体"/>
                                <w:sz w:val="21"/>
                                <w:szCs w:val="21"/>
                              </w:rPr>
                            </w:pPr>
                            <w:r>
                              <w:rPr>
                                <w:rFonts w:hint="eastAsia" w:hAnsi="宋体" w:eastAsia="宋体"/>
                                <w:sz w:val="21"/>
                                <w:szCs w:val="21"/>
                              </w:rPr>
                              <w:t>2 明确评价重点和环境保护目标</w:t>
                            </w:r>
                          </w:p>
                          <w:p>
                            <w:pPr>
                              <w:pStyle w:val="523"/>
                              <w:spacing w:line="300" w:lineRule="exact"/>
                              <w:ind w:firstLine="0" w:firstLineChars="0"/>
                              <w:rPr>
                                <w:rFonts w:hAnsi="宋体" w:eastAsia="宋体"/>
                                <w:sz w:val="21"/>
                                <w:szCs w:val="21"/>
                              </w:rPr>
                            </w:pPr>
                            <w:r>
                              <w:rPr>
                                <w:rFonts w:hint="eastAsia" w:hAnsi="宋体" w:eastAsia="宋体"/>
                                <w:sz w:val="21"/>
                                <w:szCs w:val="21"/>
                              </w:rPr>
                              <w:t>3 确定工作等级、评价范围和评价标准</w:t>
                            </w:r>
                          </w:p>
                          <w:p>
                            <w:pPr>
                              <w:rPr>
                                <w:szCs w:val="21"/>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9.25pt;margin-top:1.35pt;height:45.35pt;width:172.25pt;z-index:251683840;mso-width-relative:page;mso-height-relative:page;" filled="f" stroked="t" coordsize="21600,21600" o:gfxdata="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Q+9ai1QAAAAgBAAAPAAAAAAAAAAEA&#10;IAAAACIAAABkcnMvZG93bnJldi54bWxQSwECFAAUAAAACACHTuJA6qXqRBICAAADBAAADgAAAAAA&#10;AAABACAAAAAkAQAAZHJzL2Uyb0RvYy54bWxQSwUGAAAAAAYABgBZAQAAqAUAAAAA&#10;">
                <v:fill on="f" focussize="0,0"/>
                <v:stroke color="#000000" miterlimit="8" joinstyle="miter"/>
                <v:imagedata o:title=""/>
                <o:lock v:ext="edit" aspectratio="f"/>
                <v:textbox inset="0mm,0mm,0mm,0mm">
                  <w:txbxContent>
                    <w:p>
                      <w:pPr>
                        <w:pStyle w:val="523"/>
                        <w:spacing w:line="300" w:lineRule="exact"/>
                        <w:ind w:firstLine="0" w:firstLineChars="0"/>
                        <w:rPr>
                          <w:rFonts w:hAnsi="宋体" w:eastAsia="宋体"/>
                          <w:sz w:val="21"/>
                          <w:szCs w:val="21"/>
                        </w:rPr>
                      </w:pPr>
                      <w:r>
                        <w:rPr>
                          <w:rFonts w:hint="eastAsia" w:hAnsi="宋体" w:eastAsia="宋体"/>
                          <w:sz w:val="21"/>
                          <w:szCs w:val="21"/>
                        </w:rPr>
                        <w:t>1境影响识别和评价因子筛选</w:t>
                      </w:r>
                    </w:p>
                    <w:p>
                      <w:pPr>
                        <w:pStyle w:val="523"/>
                        <w:spacing w:line="300" w:lineRule="exact"/>
                        <w:ind w:firstLine="0" w:firstLineChars="0"/>
                        <w:rPr>
                          <w:rFonts w:hAnsi="宋体" w:eastAsia="宋体"/>
                          <w:sz w:val="21"/>
                          <w:szCs w:val="21"/>
                        </w:rPr>
                      </w:pPr>
                      <w:r>
                        <w:rPr>
                          <w:rFonts w:hint="eastAsia" w:hAnsi="宋体" w:eastAsia="宋体"/>
                          <w:sz w:val="21"/>
                          <w:szCs w:val="21"/>
                        </w:rPr>
                        <w:t>2 明确评价重点和环境保护目标</w:t>
                      </w:r>
                    </w:p>
                    <w:p>
                      <w:pPr>
                        <w:pStyle w:val="523"/>
                        <w:spacing w:line="300" w:lineRule="exact"/>
                        <w:ind w:firstLine="0" w:firstLineChars="0"/>
                        <w:rPr>
                          <w:rFonts w:hAnsi="宋体" w:eastAsia="宋体"/>
                          <w:sz w:val="21"/>
                          <w:szCs w:val="21"/>
                        </w:rPr>
                      </w:pPr>
                      <w:r>
                        <w:rPr>
                          <w:rFonts w:hint="eastAsia" w:hAnsi="宋体" w:eastAsia="宋体"/>
                          <w:sz w:val="21"/>
                          <w:szCs w:val="21"/>
                        </w:rPr>
                        <w:t>3 确定工作等级、评价范围和评价标准</w:t>
                      </w:r>
                    </w:p>
                    <w:p>
                      <w:pPr>
                        <w:rPr>
                          <w:szCs w:val="21"/>
                        </w:rPr>
                      </w:pPr>
                    </w:p>
                  </w:txbxContent>
                </v:textbox>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9984" behindDoc="0" locked="0" layoutInCell="1" allowOverlap="1">
                <wp:simplePos x="0" y="0"/>
                <wp:positionH relativeFrom="column">
                  <wp:posOffset>2595245</wp:posOffset>
                </wp:positionH>
                <wp:positionV relativeFrom="paragraph">
                  <wp:posOffset>277495</wp:posOffset>
                </wp:positionV>
                <wp:extent cx="0" cy="323850"/>
                <wp:effectExtent l="38100" t="0" r="38100" b="0"/>
                <wp:wrapNone/>
                <wp:docPr id="93" name="直接连接符 93"/>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21.85pt;height:25.5pt;width:0pt;z-index:251689984;mso-width-relative:page;mso-height-relative:page;" filled="f" stroked="t" coordsize="21600,21600" o:gfxdata="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odRlK&#10;2AAAAAkBAAAPAAAAAAAAAAEAIAAAACIAAABkcnMvZG93bnJldi54bWxQSwECFAAUAAAACACHTuJA&#10;ZtxbIegBAACZAwAADgAAAAAAAAABACAAAAAnAQAAZHJzL2Uyb0RvYy54bWxQSwUGAAAAAAYABgBZ&#10;AQAAgQUAAAAA&#10;">
                <v:fill on="f" focussize="0,0"/>
                <v:stroke color="#000000" joinstyle="round" endarrow="block"/>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63360" behindDoc="0" locked="0" layoutInCell="1" allowOverlap="1">
                <wp:simplePos x="0" y="0"/>
                <wp:positionH relativeFrom="column">
                  <wp:posOffset>1937385</wp:posOffset>
                </wp:positionH>
                <wp:positionV relativeFrom="paragraph">
                  <wp:posOffset>281305</wp:posOffset>
                </wp:positionV>
                <wp:extent cx="1369695" cy="215265"/>
                <wp:effectExtent l="4445" t="4445" r="16510" b="8890"/>
                <wp:wrapNone/>
                <wp:docPr id="61" name="矩形 61"/>
                <wp:cNvGraphicFramePr/>
                <a:graphic xmlns:a="http://schemas.openxmlformats.org/drawingml/2006/main">
                  <a:graphicData uri="http://schemas.microsoft.com/office/word/2010/wordprocessingShape">
                    <wps:wsp>
                      <wps:cNvSpPr>
                        <a:spLocks noChangeArrowheads="1"/>
                      </wps:cNvSpPr>
                      <wps:spPr bwMode="auto">
                        <a:xfrm>
                          <a:off x="0" y="0"/>
                          <a:ext cx="1369695" cy="215265"/>
                        </a:xfrm>
                        <a:prstGeom prst="rect">
                          <a:avLst/>
                        </a:prstGeom>
                        <a:noFill/>
                        <a:ln w="9525">
                          <a:solidFill>
                            <a:srgbClr val="000000"/>
                          </a:solidFill>
                          <a:miter lim="800000"/>
                        </a:ln>
                        <a:effectLst/>
                      </wps:spPr>
                      <wps:txbx>
                        <w:txbxContent>
                          <w:p>
                            <w:pPr>
                              <w:spacing w:line="240" w:lineRule="exact"/>
                              <w:jc w:val="center"/>
                              <w:rPr>
                                <w:rFonts w:ascii="宋体" w:hAnsi="宋体" w:eastAsia="宋体"/>
                                <w:sz w:val="21"/>
                                <w:szCs w:val="21"/>
                              </w:rPr>
                            </w:pPr>
                            <w:r>
                              <w:rPr>
                                <w:rFonts w:hint="eastAsia" w:ascii="宋体" w:hAnsi="宋体" w:eastAsia="宋体"/>
                                <w:sz w:val="21"/>
                                <w:szCs w:val="21"/>
                              </w:rPr>
                              <w:t>制定工作方案</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52.55pt;margin-top:22.15pt;height:16.95pt;width:107.85pt;z-index:251663360;mso-width-relative:page;mso-height-relative:page;" filled="f" stroked="t" coordsize="21600,21600" o:gfxdata="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wlMjdUAAAAJAQAADwAAAAAAAAAB&#10;ACAAAAAiAAAAZHJzL2Rvd25yZXYueG1sUEsBAhQAFAAAAAgAh07iQOgERGkTAgAAAwQAAA4AAAAA&#10;AAAAAQAgAAAAJAEAAGRycy9lMm9Eb2MueG1sUEsFBgAAAAAGAAYAWQEAAKkFAAAAAA==&#10;">
                <v:fill on="f" focussize="0,0"/>
                <v:stroke color="#000000" miterlimit="8" joinstyle="miter"/>
                <v:imagedata o:title=""/>
                <o:lock v:ext="edit" aspectratio="f"/>
                <v:textbox inset="0mm,0mm,0mm,0mm">
                  <w:txbxContent>
                    <w:p>
                      <w:pPr>
                        <w:spacing w:line="240" w:lineRule="exact"/>
                        <w:jc w:val="center"/>
                        <w:rPr>
                          <w:rFonts w:ascii="宋体" w:hAnsi="宋体" w:eastAsia="宋体"/>
                          <w:sz w:val="21"/>
                          <w:szCs w:val="21"/>
                        </w:rPr>
                      </w:pPr>
                      <w:r>
                        <w:rPr>
                          <w:rFonts w:hint="eastAsia" w:ascii="宋体" w:hAnsi="宋体" w:eastAsia="宋体"/>
                          <w:sz w:val="21"/>
                          <w:szCs w:val="21"/>
                        </w:rPr>
                        <w:t>制定工作方案</w:t>
                      </w:r>
                    </w:p>
                  </w:txbxContent>
                </v:textbox>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91008" behindDoc="0" locked="0" layoutInCell="1" allowOverlap="1">
                <wp:simplePos x="0" y="0"/>
                <wp:positionH relativeFrom="column">
                  <wp:posOffset>2595245</wp:posOffset>
                </wp:positionH>
                <wp:positionV relativeFrom="paragraph">
                  <wp:posOffset>175895</wp:posOffset>
                </wp:positionV>
                <wp:extent cx="0" cy="288290"/>
                <wp:effectExtent l="38100" t="0" r="38100" b="16510"/>
                <wp:wrapNone/>
                <wp:docPr id="94" name="直接连接符 94"/>
                <wp:cNvGraphicFramePr/>
                <a:graphic xmlns:a="http://schemas.openxmlformats.org/drawingml/2006/main">
                  <a:graphicData uri="http://schemas.microsoft.com/office/word/2010/wordprocessingShape">
                    <wps:wsp>
                      <wps:cNvCnPr>
                        <a:cxnSpLocks noChangeShapeType="1"/>
                      </wps:cNvCnPr>
                      <wps:spPr bwMode="auto">
                        <a:xfrm>
                          <a:off x="0" y="0"/>
                          <a:ext cx="0" cy="288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13.85pt;height:22.7pt;width:0pt;z-index:251691008;mso-width-relative:page;mso-height-relative:page;" filled="f" stroked="t" coordsize="21600,21600" o:gfxdata="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mCzRDY&#10;AAAACQEAAA8AAAAAAAAAAQAgAAAAIgAAAGRycy9kb3ducmV2LnhtbFBLAQIUABQAAAAIAIdO4kAm&#10;J+8U5wEAAJkDAAAOAAAAAAAAAAEAIAAAACcBAABkcnMvZTJvRG9jLnhtbFBLBQYAAAAABgAGAFkB&#10;AACABQAAAAA=&#10;">
                <v:fill on="f" focussize="0,0"/>
                <v:stroke color="#000000" joinstyle="round" endarrow="block"/>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67456" behindDoc="0" locked="0" layoutInCell="1" allowOverlap="1">
                <wp:simplePos x="0" y="0"/>
                <wp:positionH relativeFrom="column">
                  <wp:posOffset>1276985</wp:posOffset>
                </wp:positionH>
                <wp:positionV relativeFrom="paragraph">
                  <wp:posOffset>300355</wp:posOffset>
                </wp:positionV>
                <wp:extent cx="915670" cy="387985"/>
                <wp:effectExtent l="5080" t="4445" r="12700" b="7620"/>
                <wp:wrapNone/>
                <wp:docPr id="62" name="矩形 62"/>
                <wp:cNvGraphicFramePr/>
                <a:graphic xmlns:a="http://schemas.openxmlformats.org/drawingml/2006/main">
                  <a:graphicData uri="http://schemas.microsoft.com/office/word/2010/wordprocessingShape">
                    <wps:wsp>
                      <wps:cNvSpPr>
                        <a:spLocks noChangeArrowheads="1"/>
                      </wps:cNvSpPr>
                      <wps:spPr bwMode="auto">
                        <a:xfrm>
                          <a:off x="0" y="0"/>
                          <a:ext cx="915670" cy="387985"/>
                        </a:xfrm>
                        <a:prstGeom prst="rect">
                          <a:avLst/>
                        </a:prstGeom>
                        <a:noFill/>
                        <a:ln w="9525">
                          <a:solidFill>
                            <a:srgbClr val="000000"/>
                          </a:solidFill>
                          <a:miter lim="800000"/>
                        </a:ln>
                        <a:effectLst/>
                      </wps:spPr>
                      <wps:txbx>
                        <w:txbxContent>
                          <w:p>
                            <w:pPr>
                              <w:spacing w:line="240" w:lineRule="exact"/>
                              <w:jc w:val="center"/>
                              <w:rPr>
                                <w:rFonts w:hAnsi="宋体" w:eastAsia="宋体"/>
                                <w:kern w:val="0"/>
                                <w:sz w:val="21"/>
                                <w:szCs w:val="21"/>
                              </w:rPr>
                            </w:pPr>
                            <w:r>
                              <w:rPr>
                                <w:rFonts w:hint="eastAsia" w:hAnsi="宋体" w:eastAsia="宋体"/>
                                <w:kern w:val="0"/>
                                <w:sz w:val="21"/>
                                <w:szCs w:val="21"/>
                              </w:rPr>
                              <w:t>环境现状调查</w:t>
                            </w:r>
                          </w:p>
                          <w:p>
                            <w:pPr>
                              <w:spacing w:line="240" w:lineRule="exact"/>
                              <w:jc w:val="center"/>
                              <w:rPr>
                                <w:sz w:val="21"/>
                                <w:szCs w:val="21"/>
                              </w:rPr>
                            </w:pPr>
                            <w:r>
                              <w:rPr>
                                <w:rFonts w:hint="eastAsia" w:hAnsi="宋体" w:eastAsia="宋体"/>
                                <w:kern w:val="0"/>
                                <w:sz w:val="21"/>
                                <w:szCs w:val="21"/>
                              </w:rPr>
                              <w:t>监测与评</w:t>
                            </w:r>
                            <w:r>
                              <w:rPr>
                                <w:rFonts w:hint="eastAsia"/>
                                <w:sz w:val="21"/>
                                <w:szCs w:val="21"/>
                              </w:rPr>
                              <w:t>价</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00.55pt;margin-top:23.65pt;height:30.55pt;width:72.1pt;z-index:251667456;mso-width-relative:page;mso-height-relative:page;" filled="f" stroked="t" coordsize="21600,21600" o:gfxdata="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RurCNYAAAAKAQAADwAAAAAAAAAB&#10;ACAAAAAiAAAAZHJzL2Rvd25yZXYueG1sUEsBAhQAFAAAAAgAh07iQCAQWeYSAgAAAgQAAA4AAAAA&#10;AAAAAQAgAAAAJQEAAGRycy9lMm9Eb2MueG1sUEsFBgAAAAAGAAYAWQEAAKkFAAAAAA==&#10;">
                <v:fill on="f" focussize="0,0"/>
                <v:stroke color="#000000" miterlimit="8" joinstyle="miter"/>
                <v:imagedata o:title=""/>
                <o:lock v:ext="edit" aspectratio="f"/>
                <v:textbox inset="0mm,0mm,0mm,0mm">
                  <w:txbxContent>
                    <w:p>
                      <w:pPr>
                        <w:spacing w:line="240" w:lineRule="exact"/>
                        <w:jc w:val="center"/>
                        <w:rPr>
                          <w:rFonts w:hAnsi="宋体" w:eastAsia="宋体"/>
                          <w:kern w:val="0"/>
                          <w:sz w:val="21"/>
                          <w:szCs w:val="21"/>
                        </w:rPr>
                      </w:pPr>
                      <w:r>
                        <w:rPr>
                          <w:rFonts w:hint="eastAsia" w:hAnsi="宋体" w:eastAsia="宋体"/>
                          <w:kern w:val="0"/>
                          <w:sz w:val="21"/>
                          <w:szCs w:val="21"/>
                        </w:rPr>
                        <w:t>环境现状调查</w:t>
                      </w:r>
                    </w:p>
                    <w:p>
                      <w:pPr>
                        <w:spacing w:line="240" w:lineRule="exact"/>
                        <w:jc w:val="center"/>
                        <w:rPr>
                          <w:sz w:val="21"/>
                          <w:szCs w:val="21"/>
                        </w:rPr>
                      </w:pPr>
                      <w:r>
                        <w:rPr>
                          <w:rFonts w:hint="eastAsia" w:hAnsi="宋体" w:eastAsia="宋体"/>
                          <w:kern w:val="0"/>
                          <w:sz w:val="21"/>
                          <w:szCs w:val="21"/>
                        </w:rPr>
                        <w:t>监测与评</w:t>
                      </w:r>
                      <w:r>
                        <w:rPr>
                          <w:rFonts w:hint="eastAsia"/>
                          <w:sz w:val="21"/>
                          <w:szCs w:val="21"/>
                        </w:rPr>
                        <w:t>价</w:t>
                      </w:r>
                    </w:p>
                  </w:txbxContent>
                </v:textbox>
              </v:rect>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-1905</wp:posOffset>
                </wp:positionH>
                <wp:positionV relativeFrom="paragraph">
                  <wp:posOffset>17145</wp:posOffset>
                </wp:positionV>
                <wp:extent cx="5718810" cy="0"/>
                <wp:effectExtent l="0" t="4445" r="0" b="5080"/>
                <wp:wrapNone/>
                <wp:docPr id="76" name="直接连接符 76"/>
                <wp:cNvGraphicFramePr/>
                <a:graphic xmlns:a="http://schemas.openxmlformats.org/drawingml/2006/main">
                  <a:graphicData uri="http://schemas.microsoft.com/office/word/2010/wordprocessingShape">
                    <wps:wsp>
                      <wps:cNvCnPr>
                        <a:cxnSpLocks noChangeShapeType="1"/>
                      </wps:cNvCnPr>
                      <wps:spPr bwMode="auto">
                        <a:xfrm>
                          <a:off x="0" y="0"/>
                          <a:ext cx="5718810" cy="0"/>
                        </a:xfrm>
                        <a:prstGeom prst="line">
                          <a:avLst/>
                        </a:prstGeom>
                        <a:noFill/>
                        <a:ln w="9525">
                          <a:solidFill>
                            <a:srgbClr val="000000"/>
                          </a:solidFill>
                          <a:prstDash val="dash"/>
                          <a:round/>
                        </a:ln>
                        <a:effectLst/>
                      </wps:spPr>
                      <wps:bodyPr/>
                    </wps:wsp>
                  </a:graphicData>
                </a:graphic>
              </wp:anchor>
            </w:drawing>
          </mc:Choice>
          <mc:Fallback>
            <w:pict>
              <v:line id="_x0000_s1026" o:spid="_x0000_s1026" o:spt="20" style="position:absolute;left:0pt;margin-left:-0.15pt;margin-top:1.35pt;height:0pt;width:450.3pt;z-index:251679744;mso-width-relative:page;mso-height-relative:page;" filled="f" stroked="t" coordsize="21600,21600" o:gfxdata="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FQ3PFHTAAAABQEAAA8AAAAAAAAAAQAg&#10;AAAAIgAAAGRycy9kb3ducmV2LnhtbFBLAQIUABQAAAAIAIdO4kC3+qHT2gEAAIQDAAAOAAAAAAAA&#10;AAEAIAAAACIBAABkcnMvZTJvRG9jLnhtbFBLBQYAAAAABgAGAFkBAABuBQAAAAA=&#10;">
                <v:fill on="f" focussize="0,0"/>
                <v:stroke color="#000000" joinstyle="round" dashstyle="dash"/>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1731645</wp:posOffset>
                </wp:positionH>
                <wp:positionV relativeFrom="paragraph">
                  <wp:posOffset>132080</wp:posOffset>
                </wp:positionV>
                <wp:extent cx="0" cy="177165"/>
                <wp:effectExtent l="4445" t="0" r="14605" b="13335"/>
                <wp:wrapNone/>
                <wp:docPr id="75" name="直接连接符 75"/>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35pt;margin-top:10.4pt;height:13.95pt;width:0pt;z-index:251665408;mso-width-relative:page;mso-height-relative:page;" filled="f" stroked="t" coordsize="21600,21600" o:gfxdata="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7dkFjWAAAACQEAAA8AAAAAAAAAAQAgAAAAIgAAAGRy&#10;cy9kb3ducmV2LnhtbFBLAQIUABQAAAAIAIdO4kCgJb6ozgEAAGsDAAAOAAAAAAAAAAEAIAAAACUB&#10;AABkcnMvZTJvRG9jLnhtbFBLBQYAAAAABgAGAFkBAABl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3522345</wp:posOffset>
                </wp:positionH>
                <wp:positionV relativeFrom="paragraph">
                  <wp:posOffset>130810</wp:posOffset>
                </wp:positionV>
                <wp:extent cx="0" cy="177165"/>
                <wp:effectExtent l="4445" t="0" r="14605" b="13335"/>
                <wp:wrapNone/>
                <wp:docPr id="74" name="直接连接符 74"/>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277.35pt;margin-top:10.3pt;height:13.95pt;width:0pt;z-index:251666432;mso-width-relative:page;mso-height-relative:page;" filled="f" stroked="t" coordsize="21600,21600" o:gfxdata="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ZXTOptcAAAAJAQAADwAAAAAAAAABACAAAAAiAAAAZHJz&#10;L2Rvd25yZXYueG1sUEsBAhQAFAAAAAgAh07iQGqgaYzMAQAAawMAAA4AAAAAAAAAAQAgAAAAJgEA&#10;AGRycy9lMm9Eb2MueG1sUEsFBgAAAAAGAAYAWQEAAGQ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1734820</wp:posOffset>
                </wp:positionH>
                <wp:positionV relativeFrom="paragraph">
                  <wp:posOffset>132080</wp:posOffset>
                </wp:positionV>
                <wp:extent cx="1782445" cy="0"/>
                <wp:effectExtent l="0" t="4445" r="0" b="5080"/>
                <wp:wrapNone/>
                <wp:docPr id="63" name="直接连接符 63"/>
                <wp:cNvGraphicFramePr/>
                <a:graphic xmlns:a="http://schemas.openxmlformats.org/drawingml/2006/main">
                  <a:graphicData uri="http://schemas.microsoft.com/office/word/2010/wordprocessingShape">
                    <wps:wsp>
                      <wps:cNvCnPr>
                        <a:cxnSpLocks noChangeShapeType="1"/>
                      </wps:cNvCnPr>
                      <wps:spPr bwMode="auto">
                        <a:xfrm>
                          <a:off x="0" y="0"/>
                          <a:ext cx="178244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6pt;margin-top:10.4pt;height:0pt;width:140.35pt;z-index:251664384;mso-width-relative:page;mso-height-relative:page;" filled="f" stroked="t" coordsize="21600,21600" o:gfxdata="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MgS0XdYAAAAJAQAADwAAAAAAAAABACAAAAAiAAAA&#10;ZHJzL2Rvd25yZXYueG1sUEsBAhQAFAAAAAgAh07iQJCEtmDQAQAAbAMAAA4AAAAAAAAAAQAgAAAA&#10;JQEAAGRycy9lMm9Eb2MueG1sUEsFBgAAAAAGAAYAWQEAAGcFAAAAAA==&#10;">
                <v:fill on="f" focussize="0,0"/>
                <v:stroke color="#000000" joinstyle="round"/>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1792" behindDoc="0" locked="0" layoutInCell="1" allowOverlap="1">
                <wp:simplePos x="0" y="0"/>
                <wp:positionH relativeFrom="column">
                  <wp:posOffset>168275</wp:posOffset>
                </wp:positionH>
                <wp:positionV relativeFrom="paragraph">
                  <wp:posOffset>40640</wp:posOffset>
                </wp:positionV>
                <wp:extent cx="504190" cy="1000760"/>
                <wp:effectExtent l="0" t="0" r="0" b="0"/>
                <wp:wrapNone/>
                <wp:docPr id="72" name="矩形 72"/>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第</w:t>
                            </w:r>
                          </w:p>
                          <w:p>
                            <w:pPr>
                              <w:pStyle w:val="523"/>
                              <w:spacing w:line="300" w:lineRule="exact"/>
                              <w:ind w:firstLine="0" w:firstLineChars="0"/>
                              <w:rPr>
                                <w:rFonts w:hAnsi="宋体" w:eastAsia="宋体"/>
                                <w:sz w:val="21"/>
                                <w:szCs w:val="21"/>
                              </w:rPr>
                            </w:pPr>
                            <w:r>
                              <w:rPr>
                                <w:rFonts w:hint="eastAsia" w:hAnsi="宋体" w:eastAsia="宋体"/>
                                <w:sz w:val="21"/>
                                <w:szCs w:val="21"/>
                              </w:rPr>
                              <w:t>二</w:t>
                            </w:r>
                          </w:p>
                          <w:p>
                            <w:pPr>
                              <w:pStyle w:val="523"/>
                              <w:spacing w:line="300" w:lineRule="exact"/>
                              <w:ind w:firstLine="0" w:firstLineChars="0"/>
                              <w:rPr>
                                <w:rFonts w:hAnsi="宋体" w:eastAsia="宋体"/>
                                <w:sz w:val="21"/>
                                <w:szCs w:val="21"/>
                              </w:rPr>
                            </w:pPr>
                            <w:r>
                              <w:rPr>
                                <w:rFonts w:hint="eastAsia" w:hAnsi="宋体" w:eastAsia="宋体"/>
                                <w:sz w:val="21"/>
                                <w:szCs w:val="21"/>
                              </w:rPr>
                              <w:t>阶</w:t>
                            </w:r>
                          </w:p>
                          <w:p>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25pt;margin-top:3.2pt;height:78.8pt;width:39.7pt;z-index:251681792;mso-width-relative:page;mso-height-relative:page;" filled="f" stroked="f" coordsize="21600,21600" o:gfxdata="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iJKaZ2QAAAAgBAAAPAAAAAAAAAAEAIAAAACIAAABkcnMvZG93bnJldi54bWxQ&#10;SwECFAAUAAAACACHTuJA//rM5fYBAADKAwAADgAAAAAAAAABACAAAAAoAQAAZHJzL2Uyb0RvYy54&#10;bWxQSwUGAAAAAAYABgBZAQAAkAUAAAAA&#10;">
                <v:fill on="f" focussize="0,0"/>
                <v:stroke on="f"/>
                <v:imagedata o:title=""/>
                <o:lock v:ext="edit" aspectratio="f"/>
                <v:textbox>
                  <w:txbxContent>
                    <w:p>
                      <w:pPr>
                        <w:pStyle w:val="523"/>
                        <w:spacing w:line="300" w:lineRule="exact"/>
                        <w:ind w:firstLine="0" w:firstLineChars="0"/>
                        <w:rPr>
                          <w:rFonts w:hAnsi="宋体" w:eastAsia="宋体"/>
                          <w:sz w:val="21"/>
                          <w:szCs w:val="21"/>
                        </w:rPr>
                      </w:pPr>
                      <w:r>
                        <w:rPr>
                          <w:rFonts w:hint="eastAsia" w:hAnsi="宋体" w:eastAsia="宋体"/>
                          <w:sz w:val="21"/>
                          <w:szCs w:val="21"/>
                        </w:rPr>
                        <w:t>第</w:t>
                      </w:r>
                    </w:p>
                    <w:p>
                      <w:pPr>
                        <w:pStyle w:val="523"/>
                        <w:spacing w:line="300" w:lineRule="exact"/>
                        <w:ind w:firstLine="0" w:firstLineChars="0"/>
                        <w:rPr>
                          <w:rFonts w:hAnsi="宋体" w:eastAsia="宋体"/>
                          <w:sz w:val="21"/>
                          <w:szCs w:val="21"/>
                        </w:rPr>
                      </w:pPr>
                      <w:r>
                        <w:rPr>
                          <w:rFonts w:hint="eastAsia" w:hAnsi="宋体" w:eastAsia="宋体"/>
                          <w:sz w:val="21"/>
                          <w:szCs w:val="21"/>
                        </w:rPr>
                        <w:t>二</w:t>
                      </w:r>
                    </w:p>
                    <w:p>
                      <w:pPr>
                        <w:pStyle w:val="523"/>
                        <w:spacing w:line="300" w:lineRule="exact"/>
                        <w:ind w:firstLine="0" w:firstLineChars="0"/>
                        <w:rPr>
                          <w:rFonts w:hAnsi="宋体" w:eastAsia="宋体"/>
                          <w:sz w:val="21"/>
                          <w:szCs w:val="21"/>
                        </w:rPr>
                      </w:pPr>
                      <w:r>
                        <w:rPr>
                          <w:rFonts w:hint="eastAsia" w:hAnsi="宋体" w:eastAsia="宋体"/>
                          <w:sz w:val="21"/>
                          <w:szCs w:val="21"/>
                        </w:rPr>
                        <w:t>阶</w:t>
                      </w:r>
                    </w:p>
                    <w:p>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3059430</wp:posOffset>
                </wp:positionH>
                <wp:positionV relativeFrom="paragraph">
                  <wp:posOffset>1270</wp:posOffset>
                </wp:positionV>
                <wp:extent cx="915670" cy="367665"/>
                <wp:effectExtent l="5080" t="4445" r="12700" b="8890"/>
                <wp:wrapNone/>
                <wp:docPr id="71" name="矩形 71"/>
                <wp:cNvGraphicFramePr/>
                <a:graphic xmlns:a="http://schemas.openxmlformats.org/drawingml/2006/main">
                  <a:graphicData uri="http://schemas.microsoft.com/office/word/2010/wordprocessingShape">
                    <wps:wsp>
                      <wps:cNvSpPr>
                        <a:spLocks noChangeArrowheads="1"/>
                      </wps:cNvSpPr>
                      <wps:spPr bwMode="auto">
                        <a:xfrm>
                          <a:off x="0" y="0"/>
                          <a:ext cx="915670" cy="367665"/>
                        </a:xfrm>
                        <a:prstGeom prst="rect">
                          <a:avLst/>
                        </a:prstGeom>
                        <a:noFill/>
                        <a:ln w="9525">
                          <a:solidFill>
                            <a:srgbClr val="000000"/>
                          </a:solidFill>
                          <a:miter lim="800000"/>
                        </a:ln>
                        <a:effectLst/>
                      </wps:spPr>
                      <wps:txbx>
                        <w:txbxContent>
                          <w:p>
                            <w:pPr>
                              <w:pStyle w:val="523"/>
                              <w:spacing w:line="300" w:lineRule="exact"/>
                              <w:ind w:firstLine="0" w:firstLineChars="0"/>
                              <w:jc w:val="center"/>
                              <w:rPr>
                                <w:rFonts w:hAnsi="宋体" w:eastAsia="宋体"/>
                                <w:sz w:val="21"/>
                                <w:szCs w:val="21"/>
                              </w:rPr>
                            </w:pPr>
                            <w:r>
                              <w:rPr>
                                <w:rFonts w:hint="eastAsia" w:hAnsi="宋体" w:eastAsia="宋体"/>
                                <w:sz w:val="21"/>
                                <w:szCs w:val="21"/>
                              </w:rPr>
                              <w:t>建设项目</w:t>
                            </w:r>
                          </w:p>
                          <w:p>
                            <w:pPr>
                              <w:pStyle w:val="523"/>
                              <w:spacing w:line="300" w:lineRule="exact"/>
                              <w:ind w:firstLine="0" w:firstLineChars="0"/>
                              <w:jc w:val="center"/>
                              <w:rPr>
                                <w:rFonts w:hAnsi="宋体" w:eastAsia="宋体"/>
                                <w:sz w:val="21"/>
                                <w:szCs w:val="21"/>
                              </w:rPr>
                            </w:pPr>
                            <w:r>
                              <w:rPr>
                                <w:rFonts w:hint="eastAsia" w:hAnsi="宋体" w:eastAsia="宋体"/>
                                <w:sz w:val="21"/>
                                <w:szCs w:val="21"/>
                              </w:rPr>
                              <w:t>工程分析</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240.9pt;margin-top:0.1pt;height:28.95pt;width:72.1pt;z-index:251668480;mso-width-relative:page;mso-height-relative:page;" filled="f" stroked="t" coordsize="21600,21600" o:gfxdata="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JGbHdMAAAAHAQAADwAAAAAAAAABACAA&#10;AAAiAAAAZHJzL2Rvd25yZXYueG1sUEsBAhQAFAAAAAgAh07iQKZ/XRUSAgAAAgQAAA4AAAAAAAAA&#10;AQAgAAAAIgEAAGRycy9lMm9Eb2MueG1sUEsFBgAAAAAGAAYAWQEAAKYFAAAAAA==&#10;">
                <v:fill on="f" focussize="0,0"/>
                <v:stroke color="#000000" miterlimit="8" joinstyle="miter"/>
                <v:imagedata o:title=""/>
                <o:lock v:ext="edit" aspectratio="f"/>
                <v:textbox inset="0mm,0mm,0mm,0mm">
                  <w:txbxContent>
                    <w:p>
                      <w:pPr>
                        <w:pStyle w:val="523"/>
                        <w:spacing w:line="300" w:lineRule="exact"/>
                        <w:ind w:firstLine="0" w:firstLineChars="0"/>
                        <w:jc w:val="center"/>
                        <w:rPr>
                          <w:rFonts w:hAnsi="宋体" w:eastAsia="宋体"/>
                          <w:sz w:val="21"/>
                          <w:szCs w:val="21"/>
                        </w:rPr>
                      </w:pPr>
                      <w:r>
                        <w:rPr>
                          <w:rFonts w:hint="eastAsia" w:hAnsi="宋体" w:eastAsia="宋体"/>
                          <w:sz w:val="21"/>
                          <w:szCs w:val="21"/>
                        </w:rPr>
                        <w:t>建设项目</w:t>
                      </w:r>
                    </w:p>
                    <w:p>
                      <w:pPr>
                        <w:pStyle w:val="523"/>
                        <w:spacing w:line="300" w:lineRule="exact"/>
                        <w:ind w:firstLine="0" w:firstLineChars="0"/>
                        <w:jc w:val="center"/>
                        <w:rPr>
                          <w:rFonts w:hAnsi="宋体" w:eastAsia="宋体"/>
                          <w:sz w:val="21"/>
                          <w:szCs w:val="21"/>
                        </w:rPr>
                      </w:pPr>
                      <w:r>
                        <w:rPr>
                          <w:rFonts w:hint="eastAsia" w:hAnsi="宋体" w:eastAsia="宋体"/>
                          <w:sz w:val="21"/>
                          <w:szCs w:val="21"/>
                        </w:rPr>
                        <w:t>工程分析</w:t>
                      </w:r>
                    </w:p>
                  </w:txbxContent>
                </v:textbox>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3600" behindDoc="0" locked="0" layoutInCell="1" allowOverlap="1">
                <wp:simplePos x="0" y="0"/>
                <wp:positionH relativeFrom="column">
                  <wp:posOffset>2656205</wp:posOffset>
                </wp:positionH>
                <wp:positionV relativeFrom="paragraph">
                  <wp:posOffset>243205</wp:posOffset>
                </wp:positionV>
                <wp:extent cx="0" cy="205105"/>
                <wp:effectExtent l="38100" t="0" r="38100" b="4445"/>
                <wp:wrapNone/>
                <wp:docPr id="70" name="直接连接符 70"/>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9.15pt;margin-top:19.15pt;height:16.15pt;width:0pt;z-index:251673600;mso-width-relative:page;mso-height-relative:page;" filled="f" stroked="t" coordsize="21600,21600" o:gfxdata="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G7Tl92AAA&#10;AAkBAAAPAAAAAAAAAAEAIAAAACIAAABkcnMvZG93bnJldi54bWxQSwECFAAUAAAACACHTuJAATZq&#10;7+UBAACZAwAADgAAAAAAAAABACAAAAAnAQAAZHJzL2Uyb0RvYy54bWxQSwUGAAAAAAYABgBZAQAA&#10;fg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3528060</wp:posOffset>
                </wp:positionH>
                <wp:positionV relativeFrom="paragraph">
                  <wp:posOffset>59690</wp:posOffset>
                </wp:positionV>
                <wp:extent cx="0" cy="177165"/>
                <wp:effectExtent l="4445" t="0" r="14605" b="13335"/>
                <wp:wrapNone/>
                <wp:docPr id="69" name="直接连接符 69"/>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277.8pt;margin-top:4.7pt;height:13.95pt;width:0pt;z-index:251671552;mso-width-relative:page;mso-height-relative:page;" filled="f" stroked="t" coordsize="21600,21600" o:gfxdata="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bQm8f1gAAAAgBAAAPAAAAAAAAAAEAIAAAACIAAABkcnMv&#10;ZG93bnJldi54bWxQSwECFAAUAAAACACHTuJAsua4vcwBAABrAwAADgAAAAAAAAABACAAAAAlAQAA&#10;ZHJzL2Uyb0RvYy54bWxQSwUGAAAAAAYABgBZAQAAY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1738630</wp:posOffset>
                </wp:positionH>
                <wp:positionV relativeFrom="paragraph">
                  <wp:posOffset>235585</wp:posOffset>
                </wp:positionV>
                <wp:extent cx="1782445" cy="0"/>
                <wp:effectExtent l="0" t="4445" r="0" b="5080"/>
                <wp:wrapNone/>
                <wp:docPr id="68" name="直接连接符 68"/>
                <wp:cNvGraphicFramePr/>
                <a:graphic xmlns:a="http://schemas.openxmlformats.org/drawingml/2006/main">
                  <a:graphicData uri="http://schemas.microsoft.com/office/word/2010/wordprocessingShape">
                    <wps:wsp>
                      <wps:cNvCnPr>
                        <a:cxnSpLocks noChangeShapeType="1"/>
                      </wps:cNvCnPr>
                      <wps:spPr bwMode="auto">
                        <a:xfrm>
                          <a:off x="0" y="0"/>
                          <a:ext cx="178244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9pt;margin-top:18.55pt;height:0pt;width:140.35pt;z-index:251669504;mso-width-relative:page;mso-height-relative:page;" filled="f" stroked="t" coordsize="21600,21600" o:gfxdata="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G22qdjXAAAACQEAAA8AAAAAAAAAAQAgAAAAIgAA&#10;AGRycy9kb3ducmV2LnhtbFBLAQIUABQAAAAIAIdO4kA3bUWG0AEAAGwDAAAOAAAAAAAAAAEAIAAA&#10;ACYBAABkcnMvZTJvRG9jLnhtbFBLBQYAAAAABgAGAFkBAABo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1736090</wp:posOffset>
                </wp:positionH>
                <wp:positionV relativeFrom="paragraph">
                  <wp:posOffset>54610</wp:posOffset>
                </wp:positionV>
                <wp:extent cx="0" cy="177165"/>
                <wp:effectExtent l="4445" t="0" r="14605" b="13335"/>
                <wp:wrapNone/>
                <wp:docPr id="67" name="直接连接符 67"/>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7pt;margin-top:4.3pt;height:13.95pt;width:0pt;z-index:251670528;mso-width-relative:page;mso-height-relative:page;" filled="f" stroked="t" coordsize="21600,21600" o:gfxdata="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J0HunfVAAAACAEAAA8AAAAAAAAAAQAgAAAAIgAAAGRycy9k&#10;b3ducmV2LnhtbFBLAQIUABQAAAAIAIdO4kAf0oSazAEAAGsDAAAOAAAAAAAAAAEAIAAAACQBAABk&#10;cnMvZTJvRG9jLnhtbFBLBQYAAAAABgAGAFkBAABiBQAAAAA=&#10;">
                <v:fill on="f" focussize="0,0"/>
                <v:stroke color="#000000" joinstyle="round"/>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2576" behindDoc="0" locked="0" layoutInCell="1" allowOverlap="1">
                <wp:simplePos x="0" y="0"/>
                <wp:positionH relativeFrom="column">
                  <wp:posOffset>1569720</wp:posOffset>
                </wp:positionH>
                <wp:positionV relativeFrom="paragraph">
                  <wp:posOffset>140335</wp:posOffset>
                </wp:positionV>
                <wp:extent cx="2187575" cy="396875"/>
                <wp:effectExtent l="4445" t="4445" r="17780" b="17780"/>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2187575" cy="396875"/>
                        </a:xfrm>
                        <a:prstGeom prst="rect">
                          <a:avLst/>
                        </a:prstGeom>
                        <a:noFill/>
                        <a:ln w="9525">
                          <a:solidFill>
                            <a:srgbClr val="000000"/>
                          </a:solidFill>
                          <a:miter lim="800000"/>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1 各环境要素环境影响预测与评价</w:t>
                            </w:r>
                          </w:p>
                          <w:p>
                            <w:pPr>
                              <w:pStyle w:val="523"/>
                              <w:spacing w:line="300" w:lineRule="exact"/>
                              <w:ind w:firstLine="0" w:firstLineChars="0"/>
                              <w:rPr>
                                <w:rFonts w:hAnsi="宋体" w:eastAsia="宋体"/>
                                <w:sz w:val="21"/>
                                <w:szCs w:val="21"/>
                              </w:rPr>
                            </w:pPr>
                            <w:r>
                              <w:rPr>
                                <w:rFonts w:hint="eastAsia" w:hAnsi="宋体" w:eastAsia="宋体"/>
                                <w:sz w:val="21"/>
                                <w:szCs w:val="21"/>
                              </w:rPr>
                              <w:t>2 各专题环境影响分析与评价</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3.6pt;margin-top:11.05pt;height:31.25pt;width:172.25pt;z-index:251672576;mso-width-relative:page;mso-height-relative:page;" filled="f" stroked="t" coordsize="21600,21600" o:gfxdata="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dm4kNYAAAAJAQAADwAAAAAAAAAB&#10;ACAAAAAiAAAAZHJzL2Rvd25yZXYueG1sUEsBAhQAFAAAAAgAh07iQIMtybESAgAAAwQAAA4AAAAA&#10;AAAAAQAgAAAAJQEAAGRycy9lMm9Eb2MueG1sUEsFBgAAAAAGAAYAWQEAAKkFAAAAAA==&#10;">
                <v:fill on="f" focussize="0,0"/>
                <v:stroke color="#000000" miterlimit="8" joinstyle="miter"/>
                <v:imagedata o:title=""/>
                <o:lock v:ext="edit" aspectratio="f"/>
                <v:textbox inset="0mm,0mm,0mm,0mm">
                  <w:txbxContent>
                    <w:p>
                      <w:pPr>
                        <w:pStyle w:val="523"/>
                        <w:spacing w:line="300" w:lineRule="exact"/>
                        <w:ind w:firstLine="0" w:firstLineChars="0"/>
                        <w:rPr>
                          <w:rFonts w:hAnsi="宋体" w:eastAsia="宋体"/>
                          <w:sz w:val="21"/>
                          <w:szCs w:val="21"/>
                        </w:rPr>
                      </w:pPr>
                      <w:r>
                        <w:rPr>
                          <w:rFonts w:hint="eastAsia" w:hAnsi="宋体" w:eastAsia="宋体"/>
                          <w:sz w:val="21"/>
                          <w:szCs w:val="21"/>
                        </w:rPr>
                        <w:t>1 各环境要素环境影响预测与评价</w:t>
                      </w:r>
                    </w:p>
                    <w:p>
                      <w:pPr>
                        <w:pStyle w:val="523"/>
                        <w:spacing w:line="300" w:lineRule="exact"/>
                        <w:ind w:firstLine="0" w:firstLineChars="0"/>
                        <w:rPr>
                          <w:rFonts w:hAnsi="宋体" w:eastAsia="宋体"/>
                          <w:sz w:val="21"/>
                          <w:szCs w:val="21"/>
                        </w:rPr>
                      </w:pPr>
                      <w:r>
                        <w:rPr>
                          <w:rFonts w:hint="eastAsia" w:hAnsi="宋体" w:eastAsia="宋体"/>
                          <w:sz w:val="21"/>
                          <w:szCs w:val="21"/>
                        </w:rPr>
                        <w:t>2 各专题环境影响分析与评价</w:t>
                      </w:r>
                    </w:p>
                  </w:txbxContent>
                </v:textbox>
              </v:rect>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4624" behindDoc="0" locked="0" layoutInCell="1" allowOverlap="1">
                <wp:simplePos x="0" y="0"/>
                <wp:positionH relativeFrom="column">
                  <wp:posOffset>2673350</wp:posOffset>
                </wp:positionH>
                <wp:positionV relativeFrom="paragraph">
                  <wp:posOffset>224155</wp:posOffset>
                </wp:positionV>
                <wp:extent cx="0" cy="297180"/>
                <wp:effectExtent l="38100" t="0" r="38100" b="7620"/>
                <wp:wrapNone/>
                <wp:docPr id="65" name="直接连接符 6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10.5pt;margin-top:17.65pt;height:23.4pt;width:0pt;z-index:251674624;mso-width-relative:page;mso-height-relative:page;" filled="f" stroked="t" coordsize="21600,21600" o:gfxdata="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k70N&#10;2NkAAAAJAQAADwAAAAAAAAABACAAAAAiAAAAZHJzL2Rvd25yZXYueG1sUEsBAhQAFAAAAAgAh07i&#10;QLJyLwLoAQAAmQMAAA4AAAAAAAAAAQAgAAAAKAEAAGRycy9lMm9Eb2MueG1sUEsFBgAAAAAGAAYA&#10;WQEAAIIFAAAAAA==&#10;">
                <v:fill on="f" focussize="0,0"/>
                <v:stroke color="#000000" joinstyle="round" endarrow="block"/>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2816" behindDoc="0" locked="0" layoutInCell="1" allowOverlap="1">
                <wp:simplePos x="0" y="0"/>
                <wp:positionH relativeFrom="column">
                  <wp:posOffset>177800</wp:posOffset>
                </wp:positionH>
                <wp:positionV relativeFrom="paragraph">
                  <wp:posOffset>273050</wp:posOffset>
                </wp:positionV>
                <wp:extent cx="504190" cy="1000760"/>
                <wp:effectExtent l="0" t="0" r="0" b="0"/>
                <wp:wrapNone/>
                <wp:docPr id="64" name="矩形 64"/>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第</w:t>
                            </w:r>
                          </w:p>
                          <w:p>
                            <w:pPr>
                              <w:pStyle w:val="523"/>
                              <w:spacing w:line="300" w:lineRule="exact"/>
                              <w:ind w:firstLine="0" w:firstLineChars="0"/>
                              <w:rPr>
                                <w:rFonts w:hAnsi="宋体" w:eastAsia="宋体"/>
                                <w:sz w:val="21"/>
                                <w:szCs w:val="21"/>
                              </w:rPr>
                            </w:pPr>
                            <w:r>
                              <w:rPr>
                                <w:rFonts w:hint="eastAsia" w:hAnsi="宋体" w:eastAsia="宋体"/>
                                <w:sz w:val="21"/>
                                <w:szCs w:val="21"/>
                              </w:rPr>
                              <w:t>三</w:t>
                            </w:r>
                          </w:p>
                          <w:p>
                            <w:pPr>
                              <w:pStyle w:val="523"/>
                              <w:spacing w:line="300" w:lineRule="exact"/>
                              <w:ind w:firstLine="0" w:firstLineChars="0"/>
                              <w:rPr>
                                <w:rFonts w:hAnsi="宋体" w:eastAsia="宋体"/>
                                <w:sz w:val="21"/>
                                <w:szCs w:val="21"/>
                              </w:rPr>
                            </w:pPr>
                            <w:r>
                              <w:rPr>
                                <w:rFonts w:hint="eastAsia" w:hAnsi="宋体" w:eastAsia="宋体"/>
                                <w:sz w:val="21"/>
                                <w:szCs w:val="21"/>
                              </w:rPr>
                              <w:t>阶</w:t>
                            </w:r>
                          </w:p>
                          <w:p>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4pt;margin-top:21.5pt;height:78.8pt;width:39.7pt;z-index:251682816;mso-width-relative:page;mso-height-relative:page;" filled="f" stroked="f" coordsize="21600,21600" o:gfxdata="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DJlpPYAAAACQEAAA8AAAAAAAAAAQAgAAAAIgAAAGRycy9kb3ducmV2LnhtbFBL&#10;AQIUABQAAAAIAIdO4kAgarMu9gEAAMoDAAAOAAAAAAAAAAEAIAAAACcBAABkcnMvZTJvRG9jLnht&#10;bFBLBQYAAAAABgAGAFkBAACPBQAAAAA=&#10;">
                <v:fill on="f" focussize="0,0"/>
                <v:stroke on="f"/>
                <v:imagedata o:title=""/>
                <o:lock v:ext="edit" aspectratio="f"/>
                <v:textbox>
                  <w:txbxContent>
                    <w:p>
                      <w:pPr>
                        <w:pStyle w:val="523"/>
                        <w:spacing w:line="300" w:lineRule="exact"/>
                        <w:ind w:firstLine="0" w:firstLineChars="0"/>
                        <w:rPr>
                          <w:rFonts w:hAnsi="宋体" w:eastAsia="宋体"/>
                          <w:sz w:val="21"/>
                          <w:szCs w:val="21"/>
                        </w:rPr>
                      </w:pPr>
                      <w:r>
                        <w:rPr>
                          <w:rFonts w:hint="eastAsia" w:hAnsi="宋体" w:eastAsia="宋体"/>
                          <w:sz w:val="21"/>
                          <w:szCs w:val="21"/>
                        </w:rPr>
                        <w:t>第</w:t>
                      </w:r>
                    </w:p>
                    <w:p>
                      <w:pPr>
                        <w:pStyle w:val="523"/>
                        <w:spacing w:line="300" w:lineRule="exact"/>
                        <w:ind w:firstLine="0" w:firstLineChars="0"/>
                        <w:rPr>
                          <w:rFonts w:hAnsi="宋体" w:eastAsia="宋体"/>
                          <w:sz w:val="21"/>
                          <w:szCs w:val="21"/>
                        </w:rPr>
                      </w:pPr>
                      <w:r>
                        <w:rPr>
                          <w:rFonts w:hint="eastAsia" w:hAnsi="宋体" w:eastAsia="宋体"/>
                          <w:sz w:val="21"/>
                          <w:szCs w:val="21"/>
                        </w:rPr>
                        <w:t>三</w:t>
                      </w:r>
                    </w:p>
                    <w:p>
                      <w:pPr>
                        <w:pStyle w:val="523"/>
                        <w:spacing w:line="300" w:lineRule="exact"/>
                        <w:ind w:firstLine="0" w:firstLineChars="0"/>
                        <w:rPr>
                          <w:rFonts w:hAnsi="宋体" w:eastAsia="宋体"/>
                          <w:sz w:val="21"/>
                          <w:szCs w:val="21"/>
                        </w:rPr>
                      </w:pPr>
                      <w:r>
                        <w:rPr>
                          <w:rFonts w:hint="eastAsia" w:hAnsi="宋体" w:eastAsia="宋体"/>
                          <w:sz w:val="21"/>
                          <w:szCs w:val="21"/>
                        </w:rPr>
                        <w:t>阶</w:t>
                      </w:r>
                    </w:p>
                    <w:p>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v:textbox>
              </v:rect>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47625</wp:posOffset>
                </wp:positionV>
                <wp:extent cx="5718810" cy="0"/>
                <wp:effectExtent l="0" t="4445" r="0" b="5080"/>
                <wp:wrapNone/>
                <wp:docPr id="88" name="直接连接符 88"/>
                <wp:cNvGraphicFramePr/>
                <a:graphic xmlns:a="http://schemas.openxmlformats.org/drawingml/2006/main">
                  <a:graphicData uri="http://schemas.microsoft.com/office/word/2010/wordprocessingShape">
                    <wps:wsp>
                      <wps:cNvCnPr>
                        <a:cxnSpLocks noChangeShapeType="1"/>
                      </wps:cNvCnPr>
                      <wps:spPr bwMode="auto">
                        <a:xfrm>
                          <a:off x="0" y="0"/>
                          <a:ext cx="5718810" cy="0"/>
                        </a:xfrm>
                        <a:prstGeom prst="line">
                          <a:avLst/>
                        </a:prstGeom>
                        <a:noFill/>
                        <a:ln w="9525">
                          <a:solidFill>
                            <a:srgbClr val="000000"/>
                          </a:solidFill>
                          <a:prstDash val="dash"/>
                          <a:round/>
                        </a:ln>
                        <a:effectLst/>
                      </wps:spPr>
                      <wps:bodyPr/>
                    </wps:wsp>
                  </a:graphicData>
                </a:graphic>
              </wp:anchor>
            </w:drawing>
          </mc:Choice>
          <mc:Fallback>
            <w:pict>
              <v:line id="_x0000_s1026" o:spid="_x0000_s1026" o:spt="20" style="position:absolute;left:0pt;margin-left:0pt;margin-top:3.75pt;height:0pt;width:450.3pt;z-index:251680768;mso-width-relative:page;mso-height-relative:page;" filled="f" stroked="t" coordsize="21600,21600" o:gfxdata="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EOfRntMAAAAEAQAADwAAAAAAAAABACAA&#10;AAAiAAAAZHJzL2Rvd25yZXYueG1sUEsBAhQAFAAAAAgAh07iQNUuBqDZAQAAhAMAAA4AAAAAAAAA&#10;AQAgAAAAIgEAAGRycy9lMm9Eb2MueG1sUEsFBgAAAAAGAAYAWQEAAG0FAAAAAA==&#10;">
                <v:fill on="f" focussize="0,0"/>
                <v:stroke color="#000000" joinstyle="round" dashstyle="dash"/>
                <v:imagedata o:title=""/>
                <o:lock v:ext="edit" aspectratio="f"/>
              </v:lin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1487805</wp:posOffset>
                </wp:positionH>
                <wp:positionV relativeFrom="paragraph">
                  <wp:posOffset>221615</wp:posOffset>
                </wp:positionV>
                <wp:extent cx="2376170" cy="575945"/>
                <wp:effectExtent l="5080" t="4445" r="19050" b="10160"/>
                <wp:wrapNone/>
                <wp:docPr id="89" name="矩形 89"/>
                <wp:cNvGraphicFramePr/>
                <a:graphic xmlns:a="http://schemas.openxmlformats.org/drawingml/2006/main">
                  <a:graphicData uri="http://schemas.microsoft.com/office/word/2010/wordprocessingShape">
                    <wps:wsp>
                      <wps:cNvSpPr>
                        <a:spLocks noChangeArrowheads="1"/>
                      </wps:cNvSpPr>
                      <wps:spPr bwMode="auto">
                        <a:xfrm>
                          <a:off x="0" y="0"/>
                          <a:ext cx="2376170" cy="575945"/>
                        </a:xfrm>
                        <a:prstGeom prst="rect">
                          <a:avLst/>
                        </a:prstGeom>
                        <a:noFill/>
                        <a:ln w="9525">
                          <a:solidFill>
                            <a:srgbClr val="000000"/>
                          </a:solidFill>
                          <a:miter lim="800000"/>
                        </a:ln>
                        <a:effectLst/>
                      </wps:spPr>
                      <wps:txbx>
                        <w:txbxContent>
                          <w:p>
                            <w:pPr>
                              <w:pStyle w:val="523"/>
                              <w:spacing w:line="300" w:lineRule="exact"/>
                              <w:ind w:firstLine="0" w:firstLineChars="0"/>
                              <w:rPr>
                                <w:rFonts w:hAnsi="宋体" w:eastAsia="宋体"/>
                                <w:sz w:val="21"/>
                                <w:szCs w:val="21"/>
                              </w:rPr>
                            </w:pPr>
                            <w:r>
                              <w:rPr>
                                <w:rFonts w:hint="eastAsia" w:hAnsi="宋体" w:eastAsia="宋体"/>
                                <w:sz w:val="21"/>
                                <w:szCs w:val="21"/>
                              </w:rPr>
                              <w:t>1 提出环境保护措施，进行技术经济论证</w:t>
                            </w:r>
                          </w:p>
                          <w:p>
                            <w:pPr>
                              <w:pStyle w:val="523"/>
                              <w:spacing w:line="300" w:lineRule="exact"/>
                              <w:ind w:firstLine="0" w:firstLineChars="0"/>
                              <w:rPr>
                                <w:rFonts w:hAnsi="宋体" w:eastAsia="宋体"/>
                                <w:sz w:val="21"/>
                                <w:szCs w:val="21"/>
                              </w:rPr>
                            </w:pPr>
                            <w:r>
                              <w:rPr>
                                <w:rFonts w:hint="eastAsia" w:hAnsi="宋体" w:eastAsia="宋体"/>
                                <w:sz w:val="21"/>
                                <w:szCs w:val="21"/>
                              </w:rPr>
                              <w:t>2 给出污染物排放清单</w:t>
                            </w:r>
                          </w:p>
                          <w:p>
                            <w:pPr>
                              <w:pStyle w:val="523"/>
                              <w:spacing w:line="300" w:lineRule="exact"/>
                              <w:ind w:firstLine="0" w:firstLineChars="0"/>
                              <w:rPr>
                                <w:rFonts w:hAnsi="宋体" w:eastAsia="宋体"/>
                                <w:sz w:val="21"/>
                                <w:szCs w:val="21"/>
                              </w:rPr>
                            </w:pPr>
                            <w:r>
                              <w:rPr>
                                <w:rFonts w:hint="eastAsia" w:hAnsi="宋体" w:eastAsia="宋体"/>
                                <w:sz w:val="21"/>
                                <w:szCs w:val="21"/>
                              </w:rPr>
                              <w:t>3 给出建设项目环境影响评价结论</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7.15pt;margin-top:17.45pt;height:45.35pt;width:187.1pt;z-index:251675648;mso-width-relative:page;mso-height-relative:page;" filled="f" stroked="t" coordsize="21600,21600" o:gfxdata="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pCFw1gAAAAoBAAAPAAAAAAAA&#10;AAEAIAAAACIAAABkcnMvZG93bnJldi54bWxQSwECFAAUAAAACACHTuJAnTXZDhQCAAADBAAADgAA&#10;AAAAAAABACAAAAAlAQAAZHJzL2Uyb0RvYy54bWxQSwUGAAAAAAYABgBZAQAAqwUAAAAA&#10;">
                <v:fill on="f" focussize="0,0"/>
                <v:stroke color="#000000" miterlimit="8" joinstyle="miter"/>
                <v:imagedata o:title=""/>
                <o:lock v:ext="edit" aspectratio="f"/>
                <v:textbox inset="0mm,0mm,0mm,0mm">
                  <w:txbxContent>
                    <w:p>
                      <w:pPr>
                        <w:pStyle w:val="523"/>
                        <w:spacing w:line="300" w:lineRule="exact"/>
                        <w:ind w:firstLine="0" w:firstLineChars="0"/>
                        <w:rPr>
                          <w:rFonts w:hAnsi="宋体" w:eastAsia="宋体"/>
                          <w:sz w:val="21"/>
                          <w:szCs w:val="21"/>
                        </w:rPr>
                      </w:pPr>
                      <w:r>
                        <w:rPr>
                          <w:rFonts w:hint="eastAsia" w:hAnsi="宋体" w:eastAsia="宋体"/>
                          <w:sz w:val="21"/>
                          <w:szCs w:val="21"/>
                        </w:rPr>
                        <w:t>1 提出环境保护措施，进行技术经济论证</w:t>
                      </w:r>
                    </w:p>
                    <w:p>
                      <w:pPr>
                        <w:pStyle w:val="523"/>
                        <w:spacing w:line="300" w:lineRule="exact"/>
                        <w:ind w:firstLine="0" w:firstLineChars="0"/>
                        <w:rPr>
                          <w:rFonts w:hAnsi="宋体" w:eastAsia="宋体"/>
                          <w:sz w:val="21"/>
                          <w:szCs w:val="21"/>
                        </w:rPr>
                      </w:pPr>
                      <w:r>
                        <w:rPr>
                          <w:rFonts w:hint="eastAsia" w:hAnsi="宋体" w:eastAsia="宋体"/>
                          <w:sz w:val="21"/>
                          <w:szCs w:val="21"/>
                        </w:rPr>
                        <w:t>2 给出污染物排放清单</w:t>
                      </w:r>
                    </w:p>
                    <w:p>
                      <w:pPr>
                        <w:pStyle w:val="523"/>
                        <w:spacing w:line="300" w:lineRule="exact"/>
                        <w:ind w:firstLine="0" w:firstLineChars="0"/>
                        <w:rPr>
                          <w:rFonts w:hAnsi="宋体" w:eastAsia="宋体"/>
                          <w:sz w:val="21"/>
                          <w:szCs w:val="21"/>
                        </w:rPr>
                      </w:pPr>
                      <w:r>
                        <w:rPr>
                          <w:rFonts w:hint="eastAsia" w:hAnsi="宋体" w:eastAsia="宋体"/>
                          <w:sz w:val="21"/>
                          <w:szCs w:val="21"/>
                        </w:rPr>
                        <w:t>3 给出建设项目环境影响评价结论</w:t>
                      </w:r>
                    </w:p>
                  </w:txbxContent>
                </v:textbox>
              </v:rect>
            </w:pict>
          </mc:Fallback>
        </mc:AlternateContent>
      </w:r>
    </w:p>
    <w:p>
      <w:pPr>
        <w:widowControl/>
        <w:overflowPunct w:val="0"/>
        <w:autoSpaceDE w:val="0"/>
        <w:autoSpaceDN w:val="0"/>
        <w:adjustRightInd w:val="0"/>
        <w:spacing w:line="500" w:lineRule="exact"/>
        <w:ind w:firstLine="450" w:firstLineChars="200"/>
        <w:jc w:val="left"/>
        <w:textAlignment w:val="baseline"/>
        <w:rPr>
          <w:rFonts w:ascii="Arial" w:hAnsi="Arial" w:eastAsia="宋体" w:cs="Arial"/>
          <w:kern w:val="0"/>
          <w:sz w:val="24"/>
          <w:szCs w:val="24"/>
        </w:rPr>
      </w:pP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6672" behindDoc="0" locked="0" layoutInCell="1" allowOverlap="1">
                <wp:simplePos x="0" y="0"/>
                <wp:positionH relativeFrom="column">
                  <wp:posOffset>2687955</wp:posOffset>
                </wp:positionH>
                <wp:positionV relativeFrom="paragraph">
                  <wp:posOffset>175260</wp:posOffset>
                </wp:positionV>
                <wp:extent cx="0" cy="297180"/>
                <wp:effectExtent l="38100" t="0" r="38100" b="7620"/>
                <wp:wrapNone/>
                <wp:docPr id="90" name="直接连接符 9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11.65pt;margin-top:13.8pt;height:23.4pt;width:0pt;z-index:251676672;mso-width-relative:page;mso-height-relative:page;" filled="f" stroked="t" coordsize="21600,21600" o:gfxdata="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LslKG&#10;2QAAAAkBAAAPAAAAAAAAAAEAIAAAACIAAABkcnMvZG93bnJldi54bWxQSwECFAAUAAAACACHTuJA&#10;IWSEQecBAACZAwAADgAAAAAAAAABACAAAAAoAQAAZHJzL2Uyb0RvYy54bWxQSwUGAAAAAAYABgBZ&#10;AQAAgQUAAAAA&#10;">
                <v:fill on="f" focussize="0,0"/>
                <v:stroke color="#000000" joinstyle="round" endarrow="block"/>
                <v:imagedata o:title=""/>
                <o:lock v:ext="edit" aspectratio="f"/>
              </v:line>
            </w:pict>
          </mc:Fallback>
        </mc:AlternateContent>
      </w:r>
    </w:p>
    <w:p>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7696" behindDoc="0" locked="0" layoutInCell="1" allowOverlap="1">
                <wp:simplePos x="0" y="0"/>
                <wp:positionH relativeFrom="column">
                  <wp:posOffset>1597025</wp:posOffset>
                </wp:positionH>
                <wp:positionV relativeFrom="paragraph">
                  <wp:posOffset>163195</wp:posOffset>
                </wp:positionV>
                <wp:extent cx="2187575" cy="217170"/>
                <wp:effectExtent l="4445" t="4445" r="17780" b="6985"/>
                <wp:wrapNone/>
                <wp:docPr id="91" name="矩形 91"/>
                <wp:cNvGraphicFramePr/>
                <a:graphic xmlns:a="http://schemas.openxmlformats.org/drawingml/2006/main">
                  <a:graphicData uri="http://schemas.microsoft.com/office/word/2010/wordprocessingShape">
                    <wps:wsp>
                      <wps:cNvSpPr>
                        <a:spLocks noChangeArrowheads="1"/>
                      </wps:cNvSpPr>
                      <wps:spPr bwMode="auto">
                        <a:xfrm>
                          <a:off x="0" y="0"/>
                          <a:ext cx="2187575" cy="217170"/>
                        </a:xfrm>
                        <a:prstGeom prst="rect">
                          <a:avLst/>
                        </a:prstGeom>
                        <a:noFill/>
                        <a:ln w="9525">
                          <a:solidFill>
                            <a:srgbClr val="000000"/>
                          </a:solidFill>
                          <a:miter lim="800000"/>
                        </a:ln>
                        <a:effectLst/>
                      </wps:spPr>
                      <wps:txbx>
                        <w:txbxContent>
                          <w:p>
                            <w:pPr>
                              <w:pStyle w:val="523"/>
                              <w:spacing w:line="300" w:lineRule="exact"/>
                              <w:ind w:firstLine="0" w:firstLineChars="0"/>
                              <w:jc w:val="center"/>
                              <w:rPr>
                                <w:rFonts w:hAnsi="宋体" w:eastAsia="宋体"/>
                                <w:sz w:val="21"/>
                                <w:szCs w:val="21"/>
                              </w:rPr>
                            </w:pPr>
                            <w:r>
                              <w:rPr>
                                <w:rFonts w:hint="eastAsia" w:hAnsi="宋体" w:eastAsia="宋体"/>
                                <w:sz w:val="21"/>
                                <w:szCs w:val="21"/>
                              </w:rPr>
                              <w:t>编制环境影响报告书</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5.75pt;margin-top:12.85pt;height:17.1pt;width:172.25pt;z-index:251677696;mso-width-relative:page;mso-height-relative:page;" filled="f" stroked="t" coordsize="21600,21600" o:gfxdata="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CMOMNQAAAAJAQAADwAAAAAAAAAB&#10;ACAAAAAiAAAAZHJzL2Rvd25yZXYueG1sUEsBAhQAFAAAAAgAh07iQHvvur4UAgAAAwQAAA4AAAAA&#10;AAAAAQAgAAAAIwEAAGRycy9lMm9Eb2MueG1sUEsFBgAAAAAGAAYAWQEAAKkFAAAAAA==&#10;">
                <v:fill on="f" focussize="0,0"/>
                <v:stroke color="#000000" miterlimit="8" joinstyle="miter"/>
                <v:imagedata o:title=""/>
                <o:lock v:ext="edit" aspectratio="f"/>
                <v:textbox inset="0mm,0mm,0mm,0mm">
                  <w:txbxContent>
                    <w:p>
                      <w:pPr>
                        <w:pStyle w:val="523"/>
                        <w:spacing w:line="300" w:lineRule="exact"/>
                        <w:ind w:firstLine="0" w:firstLineChars="0"/>
                        <w:jc w:val="center"/>
                        <w:rPr>
                          <w:rFonts w:hAnsi="宋体" w:eastAsia="宋体"/>
                          <w:sz w:val="21"/>
                          <w:szCs w:val="21"/>
                        </w:rPr>
                      </w:pPr>
                      <w:r>
                        <w:rPr>
                          <w:rFonts w:hint="eastAsia" w:hAnsi="宋体" w:eastAsia="宋体"/>
                          <w:sz w:val="21"/>
                          <w:szCs w:val="21"/>
                        </w:rPr>
                        <w:t>编制环境影响报告书</w:t>
                      </w:r>
                    </w:p>
                  </w:txbxContent>
                </v:textbox>
              </v:rect>
            </w:pict>
          </mc:Fallback>
        </mc:AlternateContent>
      </w:r>
    </w:p>
    <w:p>
      <w:pPr>
        <w:widowControl/>
        <w:overflowPunct w:val="0"/>
        <w:autoSpaceDE w:val="0"/>
        <w:autoSpaceDN w:val="0"/>
        <w:adjustRightInd w:val="0"/>
        <w:spacing w:line="500" w:lineRule="exact"/>
        <w:ind w:firstLine="450" w:firstLineChars="200"/>
        <w:textAlignment w:val="baseline"/>
        <w:rPr>
          <w:rFonts w:ascii="Arial" w:hAnsi="Arial" w:eastAsia="宋体" w:cs="Arial"/>
          <w:b/>
          <w:kern w:val="0"/>
          <w:sz w:val="24"/>
          <w:szCs w:val="24"/>
        </w:rPr>
      </w:pPr>
    </w:p>
    <w:p>
      <w:pPr>
        <w:widowControl/>
        <w:overflowPunct w:val="0"/>
        <w:autoSpaceDE w:val="0"/>
        <w:autoSpaceDN w:val="0"/>
        <w:adjustRightInd w:val="0"/>
        <w:spacing w:line="500" w:lineRule="exact"/>
        <w:ind w:firstLine="450" w:firstLineChars="200"/>
        <w:jc w:val="center"/>
        <w:textAlignment w:val="baseline"/>
        <w:rPr>
          <w:rFonts w:ascii="Arial" w:hAnsi="Arial" w:eastAsia="宋体" w:cs="Arial"/>
          <w:b/>
          <w:kern w:val="0"/>
          <w:sz w:val="24"/>
          <w:szCs w:val="24"/>
        </w:rPr>
      </w:pPr>
      <w:r>
        <w:rPr>
          <w:rFonts w:ascii="Arial" w:hAnsi="Arial" w:eastAsia="宋体" w:cs="Arial"/>
          <w:b/>
          <w:kern w:val="0"/>
          <w:sz w:val="24"/>
          <w:szCs w:val="24"/>
        </w:rPr>
        <w:t>图</w:t>
      </w:r>
      <w:r>
        <w:rPr>
          <w:rFonts w:hint="eastAsia" w:ascii="Arial" w:hAnsi="Arial" w:eastAsia="宋体" w:cs="Arial"/>
          <w:b/>
          <w:kern w:val="0"/>
          <w:sz w:val="24"/>
          <w:szCs w:val="24"/>
        </w:rPr>
        <w:t>2</w:t>
      </w:r>
      <w:r>
        <w:rPr>
          <w:rFonts w:ascii="Arial" w:hAnsi="Arial" w:eastAsia="宋体" w:cs="Arial"/>
          <w:b/>
          <w:kern w:val="0"/>
          <w:sz w:val="24"/>
          <w:szCs w:val="24"/>
        </w:rPr>
        <w:t xml:space="preserve">  项目环境影响评价工作程序图</w:t>
      </w:r>
    </w:p>
    <w:p>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81" w:name="_Toc182491364"/>
      <w:bookmarkStart w:id="182" w:name="_Toc185950201"/>
      <w:bookmarkStart w:id="183" w:name="_Toc179816383"/>
      <w:bookmarkStart w:id="184" w:name="_Toc158124216"/>
      <w:bookmarkStart w:id="185" w:name="_Toc161845675"/>
      <w:bookmarkStart w:id="186" w:name="_Toc166675345"/>
      <w:bookmarkStart w:id="187" w:name="_Toc151636724"/>
      <w:bookmarkStart w:id="188" w:name="_Toc183513652"/>
      <w:bookmarkStart w:id="189" w:name="_Toc152260249"/>
      <w:r>
        <w:rPr>
          <w:rFonts w:ascii="Arial" w:hAnsi="Arial" w:eastAsia="宋体" w:cs="Arial"/>
          <w:b/>
        </w:rPr>
        <w:t>4. 分析判定相关情况</w:t>
      </w:r>
      <w:bookmarkEnd w:id="181"/>
      <w:bookmarkEnd w:id="182"/>
      <w:bookmarkEnd w:id="183"/>
      <w:bookmarkEnd w:id="184"/>
      <w:bookmarkEnd w:id="185"/>
      <w:bookmarkEnd w:id="186"/>
      <w:bookmarkEnd w:id="187"/>
      <w:bookmarkEnd w:id="188"/>
      <w:bookmarkEnd w:id="189"/>
    </w:p>
    <w:p>
      <w:pPr>
        <w:overflowPunct w:val="0"/>
        <w:autoSpaceDE w:val="0"/>
        <w:autoSpaceDN w:val="0"/>
        <w:adjustRightInd w:val="0"/>
        <w:snapToGri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（1）报告类型判定</w:t>
      </w:r>
    </w:p>
    <w:p>
      <w:pPr>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hint="eastAsia" w:ascii="Arial" w:hAnsi="Arial" w:eastAsia="宋体" w:cs="Arial"/>
          <w:spacing w:val="10"/>
          <w:sz w:val="24"/>
          <w:szCs w:val="24"/>
        </w:rPr>
        <w:t>变更后</w:t>
      </w:r>
      <w:r>
        <w:rPr>
          <w:rFonts w:ascii="Arial" w:hAnsi="Arial" w:eastAsia="宋体" w:cs="Arial"/>
          <w:spacing w:val="10"/>
          <w:sz w:val="24"/>
          <w:szCs w:val="24"/>
        </w:rPr>
        <w:t>项目</w:t>
      </w:r>
      <w:r>
        <w:rPr>
          <w:rFonts w:hint="eastAsia" w:ascii="Arial" w:hAnsi="Arial" w:eastAsia="宋体" w:cs="Arial"/>
          <w:spacing w:val="10"/>
          <w:sz w:val="24"/>
          <w:szCs w:val="24"/>
        </w:rPr>
        <w:t>属于</w:t>
      </w:r>
      <w:r>
        <w:rPr>
          <w:rFonts w:ascii="Arial" w:hAnsi="Arial" w:eastAsia="宋体" w:cs="Arial"/>
          <w:spacing w:val="10"/>
          <w:sz w:val="24"/>
          <w:szCs w:val="24"/>
        </w:rPr>
        <w:t>“基础化学原料制造261”，应编制环境影响报告书。</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（2）产业政策符合性判定</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对照《产业结构调整指导目录（2024年本）》，项目建设内容均不属于该目录中的鼓励类、限制类、淘汰类。</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u w:val="single"/>
        </w:rPr>
      </w:pPr>
      <w:r>
        <w:rPr>
          <w:rFonts w:ascii="Arial" w:hAnsi="Arial" w:eastAsia="宋体" w:cs="Arial"/>
          <w:spacing w:val="10"/>
          <w:sz w:val="24"/>
          <w:szCs w:val="24"/>
          <w:u w:val="single"/>
        </w:rPr>
        <w:t>对照《西部地区鼓励类产业目录（202</w:t>
      </w:r>
      <w:r>
        <w:rPr>
          <w:rFonts w:hint="eastAsia" w:ascii="Arial" w:hAnsi="Arial" w:eastAsia="宋体" w:cs="Arial"/>
          <w:spacing w:val="10"/>
          <w:sz w:val="24"/>
          <w:szCs w:val="24"/>
          <w:u w:val="single"/>
        </w:rPr>
        <w:t>5</w:t>
      </w:r>
      <w:r>
        <w:rPr>
          <w:rFonts w:ascii="Arial" w:hAnsi="Arial" w:eastAsia="宋体" w:cs="Arial"/>
          <w:spacing w:val="10"/>
          <w:sz w:val="24"/>
          <w:szCs w:val="24"/>
          <w:u w:val="single"/>
        </w:rPr>
        <w:t>年本）》，项目不属于其中的鼓励类产业。</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对照《北钦防一体化产业协同发展限制布局清单（工业类2021年版）》，项目建设内容不属于钦州市“全市”及“自贸区钦州港片区（钦州港经济技术开发区）”规定的负面清单。</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因此，项目符合国家、地方相关产业政策。</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生态环境分区管控</w:t>
      </w:r>
      <w:r>
        <w:rPr>
          <w:rFonts w:ascii="Arial" w:hAnsi="Arial" w:eastAsia="宋体" w:cs="Arial"/>
          <w:spacing w:val="10"/>
          <w:sz w:val="24"/>
          <w:szCs w:val="24"/>
        </w:rPr>
        <w:t>相符性判定</w:t>
      </w:r>
    </w:p>
    <w:p>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根据&amp;1.6.1的分析，项目不涉及生态保护红线、未超出环境质量底线及资源利用上线、未列入环境准入负面清单内，与</w:t>
      </w:r>
      <w:r>
        <w:rPr>
          <w:rFonts w:hint="eastAsia" w:ascii="Arial" w:hAnsi="Arial" w:eastAsia="宋体" w:cs="Arial"/>
          <w:spacing w:val="10"/>
          <w:sz w:val="24"/>
          <w:szCs w:val="24"/>
        </w:rPr>
        <w:t>生态环境分区管控</w:t>
      </w:r>
      <w:r>
        <w:rPr>
          <w:rFonts w:ascii="Arial" w:hAnsi="Arial" w:eastAsia="宋体" w:cs="Arial"/>
          <w:spacing w:val="10"/>
          <w:sz w:val="24"/>
          <w:szCs w:val="24"/>
        </w:rPr>
        <w:t>相关要求相符。</w:t>
      </w:r>
    </w:p>
    <w:p>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90" w:name="_Toc182491365"/>
      <w:bookmarkStart w:id="191" w:name="_Toc183513653"/>
      <w:bookmarkStart w:id="192" w:name="_Toc158124217"/>
      <w:bookmarkStart w:id="193" w:name="_Toc185950202"/>
      <w:bookmarkStart w:id="194" w:name="_Toc166675346"/>
      <w:bookmarkStart w:id="195" w:name="_Toc161845676"/>
      <w:bookmarkStart w:id="196" w:name="_Toc151636725"/>
      <w:bookmarkStart w:id="197" w:name="_Toc152260250"/>
      <w:bookmarkStart w:id="198" w:name="_Toc154599049"/>
      <w:bookmarkStart w:id="199" w:name="_Toc179816384"/>
      <w:bookmarkStart w:id="200" w:name="_Toc153639603"/>
      <w:r>
        <w:rPr>
          <w:rFonts w:ascii="Arial" w:hAnsi="Arial" w:eastAsia="宋体" w:cs="Arial"/>
          <w:b/>
        </w:rPr>
        <w:t>5. 评价关注的主要环境问题</w:t>
      </w:r>
      <w:bookmarkEnd w:id="190"/>
      <w:bookmarkEnd w:id="191"/>
      <w:bookmarkEnd w:id="192"/>
      <w:bookmarkEnd w:id="193"/>
      <w:bookmarkEnd w:id="194"/>
      <w:bookmarkEnd w:id="195"/>
      <w:bookmarkEnd w:id="196"/>
      <w:bookmarkEnd w:id="197"/>
      <w:bookmarkEnd w:id="198"/>
      <w:bookmarkEnd w:id="199"/>
      <w:bookmarkEnd w:id="200"/>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通过对项目建成情况、所在区域的环境特点、环境质量现状监测数据以及水文地质调查等基础资料进行分析，确定此次环评关注的主要环境问题有：</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着重论述了项目建设的环境可行性，重点关注项目运营期生产工艺产生的废气、废水、固体废物等环保处理处置措施</w:t>
      </w:r>
      <w:r>
        <w:rPr>
          <w:rFonts w:hint="eastAsia" w:ascii="Arial" w:hAnsi="Arial" w:eastAsia="宋体" w:cs="Arial"/>
          <w:spacing w:val="10"/>
          <w:sz w:val="24"/>
          <w:szCs w:val="24"/>
        </w:rPr>
        <w:t>的可行性</w:t>
      </w:r>
      <w:r>
        <w:rPr>
          <w:rFonts w:ascii="Arial" w:hAnsi="Arial" w:eastAsia="宋体" w:cs="Arial"/>
          <w:spacing w:val="10"/>
          <w:sz w:val="24"/>
          <w:szCs w:val="24"/>
        </w:rPr>
        <w:t>，</w:t>
      </w:r>
      <w:r>
        <w:rPr>
          <w:rFonts w:hint="eastAsia" w:ascii="Arial" w:hAnsi="Arial" w:eastAsia="宋体" w:cs="Arial"/>
          <w:spacing w:val="10"/>
          <w:sz w:val="24"/>
          <w:szCs w:val="24"/>
        </w:rPr>
        <w:t>对比分析变更前后污染物产排情况，</w:t>
      </w:r>
      <w:r>
        <w:rPr>
          <w:rFonts w:ascii="Arial" w:hAnsi="Arial" w:eastAsia="宋体" w:cs="Arial"/>
          <w:spacing w:val="10"/>
          <w:sz w:val="24"/>
          <w:szCs w:val="24"/>
        </w:rPr>
        <w:t>分析项目选址和</w:t>
      </w:r>
      <w:r>
        <w:rPr>
          <w:rFonts w:hint="eastAsia" w:ascii="Arial" w:hAnsi="Arial" w:eastAsia="宋体" w:cs="Arial"/>
          <w:spacing w:val="10"/>
          <w:sz w:val="24"/>
          <w:szCs w:val="24"/>
        </w:rPr>
        <w:t>变更后</w:t>
      </w:r>
      <w:r>
        <w:rPr>
          <w:rFonts w:ascii="Arial" w:hAnsi="Arial" w:eastAsia="宋体" w:cs="Arial"/>
          <w:spacing w:val="10"/>
          <w:sz w:val="24"/>
          <w:szCs w:val="24"/>
        </w:rPr>
        <w:t>对大气环境、地表水环境、地下水环境、生态环境的影响和涉及的环境风险等</w:t>
      </w:r>
      <w:r>
        <w:rPr>
          <w:rFonts w:hint="eastAsia" w:ascii="Arial" w:hAnsi="Arial" w:eastAsia="宋体" w:cs="Arial"/>
          <w:spacing w:val="10"/>
          <w:sz w:val="24"/>
          <w:szCs w:val="24"/>
        </w:rPr>
        <w:t>，特别是废水排放对地表水的影响</w:t>
      </w:r>
      <w:r>
        <w:rPr>
          <w:rFonts w:ascii="Arial" w:hAnsi="Arial" w:eastAsia="宋体" w:cs="Arial"/>
          <w:spacing w:val="10"/>
          <w:sz w:val="24"/>
          <w:szCs w:val="24"/>
        </w:rPr>
        <w:t>。根据工程分析和预测可能造成的环境影响，提出预防、减缓等环境保护措施。</w:t>
      </w:r>
    </w:p>
    <w:p>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201" w:name="_Toc158124218"/>
      <w:bookmarkStart w:id="202" w:name="_Toc152260251"/>
      <w:bookmarkStart w:id="203" w:name="_Toc154599050"/>
      <w:bookmarkStart w:id="204" w:name="_Toc151636726"/>
      <w:bookmarkStart w:id="205" w:name="_Toc179816385"/>
      <w:bookmarkStart w:id="206" w:name="_Toc183513654"/>
      <w:bookmarkStart w:id="207" w:name="_Toc161845677"/>
      <w:bookmarkStart w:id="208" w:name="_Toc166675347"/>
      <w:bookmarkStart w:id="209" w:name="_Toc185950203"/>
      <w:bookmarkStart w:id="210" w:name="_Toc153639604"/>
      <w:r>
        <w:rPr>
          <w:rFonts w:ascii="Arial" w:hAnsi="Arial" w:eastAsia="宋体" w:cs="Arial"/>
          <w:b/>
        </w:rPr>
        <w:t>6. 报告书主要结论</w:t>
      </w:r>
      <w:bookmarkEnd w:id="201"/>
      <w:bookmarkEnd w:id="202"/>
      <w:bookmarkEnd w:id="203"/>
      <w:bookmarkEnd w:id="204"/>
      <w:bookmarkEnd w:id="205"/>
      <w:bookmarkEnd w:id="206"/>
      <w:bookmarkEnd w:id="207"/>
      <w:bookmarkEnd w:id="208"/>
      <w:bookmarkEnd w:id="209"/>
      <w:bookmarkEnd w:id="210"/>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广西中伟新能源项目一期二阶段（重大变动）符合国家及地方产业政策，符合规划，选址合理；外排污染物能达标排放，项目建设不会造成评价范围内的环境质量降级，造成的环境影响程度在区域环境可接受范围内。因此，只要建设单位认真落实本环评报告中提出的各项污染防治措施、环境风险防范措施以及环境管理措施等，严格执行环保“三同时”制度，项目建设对环境影响可接受。</w:t>
      </w:r>
    </w:p>
    <w:p>
      <w:pPr>
        <w:adjustRightInd w:val="0"/>
        <w:snapToGrid w:val="0"/>
        <w:spacing w:line="500" w:lineRule="exact"/>
        <w:ind w:firstLine="570" w:firstLineChars="200"/>
        <w:rPr>
          <w:rFonts w:ascii="Arial" w:hAnsi="Arial" w:eastAsia="宋体" w:cs="Arial"/>
          <w:spacing w:val="10"/>
          <w:highlight w:val="yellow"/>
        </w:rPr>
      </w:pPr>
    </w:p>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Pr>
        <w:pStyle w:val="5"/>
        <w:spacing w:line="240" w:lineRule="auto"/>
        <w:ind w:firstLine="0"/>
        <w:rPr>
          <w:b/>
        </w:rPr>
      </w:pPr>
      <w:bookmarkStart w:id="211" w:name="_Toc67153981"/>
      <w:bookmarkStart w:id="212" w:name="_Toc67153654"/>
      <w:r>
        <w:rPr>
          <w:b/>
        </w:rPr>
        <w:t xml:space="preserve"> </w:t>
      </w:r>
    </w:p>
    <w:p>
      <w:pPr>
        <w:pStyle w:val="5"/>
        <w:ind w:firstLine="0"/>
        <w:rPr>
          <w:sz w:val="28"/>
          <w:highlight w:val="yellow"/>
        </w:rPr>
        <w:sectPr>
          <w:headerReference r:id="rId11" w:type="default"/>
          <w:footerReference r:id="rId12" w:type="default"/>
          <w:pgSz w:w="11907" w:h="16840"/>
          <w:pgMar w:top="1134" w:right="1406" w:bottom="1134" w:left="1157" w:header="1174" w:footer="1026" w:gutter="567"/>
          <w:pgNumType w:fmt="lowerRoman" w:start="1"/>
          <w:cols w:space="720" w:num="1"/>
          <w:docGrid w:type="linesAndChars" w:linePitch="421" w:charSpace="-3161"/>
        </w:sectPr>
      </w:pPr>
    </w:p>
    <w:bookmarkEnd w:id="211"/>
    <w:bookmarkEnd w:id="212"/>
    <w:p>
      <w:pPr>
        <w:pStyle w:val="3"/>
        <w:numPr>
          <w:ilvl w:val="0"/>
          <w:numId w:val="1"/>
        </w:numPr>
        <w:tabs>
          <w:tab w:val="clear" w:pos="3065"/>
        </w:tabs>
        <w:ind w:left="0" w:firstLine="0"/>
        <w:rPr>
          <w:rFonts w:ascii="Arial" w:hAnsi="Arial" w:cs="Arial"/>
          <w:spacing w:val="10"/>
        </w:rPr>
      </w:pPr>
      <w:bookmarkStart w:id="213" w:name="_Toc166675349"/>
      <w:bookmarkStart w:id="214" w:name="_Toc182491368"/>
      <w:bookmarkStart w:id="215" w:name="_Toc185950205"/>
      <w:bookmarkStart w:id="216" w:name="_Toc160446428"/>
      <w:bookmarkStart w:id="217" w:name="_Toc162671427"/>
      <w:bookmarkStart w:id="218" w:name="_Toc82944664"/>
      <w:bookmarkStart w:id="219" w:name="_Toc1742942"/>
      <w:bookmarkStart w:id="220" w:name="_Toc104677214"/>
      <w:bookmarkStart w:id="221" w:name="_Toc84214450"/>
      <w:bookmarkStart w:id="222" w:name="_Toc1742952"/>
      <w:bookmarkStart w:id="223" w:name="_Toc104677241"/>
      <w:bookmarkStart w:id="224" w:name="_Toc157417783"/>
      <w:r>
        <w:rPr>
          <w:rFonts w:ascii="Arial" w:hAnsi="Arial" w:cs="Arial"/>
          <w:spacing w:val="10"/>
        </w:rPr>
        <w:t>总则</w:t>
      </w:r>
      <w:bookmarkEnd w:id="213"/>
      <w:bookmarkEnd w:id="214"/>
      <w:bookmarkEnd w:id="215"/>
    </w:p>
    <w:p>
      <w:pPr>
        <w:keepNext/>
        <w:keepLines/>
        <w:numPr>
          <w:ilvl w:val="0"/>
          <w:numId w:val="2"/>
        </w:numPr>
        <w:spacing w:before="210" w:after="210" w:line="500" w:lineRule="exact"/>
        <w:outlineLvl w:val="1"/>
        <w:rPr>
          <w:rFonts w:ascii="Arial" w:hAnsi="Arial" w:eastAsia="宋体" w:cs="Arial"/>
          <w:b/>
        </w:rPr>
      </w:pPr>
      <w:bookmarkStart w:id="225" w:name="_Toc185950206"/>
      <w:bookmarkStart w:id="226" w:name="_Toc166675350"/>
      <w:bookmarkStart w:id="227" w:name="_Toc154599053"/>
      <w:bookmarkStart w:id="228" w:name="_Toc182491369"/>
      <w:r>
        <w:rPr>
          <w:rFonts w:ascii="Arial" w:hAnsi="Arial" w:eastAsia="宋体" w:cs="Arial"/>
          <w:b/>
        </w:rPr>
        <w:t>编制依据</w:t>
      </w:r>
      <w:bookmarkEnd w:id="225"/>
      <w:bookmarkEnd w:id="226"/>
      <w:bookmarkEnd w:id="227"/>
      <w:bookmarkEnd w:id="228"/>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根据国家和地方有关环境保护法律、法规以及有关技术规范和工程技术资料、项目相关文件，编制本项目环境影响报告书。主要编制依据如下：</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相关国家法律法规及部门法规</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1、《中华人民共和国环境保护法》（2014年修订，2015.1.1实施）；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2、《中华人民共和国环境影响评价法》（2018年修正，2018.12.29实施）；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3、《中华人民共和国水污染防治法》（2017年修正，2018.1.1实施）；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4、《中华人民共和国大气污染防治法》（2018年修订，2018.10.26实施）；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5、《中华人民共和国噪声污染防治法》（2022.6.5实施）；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6、《中华人民共和国固体废物污染环境防治法》（2020年修订，2020.9.1实施）；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7、《中华人民共和国土壤污染防治法》（2019.1.1实施）；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8、《中华人民共和国海洋环境保护法》（2023年修正，2024.1.1实施）；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9、</w:t>
      </w:r>
      <w:r>
        <w:rPr>
          <w:rFonts w:ascii="Arial" w:hAnsi="Arial" w:eastAsia="宋体" w:cs="Arial"/>
          <w:spacing w:val="10"/>
          <w:sz w:val="24"/>
          <w:szCs w:val="24"/>
        </w:rPr>
        <w:t>《中华人民共和国清洁生产促进法》（中华人民共和国主席令第54号，2012年修订）；</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10、《建设项目环境保护管理条例》（国务院令第682号，2017.10.1）；</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11、《危险化学品安全管理条例（2013年修正）》（国务院令第645号）；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12、《地下水管理条例》（2021年12月1日实施）；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13、《排污许可管理条例》（国务院令 第736号）；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14、《环境影响评价公众参与办法》（生态环境部令第4号，2019.1.1实施）；</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5</w:t>
      </w:r>
      <w:r>
        <w:rPr>
          <w:rFonts w:ascii="Arial" w:hAnsi="Arial" w:eastAsia="宋体" w:cs="Arial"/>
          <w:spacing w:val="10"/>
          <w:kern w:val="0"/>
          <w:sz w:val="24"/>
          <w:szCs w:val="24"/>
        </w:rPr>
        <w:t>、</w:t>
      </w:r>
      <w:r>
        <w:rPr>
          <w:rFonts w:hint="eastAsia" w:ascii="Arial" w:hAnsi="Arial" w:eastAsia="宋体" w:cs="Arial"/>
          <w:spacing w:val="10"/>
          <w:kern w:val="0"/>
          <w:sz w:val="24"/>
          <w:szCs w:val="24"/>
        </w:rPr>
        <w:t>《排污许可管理办法》（生态环境部令第32号，2024.7.1）</w:t>
      </w:r>
      <w:r>
        <w:rPr>
          <w:rFonts w:ascii="Arial" w:hAnsi="Arial" w:eastAsia="宋体" w:cs="Arial"/>
          <w:spacing w:val="10"/>
          <w:kern w:val="0"/>
          <w:sz w:val="24"/>
          <w:szCs w:val="24"/>
        </w:rPr>
        <w:t>；</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6</w:t>
      </w:r>
      <w:r>
        <w:rPr>
          <w:rFonts w:ascii="Arial" w:hAnsi="Arial" w:eastAsia="宋体" w:cs="Arial"/>
          <w:spacing w:val="10"/>
          <w:kern w:val="0"/>
          <w:sz w:val="24"/>
          <w:szCs w:val="24"/>
        </w:rPr>
        <w:t>、《固定污染源排污许可分类管理名录（2019年版）》（2019.12.20）；</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7</w:t>
      </w:r>
      <w:r>
        <w:rPr>
          <w:rFonts w:ascii="Arial" w:hAnsi="Arial" w:eastAsia="宋体" w:cs="Arial"/>
          <w:spacing w:val="10"/>
          <w:kern w:val="0"/>
          <w:sz w:val="24"/>
          <w:szCs w:val="24"/>
        </w:rPr>
        <w:t>、</w:t>
      </w:r>
      <w:r>
        <w:rPr>
          <w:rFonts w:ascii="Arial" w:hAnsi="Arial" w:eastAsia="宋体" w:cs="Arial"/>
          <w:spacing w:val="10"/>
          <w:kern w:val="0"/>
          <w:sz w:val="24"/>
          <w:szCs w:val="24"/>
          <w:u w:val="single"/>
        </w:rPr>
        <w:t>《国家危险废物名录（202</w:t>
      </w:r>
      <w:r>
        <w:rPr>
          <w:rFonts w:hint="eastAsia" w:ascii="Arial" w:hAnsi="Arial" w:eastAsia="宋体" w:cs="Arial"/>
          <w:spacing w:val="10"/>
          <w:kern w:val="0"/>
          <w:sz w:val="24"/>
          <w:szCs w:val="24"/>
          <w:u w:val="single"/>
        </w:rPr>
        <w:t>5</w:t>
      </w:r>
      <w:r>
        <w:rPr>
          <w:rFonts w:ascii="Arial" w:hAnsi="Arial" w:eastAsia="宋体" w:cs="Arial"/>
          <w:spacing w:val="10"/>
          <w:kern w:val="0"/>
          <w:sz w:val="24"/>
          <w:szCs w:val="24"/>
          <w:u w:val="single"/>
        </w:rPr>
        <w:t>年版）》（202</w:t>
      </w:r>
      <w:r>
        <w:rPr>
          <w:rFonts w:hint="eastAsia" w:ascii="Arial" w:hAnsi="Arial" w:eastAsia="宋体" w:cs="Arial"/>
          <w:spacing w:val="10"/>
          <w:kern w:val="0"/>
          <w:sz w:val="24"/>
          <w:szCs w:val="24"/>
          <w:u w:val="single"/>
        </w:rPr>
        <w:t>5.1.1</w:t>
      </w:r>
      <w:r>
        <w:rPr>
          <w:rFonts w:ascii="Arial" w:hAnsi="Arial" w:eastAsia="宋体" w:cs="Arial"/>
          <w:spacing w:val="10"/>
          <w:kern w:val="0"/>
          <w:sz w:val="24"/>
          <w:szCs w:val="24"/>
          <w:u w:val="single"/>
        </w:rPr>
        <w:t>）；</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1</w:t>
      </w:r>
      <w:r>
        <w:rPr>
          <w:rFonts w:hint="eastAsia" w:ascii="Arial" w:hAnsi="Arial" w:eastAsia="宋体" w:cs="Arial"/>
          <w:spacing w:val="10"/>
          <w:sz w:val="24"/>
          <w:szCs w:val="24"/>
        </w:rPr>
        <w:t>8</w:t>
      </w:r>
      <w:r>
        <w:rPr>
          <w:rFonts w:ascii="Arial" w:hAnsi="Arial" w:eastAsia="宋体" w:cs="Arial"/>
          <w:spacing w:val="10"/>
          <w:kern w:val="0"/>
          <w:sz w:val="24"/>
          <w:szCs w:val="24"/>
        </w:rPr>
        <w:t>、《危险废物转移管理办法》（生态环境部 公安部 交通运输部 部令 第23号，2022.1.1）；</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19</w:t>
      </w:r>
      <w:r>
        <w:rPr>
          <w:rFonts w:ascii="Arial" w:hAnsi="Arial" w:eastAsia="宋体" w:cs="Arial"/>
          <w:spacing w:val="10"/>
          <w:kern w:val="0"/>
          <w:sz w:val="24"/>
          <w:szCs w:val="24"/>
        </w:rPr>
        <w:t>、《建设项目环境影响评价分类管理名录（2021年版）》（生态环境部令第16号，2021.1.1）；</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0</w:t>
      </w:r>
      <w:r>
        <w:rPr>
          <w:rFonts w:ascii="Arial" w:hAnsi="Arial" w:eastAsia="宋体" w:cs="Arial"/>
          <w:spacing w:val="10"/>
          <w:sz w:val="24"/>
          <w:szCs w:val="24"/>
        </w:rPr>
        <w:t>、</w:t>
      </w:r>
      <w:r>
        <w:rPr>
          <w:rFonts w:ascii="Arial" w:hAnsi="Arial" w:eastAsia="宋体" w:cs="Arial"/>
          <w:spacing w:val="10"/>
          <w:kern w:val="0"/>
          <w:sz w:val="24"/>
          <w:szCs w:val="24"/>
        </w:rPr>
        <w:t>《碳排放权交易管理办法（试行）》（生态环境部令 第19号，2021.2.1施行）；</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1</w:t>
      </w:r>
      <w:r>
        <w:rPr>
          <w:rFonts w:ascii="Arial" w:hAnsi="Arial" w:eastAsia="宋体" w:cs="Arial"/>
          <w:spacing w:val="10"/>
          <w:kern w:val="0"/>
          <w:sz w:val="24"/>
          <w:szCs w:val="24"/>
        </w:rPr>
        <w:t>、《关于发布&lt;优先控制化学品名录（第二批）&gt;的公告》（生态环境部 工业和信息化部 国家卫生健康委员会 公告2020年第47号，2020.10.30）；</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2</w:t>
      </w:r>
      <w:r>
        <w:rPr>
          <w:rFonts w:ascii="Arial" w:hAnsi="Arial" w:eastAsia="宋体" w:cs="Arial"/>
          <w:spacing w:val="10"/>
          <w:kern w:val="0"/>
          <w:sz w:val="24"/>
          <w:szCs w:val="24"/>
        </w:rPr>
        <w:t>、《关于发布&lt;有毒有害大气污染物名录（2018年）&gt;的公告》（生态环境部 国家卫生健康委员会 公告，公告2019年第4号，2019.1.23）；</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23、</w:t>
      </w:r>
      <w:r>
        <w:rPr>
          <w:rFonts w:ascii="Arial" w:hAnsi="Arial" w:eastAsia="宋体" w:cs="Arial"/>
          <w:spacing w:val="10"/>
          <w:kern w:val="0"/>
          <w:sz w:val="24"/>
          <w:szCs w:val="24"/>
        </w:rPr>
        <w:t>《</w:t>
      </w:r>
      <w:r>
        <w:rPr>
          <w:rFonts w:hint="eastAsia" w:ascii="Arial" w:hAnsi="Arial" w:eastAsia="宋体" w:cs="Arial"/>
          <w:spacing w:val="10"/>
          <w:kern w:val="0"/>
          <w:sz w:val="24"/>
          <w:szCs w:val="24"/>
        </w:rPr>
        <w:t>关于发布〈固体废物分类与代码目录〉的公告》（</w:t>
      </w:r>
      <w:r>
        <w:rPr>
          <w:rFonts w:ascii="Arial" w:hAnsi="Arial" w:eastAsia="宋体" w:cs="Arial"/>
          <w:spacing w:val="10"/>
          <w:kern w:val="0"/>
          <w:sz w:val="24"/>
          <w:szCs w:val="24"/>
        </w:rPr>
        <w:t>生态环境部</w:t>
      </w:r>
      <w:r>
        <w:rPr>
          <w:rFonts w:hint="eastAsia" w:ascii="Arial" w:hAnsi="Arial" w:eastAsia="宋体" w:cs="Arial"/>
          <w:spacing w:val="10"/>
          <w:kern w:val="0"/>
          <w:sz w:val="24"/>
          <w:szCs w:val="24"/>
        </w:rPr>
        <w:t xml:space="preserve"> 公告 2024年 第4号，2024.1.22）；</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4</w:t>
      </w:r>
      <w:r>
        <w:rPr>
          <w:rFonts w:ascii="Arial" w:hAnsi="Arial" w:eastAsia="宋体" w:cs="Arial"/>
          <w:spacing w:val="10"/>
          <w:kern w:val="0"/>
          <w:sz w:val="24"/>
          <w:szCs w:val="24"/>
        </w:rPr>
        <w:t>、《国务院办公厅关于印发强化危险废物监管和利用处置能力改革实施方案的通知》（国办函〔2021〕47号，2021.5.11）；</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5</w:t>
      </w:r>
      <w:r>
        <w:rPr>
          <w:rFonts w:ascii="Arial" w:hAnsi="Arial" w:eastAsia="宋体" w:cs="Arial"/>
          <w:spacing w:val="10"/>
          <w:sz w:val="24"/>
          <w:szCs w:val="24"/>
        </w:rPr>
        <w:t>、</w:t>
      </w:r>
      <w:r>
        <w:rPr>
          <w:rFonts w:ascii="Arial" w:hAnsi="Arial" w:eastAsia="宋体" w:cs="Arial"/>
          <w:spacing w:val="10"/>
          <w:kern w:val="0"/>
          <w:sz w:val="24"/>
          <w:szCs w:val="24"/>
        </w:rPr>
        <w:t>《国务院关于印发2030年前碳达峰行动方案的通知》（国发〔2021〕23号）；</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6</w:t>
      </w:r>
      <w:r>
        <w:rPr>
          <w:rFonts w:ascii="Arial" w:hAnsi="Arial" w:eastAsia="宋体" w:cs="Arial"/>
          <w:spacing w:val="10"/>
          <w:kern w:val="0"/>
          <w:sz w:val="24"/>
          <w:szCs w:val="24"/>
        </w:rPr>
        <w:t>、《关于做好环境影响评价制度与排污许可制衔接相关工作的通知》（环办环评〔2017〕84号）；</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7</w:t>
      </w:r>
      <w:r>
        <w:rPr>
          <w:rFonts w:ascii="Arial" w:hAnsi="Arial" w:eastAsia="宋体" w:cs="Arial"/>
          <w:spacing w:val="10"/>
          <w:sz w:val="24"/>
          <w:szCs w:val="24"/>
        </w:rPr>
        <w:t>、</w:t>
      </w:r>
      <w:r>
        <w:rPr>
          <w:rFonts w:ascii="Arial" w:hAnsi="Arial" w:eastAsia="宋体" w:cs="Arial"/>
          <w:spacing w:val="10"/>
          <w:kern w:val="0"/>
          <w:sz w:val="24"/>
          <w:szCs w:val="24"/>
        </w:rPr>
        <w:t>《企业突发环境事件风险评估指南（试行）》（环办〔2014〕34号）；</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8</w:t>
      </w:r>
      <w:r>
        <w:rPr>
          <w:rFonts w:ascii="Arial" w:hAnsi="Arial" w:eastAsia="宋体" w:cs="Arial"/>
          <w:spacing w:val="10"/>
          <w:kern w:val="0"/>
          <w:sz w:val="24"/>
          <w:szCs w:val="24"/>
        </w:rPr>
        <w:t>、《关于加强危险废物鉴别工作的通知》（环办固体函〔2021〕419号，2021.9.3）；</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9</w:t>
      </w:r>
      <w:r>
        <w:rPr>
          <w:rFonts w:ascii="Arial" w:hAnsi="Arial" w:eastAsia="宋体" w:cs="Arial"/>
          <w:spacing w:val="10"/>
          <w:kern w:val="0"/>
          <w:sz w:val="24"/>
          <w:szCs w:val="24"/>
        </w:rPr>
        <w:t>、</w:t>
      </w:r>
      <w:r>
        <w:rPr>
          <w:rFonts w:ascii="Arial" w:hAnsi="Arial" w:eastAsia="宋体" w:cs="Arial"/>
          <w:spacing w:val="10"/>
          <w:sz w:val="24"/>
          <w:szCs w:val="24"/>
        </w:rPr>
        <w:t>《关于加强重点行业建设项目区域削减措施监督管理的通知》（环办环评〔2020〕36号）；</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kern w:val="0"/>
          <w:sz w:val="24"/>
          <w:szCs w:val="24"/>
        </w:rPr>
        <w:t>30</w:t>
      </w:r>
      <w:r>
        <w:rPr>
          <w:rFonts w:ascii="Arial" w:hAnsi="Arial" w:eastAsia="宋体" w:cs="Arial"/>
          <w:spacing w:val="10"/>
          <w:kern w:val="0"/>
          <w:sz w:val="24"/>
          <w:szCs w:val="24"/>
        </w:rPr>
        <w:t>、</w:t>
      </w:r>
      <w:r>
        <w:rPr>
          <w:rFonts w:ascii="Arial" w:hAnsi="Arial" w:eastAsia="宋体" w:cs="Arial"/>
          <w:spacing w:val="10"/>
          <w:sz w:val="24"/>
          <w:szCs w:val="24"/>
        </w:rPr>
        <w:t>《关于加强高耗能、高排放建设项目生态环境源头防控的指导意见》（环环评〔2021〕45号）；</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1</w:t>
      </w:r>
      <w:r>
        <w:rPr>
          <w:rFonts w:ascii="Arial" w:hAnsi="Arial" w:eastAsia="宋体" w:cs="Arial"/>
          <w:spacing w:val="10"/>
          <w:sz w:val="24"/>
          <w:szCs w:val="24"/>
        </w:rPr>
        <w:t>、</w:t>
      </w:r>
      <w:r>
        <w:rPr>
          <w:rFonts w:ascii="Arial" w:hAnsi="Arial" w:eastAsia="宋体" w:cs="Arial"/>
          <w:spacing w:val="10"/>
          <w:kern w:val="0"/>
          <w:sz w:val="24"/>
          <w:szCs w:val="24"/>
        </w:rPr>
        <w:t>《关于开展重点行业建设项目碳排放环境影响评价试点的通知》（环办环评函〔2021〕346号）；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2</w:t>
      </w:r>
      <w:r>
        <w:rPr>
          <w:rFonts w:ascii="Arial" w:hAnsi="Arial" w:eastAsia="宋体" w:cs="Arial"/>
          <w:spacing w:val="10"/>
          <w:kern w:val="0"/>
          <w:sz w:val="24"/>
          <w:szCs w:val="24"/>
        </w:rPr>
        <w:t>、《关于进一步加强产业园区规划环境影响评价工作的意见》（环环评〔2020〕65号）；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3</w:t>
      </w:r>
      <w:r>
        <w:rPr>
          <w:rFonts w:ascii="Arial" w:hAnsi="Arial" w:eastAsia="宋体" w:cs="Arial"/>
          <w:spacing w:val="10"/>
          <w:kern w:val="0"/>
          <w:sz w:val="24"/>
          <w:szCs w:val="24"/>
        </w:rPr>
        <w:t>、《关于印发〈“十四五”全国清洁生产推行方案〉的通知》（发改环资〔2021〕1524号）；</w:t>
      </w:r>
    </w:p>
    <w:p>
      <w:pPr>
        <w:widowControl/>
        <w:ind w:firstLine="480" w:firstLineChars="196"/>
        <w:jc w:val="left"/>
        <w:rPr>
          <w:rFonts w:ascii="Arial" w:hAnsi="Arial" w:eastAsia="宋体" w:cs="Arial"/>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4</w:t>
      </w:r>
      <w:r>
        <w:rPr>
          <w:rFonts w:ascii="Arial" w:hAnsi="Arial" w:eastAsia="宋体" w:cs="Arial"/>
          <w:spacing w:val="10"/>
          <w:kern w:val="0"/>
          <w:sz w:val="24"/>
          <w:szCs w:val="24"/>
        </w:rPr>
        <w:t>、《关于印发“十四五”循环经济发展规划的通知》（发改环资〔2021〕969号）。</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相关地方法律法规</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1、《广西壮族自治区环境保护条例》（201</w:t>
      </w:r>
      <w:r>
        <w:rPr>
          <w:rFonts w:hint="eastAsia" w:ascii="Arial" w:hAnsi="Arial" w:eastAsia="宋体" w:cs="Arial"/>
          <w:spacing w:val="10"/>
          <w:kern w:val="0"/>
          <w:sz w:val="24"/>
          <w:szCs w:val="24"/>
        </w:rPr>
        <w:t>9.7.25</w:t>
      </w:r>
      <w:r>
        <w:rPr>
          <w:rFonts w:ascii="Arial" w:hAnsi="Arial" w:eastAsia="宋体" w:cs="Arial"/>
          <w:spacing w:val="10"/>
          <w:kern w:val="0"/>
          <w:sz w:val="24"/>
          <w:szCs w:val="24"/>
        </w:rPr>
        <w:t>）；</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2、《广西壮族自治区饮用水水源保护条例》（广西壮族自治区第十二届人民代表大会公告 第十四号），2017.5.1；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3、《广西壮族自治区大气污染防治条例》（2019.1.1）；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4、《广西壮族自治区水污染防治条例》（2020.5.1）；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5、《广西壮族自治区土壤污染防治条例》（2021.9.1）；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6、《广西壮族自治区固体废物污染环境防治条例》（2022.7.1）；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7、《广西壮族自治区安全生产条例》（2024.6.1）；</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8、《广西壮族自治区人民政府办公厅关于印发广西壮族自治区建设项目环境准入管理办法的通知》（桂政办发〔2012〕103号）；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9、《广西壮族自治区人民政府办公厅关于印发北钦防一体化产业协同发展限制布局清单（工业类2021年版）的通知》（桂政办函〔2021〕4号）；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10、《广西壮族自治区人民政府办公厅转发自治区发展改革委等部门关于严格实施控制高耗能高排放项目投资审批实施意见的通知》（桂政办发〔2012〕63号）；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11、《关于印发开展全区行业企业环境安全风险隐患大排查实施方案的通知》（桂政办〔2012〕45号）；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12、《广西壮族自治区生态环境厅关于印发&lt;广西壮族自治区建设项目环境影响评价文件分级审批管理办法（2022年修订版）&gt;的通知》（桂环规范〔2022〕9号）；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13、《广西壮族自治区生态环境厅关于印发实施广西壮族自治区生态环境分区管控动态更新成果（2023年）的通知》（桂环规范〔2024〕3号）；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14、《广西壮族自治区生态环境厅关于印发落实危险废物环境监管能力、利用处置能力和环境风险防范能力提升工作措施的通知》（桂环规范〔2020〕8号）；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15、《广西壮族自治区生态环境厅关于印发〈广西壮族自治区高耗能、高排放减少项目主要污染物排放管理办法〉的通知》（桂环规范〔2023〕6号）；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16、《广西壮族自治区生态环境厅关于推进碳排放环境影响评价工作的通知》（桂环函〔2021〕1693号）；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17、《广西壮族自治区生态环境厅等部门关于印发〈广西生态保护正面清单（2022）〉和〈广西生态保护禁止事项清单（2022）〉的通知》（桂环发〔2022〕54号）》；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18、《广西壮族自治区人民政府关于印发广西壮族自治区碳达峰实施方案的通知》（桂政发〔2022〕37号）；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19、《广西壮族自治区人民政府关于印发广西战略性新兴产业发展“十四五”规划的通知》（桂政发〔2021〕28号）；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20、《广西壮族自治区生态环境厅关于印发广西壮族自治区近岸海域环境功能区划调整方案的通知》（桂环发〔2023〕9号）；</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21、《关于印发广西新建石化和化工生产项目准入管理办法（试行）的通知》（桂工信石化〔2021〕503号）；</w:t>
      </w:r>
    </w:p>
    <w:p>
      <w:pPr>
        <w:spacing w:line="500" w:lineRule="exact"/>
        <w:ind w:firstLine="490" w:firstLineChars="200"/>
        <w:rPr>
          <w:rFonts w:ascii="Arial" w:hAnsi="Arial" w:eastAsia="宋体" w:cs="Arial"/>
          <w:spacing w:val="10"/>
          <w:kern w:val="0"/>
          <w:sz w:val="24"/>
          <w:szCs w:val="24"/>
          <w:u w:val="single"/>
        </w:rPr>
      </w:pPr>
      <w:r>
        <w:rPr>
          <w:rFonts w:hint="eastAsia" w:ascii="Arial" w:hAnsi="Arial" w:eastAsia="宋体" w:cs="Arial"/>
          <w:spacing w:val="10"/>
          <w:kern w:val="0"/>
          <w:sz w:val="24"/>
          <w:szCs w:val="24"/>
          <w:u w:val="single"/>
        </w:rPr>
        <w:t>22、《钦州市生态环境局关于印发〈钦州市生态环境分区管控动态更新成果（2023版）〉的通知》（2024.12.05）；</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23、《钦州市生态环境局关于印发&lt;钦州市土壤污染防治“十四五”规划&gt;的通知》；</w:t>
      </w:r>
    </w:p>
    <w:p>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24、《钦州市生态环境局关于印发&lt;钦州市环境管控单元生态环境准入及管控要求清单（试行）&gt;的通知》（钦环发〔2022〕3号）；</w:t>
      </w:r>
    </w:p>
    <w:p>
      <w:pPr>
        <w:spacing w:line="500" w:lineRule="exact"/>
        <w:ind w:firstLine="490" w:firstLineChars="200"/>
        <w:rPr>
          <w:rFonts w:ascii="Arial" w:hAnsi="Arial" w:eastAsia="宋体" w:cs="Arial"/>
          <w:spacing w:val="10"/>
          <w:kern w:val="0"/>
          <w:sz w:val="24"/>
          <w:szCs w:val="24"/>
          <w:highlight w:val="yellow"/>
        </w:rPr>
      </w:pPr>
      <w:r>
        <w:rPr>
          <w:rFonts w:hint="eastAsia" w:ascii="Arial" w:hAnsi="Arial" w:eastAsia="宋体" w:cs="Arial"/>
          <w:spacing w:val="10"/>
          <w:kern w:val="0"/>
          <w:sz w:val="24"/>
          <w:szCs w:val="24"/>
        </w:rPr>
        <w:t>25、《钦州市生态环境局关于印发钦州市2023—2024年秋冬季大气污染防治攻坚行动方案的通知》（2023.10.19）。</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相关区域规划</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1、《广西生态省（区）建设规划纲要》（2007年）；</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2、《广西壮族自治区生态功能区划》（桂政办发〔2008〕8号）；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3、《广西壮族自治区主体功能区规划》（桂政发〔2012〕89号）；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4、《广西生态环境保护“十四五”规划》（桂政办发〔2021〕145号）；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5、《中国（广西）自由贸易试验区钦州港片区产业发展规划（2021-2025年）》；</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6、《钦州市生态环境保护“十四五”规划》；</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7、《钦州市海洋生态环境保护“十四五”规划（2021-2025年）》（钦政办〔2022〕34号）；</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8、《钦州市</w:t>
      </w:r>
      <w:r>
        <w:rPr>
          <w:rFonts w:hint="eastAsia" w:ascii="Arial" w:hAnsi="Arial" w:eastAsia="宋体" w:cs="Arial"/>
          <w:spacing w:val="10"/>
          <w:kern w:val="0"/>
          <w:sz w:val="24"/>
          <w:szCs w:val="24"/>
        </w:rPr>
        <w:t>中心城区</w:t>
      </w:r>
      <w:r>
        <w:rPr>
          <w:rFonts w:ascii="Arial" w:hAnsi="Arial" w:eastAsia="宋体" w:cs="Arial"/>
          <w:spacing w:val="10"/>
          <w:kern w:val="0"/>
          <w:sz w:val="24"/>
          <w:szCs w:val="24"/>
        </w:rPr>
        <w:t>声环境功能区划》；</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9、《广西钦州石化产业园总体发展规划（2020-2035）》</w:t>
      </w:r>
      <w:r>
        <w:rPr>
          <w:rFonts w:hint="eastAsia" w:ascii="Arial" w:hAnsi="Arial" w:eastAsia="宋体" w:cs="Arial"/>
          <w:spacing w:val="10"/>
          <w:kern w:val="0"/>
          <w:sz w:val="24"/>
          <w:szCs w:val="24"/>
        </w:rPr>
        <w:t>；</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10、《钦州港大榄坪物流加工区总体规划修编（2022-2035）》。</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产业政策及行业规范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1、《产业结构调整指导目录（2024年本）》（国家发展和改革委员会令第7号，2024.02.01）；</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ascii="Arial" w:hAnsi="Arial" w:eastAsia="宋体" w:cs="Arial"/>
          <w:spacing w:val="10"/>
          <w:sz w:val="24"/>
          <w:szCs w:val="24"/>
          <w:u w:val="single"/>
        </w:rPr>
        <w:t>《西部地区鼓励类产业目录（202</w:t>
      </w:r>
      <w:r>
        <w:rPr>
          <w:rFonts w:hint="eastAsia" w:ascii="Arial" w:hAnsi="Arial" w:eastAsia="宋体" w:cs="Arial"/>
          <w:spacing w:val="10"/>
          <w:sz w:val="24"/>
          <w:szCs w:val="24"/>
          <w:u w:val="single"/>
        </w:rPr>
        <w:t>5</w:t>
      </w:r>
      <w:r>
        <w:rPr>
          <w:rFonts w:ascii="Arial" w:hAnsi="Arial" w:eastAsia="宋体" w:cs="Arial"/>
          <w:spacing w:val="10"/>
          <w:sz w:val="24"/>
          <w:szCs w:val="24"/>
          <w:u w:val="single"/>
        </w:rPr>
        <w:t>年本）》（</w:t>
      </w:r>
      <w:r>
        <w:rPr>
          <w:rFonts w:hint="eastAsia" w:ascii="Arial" w:hAnsi="Arial" w:eastAsia="宋体" w:cs="Arial"/>
          <w:spacing w:val="10"/>
          <w:sz w:val="24"/>
          <w:szCs w:val="24"/>
          <w:u w:val="single"/>
        </w:rPr>
        <w:t>国家发展和改革委员会令第28号</w:t>
      </w:r>
      <w:r>
        <w:rPr>
          <w:rFonts w:ascii="Arial" w:hAnsi="Arial" w:eastAsia="宋体" w:cs="Arial"/>
          <w:spacing w:val="10"/>
          <w:sz w:val="24"/>
          <w:szCs w:val="24"/>
          <w:u w:val="single"/>
        </w:rPr>
        <w:t xml:space="preserve"> 202</w:t>
      </w:r>
      <w:r>
        <w:rPr>
          <w:rFonts w:hint="eastAsia" w:ascii="Arial" w:hAnsi="Arial" w:eastAsia="宋体" w:cs="Arial"/>
          <w:spacing w:val="10"/>
          <w:sz w:val="24"/>
          <w:szCs w:val="24"/>
          <w:u w:val="single"/>
        </w:rPr>
        <w:t>5.1.1</w:t>
      </w:r>
      <w:r>
        <w:rPr>
          <w:rFonts w:ascii="Arial" w:hAnsi="Arial" w:eastAsia="宋体" w:cs="Arial"/>
          <w:spacing w:val="10"/>
          <w:sz w:val="24"/>
          <w:szCs w:val="24"/>
          <w:u w:val="single"/>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3、《北钦防一体化产业协同发展限制布局清单（工业类2021年版）》。</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相关的技术规范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1、《</w:t>
      </w:r>
      <w:r>
        <w:rPr>
          <w:rFonts w:ascii="Arial" w:hAnsi="Arial" w:eastAsia="宋体" w:cs="Arial"/>
          <w:spacing w:val="10"/>
          <w:sz w:val="24"/>
          <w:szCs w:val="24"/>
        </w:rPr>
        <w:t>建设项目环境影响评价技术导则  总纲》（HJ2.1-2016）；</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2、《环境影响评价技术导则  大气环境》（HJ2.2-2018）；</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3、《环境影响评价技术导则  地表水环境》（HJ2.3-2018）；</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4、《环境影响评价技术导则  声环境》（HJ2.4-2021）；</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5、《环境影响评价技术导则  地下水环境》（HJ610-2016）；</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6、《环境影响评价技术导则  生态影响》（HJ19-2022）；</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7、《环境影响评价技术导则  土壤环境（试行）》（HJ964-2018）；</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8、《建设项目环境风险评价技术导则》（HJ169-2018）；</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9、《声环境功能区划分技术规范》（GB/T 15190-2014）；</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10、《环境空气质量评价技术规范（试行）》（HJ633-2013）；</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11、《固体废物鉴别标准 通则》（GB34330-2017）；</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12、《排污许可证申请与核发技术规范 无机化学工业》（HJ1035-2019）；</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13、《排污单位自行监测技术指南 无机化学工业》（HJ 1138-2020）；</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14、《工业企业土壤和地下水自行监测技术指南（试行）》（HJ1209-2021）；</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15、《建设项目危险废物环境影响评价指南》；</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16、《危险废物鉴别技术规范》（HJ298-2019）；</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17、《地下水环境监测技术规范》（HJ164-2020）；</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18、《地下水质量标准》（GB/T14848-2017）；</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19、《生活饮用水卫生标准》（GB5749-2022）；</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20、《地下水监测工程技术</w:t>
      </w:r>
      <w:r>
        <w:rPr>
          <w:rFonts w:hint="eastAsia" w:ascii="Arial" w:hAnsi="Arial" w:eastAsia="宋体" w:cs="Arial"/>
          <w:spacing w:val="10"/>
          <w:sz w:val="24"/>
          <w:szCs w:val="24"/>
        </w:rPr>
        <w:t>标准</w:t>
      </w:r>
      <w:r>
        <w:rPr>
          <w:rFonts w:ascii="Arial" w:hAnsi="Arial" w:eastAsia="宋体" w:cs="Arial"/>
          <w:spacing w:val="10"/>
          <w:sz w:val="24"/>
          <w:szCs w:val="24"/>
        </w:rPr>
        <w:t>》（GB/T51040-20</w:t>
      </w:r>
      <w:r>
        <w:rPr>
          <w:rFonts w:hint="eastAsia" w:ascii="Arial" w:hAnsi="Arial" w:eastAsia="宋体" w:cs="Arial"/>
          <w:spacing w:val="10"/>
          <w:sz w:val="24"/>
          <w:szCs w:val="24"/>
        </w:rPr>
        <w:t>23</w:t>
      </w:r>
      <w:r>
        <w:rPr>
          <w:rFonts w:ascii="Arial" w:hAnsi="Arial" w:eastAsia="宋体" w:cs="Arial"/>
          <w:spacing w:val="10"/>
          <w:sz w:val="24"/>
          <w:szCs w:val="24"/>
        </w:rPr>
        <w:t>）</w:t>
      </w:r>
      <w:r>
        <w:rPr>
          <w:rFonts w:hint="eastAsia" w:ascii="Arial" w:hAnsi="Arial" w:eastAsia="宋体" w:cs="Arial"/>
          <w:spacing w:val="10"/>
          <w:sz w:val="24"/>
          <w:szCs w:val="24"/>
        </w:rPr>
        <w:t>；</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21、《危险化学品重大危险源辨识》（GB18218-2018）；</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22、《危险废物管理计划和管理台账制定技术导则》（HJ 1259-2022）；</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23、《一般工业固体废物管理台账制定指南（试行）》。</w:t>
      </w:r>
    </w:p>
    <w:p>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相关技术文件</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1、项目环评委托书；</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广西中伟新能源项目一期二阶段</w:t>
      </w:r>
      <w:r>
        <w:rPr>
          <w:rFonts w:ascii="Arial" w:hAnsi="Arial" w:eastAsia="宋体" w:cs="Arial"/>
          <w:spacing w:val="10"/>
          <w:sz w:val="24"/>
          <w:szCs w:val="24"/>
        </w:rPr>
        <w:t>备案证明；</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3</w:t>
      </w:r>
      <w:r>
        <w:rPr>
          <w:rFonts w:ascii="Arial" w:hAnsi="Arial" w:eastAsia="宋体" w:cs="Arial"/>
          <w:spacing w:val="10"/>
          <w:sz w:val="24"/>
          <w:szCs w:val="24"/>
        </w:rPr>
        <w:t>、项目环境监测报告；</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4</w:t>
      </w:r>
      <w:r>
        <w:rPr>
          <w:rFonts w:ascii="Arial" w:hAnsi="Arial" w:eastAsia="宋体" w:cs="Arial"/>
          <w:spacing w:val="10"/>
          <w:sz w:val="24"/>
          <w:szCs w:val="24"/>
        </w:rPr>
        <w:t>、《钦州港大榄坪物流加工区总体规划修编（2022-2035）环境影响报告书》；</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5</w:t>
      </w:r>
      <w:r>
        <w:rPr>
          <w:rFonts w:ascii="Arial" w:hAnsi="Arial" w:eastAsia="宋体" w:cs="Arial"/>
          <w:spacing w:val="10"/>
          <w:sz w:val="24"/>
          <w:szCs w:val="24"/>
        </w:rPr>
        <w:t>、《钦州港大榄坪物流加工区总体规划修编（2022-2035）环境影响报告书审查意见》；</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6</w:t>
      </w:r>
      <w:r>
        <w:rPr>
          <w:rFonts w:ascii="Arial" w:hAnsi="Arial" w:eastAsia="宋体" w:cs="Arial"/>
          <w:spacing w:val="10"/>
          <w:sz w:val="24"/>
          <w:szCs w:val="24"/>
        </w:rPr>
        <w:t>、《广西钦州石化产业园总体发展规划（2020-2035）环境影响报告书》；</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7</w:t>
      </w:r>
      <w:r>
        <w:rPr>
          <w:rFonts w:ascii="Arial" w:hAnsi="Arial" w:eastAsia="宋体" w:cs="Arial"/>
          <w:spacing w:val="10"/>
          <w:sz w:val="24"/>
          <w:szCs w:val="24"/>
        </w:rPr>
        <w:t>、《钦州石化产业园总体发展规划环境影响报告书审查意见》（桂环函〔2021〕388号）；</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8</w:t>
      </w:r>
      <w:r>
        <w:rPr>
          <w:rFonts w:ascii="Arial" w:hAnsi="Arial" w:eastAsia="宋体" w:cs="Arial"/>
          <w:spacing w:val="10"/>
          <w:sz w:val="24"/>
          <w:szCs w:val="24"/>
        </w:rPr>
        <w:t>、建设单位提供</w:t>
      </w:r>
      <w:r>
        <w:rPr>
          <w:rFonts w:hint="eastAsia" w:ascii="Arial" w:hAnsi="Arial" w:eastAsia="宋体" w:cs="Arial"/>
          <w:spacing w:val="10"/>
          <w:sz w:val="24"/>
          <w:szCs w:val="24"/>
          <w:lang w:eastAsia="zh-CN"/>
        </w:rPr>
        <w:t>的其他有关</w:t>
      </w:r>
      <w:r>
        <w:rPr>
          <w:rFonts w:ascii="Arial" w:hAnsi="Arial" w:eastAsia="宋体" w:cs="Arial"/>
          <w:spacing w:val="10"/>
          <w:sz w:val="24"/>
          <w:szCs w:val="24"/>
        </w:rPr>
        <w:t>工程技术资料。</w:t>
      </w:r>
    </w:p>
    <w:p>
      <w:pPr>
        <w:keepNext/>
        <w:keepLines/>
        <w:numPr>
          <w:ilvl w:val="0"/>
          <w:numId w:val="2"/>
        </w:numPr>
        <w:tabs>
          <w:tab w:val="left" w:pos="567"/>
        </w:tabs>
        <w:spacing w:before="210" w:after="210" w:line="500" w:lineRule="exact"/>
        <w:outlineLvl w:val="1"/>
        <w:rPr>
          <w:rFonts w:ascii="Arial" w:hAnsi="Arial" w:eastAsia="宋体" w:cs="Arial"/>
          <w:b/>
        </w:rPr>
      </w:pPr>
      <w:bookmarkStart w:id="229" w:name="_Toc166675351"/>
      <w:bookmarkStart w:id="230" w:name="_Toc182491370"/>
      <w:bookmarkStart w:id="231" w:name="_Toc185950207"/>
      <w:bookmarkStart w:id="232" w:name="_Toc154599054"/>
      <w:r>
        <w:rPr>
          <w:rFonts w:ascii="Arial" w:hAnsi="Arial" w:eastAsia="宋体" w:cs="Arial"/>
          <w:b/>
        </w:rPr>
        <w:t>评价因子、环境功能区以及评价标准</w:t>
      </w:r>
      <w:bookmarkEnd w:id="229"/>
      <w:bookmarkEnd w:id="230"/>
      <w:bookmarkEnd w:id="231"/>
      <w:bookmarkEnd w:id="232"/>
    </w:p>
    <w:p>
      <w:pPr>
        <w:keepNext/>
        <w:keepLines/>
        <w:numPr>
          <w:ilvl w:val="0"/>
          <w:numId w:val="4"/>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评价因子</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1、区域环境制约因素</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区域环境对本项目制约程度见表1-1。</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区域环境对项目建设的制约因素分析</w:t>
      </w:r>
    </w:p>
    <w:tbl>
      <w:tblPr>
        <w:tblStyle w:val="88"/>
        <w:tblW w:w="85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6"/>
        <w:gridCol w:w="2370"/>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环境要素</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对项目的制约因素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对项目的制约程度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地表水</w:t>
            </w:r>
            <w:r>
              <w:rPr>
                <w:rFonts w:hint="eastAsia" w:ascii="Arial" w:hAnsi="Arial" w:eastAsia="宋体" w:cs="Arial"/>
                <w:sz w:val="21"/>
                <w:szCs w:val="21"/>
              </w:rPr>
              <w:t>（海水）</w:t>
            </w:r>
            <w:r>
              <w:rPr>
                <w:rFonts w:ascii="Arial" w:hAnsi="Arial" w:eastAsia="宋体" w:cs="Arial"/>
                <w:sz w:val="21"/>
                <w:szCs w:val="21"/>
              </w:rPr>
              <w:t>水质</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地下水水质</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环境空气质量</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土壤环境质量</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声环境质量</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9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生态环境</w:t>
            </w:r>
          </w:p>
        </w:tc>
        <w:tc>
          <w:tcPr>
            <w:tcW w:w="2370"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bl>
    <w:p>
      <w:pPr>
        <w:spacing w:line="240" w:lineRule="exact"/>
        <w:ind w:firstLine="430" w:firstLineChars="200"/>
        <w:rPr>
          <w:rFonts w:ascii="Arial" w:hAnsi="Arial" w:eastAsia="宋体" w:cs="Arial"/>
          <w:spacing w:val="10"/>
          <w:sz w:val="24"/>
          <w:szCs w:val="24"/>
        </w:rPr>
      </w:pPr>
      <w:r>
        <w:rPr>
          <w:rFonts w:ascii="Arial" w:hAnsi="Arial" w:eastAsia="宋体" w:cs="Arial"/>
          <w:spacing w:val="10"/>
          <w:sz w:val="21"/>
          <w:szCs w:val="21"/>
        </w:rPr>
        <w:t>注：表中数字表示制约程度，“1”为轻度，“2”为中度，“3”为重度。</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2、项目的环境影响因素</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项目施工期和运营期对各环境要素的影响类型和程度分析见表1-2。</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建设项目的环境影响因素</w:t>
      </w:r>
    </w:p>
    <w:tbl>
      <w:tblPr>
        <w:tblStyle w:val="88"/>
        <w:tblW w:w="889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74"/>
        <w:gridCol w:w="1288"/>
        <w:gridCol w:w="531"/>
        <w:gridCol w:w="530"/>
        <w:gridCol w:w="530"/>
        <w:gridCol w:w="660"/>
        <w:gridCol w:w="441"/>
        <w:gridCol w:w="421"/>
        <w:gridCol w:w="421"/>
        <w:gridCol w:w="421"/>
        <w:gridCol w:w="421"/>
        <w:gridCol w:w="421"/>
        <w:gridCol w:w="612"/>
        <w:gridCol w:w="571"/>
        <w:gridCol w:w="398"/>
        <w:gridCol w:w="398"/>
        <w:gridCol w:w="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tblHeader/>
          <w:jc w:val="center"/>
        </w:trPr>
        <w:tc>
          <w:tcPr>
            <w:tcW w:w="1662" w:type="dxa"/>
            <w:gridSpan w:val="2"/>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影响类型</w:t>
            </w:r>
          </w:p>
          <w:p>
            <w:pPr>
              <w:adjustRightInd w:val="0"/>
              <w:snapToGrid w:val="0"/>
              <w:jc w:val="center"/>
              <w:rPr>
                <w:rFonts w:ascii="Arial" w:hAnsi="Arial" w:eastAsia="宋体" w:cs="Arial"/>
                <w:sz w:val="21"/>
                <w:szCs w:val="21"/>
              </w:rPr>
            </w:pPr>
            <w:r>
              <w:rPr>
                <w:rFonts w:ascii="Arial" w:hAnsi="Arial" w:eastAsia="宋体" w:cs="Arial"/>
                <w:sz w:val="21"/>
                <w:szCs w:val="21"/>
              </w:rPr>
              <w:t>影响阶段</w:t>
            </w:r>
          </w:p>
        </w:tc>
        <w:tc>
          <w:tcPr>
            <w:tcW w:w="4797" w:type="dxa"/>
            <w:gridSpan w:val="10"/>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影响类型</w:t>
            </w:r>
          </w:p>
        </w:tc>
        <w:tc>
          <w:tcPr>
            <w:tcW w:w="2432" w:type="dxa"/>
            <w:gridSpan w:val="5"/>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pPr>
              <w:widowControl/>
              <w:jc w:val="left"/>
              <w:rPr>
                <w:rFonts w:ascii="Arial" w:hAnsi="Arial" w:eastAsia="宋体" w:cs="Arial"/>
                <w:sz w:val="21"/>
                <w:szCs w:val="21"/>
              </w:rPr>
            </w:pPr>
          </w:p>
        </w:tc>
        <w:tc>
          <w:tcPr>
            <w:tcW w:w="53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有利</w:t>
            </w:r>
          </w:p>
        </w:tc>
        <w:tc>
          <w:tcPr>
            <w:tcW w:w="530"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不利</w:t>
            </w:r>
          </w:p>
        </w:tc>
        <w:tc>
          <w:tcPr>
            <w:tcW w:w="530"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可逆</w:t>
            </w:r>
          </w:p>
        </w:tc>
        <w:tc>
          <w:tcPr>
            <w:tcW w:w="660"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不可逆</w:t>
            </w:r>
          </w:p>
        </w:tc>
        <w:tc>
          <w:tcPr>
            <w:tcW w:w="44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短期</w:t>
            </w:r>
          </w:p>
        </w:tc>
        <w:tc>
          <w:tcPr>
            <w:tcW w:w="42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长期</w:t>
            </w:r>
          </w:p>
        </w:tc>
        <w:tc>
          <w:tcPr>
            <w:tcW w:w="42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直接</w:t>
            </w:r>
          </w:p>
        </w:tc>
        <w:tc>
          <w:tcPr>
            <w:tcW w:w="42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间接</w:t>
            </w:r>
          </w:p>
        </w:tc>
        <w:tc>
          <w:tcPr>
            <w:tcW w:w="42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局部</w:t>
            </w:r>
          </w:p>
        </w:tc>
        <w:tc>
          <w:tcPr>
            <w:tcW w:w="42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区域</w:t>
            </w:r>
          </w:p>
        </w:tc>
        <w:tc>
          <w:tcPr>
            <w:tcW w:w="612"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不确定</w:t>
            </w:r>
          </w:p>
        </w:tc>
        <w:tc>
          <w:tcPr>
            <w:tcW w:w="57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不显著</w:t>
            </w:r>
          </w:p>
        </w:tc>
        <w:tc>
          <w:tcPr>
            <w:tcW w:w="1249" w:type="dxa"/>
            <w:gridSpan w:val="3"/>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显著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pPr>
              <w:widowControl/>
              <w:jc w:val="left"/>
              <w:rPr>
                <w:rFonts w:ascii="Arial" w:hAnsi="Arial" w:eastAsia="宋体" w:cs="Arial"/>
                <w:sz w:val="21"/>
                <w:szCs w:val="21"/>
              </w:rPr>
            </w:pPr>
          </w:p>
        </w:tc>
        <w:tc>
          <w:tcPr>
            <w:tcW w:w="531" w:type="dxa"/>
            <w:vMerge w:val="continue"/>
            <w:vAlign w:val="center"/>
          </w:tcPr>
          <w:p>
            <w:pPr>
              <w:widowControl/>
              <w:jc w:val="left"/>
              <w:rPr>
                <w:rFonts w:ascii="Arial" w:hAnsi="Arial" w:eastAsia="宋体" w:cs="Arial"/>
                <w:sz w:val="21"/>
                <w:szCs w:val="21"/>
              </w:rPr>
            </w:pPr>
          </w:p>
        </w:tc>
        <w:tc>
          <w:tcPr>
            <w:tcW w:w="530" w:type="dxa"/>
            <w:vMerge w:val="continue"/>
            <w:vAlign w:val="center"/>
          </w:tcPr>
          <w:p>
            <w:pPr>
              <w:widowControl/>
              <w:jc w:val="left"/>
              <w:rPr>
                <w:rFonts w:ascii="Arial" w:hAnsi="Arial" w:eastAsia="宋体" w:cs="Arial"/>
                <w:sz w:val="21"/>
                <w:szCs w:val="21"/>
              </w:rPr>
            </w:pPr>
          </w:p>
        </w:tc>
        <w:tc>
          <w:tcPr>
            <w:tcW w:w="530" w:type="dxa"/>
            <w:vMerge w:val="continue"/>
            <w:vAlign w:val="center"/>
          </w:tcPr>
          <w:p>
            <w:pPr>
              <w:widowControl/>
              <w:jc w:val="left"/>
              <w:rPr>
                <w:rFonts w:ascii="Arial" w:hAnsi="Arial" w:eastAsia="宋体" w:cs="Arial"/>
                <w:sz w:val="21"/>
                <w:szCs w:val="21"/>
              </w:rPr>
            </w:pPr>
          </w:p>
        </w:tc>
        <w:tc>
          <w:tcPr>
            <w:tcW w:w="660" w:type="dxa"/>
            <w:vMerge w:val="continue"/>
            <w:vAlign w:val="center"/>
          </w:tcPr>
          <w:p>
            <w:pPr>
              <w:widowControl/>
              <w:jc w:val="left"/>
              <w:rPr>
                <w:rFonts w:ascii="Arial" w:hAnsi="Arial" w:eastAsia="宋体" w:cs="Arial"/>
                <w:sz w:val="21"/>
                <w:szCs w:val="21"/>
              </w:rPr>
            </w:pPr>
          </w:p>
        </w:tc>
        <w:tc>
          <w:tcPr>
            <w:tcW w:w="441" w:type="dxa"/>
            <w:vMerge w:val="continue"/>
            <w:vAlign w:val="center"/>
          </w:tcPr>
          <w:p>
            <w:pPr>
              <w:widowControl/>
              <w:jc w:val="left"/>
              <w:rPr>
                <w:rFonts w:ascii="Arial" w:hAnsi="Arial" w:eastAsia="宋体" w:cs="Arial"/>
                <w:sz w:val="21"/>
                <w:szCs w:val="21"/>
              </w:rPr>
            </w:pPr>
          </w:p>
        </w:tc>
        <w:tc>
          <w:tcPr>
            <w:tcW w:w="421" w:type="dxa"/>
            <w:vMerge w:val="continue"/>
            <w:vAlign w:val="center"/>
          </w:tcPr>
          <w:p>
            <w:pPr>
              <w:widowControl/>
              <w:jc w:val="left"/>
              <w:rPr>
                <w:rFonts w:ascii="Arial" w:hAnsi="Arial" w:eastAsia="宋体" w:cs="Arial"/>
                <w:sz w:val="21"/>
                <w:szCs w:val="21"/>
              </w:rPr>
            </w:pPr>
          </w:p>
        </w:tc>
        <w:tc>
          <w:tcPr>
            <w:tcW w:w="421" w:type="dxa"/>
            <w:vMerge w:val="continue"/>
            <w:vAlign w:val="center"/>
          </w:tcPr>
          <w:p>
            <w:pPr>
              <w:widowControl/>
              <w:jc w:val="left"/>
              <w:rPr>
                <w:rFonts w:ascii="Arial" w:hAnsi="Arial" w:eastAsia="宋体" w:cs="Arial"/>
                <w:sz w:val="21"/>
                <w:szCs w:val="21"/>
              </w:rPr>
            </w:pPr>
          </w:p>
        </w:tc>
        <w:tc>
          <w:tcPr>
            <w:tcW w:w="421" w:type="dxa"/>
            <w:vMerge w:val="continue"/>
            <w:vAlign w:val="center"/>
          </w:tcPr>
          <w:p>
            <w:pPr>
              <w:widowControl/>
              <w:jc w:val="left"/>
              <w:rPr>
                <w:rFonts w:ascii="Arial" w:hAnsi="Arial" w:eastAsia="宋体" w:cs="Arial"/>
                <w:sz w:val="21"/>
                <w:szCs w:val="21"/>
              </w:rPr>
            </w:pPr>
          </w:p>
        </w:tc>
        <w:tc>
          <w:tcPr>
            <w:tcW w:w="421" w:type="dxa"/>
            <w:vMerge w:val="continue"/>
            <w:vAlign w:val="center"/>
          </w:tcPr>
          <w:p>
            <w:pPr>
              <w:widowControl/>
              <w:jc w:val="left"/>
              <w:rPr>
                <w:rFonts w:ascii="Arial" w:hAnsi="Arial" w:eastAsia="宋体" w:cs="Arial"/>
                <w:sz w:val="21"/>
                <w:szCs w:val="21"/>
              </w:rPr>
            </w:pPr>
          </w:p>
        </w:tc>
        <w:tc>
          <w:tcPr>
            <w:tcW w:w="421" w:type="dxa"/>
            <w:vMerge w:val="continue"/>
            <w:vAlign w:val="center"/>
          </w:tcPr>
          <w:p>
            <w:pPr>
              <w:widowControl/>
              <w:jc w:val="left"/>
              <w:rPr>
                <w:rFonts w:ascii="Arial" w:hAnsi="Arial" w:eastAsia="宋体" w:cs="Arial"/>
                <w:sz w:val="21"/>
                <w:szCs w:val="21"/>
              </w:rPr>
            </w:pPr>
          </w:p>
        </w:tc>
        <w:tc>
          <w:tcPr>
            <w:tcW w:w="612" w:type="dxa"/>
            <w:vMerge w:val="continue"/>
            <w:vAlign w:val="center"/>
          </w:tcPr>
          <w:p>
            <w:pPr>
              <w:widowControl/>
              <w:jc w:val="left"/>
              <w:rPr>
                <w:rFonts w:ascii="Arial" w:hAnsi="Arial" w:eastAsia="宋体" w:cs="Arial"/>
                <w:sz w:val="21"/>
                <w:szCs w:val="21"/>
              </w:rPr>
            </w:pPr>
          </w:p>
        </w:tc>
        <w:tc>
          <w:tcPr>
            <w:tcW w:w="571" w:type="dxa"/>
            <w:vMerge w:val="continue"/>
            <w:vAlign w:val="center"/>
          </w:tcPr>
          <w:p>
            <w:pPr>
              <w:widowControl/>
              <w:jc w:val="left"/>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小</w:t>
            </w: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中</w:t>
            </w:r>
          </w:p>
        </w:tc>
        <w:tc>
          <w:tcPr>
            <w:tcW w:w="45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施工期</w:t>
            </w: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pPr>
              <w:adjustRightInd w:val="0"/>
              <w:snapToGrid w:val="0"/>
              <w:jc w:val="center"/>
              <w:rPr>
                <w:rFonts w:ascii="Arial" w:hAnsi="Arial" w:eastAsia="宋体" w:cs="Arial"/>
                <w:sz w:val="21"/>
                <w:szCs w:val="21"/>
              </w:rPr>
            </w:pPr>
          </w:p>
        </w:tc>
        <w:tc>
          <w:tcPr>
            <w:tcW w:w="44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pPr>
              <w:adjustRightInd w:val="0"/>
              <w:snapToGrid w:val="0"/>
              <w:jc w:val="center"/>
              <w:rPr>
                <w:rFonts w:ascii="Arial" w:hAnsi="Arial" w:eastAsia="宋体" w:cs="Arial"/>
                <w:sz w:val="21"/>
                <w:szCs w:val="21"/>
              </w:rPr>
            </w:pPr>
          </w:p>
        </w:tc>
        <w:tc>
          <w:tcPr>
            <w:tcW w:w="44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pPr>
              <w:adjustRightInd w:val="0"/>
              <w:snapToGrid w:val="0"/>
              <w:jc w:val="center"/>
              <w:rPr>
                <w:rFonts w:ascii="Arial" w:hAnsi="Arial" w:eastAsia="宋体" w:cs="Arial"/>
                <w:sz w:val="21"/>
                <w:szCs w:val="21"/>
              </w:rPr>
            </w:pPr>
          </w:p>
        </w:tc>
        <w:tc>
          <w:tcPr>
            <w:tcW w:w="44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土壤环境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营运期</w:t>
            </w: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374" w:type="dxa"/>
            <w:vMerge w:val="continue"/>
            <w:vAlign w:val="center"/>
          </w:tcPr>
          <w:p>
            <w:pPr>
              <w:widowControl/>
              <w:jc w:val="left"/>
              <w:rPr>
                <w:rFonts w:ascii="Arial" w:hAnsi="Arial" w:eastAsia="宋体" w:cs="Arial"/>
                <w:sz w:val="21"/>
                <w:szCs w:val="21"/>
              </w:rPr>
            </w:pPr>
          </w:p>
        </w:tc>
        <w:tc>
          <w:tcPr>
            <w:tcW w:w="128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土壤环境</w:t>
            </w:r>
          </w:p>
        </w:tc>
        <w:tc>
          <w:tcPr>
            <w:tcW w:w="531" w:type="dxa"/>
            <w:vAlign w:val="center"/>
          </w:tcPr>
          <w:p>
            <w:pPr>
              <w:adjustRightInd w:val="0"/>
              <w:snapToGrid w:val="0"/>
              <w:jc w:val="center"/>
              <w:rPr>
                <w:rFonts w:ascii="Arial" w:hAnsi="Arial" w:eastAsia="宋体" w:cs="Arial"/>
                <w:sz w:val="21"/>
                <w:szCs w:val="21"/>
              </w:rPr>
            </w:pPr>
          </w:p>
        </w:tc>
        <w:tc>
          <w:tcPr>
            <w:tcW w:w="53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pPr>
              <w:adjustRightInd w:val="0"/>
              <w:snapToGrid w:val="0"/>
              <w:jc w:val="center"/>
              <w:rPr>
                <w:rFonts w:ascii="Arial" w:hAnsi="Arial" w:eastAsia="宋体" w:cs="Arial"/>
                <w:sz w:val="21"/>
                <w:szCs w:val="21"/>
              </w:rPr>
            </w:pPr>
          </w:p>
        </w:tc>
        <w:tc>
          <w:tcPr>
            <w:tcW w:w="66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4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pPr>
              <w:adjustRightInd w:val="0"/>
              <w:snapToGrid w:val="0"/>
              <w:jc w:val="center"/>
              <w:rPr>
                <w:rFonts w:ascii="Arial" w:hAnsi="Arial" w:eastAsia="宋体" w:cs="Arial"/>
                <w:sz w:val="21"/>
                <w:szCs w:val="21"/>
              </w:rPr>
            </w:pPr>
          </w:p>
        </w:tc>
        <w:tc>
          <w:tcPr>
            <w:tcW w:w="612" w:type="dxa"/>
            <w:vAlign w:val="center"/>
          </w:tcPr>
          <w:p>
            <w:pPr>
              <w:adjustRightInd w:val="0"/>
              <w:snapToGrid w:val="0"/>
              <w:jc w:val="center"/>
              <w:rPr>
                <w:rFonts w:ascii="Arial" w:hAnsi="Arial" w:eastAsia="宋体" w:cs="Arial"/>
                <w:sz w:val="21"/>
                <w:szCs w:val="21"/>
              </w:rPr>
            </w:pPr>
          </w:p>
        </w:tc>
        <w:tc>
          <w:tcPr>
            <w:tcW w:w="571" w:type="dxa"/>
            <w:vAlign w:val="center"/>
          </w:tcPr>
          <w:p>
            <w:pPr>
              <w:adjustRightInd w:val="0"/>
              <w:snapToGrid w:val="0"/>
              <w:jc w:val="center"/>
              <w:rPr>
                <w:rFonts w:ascii="Arial" w:hAnsi="Arial" w:eastAsia="宋体" w:cs="Arial"/>
                <w:sz w:val="21"/>
                <w:szCs w:val="21"/>
              </w:rPr>
            </w:pPr>
          </w:p>
        </w:tc>
        <w:tc>
          <w:tcPr>
            <w:tcW w:w="39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pPr>
              <w:adjustRightInd w:val="0"/>
              <w:snapToGrid w:val="0"/>
              <w:jc w:val="center"/>
              <w:rPr>
                <w:rFonts w:ascii="Arial" w:hAnsi="Arial" w:eastAsia="宋体" w:cs="Arial"/>
                <w:sz w:val="21"/>
                <w:szCs w:val="21"/>
              </w:rPr>
            </w:pPr>
          </w:p>
        </w:tc>
        <w:tc>
          <w:tcPr>
            <w:tcW w:w="453" w:type="dxa"/>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由表1-2可知，项目的实施，对环境的影响是综合性的。这些影响，既有可逆影响，也有不可逆影响；既有短期影响，也有长期影响；既有直接影响，也有间接影响；既有局部影响，也有区域影响。</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3、环境影响要素识别</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项目环境影响要素识别详见表1-3。</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项目环境影响要素识别表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775"/>
        <w:gridCol w:w="1833"/>
        <w:gridCol w:w="2748"/>
        <w:gridCol w:w="2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shd w:val="clear" w:color="auto" w:fill="auto"/>
            <w:vAlign w:val="center"/>
          </w:tcPr>
          <w:p>
            <w:pPr>
              <w:pStyle w:val="5"/>
              <w:adjustRightInd w:val="0"/>
              <w:snapToGrid w:val="0"/>
              <w:spacing w:line="240" w:lineRule="auto"/>
              <w:ind w:firstLine="0"/>
              <w:jc w:val="center"/>
              <w:rPr>
                <w:sz w:val="21"/>
                <w:szCs w:val="21"/>
              </w:rPr>
            </w:pPr>
            <w:r>
              <w:rPr>
                <w:sz w:val="21"/>
                <w:szCs w:val="21"/>
              </w:rPr>
              <w:t>类别</w:t>
            </w: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序号</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名称</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产生环节、装置</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废气</w:t>
            </w: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G1-1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合成反应废气</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反应釜</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G1-2</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压滤废气</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压滤机</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G1-3</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烘干粉尘</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烘箱</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G1-4</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破碎粉尘</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破碎间</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包装粉尘</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包装间</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83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2748" w:type="dxa"/>
            <w:shd w:val="clear" w:color="auto" w:fill="auto"/>
            <w:vAlign w:val="center"/>
          </w:tcPr>
          <w:p>
            <w:pPr>
              <w:pStyle w:val="5"/>
              <w:adjustRightInd w:val="0"/>
              <w:snapToGrid w:val="0"/>
              <w:ind w:firstLine="0"/>
              <w:jc w:val="center"/>
              <w:rPr>
                <w:sz w:val="21"/>
                <w:szCs w:val="21"/>
              </w:rPr>
            </w:pPr>
            <w:r>
              <w:rPr>
                <w:rFonts w:hint="eastAsia"/>
                <w:sz w:val="21"/>
                <w:szCs w:val="21"/>
              </w:rPr>
              <w:t>X19车间</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运输废气</w:t>
            </w:r>
          </w:p>
        </w:tc>
        <w:tc>
          <w:tcPr>
            <w:tcW w:w="2748" w:type="dxa"/>
            <w:shd w:val="clear" w:color="auto" w:fill="auto"/>
            <w:vAlign w:val="center"/>
          </w:tcPr>
          <w:p>
            <w:pPr>
              <w:pStyle w:val="5"/>
              <w:adjustRightInd w:val="0"/>
              <w:snapToGrid w:val="0"/>
              <w:ind w:firstLine="0"/>
              <w:jc w:val="center"/>
              <w:rPr>
                <w:sz w:val="21"/>
                <w:szCs w:val="21"/>
              </w:rPr>
            </w:pPr>
            <w:r>
              <w:rPr>
                <w:sz w:val="21"/>
                <w:szCs w:val="21"/>
              </w:rPr>
              <w:t>物料运输</w:t>
            </w:r>
          </w:p>
        </w:tc>
        <w:tc>
          <w:tcPr>
            <w:tcW w:w="294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污水处理废气</w:t>
            </w:r>
          </w:p>
        </w:tc>
        <w:tc>
          <w:tcPr>
            <w:tcW w:w="2748" w:type="dxa"/>
            <w:shd w:val="clear" w:color="auto" w:fill="auto"/>
            <w:vAlign w:val="center"/>
          </w:tcPr>
          <w:p>
            <w:pPr>
              <w:pStyle w:val="5"/>
              <w:adjustRightInd w:val="0"/>
              <w:snapToGrid w:val="0"/>
              <w:ind w:firstLine="0"/>
              <w:jc w:val="center"/>
              <w:rPr>
                <w:sz w:val="21"/>
                <w:szCs w:val="21"/>
              </w:rPr>
            </w:pPr>
            <w:r>
              <w:rPr>
                <w:rFonts w:hint="eastAsia"/>
                <w:sz w:val="21"/>
                <w:szCs w:val="21"/>
              </w:rPr>
              <w:t>母液罐</w:t>
            </w:r>
          </w:p>
        </w:tc>
        <w:tc>
          <w:tcPr>
            <w:tcW w:w="294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废水</w:t>
            </w: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W1-1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生产废水</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压滤洗涤</w:t>
            </w:r>
          </w:p>
        </w:tc>
        <w:tc>
          <w:tcPr>
            <w:tcW w:w="294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833"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274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地面清洗</w:t>
            </w:r>
          </w:p>
        </w:tc>
        <w:tc>
          <w:tcPr>
            <w:tcW w:w="294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喷淋废水</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纯水站浓水</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生活污水</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员工生活</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初期雨水</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装置区</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 xml:space="preserve">SS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N</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设备噪声</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生产设备</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固废</w:t>
            </w: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S1-1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收集粉尘</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布袋除尘器</w:t>
            </w:r>
          </w:p>
        </w:tc>
        <w:tc>
          <w:tcPr>
            <w:tcW w:w="294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c>
          <w:tcPr>
            <w:tcW w:w="274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精密过滤器</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c>
          <w:tcPr>
            <w:tcW w:w="274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83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c>
          <w:tcPr>
            <w:tcW w:w="274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294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83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车间沉降粉尘</w:t>
            </w:r>
          </w:p>
        </w:tc>
        <w:tc>
          <w:tcPr>
            <w:tcW w:w="274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294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SS、钴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机械维修</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775"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83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c>
          <w:tcPr>
            <w:tcW w:w="274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w:t>
            </w:r>
          </w:p>
        </w:tc>
        <w:tc>
          <w:tcPr>
            <w:tcW w:w="2948"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r>
    </w:tbl>
    <w:p>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评价因子确定</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根据项目污染源特点及周边区域环境特征的分析，确定各环境影响要素的评价因子见表</w:t>
      </w:r>
      <w:r>
        <w:rPr>
          <w:rFonts w:ascii="Arial" w:hAnsi="Arial" w:eastAsia="宋体" w:cs="Arial"/>
          <w:spacing w:val="10"/>
          <w:sz w:val="24"/>
          <w:szCs w:val="24"/>
        </w:rPr>
        <w:t>1-4。</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项目评价因子</w:t>
      </w:r>
    </w:p>
    <w:tbl>
      <w:tblPr>
        <w:tblStyle w:val="88"/>
        <w:tblW w:w="87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17"/>
        <w:gridCol w:w="4337"/>
        <w:gridCol w:w="3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tblHeader/>
          <w:jc w:val="center"/>
        </w:trPr>
        <w:tc>
          <w:tcPr>
            <w:tcW w:w="12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评价内容</w:t>
            </w:r>
          </w:p>
        </w:tc>
        <w:tc>
          <w:tcPr>
            <w:tcW w:w="433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现状评价因子</w:t>
            </w:r>
          </w:p>
        </w:tc>
        <w:tc>
          <w:tcPr>
            <w:tcW w:w="3200"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影响评价因子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环境空气</w:t>
            </w:r>
          </w:p>
        </w:tc>
        <w:tc>
          <w:tcPr>
            <w:tcW w:w="4337" w:type="dxa"/>
            <w:vAlign w:val="center"/>
          </w:tcPr>
          <w:p>
            <w:pPr>
              <w:spacing w:line="0" w:lineRule="atLeast"/>
              <w:rPr>
                <w:rFonts w:ascii="Arial" w:hAnsi="Arial" w:eastAsia="宋体" w:cs="Arial"/>
                <w:sz w:val="21"/>
                <w:szCs w:val="21"/>
                <w:vertAlign w:val="subscript"/>
              </w:rPr>
            </w:pPr>
            <w:r>
              <w:rPr>
                <w:rFonts w:ascii="Arial" w:hAnsi="Arial" w:eastAsia="宋体" w:cs="Arial"/>
                <w:sz w:val="21"/>
                <w:szCs w:val="21"/>
              </w:rPr>
              <w:t>基本因子：SO</w:t>
            </w:r>
            <w:r>
              <w:rPr>
                <w:rFonts w:ascii="Arial" w:hAnsi="Arial" w:eastAsia="宋体" w:cs="Arial"/>
                <w:sz w:val="21"/>
                <w:szCs w:val="21"/>
                <w:vertAlign w:val="subscript"/>
              </w:rPr>
              <w:t>2</w:t>
            </w:r>
            <w:r>
              <w:rPr>
                <w:rFonts w:ascii="Arial" w:hAnsi="Arial" w:eastAsia="宋体" w:cs="Arial"/>
                <w:sz w:val="21"/>
                <w:szCs w:val="21"/>
              </w:rPr>
              <w:t>、NO</w:t>
            </w:r>
            <w:r>
              <w:rPr>
                <w:rFonts w:ascii="Arial" w:hAnsi="Arial" w:eastAsia="宋体" w:cs="Arial"/>
                <w:sz w:val="21"/>
                <w:szCs w:val="21"/>
                <w:vertAlign w:val="subscript"/>
              </w:rPr>
              <w:t>2</w:t>
            </w:r>
            <w:r>
              <w:rPr>
                <w:rFonts w:ascii="Arial" w:hAnsi="Arial" w:eastAsia="宋体" w:cs="Arial"/>
                <w:sz w:val="21"/>
                <w:szCs w:val="21"/>
              </w:rPr>
              <w:t>、PM</w:t>
            </w:r>
            <w:r>
              <w:rPr>
                <w:rFonts w:ascii="Arial" w:hAnsi="Arial" w:eastAsia="宋体" w:cs="Arial"/>
                <w:sz w:val="21"/>
                <w:szCs w:val="21"/>
                <w:vertAlign w:val="subscript"/>
              </w:rPr>
              <w:t>10</w:t>
            </w:r>
            <w:r>
              <w:rPr>
                <w:rFonts w:ascii="Arial" w:hAnsi="Arial" w:eastAsia="宋体" w:cs="Arial"/>
                <w:sz w:val="21"/>
                <w:szCs w:val="21"/>
              </w:rPr>
              <w:t>、PM</w:t>
            </w:r>
            <w:r>
              <w:rPr>
                <w:rFonts w:ascii="Arial" w:hAnsi="Arial" w:eastAsia="宋体" w:cs="Arial"/>
                <w:sz w:val="21"/>
                <w:szCs w:val="21"/>
                <w:vertAlign w:val="subscript"/>
              </w:rPr>
              <w:t>2.5</w:t>
            </w:r>
            <w:r>
              <w:rPr>
                <w:rFonts w:ascii="Arial" w:hAnsi="Arial" w:eastAsia="宋体" w:cs="Arial"/>
                <w:sz w:val="21"/>
                <w:szCs w:val="21"/>
              </w:rPr>
              <w:t>、CO、O</w:t>
            </w:r>
            <w:r>
              <w:rPr>
                <w:rFonts w:ascii="Arial" w:hAnsi="Arial" w:eastAsia="宋体" w:cs="Arial"/>
                <w:sz w:val="21"/>
                <w:szCs w:val="21"/>
                <w:vertAlign w:val="subscript"/>
              </w:rPr>
              <w:t>3</w:t>
            </w:r>
            <w:r>
              <w:rPr>
                <w:rFonts w:ascii="Arial" w:hAnsi="Arial" w:eastAsia="宋体" w:cs="Arial"/>
                <w:sz w:val="21"/>
                <w:szCs w:val="21"/>
              </w:rPr>
              <w:t>；</w:t>
            </w:r>
          </w:p>
          <w:p>
            <w:pPr>
              <w:spacing w:line="0" w:lineRule="atLeast"/>
              <w:rPr>
                <w:rFonts w:ascii="Arial" w:hAnsi="Arial" w:eastAsia="宋体" w:cs="Arial"/>
                <w:sz w:val="21"/>
                <w:szCs w:val="21"/>
              </w:rPr>
            </w:pPr>
            <w:r>
              <w:rPr>
                <w:rFonts w:ascii="Arial" w:hAnsi="Arial" w:eastAsia="宋体" w:cs="Arial"/>
                <w:sz w:val="21"/>
                <w:szCs w:val="21"/>
              </w:rPr>
              <w:t>其他因子：氨</w:t>
            </w:r>
            <w:r>
              <w:rPr>
                <w:rFonts w:hint="eastAsia" w:ascii="Arial" w:hAnsi="Arial" w:eastAsia="宋体" w:cs="Arial"/>
                <w:sz w:val="21"/>
                <w:szCs w:val="21"/>
              </w:rPr>
              <w:t>、TSP</w:t>
            </w:r>
          </w:p>
        </w:tc>
        <w:tc>
          <w:tcPr>
            <w:tcW w:w="3200" w:type="dxa"/>
            <w:vAlign w:val="center"/>
          </w:tcPr>
          <w:p>
            <w:pPr>
              <w:pStyle w:val="880"/>
              <w:spacing w:line="0" w:lineRule="atLeast"/>
              <w:jc w:val="center"/>
              <w:rPr>
                <w:rFonts w:ascii="Arial" w:hAnsi="Arial" w:cs="Arial"/>
                <w:sz w:val="21"/>
                <w:szCs w:val="21"/>
              </w:rPr>
            </w:pPr>
            <w:r>
              <w:rPr>
                <w:rFonts w:ascii="Arial" w:hAnsi="Arial" w:cs="Arial"/>
                <w:sz w:val="21"/>
                <w:szCs w:val="21"/>
              </w:rPr>
              <w:t>氨、PM</w:t>
            </w:r>
            <w:r>
              <w:rPr>
                <w:rFonts w:ascii="Arial" w:hAnsi="Arial" w:cs="Arial"/>
                <w:sz w:val="21"/>
                <w:szCs w:val="21"/>
                <w:vertAlign w:val="subscript"/>
              </w:rPr>
              <w:t>10</w:t>
            </w:r>
            <w:r>
              <w:rPr>
                <w:rFonts w:hint="eastAsia" w:ascii="Arial" w:hAnsi="Arial" w:cs="Arial"/>
                <w:sz w:val="21"/>
                <w:szCs w:val="21"/>
              </w:rPr>
              <w:t>、钴及其化合物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地表水</w:t>
            </w:r>
          </w:p>
        </w:tc>
        <w:tc>
          <w:tcPr>
            <w:tcW w:w="4337" w:type="dxa"/>
            <w:vAlign w:val="center"/>
          </w:tcPr>
          <w:p>
            <w:pPr>
              <w:spacing w:line="240" w:lineRule="exact"/>
              <w:rPr>
                <w:rFonts w:ascii="Arial" w:hAnsi="Arial" w:eastAsia="宋体" w:cs="Arial"/>
                <w:kern w:val="0"/>
                <w:sz w:val="21"/>
                <w:szCs w:val="21"/>
              </w:rPr>
            </w:pPr>
            <w:r>
              <w:rPr>
                <w:rFonts w:hint="eastAsia" w:ascii="Arial" w:hAnsi="Arial" w:eastAsia="宋体" w:cs="Arial"/>
                <w:bCs/>
                <w:kern w:val="0"/>
                <w:sz w:val="21"/>
                <w:szCs w:val="21"/>
              </w:rPr>
              <w:t>水温、水深、pH值、水色、盐度、悬浮物、溶解氧、化学需氧量、五日生化需氧量、活性磷酸盐、亚硝酸盐、硝酸盐氮、氨氮、挥发酚、石油类、硫化物、六价铬、氰化物、铜、锌、铅、镉、总铬、镍、汞、砷、硒</w:t>
            </w:r>
          </w:p>
        </w:tc>
        <w:tc>
          <w:tcPr>
            <w:tcW w:w="3200" w:type="dxa"/>
            <w:vAlign w:val="center"/>
          </w:tcPr>
          <w:p>
            <w:pPr>
              <w:widowControl/>
              <w:adjustRightInd w:val="0"/>
              <w:snapToGrid w:val="0"/>
              <w:jc w:val="center"/>
              <w:rPr>
                <w:rFonts w:ascii="Arial" w:hAnsi="Arial" w:eastAsia="宋体" w:cs="Arial"/>
                <w:kern w:val="0"/>
                <w:sz w:val="21"/>
                <w:szCs w:val="21"/>
                <w:highlight w:val="yellow"/>
              </w:rPr>
            </w:pPr>
            <w:r>
              <w:rPr>
                <w:rFonts w:hint="eastAsia" w:ascii="Arial" w:hAnsi="Arial" w:eastAsia="宋体" w:cs="Arial"/>
                <w:kern w:val="0"/>
                <w:sz w:val="21"/>
                <w:szCs w:val="21"/>
              </w:rPr>
              <w:t>COD、氨氮、钴、硫酸盐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地下水</w:t>
            </w:r>
          </w:p>
        </w:tc>
        <w:tc>
          <w:tcPr>
            <w:tcW w:w="4337" w:type="dxa"/>
            <w:vAlign w:val="center"/>
          </w:tcPr>
          <w:p>
            <w:pPr>
              <w:widowControl/>
              <w:spacing w:line="240" w:lineRule="exact"/>
              <w:jc w:val="left"/>
              <w:rPr>
                <w:rFonts w:ascii="Arial" w:hAnsi="Arial" w:eastAsia="宋体" w:cs="Arial"/>
                <w:kern w:val="0"/>
                <w:sz w:val="21"/>
                <w:szCs w:val="24"/>
              </w:rPr>
            </w:pPr>
            <w:r>
              <w:rPr>
                <w:rFonts w:ascii="Arial" w:hAnsi="Arial" w:eastAsia="宋体" w:cs="Arial"/>
                <w:kern w:val="0"/>
                <w:sz w:val="21"/>
                <w:szCs w:val="24"/>
              </w:rPr>
              <w:t>基本因子：pH值、总硬度、溶解性总固体、锰、铜、锌、耗氧量、硝酸盐氮、亚硝酸盐氮、挥发酚、氨氮、汞、镍、石油类、钴、铁、氟化物、硫化物、砷、六价铬、铅、镉；</w:t>
            </w:r>
          </w:p>
          <w:p>
            <w:pPr>
              <w:widowControl/>
              <w:spacing w:line="240" w:lineRule="exact"/>
              <w:jc w:val="left"/>
              <w:rPr>
                <w:rFonts w:ascii="Arial" w:hAnsi="Arial" w:eastAsia="宋体" w:cs="Arial"/>
                <w:kern w:val="0"/>
                <w:sz w:val="21"/>
                <w:szCs w:val="21"/>
              </w:rPr>
            </w:pPr>
            <w:r>
              <w:rPr>
                <w:rFonts w:ascii="Arial" w:hAnsi="Arial" w:eastAsia="宋体" w:cs="Arial"/>
                <w:kern w:val="0"/>
                <w:sz w:val="21"/>
                <w:szCs w:val="24"/>
              </w:rPr>
              <w:t>八大离子：K</w:t>
            </w:r>
            <w:r>
              <w:rPr>
                <w:rFonts w:ascii="Arial" w:hAnsi="Arial" w:eastAsia="宋体" w:cs="Arial"/>
                <w:kern w:val="0"/>
                <w:sz w:val="21"/>
                <w:szCs w:val="24"/>
                <w:vertAlign w:val="superscript"/>
              </w:rPr>
              <w:t>+</w:t>
            </w:r>
            <w:r>
              <w:rPr>
                <w:rFonts w:ascii="Arial" w:hAnsi="Arial" w:eastAsia="宋体" w:cs="Arial"/>
                <w:kern w:val="0"/>
                <w:sz w:val="21"/>
                <w:szCs w:val="24"/>
              </w:rPr>
              <w:t>、Na</w:t>
            </w:r>
            <w:r>
              <w:rPr>
                <w:rFonts w:ascii="Arial" w:hAnsi="Arial" w:eastAsia="宋体" w:cs="Arial"/>
                <w:kern w:val="0"/>
                <w:sz w:val="21"/>
                <w:szCs w:val="24"/>
                <w:vertAlign w:val="superscript"/>
              </w:rPr>
              <w:t>+</w:t>
            </w:r>
            <w:r>
              <w:rPr>
                <w:rFonts w:ascii="Arial" w:hAnsi="Arial" w:eastAsia="宋体" w:cs="Arial"/>
                <w:kern w:val="0"/>
                <w:sz w:val="21"/>
                <w:szCs w:val="24"/>
              </w:rPr>
              <w:t>、Ca</w:t>
            </w:r>
            <w:r>
              <w:rPr>
                <w:rFonts w:ascii="Arial" w:hAnsi="Arial" w:eastAsia="宋体" w:cs="Arial"/>
                <w:kern w:val="0"/>
                <w:sz w:val="21"/>
                <w:szCs w:val="24"/>
                <w:vertAlign w:val="superscript"/>
              </w:rPr>
              <w:t>2+</w:t>
            </w:r>
            <w:r>
              <w:rPr>
                <w:rFonts w:ascii="Arial" w:hAnsi="Arial" w:eastAsia="宋体" w:cs="Arial"/>
                <w:kern w:val="0"/>
                <w:sz w:val="21"/>
                <w:szCs w:val="24"/>
              </w:rPr>
              <w:t>、Mg</w:t>
            </w:r>
            <w:r>
              <w:rPr>
                <w:rFonts w:ascii="Arial" w:hAnsi="Arial" w:eastAsia="宋体" w:cs="Arial"/>
                <w:kern w:val="0"/>
                <w:sz w:val="21"/>
                <w:szCs w:val="24"/>
                <w:vertAlign w:val="superscript"/>
              </w:rPr>
              <w:t>2+</w:t>
            </w:r>
            <w:r>
              <w:rPr>
                <w:rFonts w:ascii="Arial" w:hAnsi="Arial" w:eastAsia="宋体" w:cs="Arial"/>
                <w:kern w:val="0"/>
                <w:sz w:val="21"/>
                <w:szCs w:val="24"/>
              </w:rPr>
              <w:t>、CO</w:t>
            </w:r>
            <w:r>
              <w:rPr>
                <w:rFonts w:ascii="Arial" w:hAnsi="Arial" w:eastAsia="宋体" w:cs="Arial"/>
                <w:kern w:val="0"/>
                <w:sz w:val="21"/>
                <w:szCs w:val="24"/>
                <w:vertAlign w:val="subscript"/>
              </w:rPr>
              <w:t>3</w:t>
            </w:r>
            <w:r>
              <w:rPr>
                <w:rFonts w:ascii="Arial" w:hAnsi="Arial" w:eastAsia="宋体" w:cs="Arial"/>
                <w:kern w:val="0"/>
                <w:sz w:val="21"/>
                <w:szCs w:val="24"/>
                <w:vertAlign w:val="superscript"/>
              </w:rPr>
              <w:t>2-</w:t>
            </w:r>
            <w:r>
              <w:rPr>
                <w:rFonts w:ascii="Arial" w:hAnsi="Arial" w:eastAsia="宋体" w:cs="Arial"/>
                <w:kern w:val="0"/>
                <w:sz w:val="21"/>
                <w:szCs w:val="24"/>
              </w:rPr>
              <w:t>、HCO</w:t>
            </w:r>
            <w:r>
              <w:rPr>
                <w:rFonts w:ascii="Arial" w:hAnsi="Arial" w:eastAsia="宋体" w:cs="Arial"/>
                <w:kern w:val="0"/>
                <w:sz w:val="21"/>
                <w:szCs w:val="24"/>
                <w:vertAlign w:val="subscript"/>
              </w:rPr>
              <w:t>3</w:t>
            </w:r>
            <w:r>
              <w:rPr>
                <w:rFonts w:ascii="Arial" w:hAnsi="Arial" w:eastAsia="宋体" w:cs="Arial"/>
                <w:kern w:val="0"/>
                <w:sz w:val="21"/>
                <w:szCs w:val="24"/>
                <w:vertAlign w:val="superscript"/>
              </w:rPr>
              <w:t>-</w:t>
            </w:r>
            <w:r>
              <w:rPr>
                <w:rFonts w:ascii="Arial" w:hAnsi="Arial" w:eastAsia="宋体" w:cs="Arial"/>
                <w:kern w:val="0"/>
                <w:sz w:val="21"/>
                <w:szCs w:val="24"/>
              </w:rPr>
              <w:t>、Cl</w:t>
            </w:r>
            <w:r>
              <w:rPr>
                <w:rFonts w:ascii="Arial" w:hAnsi="Arial" w:eastAsia="宋体" w:cs="Arial"/>
                <w:kern w:val="0"/>
                <w:sz w:val="21"/>
                <w:szCs w:val="24"/>
                <w:vertAlign w:val="superscript"/>
              </w:rPr>
              <w:t>-</w:t>
            </w:r>
            <w:r>
              <w:rPr>
                <w:rFonts w:ascii="Arial" w:hAnsi="Arial" w:eastAsia="宋体" w:cs="Arial"/>
                <w:kern w:val="0"/>
                <w:sz w:val="21"/>
                <w:szCs w:val="24"/>
              </w:rPr>
              <w:t>、SO</w:t>
            </w:r>
            <w:r>
              <w:rPr>
                <w:rFonts w:ascii="Arial" w:hAnsi="Arial" w:eastAsia="宋体" w:cs="Arial"/>
                <w:kern w:val="0"/>
                <w:sz w:val="21"/>
                <w:szCs w:val="24"/>
                <w:vertAlign w:val="subscript"/>
              </w:rPr>
              <w:t>4</w:t>
            </w:r>
            <w:r>
              <w:rPr>
                <w:rFonts w:ascii="Arial" w:hAnsi="Arial" w:eastAsia="宋体" w:cs="Arial"/>
                <w:kern w:val="0"/>
                <w:sz w:val="21"/>
                <w:szCs w:val="24"/>
                <w:vertAlign w:val="superscript"/>
              </w:rPr>
              <w:t>2-</w:t>
            </w:r>
          </w:p>
        </w:tc>
        <w:tc>
          <w:tcPr>
            <w:tcW w:w="3200"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耗氧量、氨氮、硫酸盐、钴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土壤</w:t>
            </w:r>
          </w:p>
        </w:tc>
        <w:tc>
          <w:tcPr>
            <w:tcW w:w="4337" w:type="dxa"/>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GB36600-2018表1中列出45个基本项目，GB15618-2018表1的基本项目</w:t>
            </w:r>
          </w:p>
          <w:p>
            <w:pPr>
              <w:widowControl/>
              <w:adjustRightInd w:val="0"/>
              <w:snapToGrid w:val="0"/>
              <w:jc w:val="left"/>
              <w:rPr>
                <w:rFonts w:ascii="Arial" w:hAnsi="Arial" w:eastAsia="宋体" w:cs="Arial"/>
                <w:kern w:val="0"/>
                <w:sz w:val="21"/>
                <w:szCs w:val="21"/>
              </w:rPr>
            </w:pPr>
            <w:r>
              <w:rPr>
                <w:rFonts w:ascii="Arial" w:hAnsi="Arial" w:eastAsia="宋体" w:cs="Arial"/>
                <w:sz w:val="21"/>
                <w:szCs w:val="21"/>
              </w:rPr>
              <w:t>其他项目：pH、石油烃、钴、锰</w:t>
            </w:r>
          </w:p>
        </w:tc>
        <w:tc>
          <w:tcPr>
            <w:tcW w:w="3200"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sz w:val="21"/>
                <w:szCs w:val="21"/>
              </w:rPr>
              <w:t>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固体废物</w:t>
            </w:r>
          </w:p>
        </w:tc>
        <w:tc>
          <w:tcPr>
            <w:tcW w:w="433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w:t>
            </w:r>
          </w:p>
        </w:tc>
        <w:tc>
          <w:tcPr>
            <w:tcW w:w="3200"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危险废物、一般工业固废、生活垃圾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声环境</w:t>
            </w:r>
          </w:p>
        </w:tc>
        <w:tc>
          <w:tcPr>
            <w:tcW w:w="433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L</w:t>
            </w:r>
            <w:r>
              <w:rPr>
                <w:rFonts w:ascii="Arial" w:hAnsi="Arial" w:eastAsia="宋体" w:cs="Arial"/>
                <w:kern w:val="0"/>
                <w:sz w:val="21"/>
                <w:szCs w:val="21"/>
                <w:vertAlign w:val="subscript"/>
              </w:rPr>
              <w:t>Aeq</w:t>
            </w:r>
          </w:p>
        </w:tc>
        <w:tc>
          <w:tcPr>
            <w:tcW w:w="3200"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Ex>
        <w:trPr>
          <w:trHeight w:val="340" w:hRule="atLeast"/>
          <w:jc w:val="center"/>
        </w:trPr>
        <w:tc>
          <w:tcPr>
            <w:tcW w:w="121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生态环境</w:t>
            </w:r>
          </w:p>
        </w:tc>
        <w:tc>
          <w:tcPr>
            <w:tcW w:w="4337"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hint="eastAsia" w:ascii="Arial" w:hAnsi="Arial" w:eastAsia="宋体" w:cs="Arial"/>
                <w:kern w:val="0"/>
                <w:sz w:val="21"/>
                <w:szCs w:val="21"/>
              </w:rPr>
              <w:t>植被类型、动物分布</w:t>
            </w:r>
          </w:p>
        </w:tc>
        <w:tc>
          <w:tcPr>
            <w:tcW w:w="3200" w:type="dxa"/>
            <w:vAlign w:val="center"/>
          </w:tcPr>
          <w:p>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w:t>
            </w:r>
          </w:p>
        </w:tc>
      </w:tr>
    </w:tbl>
    <w:p>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环境功能区划</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1、环境空气</w:t>
      </w:r>
    </w:p>
    <w:p>
      <w:pPr>
        <w:spacing w:line="500" w:lineRule="exact"/>
        <w:ind w:firstLine="490" w:firstLineChars="200"/>
        <w:rPr>
          <w:rFonts w:ascii="Arial" w:hAnsi="Arial" w:eastAsia="宋体" w:cs="Arial"/>
          <w:spacing w:val="10"/>
          <w:sz w:val="24"/>
          <w:szCs w:val="24"/>
          <w:u w:val="single"/>
        </w:rPr>
      </w:pPr>
      <w:r>
        <w:rPr>
          <w:rFonts w:ascii="Arial" w:hAnsi="Arial" w:eastAsia="宋体" w:cs="Arial"/>
          <w:spacing w:val="10"/>
          <w:sz w:val="24"/>
          <w:szCs w:val="24"/>
        </w:rPr>
        <w:t>项目位于钦州港大榄坪物流加工区内，根据《钦州港大榄坪物流加工区总体规划修编（2022-2035）》，项目所在区域</w:t>
      </w:r>
      <w:r>
        <w:rPr>
          <w:rFonts w:hint="eastAsia" w:ascii="Arial" w:hAnsi="Arial" w:eastAsia="宋体" w:cs="Arial"/>
          <w:spacing w:val="10"/>
          <w:sz w:val="24"/>
          <w:szCs w:val="24"/>
        </w:rPr>
        <w:t>环境空气执行</w:t>
      </w:r>
      <w:r>
        <w:rPr>
          <w:rFonts w:ascii="Arial" w:hAnsi="Arial" w:eastAsia="宋体" w:cs="Arial"/>
          <w:spacing w:val="10"/>
          <w:sz w:val="24"/>
          <w:szCs w:val="24"/>
        </w:rPr>
        <w:t>《环境空气质量标准》（GB3095-2012）二级标准。</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2、海水环境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根据《广西壮族自治区生态环境厅关于印发广西壮族自治区近岸海域环境功能区划调整方案的通知》（桂环发〔2023〕9号），</w:t>
      </w:r>
      <w:r>
        <w:rPr>
          <w:rFonts w:hint="eastAsia" w:ascii="Arial" w:hAnsi="Arial" w:eastAsia="宋体" w:cs="Arial"/>
          <w:spacing w:val="10"/>
          <w:sz w:val="24"/>
          <w:szCs w:val="24"/>
        </w:rPr>
        <w:t>地表水评价范围内涉及茅尾海红树林生态区（GX065BⅡ）、茅尾海渔业用海区（GX069BⅡ）、钦州港大榄坪港口、工业区（GX055DⅣ）、钦州港金鼓江排污混合区（GX056DⅣ）、</w:t>
      </w:r>
      <w:r>
        <w:rPr>
          <w:rFonts w:ascii="Arial" w:hAnsi="Arial" w:eastAsia="宋体" w:cs="Arial"/>
          <w:spacing w:val="10"/>
          <w:sz w:val="24"/>
          <w:szCs w:val="24"/>
        </w:rPr>
        <w:t>钦州港大榄坪排污混合区（GX057D</w:t>
      </w:r>
      <w:r>
        <w:rPr>
          <w:rFonts w:hint="eastAsia" w:ascii="宋体" w:hAnsi="宋体" w:eastAsia="宋体" w:cs="宋体"/>
          <w:spacing w:val="10"/>
          <w:sz w:val="24"/>
          <w:szCs w:val="24"/>
        </w:rPr>
        <w:t>Ⅳ</w:t>
      </w:r>
      <w:r>
        <w:rPr>
          <w:rFonts w:ascii="Arial" w:hAnsi="Arial" w:eastAsia="宋体" w:cs="Arial"/>
          <w:spacing w:val="10"/>
          <w:sz w:val="24"/>
          <w:szCs w:val="24"/>
        </w:rPr>
        <w:t>）</w:t>
      </w:r>
      <w:r>
        <w:rPr>
          <w:rFonts w:hint="eastAsia" w:ascii="Arial" w:hAnsi="Arial" w:eastAsia="宋体" w:cs="Arial"/>
          <w:spacing w:val="10"/>
          <w:sz w:val="24"/>
          <w:szCs w:val="24"/>
        </w:rPr>
        <w:t>等区域</w:t>
      </w:r>
      <w:r>
        <w:rPr>
          <w:rFonts w:ascii="Arial" w:hAnsi="Arial" w:eastAsia="宋体" w:cs="Arial"/>
          <w:spacing w:val="10"/>
          <w:sz w:val="24"/>
          <w:szCs w:val="24"/>
        </w:rPr>
        <w:t>。</w:t>
      </w:r>
      <w:r>
        <w:rPr>
          <w:rFonts w:hint="eastAsia" w:ascii="Arial" w:hAnsi="Arial" w:eastAsia="宋体" w:cs="Arial"/>
          <w:spacing w:val="10"/>
          <w:sz w:val="24"/>
          <w:szCs w:val="24"/>
        </w:rPr>
        <w:t>茅尾海红树林生态区（GX065BⅡ）属二类环境功能区，水质保护目标为海水水质标准第二类，广西茅尾海红树林自治区级自然保护区康熙岭、坚心围和七十二泾片区水质保护目标为海水水质标准第一类；茅尾海渔业用海区（GX069BⅡ）属二类环境功能区，水质保护目标为海水水质标准第二类；钦州港大榄坪港口、工业区（GX055DⅣ）和钦州港金鼓江排污混合区（GX056DⅣ）均属四类环境功能区，水质保护目标为海水水质标准第四类，周围0.5公里水质过渡带，水质保护目标为海水水质标准第三类。</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3、地下水环境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区域地下水适用标准类别为《地下水质量标准》（GB/T14848-2017）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类，执行</w:t>
      </w:r>
      <w:r>
        <w:rPr>
          <w:rFonts w:hint="eastAsia" w:ascii="宋体" w:hAnsi="宋体" w:eastAsia="宋体" w:cs="宋体"/>
          <w:spacing w:val="10"/>
          <w:sz w:val="24"/>
          <w:szCs w:val="24"/>
        </w:rPr>
        <w:t>Ⅲ</w:t>
      </w:r>
      <w:r>
        <w:rPr>
          <w:rFonts w:ascii="Arial" w:hAnsi="Arial" w:eastAsia="宋体" w:cs="Arial"/>
          <w:spacing w:val="10"/>
          <w:sz w:val="24"/>
          <w:szCs w:val="24"/>
        </w:rPr>
        <w:t>类标准。</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4、声环境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项目位于钦州港大榄坪物流加工区内，用地为工业用地，根据钦州港大榄坪物流加工区总体规划修编（2022-2035）》，</w:t>
      </w:r>
      <w:r>
        <w:rPr>
          <w:rFonts w:hint="eastAsia" w:ascii="Arial" w:hAnsi="Arial" w:eastAsia="宋体" w:cs="Arial"/>
          <w:spacing w:val="10"/>
          <w:sz w:val="24"/>
          <w:szCs w:val="24"/>
        </w:rPr>
        <w:t>项目所在区域属于《声环境质量标准》（GB3096-2008）中的3类声环境功能区，西面厂界紧邻陆海大道，西面厂界属4a类声环境功能区，</w:t>
      </w:r>
      <w:r>
        <w:rPr>
          <w:rFonts w:ascii="Arial" w:hAnsi="Arial" w:eastAsia="宋体" w:cs="Arial"/>
          <w:spacing w:val="10"/>
          <w:kern w:val="0"/>
          <w:sz w:val="24"/>
          <w:szCs w:val="24"/>
        </w:rPr>
        <w:t>厂区北面村庄</w:t>
      </w:r>
      <w:r>
        <w:rPr>
          <w:rFonts w:hint="eastAsia" w:ascii="Arial" w:hAnsi="Arial" w:eastAsia="宋体" w:cs="Arial"/>
          <w:spacing w:val="10"/>
          <w:sz w:val="24"/>
          <w:szCs w:val="24"/>
        </w:rPr>
        <w:t>属2类声环境功能区。</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项目所在地环境功能属性表</w:t>
      </w:r>
    </w:p>
    <w:tbl>
      <w:tblPr>
        <w:tblStyle w:val="88"/>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075"/>
        <w:gridCol w:w="4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项目</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环境空气功能区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二类功能区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海水环境功能区</w:t>
            </w:r>
          </w:p>
        </w:tc>
        <w:tc>
          <w:tcPr>
            <w:tcW w:w="4694"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二类、</w:t>
            </w:r>
            <w:r>
              <w:rPr>
                <w:rFonts w:ascii="Arial" w:hAnsi="Arial" w:eastAsia="宋体" w:cs="Arial"/>
                <w:sz w:val="21"/>
                <w:szCs w:val="21"/>
              </w:rPr>
              <w:t>四类功能区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地下水环境功能区</w:t>
            </w:r>
          </w:p>
        </w:tc>
        <w:tc>
          <w:tcPr>
            <w:tcW w:w="4694" w:type="dxa"/>
            <w:vAlign w:val="center"/>
          </w:tcPr>
          <w:p>
            <w:pPr>
              <w:spacing w:line="240" w:lineRule="exact"/>
              <w:jc w:val="center"/>
              <w:rPr>
                <w:rFonts w:ascii="Arial" w:hAnsi="Arial" w:eastAsia="宋体" w:cs="Arial"/>
                <w:sz w:val="21"/>
                <w:szCs w:val="21"/>
              </w:rPr>
            </w:pPr>
            <w:r>
              <w:rPr>
                <w:rFonts w:hint="eastAsia" w:ascii="宋体" w:hAnsi="宋体" w:eastAsia="宋体" w:cs="宋体"/>
                <w:sz w:val="21"/>
                <w:szCs w:val="21"/>
              </w:rPr>
              <w:t>Ⅲ</w:t>
            </w:r>
            <w:r>
              <w:rPr>
                <w:rFonts w:ascii="Arial" w:hAnsi="Arial" w:eastAsia="宋体" w:cs="Arial"/>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4</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声环境功能区</w:t>
            </w:r>
          </w:p>
        </w:tc>
        <w:tc>
          <w:tcPr>
            <w:tcW w:w="4694"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2类、</w:t>
            </w:r>
            <w:r>
              <w:rPr>
                <w:rFonts w:ascii="Arial" w:hAnsi="Arial" w:eastAsia="宋体" w:cs="Arial"/>
                <w:sz w:val="21"/>
                <w:szCs w:val="21"/>
              </w:rPr>
              <w:t>3类、4a类功能区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5</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是否位于规划的工业园区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6</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是否涉及自然保护区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7</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是否涉及水源保护区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8</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是否涉及基本农田保护区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9</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是否涉及风景名胜区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10</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是否涉及重点文物保护单位</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11</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是否为水库库区</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12</w:t>
            </w:r>
          </w:p>
        </w:tc>
        <w:tc>
          <w:tcPr>
            <w:tcW w:w="3075"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是否污水处理厂集水范围</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75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13</w:t>
            </w:r>
          </w:p>
        </w:tc>
        <w:tc>
          <w:tcPr>
            <w:tcW w:w="3075"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lang w:eastAsia="zh-CN"/>
              </w:rPr>
              <w:t>是否有其他</w:t>
            </w:r>
            <w:r>
              <w:rPr>
                <w:rFonts w:ascii="Arial" w:hAnsi="Arial" w:eastAsia="宋体" w:cs="Arial"/>
                <w:sz w:val="21"/>
                <w:szCs w:val="21"/>
              </w:rPr>
              <w:t>重点保护目标</w:t>
            </w:r>
          </w:p>
        </w:tc>
        <w:tc>
          <w:tcPr>
            <w:tcW w:w="469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否</w:t>
            </w:r>
          </w:p>
        </w:tc>
      </w:tr>
    </w:tbl>
    <w:p>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评价标准</w:t>
      </w:r>
    </w:p>
    <w:p>
      <w:pPr>
        <w:numPr>
          <w:ilvl w:val="0"/>
          <w:numId w:val="6"/>
        </w:numPr>
        <w:spacing w:line="500" w:lineRule="exact"/>
        <w:outlineLvl w:val="3"/>
        <w:rPr>
          <w:rFonts w:ascii="Arial" w:hAnsi="Arial" w:eastAsia="宋体" w:cs="Arial"/>
          <w:b/>
          <w:spacing w:val="10"/>
          <w:sz w:val="24"/>
          <w:szCs w:val="24"/>
        </w:rPr>
      </w:pPr>
      <w:r>
        <w:rPr>
          <w:rFonts w:ascii="Arial" w:hAnsi="Arial" w:eastAsia="宋体" w:cs="Arial"/>
          <w:b/>
          <w:spacing w:val="10"/>
          <w:sz w:val="24"/>
          <w:szCs w:val="24"/>
        </w:rPr>
        <w:t>环境质量标准</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根据&amp;1.2.3环境功能区划，确定项目评价区域环境质量标准如下：</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1、环境空气</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项目所在地环境空气中的基本污染物</w:t>
      </w:r>
      <w:r>
        <w:rPr>
          <w:rFonts w:hint="eastAsia" w:ascii="Arial" w:hAnsi="Arial" w:eastAsia="宋体" w:cs="Arial"/>
          <w:spacing w:val="10"/>
          <w:sz w:val="24"/>
          <w:szCs w:val="24"/>
        </w:rPr>
        <w:t>、TSP</w:t>
      </w:r>
      <w:r>
        <w:rPr>
          <w:rFonts w:ascii="Arial" w:hAnsi="Arial" w:eastAsia="宋体" w:cs="Arial"/>
          <w:spacing w:val="10"/>
          <w:sz w:val="24"/>
          <w:szCs w:val="24"/>
        </w:rPr>
        <w:t>执行《环境空气质量标准》（GB3095-2012）及其修改单中的二级标准；氨执行《环境影响评价技术导则 大气环境》（HJ2.2-2018）附录D中其他污染物空气质量浓度参考限值。具体见表1-6。</w:t>
      </w:r>
      <w:r>
        <w:rPr>
          <w:rFonts w:hint="eastAsia" w:ascii="Arial" w:hAnsi="Arial" w:eastAsia="宋体" w:cs="Arial"/>
          <w:spacing w:val="10"/>
          <w:sz w:val="24"/>
          <w:szCs w:val="24"/>
        </w:rPr>
        <w:t>目前，钴</w:t>
      </w:r>
      <w:r>
        <w:rPr>
          <w:rFonts w:ascii="Arial" w:hAnsi="Arial" w:eastAsia="宋体" w:cs="Arial"/>
          <w:spacing w:val="10"/>
          <w:sz w:val="24"/>
          <w:szCs w:val="24"/>
        </w:rPr>
        <w:t>及其化合物尚</w:t>
      </w:r>
      <w:r>
        <w:rPr>
          <w:rFonts w:hint="eastAsia" w:ascii="Arial" w:hAnsi="Arial" w:eastAsia="宋体" w:cs="Arial"/>
          <w:spacing w:val="10"/>
          <w:sz w:val="24"/>
          <w:szCs w:val="24"/>
        </w:rPr>
        <w:t>无相应的国家及地方环境质量标准。</w:t>
      </w:r>
    </w:p>
    <w:p>
      <w:pPr>
        <w:keepNext/>
        <w:keepLines/>
        <w:numPr>
          <w:ilvl w:val="0"/>
          <w:numId w:val="5"/>
        </w:numPr>
        <w:spacing w:line="500" w:lineRule="exact"/>
        <w:jc w:val="center"/>
        <w:outlineLvl w:val="4"/>
        <w:rPr>
          <w:rFonts w:ascii="Arial" w:hAnsi="Arial" w:eastAsia="宋体" w:cs="Arial"/>
          <w:b/>
          <w:sz w:val="24"/>
          <w:szCs w:val="24"/>
        </w:rPr>
      </w:pPr>
      <w:r>
        <w:rPr>
          <w:rFonts w:ascii="Arial" w:hAnsi="Arial" w:eastAsia="宋体" w:cs="Arial"/>
          <w:b/>
          <w:sz w:val="24"/>
        </w:rPr>
        <w:t>环境空气质量标准    单位：μg/m</w:t>
      </w:r>
      <w:r>
        <w:rPr>
          <w:rFonts w:ascii="Arial" w:hAnsi="Arial" w:eastAsia="宋体" w:cs="Arial"/>
          <w:b/>
          <w:sz w:val="24"/>
          <w:vertAlign w:val="superscript"/>
        </w:rPr>
        <w:t>3</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2349"/>
        <w:gridCol w:w="1869"/>
        <w:gridCol w:w="3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0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污染物名称</w:t>
            </w:r>
          </w:p>
        </w:tc>
        <w:tc>
          <w:tcPr>
            <w:tcW w:w="234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平均时间</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浓度限值</w:t>
            </w:r>
          </w:p>
        </w:tc>
        <w:tc>
          <w:tcPr>
            <w:tcW w:w="30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vertAlign w:val="subscript"/>
              </w:rPr>
            </w:pPr>
            <w:r>
              <w:rPr>
                <w:rFonts w:ascii="Arial" w:hAnsi="Arial" w:eastAsia="宋体" w:cs="Arial"/>
                <w:kern w:val="0"/>
                <w:sz w:val="21"/>
                <w:szCs w:val="21"/>
              </w:rPr>
              <w:t>SO</w:t>
            </w:r>
            <w:r>
              <w:rPr>
                <w:rFonts w:ascii="Arial" w:hAnsi="Arial" w:eastAsia="宋体" w:cs="Arial"/>
                <w:kern w:val="0"/>
                <w:sz w:val="21"/>
                <w:szCs w:val="21"/>
                <w:vertAlign w:val="subscript"/>
              </w:rPr>
              <w:t>2</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60</w:t>
            </w:r>
          </w:p>
        </w:tc>
        <w:tc>
          <w:tcPr>
            <w:tcW w:w="3072" w:type="dxa"/>
            <w:vMerge w:val="restart"/>
            <w:tcBorders>
              <w:top w:val="single" w:color="auto" w:sz="4" w:space="0"/>
              <w:left w:val="single" w:color="auto" w:sz="4" w:space="0"/>
              <w:right w:val="single" w:color="auto" w:sz="4" w:space="0"/>
            </w:tcBorders>
            <w:vAlign w:val="center"/>
          </w:tcPr>
          <w:p>
            <w:pPr>
              <w:widowControl/>
              <w:adjustRightInd w:val="0"/>
              <w:snapToGrid w:val="0"/>
              <w:jc w:val="center"/>
              <w:rPr>
                <w:rFonts w:ascii="Arial" w:hAnsi="Arial" w:eastAsia="宋体" w:cs="Arial"/>
                <w:spacing w:val="10"/>
                <w:kern w:val="0"/>
                <w:sz w:val="21"/>
                <w:szCs w:val="21"/>
              </w:rPr>
            </w:pPr>
            <w:r>
              <w:rPr>
                <w:rFonts w:ascii="Arial" w:hAnsi="Arial" w:eastAsia="宋体" w:cs="Arial"/>
                <w:spacing w:val="10"/>
                <w:kern w:val="0"/>
                <w:sz w:val="21"/>
                <w:szCs w:val="21"/>
              </w:rPr>
              <w:t>《环境空气质量标准》（GB3095-2012）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vertAlign w:val="subscript"/>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150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vertAlign w:val="subscript"/>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500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vertAlign w:val="subscript"/>
              </w:rPr>
            </w:pPr>
            <w:r>
              <w:rPr>
                <w:rFonts w:ascii="Arial" w:hAnsi="Arial" w:eastAsia="宋体" w:cs="Arial"/>
                <w:kern w:val="0"/>
                <w:sz w:val="21"/>
                <w:szCs w:val="21"/>
              </w:rPr>
              <w:t>NO</w:t>
            </w:r>
            <w:r>
              <w:rPr>
                <w:rFonts w:ascii="Arial" w:hAnsi="Arial" w:eastAsia="宋体" w:cs="Arial"/>
                <w:kern w:val="0"/>
                <w:sz w:val="21"/>
                <w:szCs w:val="21"/>
                <w:vertAlign w:val="subscript"/>
              </w:rPr>
              <w:t>2</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40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vertAlign w:val="subscript"/>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80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vertAlign w:val="subscript"/>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200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4mg/m</w:t>
            </w:r>
            <w:r>
              <w:rPr>
                <w:rFonts w:ascii="Arial" w:hAnsi="Arial" w:eastAsia="宋体" w:cs="Arial"/>
                <w:kern w:val="0"/>
                <w:sz w:val="21"/>
                <w:szCs w:val="21"/>
                <w:vertAlign w:val="superscript"/>
              </w:rPr>
              <w:t>3</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10mg/m</w:t>
            </w:r>
            <w:r>
              <w:rPr>
                <w:rFonts w:ascii="Arial" w:hAnsi="Arial" w:eastAsia="宋体" w:cs="Arial"/>
                <w:kern w:val="0"/>
                <w:sz w:val="21"/>
                <w:szCs w:val="21"/>
                <w:vertAlign w:val="superscript"/>
              </w:rPr>
              <w:t>3</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O</w:t>
            </w:r>
            <w:r>
              <w:rPr>
                <w:rFonts w:ascii="Arial" w:hAnsi="Arial" w:eastAsia="宋体" w:cs="Arial"/>
                <w:sz w:val="21"/>
                <w:szCs w:val="21"/>
                <w:vertAlign w:val="subscript"/>
              </w:rPr>
              <w:t>3</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日最大8小时平均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160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200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PM</w:t>
            </w:r>
            <w:r>
              <w:rPr>
                <w:rFonts w:ascii="Arial" w:hAnsi="Arial" w:eastAsia="宋体" w:cs="Arial"/>
                <w:sz w:val="21"/>
                <w:szCs w:val="21"/>
                <w:vertAlign w:val="subscript"/>
              </w:rPr>
              <w:t>2.5</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35</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75</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PM</w:t>
            </w:r>
            <w:r>
              <w:rPr>
                <w:rFonts w:ascii="Arial" w:hAnsi="Arial" w:eastAsia="宋体" w:cs="Arial"/>
                <w:kern w:val="0"/>
                <w:sz w:val="21"/>
                <w:szCs w:val="21"/>
                <w:vertAlign w:val="subscript"/>
              </w:rPr>
              <w:t>10</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70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150</w:t>
            </w:r>
          </w:p>
        </w:tc>
        <w:tc>
          <w:tcPr>
            <w:tcW w:w="3072" w:type="dxa"/>
            <w:vMerge w:val="continue"/>
            <w:tcBorders>
              <w:left w:val="single" w:color="auto" w:sz="4" w:space="0"/>
              <w:right w:val="single" w:color="auto" w:sz="4" w:space="0"/>
            </w:tcBorders>
            <w:vAlign w:val="center"/>
          </w:tcPr>
          <w:p>
            <w:pPr>
              <w:widowControl/>
              <w:jc w:val="left"/>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restart"/>
            <w:tcBorders>
              <w:top w:val="single" w:color="auto" w:sz="4" w:space="0"/>
              <w:left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TSP</w:t>
            </w: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200</w:t>
            </w:r>
          </w:p>
        </w:tc>
        <w:tc>
          <w:tcPr>
            <w:tcW w:w="3072"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vMerge w:val="continue"/>
            <w:tcBorders>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p>
        </w:tc>
        <w:tc>
          <w:tcPr>
            <w:tcW w:w="234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86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300</w:t>
            </w:r>
          </w:p>
        </w:tc>
        <w:tc>
          <w:tcPr>
            <w:tcW w:w="3072"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3"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Arial" w:hAnsi="Arial" w:eastAsia="宋体" w:cs="Arial"/>
                <w:sz w:val="21"/>
                <w:szCs w:val="21"/>
              </w:rPr>
            </w:pPr>
            <w:r>
              <w:rPr>
                <w:rFonts w:ascii="Arial" w:hAnsi="Arial" w:eastAsia="宋体" w:cs="Arial"/>
                <w:sz w:val="21"/>
                <w:szCs w:val="21"/>
              </w:rPr>
              <w:t>氨</w:t>
            </w:r>
          </w:p>
        </w:tc>
        <w:tc>
          <w:tcPr>
            <w:tcW w:w="2349"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Arial" w:hAnsi="Arial" w:eastAsia="宋体" w:cs="Arial"/>
                <w:sz w:val="21"/>
                <w:szCs w:val="21"/>
              </w:rPr>
            </w:pPr>
            <w:r>
              <w:rPr>
                <w:rFonts w:ascii="Arial" w:hAnsi="Arial" w:eastAsia="宋体" w:cs="Arial"/>
                <w:sz w:val="21"/>
                <w:szCs w:val="21"/>
              </w:rPr>
              <w:t>1小时平均</w:t>
            </w:r>
          </w:p>
        </w:tc>
        <w:tc>
          <w:tcPr>
            <w:tcW w:w="1869"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2</w:t>
            </w:r>
            <w:r>
              <w:rPr>
                <w:rFonts w:ascii="Arial" w:hAnsi="Arial" w:eastAsia="宋体" w:cs="Arial"/>
                <w:sz w:val="21"/>
                <w:szCs w:val="21"/>
              </w:rPr>
              <w:t>00</w:t>
            </w:r>
          </w:p>
        </w:tc>
        <w:tc>
          <w:tcPr>
            <w:tcW w:w="3072" w:type="dxa"/>
            <w:tcBorders>
              <w:top w:val="single" w:color="auto" w:sz="4" w:space="0"/>
              <w:left w:val="single" w:color="auto" w:sz="4" w:space="0"/>
              <w:right w:val="single" w:color="auto" w:sz="4" w:space="0"/>
            </w:tcBorders>
            <w:vAlign w:val="center"/>
          </w:tcPr>
          <w:p>
            <w:pPr>
              <w:adjustRightInd w:val="0"/>
              <w:snapToGrid w:val="0"/>
              <w:jc w:val="center"/>
              <w:rPr>
                <w:rFonts w:ascii="Arial" w:hAnsi="Arial" w:eastAsia="宋体" w:cs="Arial"/>
                <w:spacing w:val="10"/>
                <w:kern w:val="0"/>
                <w:sz w:val="21"/>
                <w:szCs w:val="21"/>
              </w:rPr>
            </w:pPr>
            <w:r>
              <w:rPr>
                <w:rFonts w:ascii="Arial" w:hAnsi="Arial" w:eastAsia="宋体" w:cs="Arial"/>
                <w:spacing w:val="10"/>
                <w:kern w:val="0"/>
                <w:sz w:val="21"/>
                <w:szCs w:val="21"/>
              </w:rPr>
              <w:t>《环境影响评价技术导则 大气环境》（HJ2.2-2018）附录D</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2、海水环境</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地表水评价范围内包括《海水水质标准》（GB3097-1997）第一类~第四类海水水质标准，</w:t>
      </w:r>
      <w:r>
        <w:rPr>
          <w:rFonts w:ascii="Arial" w:hAnsi="Arial" w:eastAsia="宋体" w:cs="Arial"/>
          <w:spacing w:val="10"/>
          <w:sz w:val="24"/>
          <w:szCs w:val="24"/>
        </w:rPr>
        <w:t>其标准值见表1-7。</w:t>
      </w:r>
    </w:p>
    <w:p>
      <w:pPr>
        <w:keepNext/>
        <w:keepLines/>
        <w:numPr>
          <w:ilvl w:val="0"/>
          <w:numId w:val="5"/>
        </w:numPr>
        <w:spacing w:line="500" w:lineRule="exact"/>
        <w:jc w:val="center"/>
        <w:outlineLvl w:val="4"/>
        <w:rPr>
          <w:rFonts w:ascii="Arial" w:hAnsi="Arial" w:eastAsia="宋体" w:cs="Arial"/>
          <w:b/>
          <w:sz w:val="24"/>
        </w:rPr>
      </w:pPr>
      <w:r>
        <w:rPr>
          <w:rFonts w:ascii="Arial" w:hAnsi="Arial" w:eastAsia="宋体" w:cs="Arial"/>
          <w:b/>
          <w:sz w:val="24"/>
        </w:rPr>
        <w:t>《海水水质标准》（摘录）单位：mg/L，pH值除外</w:t>
      </w:r>
    </w:p>
    <w:tbl>
      <w:tblPr>
        <w:tblStyle w:val="88"/>
        <w:tblW w:w="89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1"/>
        <w:gridCol w:w="2444"/>
        <w:gridCol w:w="1460"/>
        <w:gridCol w:w="1140"/>
        <w:gridCol w:w="1531"/>
        <w:gridCol w:w="179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trPr>
        <w:tc>
          <w:tcPr>
            <w:tcW w:w="621" w:type="dxa"/>
            <w:vMerge w:val="restar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序号</w:t>
            </w:r>
          </w:p>
        </w:tc>
        <w:tc>
          <w:tcPr>
            <w:tcW w:w="2444" w:type="dxa"/>
            <w:vMerge w:val="restart"/>
            <w:tcBorders>
              <w:top w:val="single" w:color="000000" w:sz="4" w:space="0"/>
              <w:left w:val="single" w:color="000000" w:sz="4" w:space="0"/>
              <w:bottom w:val="single" w:color="000000" w:sz="4" w:space="0"/>
              <w:right w:val="single" w:color="000000" w:sz="4" w:space="0"/>
            </w:tcBorders>
            <w:vAlign w:val="center"/>
          </w:tcPr>
          <w:p>
            <w:pPr>
              <w:adjustRightInd w:val="0"/>
              <w:snapToGrid w:val="0"/>
              <w:rPr>
                <w:rFonts w:ascii="Arial" w:hAnsi="Arial" w:eastAsia="宋体" w:cs="Arial"/>
                <w:b/>
                <w:sz w:val="21"/>
              </w:rPr>
            </w:pPr>
            <w:r>
              <w:rPr>
                <w:rFonts w:ascii="Arial" w:hAnsi="Arial" w:eastAsia="宋体" w:cs="Arial"/>
                <w:b/>
                <w:sz w:val="21"/>
              </w:rPr>
              <w:t>项目</w:t>
            </w:r>
          </w:p>
        </w:tc>
        <w:tc>
          <w:tcPr>
            <w:tcW w:w="5928" w:type="dxa"/>
            <w:gridSpan w:val="4"/>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海水水质标准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trPr>
        <w:tc>
          <w:tcPr>
            <w:tcW w:w="621"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Arial" w:hAnsi="Arial" w:eastAsia="宋体" w:cs="Arial"/>
                <w:b/>
                <w:sz w:val="21"/>
              </w:rPr>
            </w:pPr>
          </w:p>
        </w:tc>
        <w:tc>
          <w:tcPr>
            <w:tcW w:w="2444"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Arial" w:hAnsi="Arial" w:eastAsia="宋体" w:cs="Arial"/>
                <w:b/>
                <w:sz w:val="21"/>
              </w:rPr>
            </w:pP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第一类</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第二类</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第三类</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rPr>
            </w:pPr>
            <w:r>
              <w:rPr>
                <w:rFonts w:ascii="Arial" w:hAnsi="Arial" w:eastAsia="宋体" w:cs="Arial"/>
                <w:b/>
                <w:sz w:val="21"/>
              </w:rPr>
              <w:t>第四类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w:t>
            </w:r>
          </w:p>
        </w:tc>
        <w:tc>
          <w:tcPr>
            <w:tcW w:w="244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rPr>
                <w:rFonts w:ascii="Arial" w:hAnsi="Arial" w:eastAsia="宋体" w:cs="Arial"/>
                <w:sz w:val="21"/>
              </w:rPr>
            </w:pPr>
            <w:r>
              <w:rPr>
                <w:rFonts w:ascii="Arial" w:hAnsi="Arial" w:eastAsia="宋体" w:cs="Arial"/>
                <w:sz w:val="21"/>
              </w:rPr>
              <w:t>水温</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rPr>
            </w:pPr>
            <w:r>
              <w:rPr>
                <w:rFonts w:ascii="Arial" w:hAnsi="Arial" w:eastAsia="宋体" w:cs="Arial"/>
                <w:sz w:val="21"/>
              </w:rPr>
              <w:t>人为</w:t>
            </w:r>
            <w:r>
              <w:rPr>
                <w:rFonts w:ascii="Arial" w:hAnsi="Arial" w:eastAsia="宋体" w:cs="Arial"/>
                <w:spacing w:val="-3"/>
                <w:sz w:val="21"/>
              </w:rPr>
              <w:t>造</w:t>
            </w:r>
            <w:r>
              <w:rPr>
                <w:rFonts w:ascii="Arial" w:hAnsi="Arial" w:eastAsia="宋体" w:cs="Arial"/>
                <w:sz w:val="21"/>
              </w:rPr>
              <w:t>成</w:t>
            </w:r>
            <w:r>
              <w:rPr>
                <w:rFonts w:ascii="Arial" w:hAnsi="Arial" w:eastAsia="宋体" w:cs="Arial"/>
                <w:spacing w:val="-3"/>
                <w:sz w:val="21"/>
              </w:rPr>
              <w:t>当</w:t>
            </w:r>
            <w:r>
              <w:rPr>
                <w:rFonts w:ascii="Arial" w:hAnsi="Arial" w:eastAsia="宋体" w:cs="Arial"/>
                <w:sz w:val="21"/>
              </w:rPr>
              <w:t>地</w:t>
            </w:r>
            <w:r>
              <w:rPr>
                <w:rFonts w:ascii="Arial" w:hAnsi="Arial" w:eastAsia="宋体" w:cs="Arial"/>
                <w:spacing w:val="-3"/>
                <w:sz w:val="21"/>
              </w:rPr>
              <w:t>水</w:t>
            </w:r>
            <w:r>
              <w:rPr>
                <w:rFonts w:ascii="Arial" w:hAnsi="Arial" w:eastAsia="宋体" w:cs="Arial"/>
                <w:sz w:val="21"/>
              </w:rPr>
              <w:t>温</w:t>
            </w:r>
            <w:r>
              <w:rPr>
                <w:rFonts w:ascii="Arial" w:hAnsi="Arial" w:eastAsia="宋体" w:cs="Arial"/>
                <w:spacing w:val="-3"/>
                <w:sz w:val="21"/>
              </w:rPr>
              <w:t>升</w:t>
            </w:r>
            <w:r>
              <w:rPr>
                <w:rFonts w:ascii="Arial" w:hAnsi="Arial" w:eastAsia="宋体" w:cs="Arial"/>
                <w:sz w:val="21"/>
              </w:rPr>
              <w:t>夏</w:t>
            </w:r>
            <w:r>
              <w:rPr>
                <w:rFonts w:ascii="Arial" w:hAnsi="Arial" w:eastAsia="宋体" w:cs="Arial"/>
                <w:spacing w:val="-3"/>
                <w:sz w:val="21"/>
              </w:rPr>
              <w:t>季</w:t>
            </w:r>
            <w:r>
              <w:rPr>
                <w:rFonts w:ascii="Arial" w:hAnsi="Arial" w:eastAsia="宋体" w:cs="Arial"/>
                <w:sz w:val="21"/>
              </w:rPr>
              <w:t>不超过</w:t>
            </w:r>
            <w:r>
              <w:rPr>
                <w:rFonts w:ascii="Arial" w:hAnsi="Arial" w:cs="Arial"/>
                <w:spacing w:val="-3"/>
                <w:sz w:val="21"/>
              </w:rPr>
              <w:t>1</w:t>
            </w:r>
            <w:r>
              <w:rPr>
                <w:rFonts w:hint="eastAsia" w:ascii="宋体" w:hAnsi="宋体" w:eastAsia="宋体" w:cs="宋体"/>
                <w:sz w:val="21"/>
              </w:rPr>
              <w:t>℃</w:t>
            </w:r>
            <w:r>
              <w:rPr>
                <w:rFonts w:ascii="Arial" w:hAnsi="Arial" w:eastAsia="宋体" w:cs="Arial"/>
                <w:spacing w:val="-3"/>
                <w:sz w:val="21"/>
              </w:rPr>
              <w:t>，</w:t>
            </w:r>
            <w:r>
              <w:rPr>
                <w:rFonts w:ascii="Arial" w:hAnsi="Arial" w:eastAsia="宋体" w:cs="Arial"/>
                <w:sz w:val="21"/>
              </w:rPr>
              <w:t>其</w:t>
            </w:r>
            <w:r>
              <w:rPr>
                <w:rFonts w:ascii="Arial" w:hAnsi="Arial" w:eastAsia="宋体" w:cs="Arial"/>
                <w:spacing w:val="-3"/>
                <w:sz w:val="21"/>
              </w:rPr>
              <w:t>他</w:t>
            </w:r>
            <w:r>
              <w:rPr>
                <w:rFonts w:ascii="Arial" w:hAnsi="Arial" w:eastAsia="宋体" w:cs="Arial"/>
                <w:sz w:val="21"/>
              </w:rPr>
              <w:t>季</w:t>
            </w:r>
            <w:r>
              <w:rPr>
                <w:rFonts w:ascii="Arial" w:hAnsi="Arial" w:eastAsia="宋体" w:cs="Arial"/>
                <w:spacing w:val="-3"/>
                <w:sz w:val="21"/>
              </w:rPr>
              <w:t>节</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 xml:space="preserve">过 </w:t>
            </w:r>
            <w:r>
              <w:rPr>
                <w:rFonts w:ascii="Arial" w:hAnsi="Arial" w:cs="Arial"/>
                <w:sz w:val="21"/>
              </w:rPr>
              <w:t>2</w:t>
            </w:r>
            <w:r>
              <w:rPr>
                <w:rFonts w:hint="eastAsia" w:ascii="宋体" w:hAnsi="宋体" w:eastAsia="宋体" w:cs="宋体"/>
                <w:sz w:val="21"/>
              </w:rPr>
              <w:t>℃</w:t>
            </w:r>
          </w:p>
        </w:tc>
        <w:tc>
          <w:tcPr>
            <w:tcW w:w="3328"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rPr>
            </w:pPr>
            <w:r>
              <w:rPr>
                <w:rFonts w:ascii="Arial" w:hAnsi="Arial" w:eastAsia="宋体" w:cs="Arial"/>
                <w:sz w:val="21"/>
              </w:rPr>
              <w:t>人为造成当地水温升</w:t>
            </w:r>
            <w:r>
              <w:rPr>
                <w:rFonts w:hint="eastAsia" w:ascii="Arial" w:hAnsi="Arial" w:eastAsia="宋体" w:cs="Arial"/>
                <w:sz w:val="21"/>
                <w:lang w:val="en-US" w:eastAsia="zh-CN"/>
              </w:rPr>
              <w:t>高</w:t>
            </w:r>
            <w:r>
              <w:rPr>
                <w:rFonts w:ascii="Arial" w:hAnsi="Arial" w:eastAsia="宋体" w:cs="Arial"/>
                <w:sz w:val="21"/>
              </w:rPr>
              <w:t>不超过</w:t>
            </w:r>
            <w:r>
              <w:rPr>
                <w:rFonts w:ascii="Arial" w:hAnsi="Arial" w:cs="Arial"/>
                <w:sz w:val="21"/>
              </w:rPr>
              <w:t>4</w:t>
            </w:r>
            <w:r>
              <w:rPr>
                <w:rFonts w:hint="eastAsia" w:ascii="宋体" w:hAnsi="宋体" w:eastAsia="宋体" w:cs="宋体"/>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2</w:t>
            </w:r>
          </w:p>
        </w:tc>
        <w:tc>
          <w:tcPr>
            <w:tcW w:w="244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rPr>
                <w:rFonts w:ascii="Arial" w:hAnsi="Arial" w:eastAsia="宋体" w:cs="Arial"/>
                <w:sz w:val="21"/>
              </w:rPr>
            </w:pPr>
            <w:r>
              <w:rPr>
                <w:rFonts w:ascii="Arial" w:hAnsi="Arial" w:cs="Arial"/>
                <w:sz w:val="21"/>
              </w:rPr>
              <w:t>pH</w:t>
            </w:r>
            <w:r>
              <w:rPr>
                <w:rFonts w:ascii="Arial" w:hAnsi="Arial" w:eastAsia="宋体" w:cs="Arial"/>
                <w:sz w:val="21"/>
              </w:rPr>
              <w:t>值</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rPr>
            </w:pPr>
            <w:r>
              <w:rPr>
                <w:rFonts w:ascii="Arial" w:hAnsi="Arial" w:cs="Arial"/>
                <w:sz w:val="21"/>
              </w:rPr>
              <w:t>7.8</w:t>
            </w:r>
            <w:r>
              <w:rPr>
                <w:rFonts w:ascii="Arial" w:hAnsi="Arial" w:eastAsia="宋体" w:cs="Arial"/>
                <w:sz w:val="21"/>
              </w:rPr>
              <w:t>～</w:t>
            </w:r>
            <w:r>
              <w:rPr>
                <w:rFonts w:ascii="Arial" w:hAnsi="Arial" w:cs="Arial"/>
                <w:sz w:val="21"/>
              </w:rPr>
              <w:t>8</w:t>
            </w:r>
            <w:r>
              <w:rPr>
                <w:rFonts w:ascii="Arial" w:hAnsi="Arial" w:cs="Arial"/>
                <w:spacing w:val="-3"/>
                <w:sz w:val="21"/>
              </w:rPr>
              <w:t>.</w:t>
            </w:r>
            <w:r>
              <w:rPr>
                <w:rFonts w:ascii="Arial" w:hAnsi="Arial" w:cs="Arial"/>
                <w:spacing w:val="-1"/>
                <w:sz w:val="21"/>
              </w:rPr>
              <w:t>5</w:t>
            </w:r>
            <w:r>
              <w:rPr>
                <w:rFonts w:ascii="Arial" w:hAnsi="Arial" w:eastAsia="宋体" w:cs="Arial"/>
                <w:spacing w:val="-13"/>
                <w:sz w:val="21"/>
              </w:rPr>
              <w:t>，</w:t>
            </w:r>
            <w:r>
              <w:rPr>
                <w:rFonts w:ascii="Arial" w:hAnsi="Arial" w:eastAsia="宋体" w:cs="Arial"/>
                <w:sz w:val="21"/>
              </w:rPr>
              <w:t>同</w:t>
            </w:r>
            <w:r>
              <w:rPr>
                <w:rFonts w:ascii="Arial" w:hAnsi="Arial" w:eastAsia="宋体" w:cs="Arial"/>
                <w:spacing w:val="-3"/>
                <w:sz w:val="21"/>
              </w:rPr>
              <w:t>时</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出</w:t>
            </w:r>
            <w:r>
              <w:rPr>
                <w:rFonts w:ascii="Arial" w:hAnsi="Arial" w:eastAsia="宋体" w:cs="Arial"/>
                <w:spacing w:val="-3"/>
                <w:sz w:val="21"/>
              </w:rPr>
              <w:t>该海</w:t>
            </w:r>
            <w:r>
              <w:rPr>
                <w:rFonts w:ascii="Arial" w:hAnsi="Arial" w:eastAsia="宋体" w:cs="Arial"/>
                <w:sz w:val="21"/>
              </w:rPr>
              <w:t>域正常</w:t>
            </w:r>
            <w:r>
              <w:rPr>
                <w:rFonts w:ascii="Arial" w:hAnsi="Arial" w:eastAsia="宋体" w:cs="Arial"/>
                <w:spacing w:val="-3"/>
                <w:sz w:val="21"/>
              </w:rPr>
              <w:t>变</w:t>
            </w:r>
            <w:r>
              <w:rPr>
                <w:rFonts w:ascii="Arial" w:hAnsi="Arial" w:eastAsia="宋体" w:cs="Arial"/>
                <w:sz w:val="21"/>
              </w:rPr>
              <w:t>动</w:t>
            </w:r>
            <w:r>
              <w:rPr>
                <w:rFonts w:ascii="Arial" w:hAnsi="Arial" w:eastAsia="宋体" w:cs="Arial"/>
                <w:spacing w:val="-3"/>
                <w:sz w:val="21"/>
              </w:rPr>
              <w:t>范</w:t>
            </w:r>
            <w:r>
              <w:rPr>
                <w:rFonts w:ascii="Arial" w:hAnsi="Arial" w:eastAsia="宋体" w:cs="Arial"/>
                <w:sz w:val="21"/>
              </w:rPr>
              <w:t>围</w:t>
            </w:r>
            <w:r>
              <w:rPr>
                <w:rFonts w:ascii="Arial" w:hAnsi="Arial" w:eastAsia="宋体" w:cs="Arial"/>
                <w:spacing w:val="-3"/>
                <w:sz w:val="21"/>
              </w:rPr>
              <w:t>的</w:t>
            </w:r>
            <w:r>
              <w:rPr>
                <w:rFonts w:ascii="Arial" w:hAnsi="Arial" w:cs="Arial"/>
                <w:sz w:val="21"/>
              </w:rPr>
              <w:t>0.2</w:t>
            </w:r>
            <w:r>
              <w:rPr>
                <w:rFonts w:ascii="Arial" w:hAnsi="Arial" w:cs="Arial"/>
                <w:spacing w:val="-3"/>
                <w:sz w:val="21"/>
              </w:rPr>
              <w:t>p</w:t>
            </w:r>
            <w:r>
              <w:rPr>
                <w:rFonts w:ascii="Arial" w:hAnsi="Arial" w:cs="Arial"/>
                <w:spacing w:val="-2"/>
                <w:sz w:val="21"/>
              </w:rPr>
              <w:t>H</w:t>
            </w:r>
            <w:r>
              <w:rPr>
                <w:rFonts w:ascii="Arial" w:hAnsi="Arial" w:eastAsia="宋体" w:cs="Arial"/>
                <w:sz w:val="21"/>
              </w:rPr>
              <w:t>单位</w:t>
            </w:r>
          </w:p>
        </w:tc>
        <w:tc>
          <w:tcPr>
            <w:tcW w:w="3328"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rPr>
            </w:pPr>
            <w:r>
              <w:rPr>
                <w:rFonts w:ascii="Arial" w:hAnsi="Arial" w:cs="Arial"/>
                <w:sz w:val="21"/>
              </w:rPr>
              <w:t>6.8</w:t>
            </w:r>
            <w:r>
              <w:rPr>
                <w:rFonts w:ascii="Arial" w:hAnsi="Arial" w:eastAsia="宋体" w:cs="Arial"/>
                <w:sz w:val="21"/>
              </w:rPr>
              <w:t>～</w:t>
            </w:r>
            <w:r>
              <w:rPr>
                <w:rFonts w:ascii="Arial" w:hAnsi="Arial" w:cs="Arial"/>
                <w:sz w:val="21"/>
              </w:rPr>
              <w:t>8</w:t>
            </w:r>
            <w:r>
              <w:rPr>
                <w:rFonts w:ascii="Arial" w:hAnsi="Arial" w:cs="Arial"/>
                <w:spacing w:val="-3"/>
                <w:sz w:val="21"/>
              </w:rPr>
              <w:t>.</w:t>
            </w:r>
            <w:r>
              <w:rPr>
                <w:rFonts w:ascii="Arial" w:hAnsi="Arial" w:cs="Arial"/>
                <w:spacing w:val="-1"/>
                <w:sz w:val="21"/>
              </w:rPr>
              <w:t>8</w:t>
            </w:r>
            <w:r>
              <w:rPr>
                <w:rFonts w:ascii="Arial" w:hAnsi="Arial" w:eastAsia="宋体" w:cs="Arial"/>
                <w:spacing w:val="-3"/>
                <w:sz w:val="21"/>
              </w:rPr>
              <w:t>，</w:t>
            </w:r>
            <w:r>
              <w:rPr>
                <w:rFonts w:ascii="Arial" w:hAnsi="Arial" w:eastAsia="宋体" w:cs="Arial"/>
                <w:sz w:val="21"/>
              </w:rPr>
              <w:t>同</w:t>
            </w:r>
            <w:r>
              <w:rPr>
                <w:rFonts w:ascii="Arial" w:hAnsi="Arial" w:eastAsia="宋体" w:cs="Arial"/>
                <w:spacing w:val="-3"/>
                <w:sz w:val="21"/>
              </w:rPr>
              <w:t>时</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出</w:t>
            </w:r>
            <w:r>
              <w:rPr>
                <w:rFonts w:ascii="Arial" w:hAnsi="Arial" w:eastAsia="宋体" w:cs="Arial"/>
                <w:spacing w:val="-3"/>
                <w:sz w:val="21"/>
              </w:rPr>
              <w:t>该海</w:t>
            </w:r>
            <w:r>
              <w:rPr>
                <w:rFonts w:ascii="Arial" w:hAnsi="Arial" w:eastAsia="宋体" w:cs="Arial"/>
                <w:sz w:val="21"/>
              </w:rPr>
              <w:t>域正常</w:t>
            </w:r>
            <w:r>
              <w:rPr>
                <w:rFonts w:ascii="Arial" w:hAnsi="Arial" w:eastAsia="宋体" w:cs="Arial"/>
                <w:spacing w:val="-3"/>
                <w:sz w:val="21"/>
              </w:rPr>
              <w:t>变</w:t>
            </w:r>
            <w:r>
              <w:rPr>
                <w:rFonts w:ascii="Arial" w:hAnsi="Arial" w:eastAsia="宋体" w:cs="Arial"/>
                <w:sz w:val="21"/>
              </w:rPr>
              <w:t>动</w:t>
            </w:r>
            <w:r>
              <w:rPr>
                <w:rFonts w:ascii="Arial" w:hAnsi="Arial" w:eastAsia="宋体" w:cs="Arial"/>
                <w:spacing w:val="-3"/>
                <w:sz w:val="21"/>
              </w:rPr>
              <w:t>范</w:t>
            </w:r>
            <w:r>
              <w:rPr>
                <w:rFonts w:ascii="Arial" w:hAnsi="Arial" w:eastAsia="宋体" w:cs="Arial"/>
                <w:sz w:val="21"/>
              </w:rPr>
              <w:t>围</w:t>
            </w:r>
            <w:r>
              <w:rPr>
                <w:rFonts w:ascii="Arial" w:hAnsi="Arial" w:eastAsia="宋体" w:cs="Arial"/>
                <w:spacing w:val="-2"/>
                <w:sz w:val="21"/>
              </w:rPr>
              <w:t>的</w:t>
            </w:r>
            <w:r>
              <w:rPr>
                <w:rFonts w:ascii="Arial" w:hAnsi="Arial" w:cs="Arial"/>
                <w:sz w:val="21"/>
              </w:rPr>
              <w:t>0.5</w:t>
            </w:r>
            <w:r>
              <w:rPr>
                <w:rFonts w:ascii="Arial" w:hAnsi="Arial" w:cs="Arial"/>
                <w:spacing w:val="-3"/>
                <w:sz w:val="21"/>
              </w:rPr>
              <w:t>p</w:t>
            </w:r>
            <w:r>
              <w:rPr>
                <w:rFonts w:ascii="Arial" w:hAnsi="Arial" w:cs="Arial"/>
                <w:spacing w:val="-2"/>
                <w:sz w:val="21"/>
              </w:rPr>
              <w:t>H</w:t>
            </w:r>
            <w:r>
              <w:rPr>
                <w:rFonts w:ascii="Arial" w:hAnsi="Arial" w:eastAsia="宋体" w:cs="Arial"/>
                <w:sz w:val="21"/>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3</w:t>
            </w:r>
          </w:p>
        </w:tc>
        <w:tc>
          <w:tcPr>
            <w:tcW w:w="244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rPr>
                <w:rFonts w:ascii="Arial" w:hAnsi="Arial" w:eastAsia="宋体" w:cs="Arial"/>
                <w:sz w:val="21"/>
              </w:rPr>
            </w:pPr>
            <w:r>
              <w:rPr>
                <w:rFonts w:ascii="Arial" w:hAnsi="Arial" w:eastAsia="宋体" w:cs="Arial"/>
                <w:sz w:val="21"/>
              </w:rPr>
              <w:t>悬浮物</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eastAsia="宋体" w:cs="Arial"/>
                <w:sz w:val="21"/>
              </w:rPr>
              <w:t>人为增加的量</w:t>
            </w:r>
            <w:r>
              <w:rPr>
                <w:rFonts w:ascii="Arial" w:hAnsi="Arial" w:cs="Arial"/>
                <w:sz w:val="21"/>
              </w:rPr>
              <w:t>≤10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rPr>
            </w:pPr>
            <w:r>
              <w:rPr>
                <w:rFonts w:ascii="Arial" w:hAnsi="Arial" w:eastAsia="宋体" w:cs="Arial"/>
                <w:sz w:val="21"/>
              </w:rPr>
              <w:t>人为增加的量</w:t>
            </w:r>
          </w:p>
          <w:p>
            <w:pPr>
              <w:adjustRightInd w:val="0"/>
              <w:snapToGrid w:val="0"/>
              <w:jc w:val="center"/>
              <w:rPr>
                <w:rFonts w:ascii="Arial" w:hAnsi="Arial" w:cs="Arial"/>
                <w:sz w:val="21"/>
              </w:rPr>
            </w:pPr>
            <w:r>
              <w:rPr>
                <w:rFonts w:ascii="Arial" w:hAnsi="Arial" w:cs="Arial"/>
                <w:sz w:val="21"/>
              </w:rPr>
              <w:t>≤100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eastAsia="宋体" w:cs="Arial"/>
                <w:sz w:val="21"/>
              </w:rPr>
              <w:t>人为增加量的</w:t>
            </w:r>
            <w:r>
              <w:rPr>
                <w:rFonts w:ascii="Arial" w:hAnsi="Arial" w:cs="Arial"/>
                <w:sz w:val="21"/>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4</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948"/>
              </w:tabs>
              <w:adjustRightInd w:val="0"/>
              <w:snapToGrid w:val="0"/>
              <w:rPr>
                <w:rFonts w:ascii="Arial" w:hAnsi="Arial" w:eastAsia="宋体" w:cs="Arial"/>
                <w:sz w:val="21"/>
              </w:rPr>
            </w:pPr>
            <w:r>
              <w:rPr>
                <w:rFonts w:ascii="Arial" w:hAnsi="Arial" w:eastAsia="宋体" w:cs="Arial"/>
                <w:sz w:val="21"/>
              </w:rPr>
              <w:t>溶解氧</w:t>
            </w:r>
            <w:r>
              <w:rPr>
                <w:rFonts w:ascii="Arial" w:hAnsi="Arial" w:eastAsia="宋体" w:cs="Arial"/>
                <w:sz w:val="21"/>
              </w:rPr>
              <w:tab/>
            </w:r>
            <w:r>
              <w:rPr>
                <w:rFonts w:ascii="Arial" w:hAnsi="Arial" w:eastAsia="宋体"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6</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5</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4</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5</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1371"/>
              </w:tabs>
              <w:adjustRightInd w:val="0"/>
              <w:snapToGrid w:val="0"/>
              <w:rPr>
                <w:rFonts w:ascii="Arial" w:hAnsi="Arial" w:cs="Arial"/>
                <w:sz w:val="21"/>
              </w:rPr>
            </w:pPr>
            <w:r>
              <w:rPr>
                <w:rFonts w:ascii="Arial" w:hAnsi="Arial" w:eastAsia="宋体" w:cs="Arial"/>
                <w:sz w:val="21"/>
              </w:rPr>
              <w:t>化学需氧量</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2</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3</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4</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6</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1659"/>
              </w:tabs>
              <w:adjustRightInd w:val="0"/>
              <w:snapToGrid w:val="0"/>
              <w:rPr>
                <w:rFonts w:ascii="Arial" w:hAnsi="Arial" w:cs="Arial"/>
                <w:sz w:val="21"/>
              </w:rPr>
            </w:pPr>
            <w:r>
              <w:rPr>
                <w:rFonts w:ascii="Arial" w:hAnsi="Arial" w:eastAsia="宋体" w:cs="Arial"/>
                <w:sz w:val="21"/>
              </w:rPr>
              <w:t>无机氮</w:t>
            </w:r>
            <w:r>
              <w:rPr>
                <w:rFonts w:ascii="Arial" w:hAnsi="Arial" w:cs="Arial"/>
                <w:sz w:val="21"/>
              </w:rPr>
              <w:t>(</w:t>
            </w:r>
            <w:r>
              <w:rPr>
                <w:rFonts w:ascii="Arial" w:hAnsi="Arial" w:eastAsia="宋体" w:cs="Arial"/>
                <w:sz w:val="21"/>
              </w:rPr>
              <w:t>以</w:t>
            </w:r>
            <w:r>
              <w:rPr>
                <w:rFonts w:ascii="Arial" w:hAnsi="Arial" w:cs="Arial"/>
                <w:sz w:val="21"/>
              </w:rPr>
              <w:t>N</w:t>
            </w:r>
            <w:r>
              <w:rPr>
                <w:rFonts w:ascii="Arial" w:hAnsi="Arial" w:eastAsia="宋体" w:cs="Arial"/>
                <w:sz w:val="21"/>
              </w:rPr>
              <w:t>计</w:t>
            </w:r>
            <w:r>
              <w:rPr>
                <w:rFonts w:ascii="Arial" w:hAnsi="Arial" w:cs="Arial"/>
                <w:sz w:val="21"/>
              </w:rPr>
              <w:t>)</w:t>
            </w:r>
            <w:r>
              <w:rPr>
                <w:rFonts w:ascii="Arial" w:hAnsi="Arial"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0.20</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0.30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0.40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7</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1870"/>
              </w:tabs>
              <w:adjustRightInd w:val="0"/>
              <w:snapToGrid w:val="0"/>
              <w:rPr>
                <w:rFonts w:ascii="Arial" w:hAnsi="Arial" w:cs="Arial"/>
                <w:sz w:val="21"/>
              </w:rPr>
            </w:pPr>
            <w:r>
              <w:rPr>
                <w:rFonts w:ascii="Arial" w:hAnsi="Arial" w:eastAsia="宋体" w:cs="Arial"/>
                <w:sz w:val="21"/>
              </w:rPr>
              <w:t>非离子氨</w:t>
            </w:r>
            <w:r>
              <w:rPr>
                <w:rFonts w:ascii="Arial" w:hAnsi="Arial" w:cs="Arial"/>
                <w:sz w:val="21"/>
              </w:rPr>
              <w:t>(</w:t>
            </w:r>
            <w:r>
              <w:rPr>
                <w:rFonts w:ascii="Arial" w:hAnsi="Arial" w:eastAsia="宋体" w:cs="Arial"/>
                <w:sz w:val="21"/>
              </w:rPr>
              <w:t>以</w:t>
            </w:r>
            <w:r>
              <w:rPr>
                <w:rFonts w:ascii="Arial" w:hAnsi="Arial" w:cs="Arial"/>
                <w:sz w:val="21"/>
              </w:rPr>
              <w:t>N</w:t>
            </w:r>
            <w:r>
              <w:rPr>
                <w:rFonts w:ascii="Arial" w:hAnsi="Arial" w:eastAsia="宋体" w:cs="Arial"/>
                <w:sz w:val="21"/>
              </w:rPr>
              <w:t>计</w:t>
            </w:r>
            <w:r>
              <w:rPr>
                <w:rFonts w:ascii="Arial" w:hAnsi="Arial" w:cs="Arial"/>
                <w:sz w:val="21"/>
              </w:rPr>
              <w:t>)</w:t>
            </w:r>
            <w:r>
              <w:rPr>
                <w:rFonts w:ascii="Arial" w:hAnsi="Arial" w:cs="Arial"/>
                <w:sz w:val="21"/>
              </w:rPr>
              <w:tab/>
            </w:r>
            <w:r>
              <w:rPr>
                <w:rFonts w:ascii="Arial" w:hAnsi="Arial" w:cs="Arial"/>
                <w:sz w:val="21"/>
              </w:rPr>
              <w:t>≤</w:t>
            </w:r>
          </w:p>
        </w:tc>
        <w:tc>
          <w:tcPr>
            <w:tcW w:w="5928" w:type="dxa"/>
            <w:gridSpan w:val="4"/>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8</w:t>
            </w:r>
          </w:p>
        </w:tc>
        <w:tc>
          <w:tcPr>
            <w:tcW w:w="244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rPr>
                <w:rFonts w:ascii="Arial" w:hAnsi="Arial" w:cs="Arial"/>
                <w:sz w:val="21"/>
              </w:rPr>
            </w:pPr>
            <w:r>
              <w:rPr>
                <w:rFonts w:ascii="Arial" w:hAnsi="Arial" w:eastAsia="宋体" w:cs="Arial"/>
                <w:sz w:val="21"/>
              </w:rPr>
              <w:t>活性磷酸盐（以</w:t>
            </w:r>
            <w:r>
              <w:rPr>
                <w:rFonts w:ascii="Arial" w:hAnsi="Arial" w:cs="Arial"/>
                <w:sz w:val="21"/>
              </w:rPr>
              <w:t>P</w:t>
            </w:r>
            <w:r>
              <w:rPr>
                <w:rFonts w:ascii="Arial" w:hAnsi="Arial" w:eastAsia="宋体" w:cs="Arial"/>
                <w:sz w:val="21"/>
              </w:rPr>
              <w:t>计）</w:t>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0.015</w:t>
            </w:r>
          </w:p>
        </w:tc>
        <w:tc>
          <w:tcPr>
            <w:tcW w:w="2671"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0.030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9</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843"/>
              </w:tabs>
              <w:adjustRightInd w:val="0"/>
              <w:snapToGrid w:val="0"/>
              <w:rPr>
                <w:rFonts w:ascii="Arial" w:hAnsi="Arial" w:cs="Arial"/>
                <w:sz w:val="21"/>
              </w:rPr>
            </w:pPr>
            <w:r>
              <w:rPr>
                <w:rFonts w:ascii="Arial" w:hAnsi="Arial" w:eastAsia="宋体" w:cs="Arial"/>
                <w:sz w:val="21"/>
              </w:rPr>
              <w:t>石油类</w:t>
            </w:r>
            <w:r>
              <w:rPr>
                <w:rFonts w:ascii="Arial" w:hAnsi="Arial" w:eastAsia="宋体" w:cs="Arial"/>
                <w:sz w:val="21"/>
              </w:rPr>
              <w:tab/>
            </w:r>
            <w:r>
              <w:rPr>
                <w:rFonts w:ascii="Arial" w:hAnsi="Arial" w:cs="Arial"/>
                <w:sz w:val="21"/>
              </w:rPr>
              <w:t>≤</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0.30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10</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汞</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0.00005</w:t>
            </w:r>
          </w:p>
        </w:tc>
        <w:tc>
          <w:tcPr>
            <w:tcW w:w="2671"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0.0002</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11</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铅</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0.001</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12</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镍</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0.020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13</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砷</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0.020</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0.030</w:t>
            </w:r>
          </w:p>
        </w:tc>
        <w:tc>
          <w:tcPr>
            <w:tcW w:w="3328"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14</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锌</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0.020</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0.10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15</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镉</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0.001</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3328"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16</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424"/>
              </w:tabs>
              <w:adjustRightInd w:val="0"/>
              <w:snapToGrid w:val="0"/>
              <w:rPr>
                <w:rFonts w:ascii="Arial" w:hAnsi="Arial" w:cs="Arial"/>
                <w:sz w:val="21"/>
              </w:rPr>
            </w:pPr>
            <w:r>
              <w:rPr>
                <w:rFonts w:ascii="Arial" w:hAnsi="Arial" w:eastAsia="宋体" w:cs="Arial"/>
                <w:sz w:val="21"/>
              </w:rPr>
              <w:t>铜</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0.010</w:t>
            </w:r>
          </w:p>
        </w:tc>
        <w:tc>
          <w:tcPr>
            <w:tcW w:w="3328"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17</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636"/>
              </w:tabs>
              <w:adjustRightInd w:val="0"/>
              <w:snapToGrid w:val="0"/>
              <w:rPr>
                <w:rFonts w:ascii="Arial" w:hAnsi="Arial" w:cs="Arial"/>
                <w:sz w:val="21"/>
              </w:rPr>
            </w:pPr>
            <w:r>
              <w:rPr>
                <w:rFonts w:ascii="Arial" w:hAnsi="Arial" w:eastAsia="宋体" w:cs="Arial"/>
                <w:sz w:val="21"/>
              </w:rPr>
              <w:t>总铬</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0.10</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0.20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18</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843"/>
              </w:tabs>
              <w:adjustRightInd w:val="0"/>
              <w:snapToGrid w:val="0"/>
              <w:rPr>
                <w:rFonts w:ascii="Arial" w:hAnsi="Arial" w:cs="Arial"/>
                <w:sz w:val="21"/>
              </w:rPr>
            </w:pPr>
            <w:r>
              <w:rPr>
                <w:rFonts w:ascii="Arial" w:hAnsi="Arial" w:eastAsia="宋体" w:cs="Arial"/>
                <w:sz w:val="21"/>
              </w:rPr>
              <w:t>硫化物</w:t>
            </w:r>
            <w:r>
              <w:rPr>
                <w:rFonts w:ascii="Arial" w:hAnsi="Arial" w:eastAsia="宋体" w:cs="Arial"/>
                <w:sz w:val="21"/>
              </w:rPr>
              <w:tab/>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0.02</w:t>
            </w:r>
          </w:p>
        </w:tc>
        <w:tc>
          <w:tcPr>
            <w:tcW w:w="114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0.10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19</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843"/>
              </w:tabs>
              <w:adjustRightInd w:val="0"/>
              <w:snapToGrid w:val="0"/>
              <w:rPr>
                <w:rFonts w:ascii="Arial" w:hAnsi="Arial" w:cs="Arial"/>
                <w:sz w:val="21"/>
              </w:rPr>
            </w:pPr>
            <w:r>
              <w:rPr>
                <w:rFonts w:ascii="Arial" w:hAnsi="Arial" w:eastAsia="宋体" w:cs="Arial"/>
                <w:sz w:val="21"/>
              </w:rPr>
              <w:t>氰化物</w:t>
            </w:r>
            <w:r>
              <w:rPr>
                <w:rFonts w:ascii="Arial" w:hAnsi="Arial" w:eastAsia="宋体" w:cs="Arial"/>
                <w:sz w:val="21"/>
              </w:rPr>
              <w:tab/>
            </w:r>
            <w:r>
              <w:rPr>
                <w:rFonts w:ascii="Arial" w:hAnsi="Arial" w:cs="Arial"/>
                <w:sz w:val="21"/>
              </w:rPr>
              <w:t>≤</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0.10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hint="eastAsia" w:ascii="Arial" w:hAnsi="Arial" w:cs="Arial"/>
                <w:sz w:val="21"/>
              </w:rPr>
              <w:t>20</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843"/>
              </w:tabs>
              <w:adjustRightInd w:val="0"/>
              <w:snapToGrid w:val="0"/>
              <w:rPr>
                <w:rFonts w:ascii="Arial" w:hAnsi="Arial" w:cs="Arial"/>
                <w:sz w:val="21"/>
              </w:rPr>
            </w:pPr>
            <w:r>
              <w:rPr>
                <w:rFonts w:ascii="Arial" w:hAnsi="Arial" w:eastAsia="宋体" w:cs="Arial"/>
                <w:sz w:val="21"/>
              </w:rPr>
              <w:t>挥发</w:t>
            </w:r>
            <w:r>
              <w:rPr>
                <w:rFonts w:hint="eastAsia" w:ascii="Arial" w:hAnsi="Arial" w:eastAsia="宋体" w:cs="Arial"/>
                <w:sz w:val="21"/>
              </w:rPr>
              <w:t>性</w:t>
            </w:r>
            <w:r>
              <w:rPr>
                <w:rFonts w:ascii="Arial" w:hAnsi="Arial" w:eastAsia="宋体" w:cs="Arial"/>
                <w:sz w:val="21"/>
              </w:rPr>
              <w:t>酚</w:t>
            </w:r>
            <w:r>
              <w:rPr>
                <w:rFonts w:ascii="Arial" w:hAnsi="Arial" w:eastAsia="宋体" w:cs="Arial"/>
                <w:sz w:val="21"/>
              </w:rPr>
              <w:tab/>
            </w:r>
            <w:r>
              <w:rPr>
                <w:rFonts w:ascii="Arial" w:hAnsi="Arial" w:cs="Arial"/>
                <w:sz w:val="21"/>
              </w:rPr>
              <w:t>≤</w:t>
            </w:r>
          </w:p>
        </w:tc>
        <w:tc>
          <w:tcPr>
            <w:tcW w:w="2600"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0.005</w:t>
            </w:r>
          </w:p>
        </w:tc>
        <w:tc>
          <w:tcPr>
            <w:tcW w:w="153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0.010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ascii="Arial" w:hAnsi="Arial" w:cs="Arial"/>
                <w:sz w:val="21"/>
              </w:rPr>
              <w:t>0.050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hint="eastAsia" w:ascii="Arial" w:hAnsi="Arial" w:cs="Arial"/>
                <w:sz w:val="21"/>
              </w:rPr>
              <w:t>21</w:t>
            </w:r>
          </w:p>
        </w:tc>
        <w:tc>
          <w:tcPr>
            <w:tcW w:w="2444" w:type="dxa"/>
            <w:tcBorders>
              <w:top w:val="single" w:color="000000" w:sz="4" w:space="0"/>
              <w:left w:val="single" w:color="000000" w:sz="4" w:space="0"/>
              <w:bottom w:val="single" w:color="000000" w:sz="4" w:space="0"/>
              <w:right w:val="single" w:color="000000" w:sz="4" w:space="0"/>
            </w:tcBorders>
            <w:vAlign w:val="center"/>
          </w:tcPr>
          <w:p>
            <w:pPr>
              <w:tabs>
                <w:tab w:val="left" w:pos="843"/>
              </w:tabs>
              <w:adjustRightInd w:val="0"/>
              <w:snapToGrid w:val="0"/>
              <w:rPr>
                <w:rFonts w:ascii="Arial" w:hAnsi="Arial" w:eastAsia="宋体" w:cs="Arial"/>
                <w:sz w:val="21"/>
              </w:rPr>
            </w:pPr>
            <w:r>
              <w:rPr>
                <w:rFonts w:hint="eastAsia" w:ascii="Arial" w:hAnsi="Arial" w:eastAsia="宋体" w:cs="Arial"/>
                <w:sz w:val="21"/>
              </w:rPr>
              <w:t>硒</w:t>
            </w:r>
            <w:r>
              <w:rPr>
                <w:rFonts w:ascii="Arial" w:hAnsi="Arial" w:cs="Arial"/>
                <w:sz w:val="21"/>
              </w:rPr>
              <w:t>≤</w:t>
            </w:r>
          </w:p>
        </w:tc>
        <w:tc>
          <w:tcPr>
            <w:tcW w:w="146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hint="eastAsia" w:ascii="Arial" w:hAnsi="Arial" w:cs="Arial"/>
                <w:sz w:val="21"/>
              </w:rPr>
              <w:t>0.001</w:t>
            </w:r>
          </w:p>
        </w:tc>
        <w:tc>
          <w:tcPr>
            <w:tcW w:w="2671"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hint="eastAsia" w:ascii="Arial" w:hAnsi="Arial" w:cs="Arial"/>
                <w:sz w:val="21"/>
              </w:rPr>
              <w:t>0.020</w:t>
            </w:r>
          </w:p>
        </w:tc>
        <w:tc>
          <w:tcPr>
            <w:tcW w:w="1797"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cs="Arial"/>
                <w:sz w:val="21"/>
              </w:rPr>
            </w:pPr>
            <w:r>
              <w:rPr>
                <w:rFonts w:hint="eastAsia" w:ascii="Arial" w:hAnsi="Arial" w:cs="Arial"/>
                <w:sz w:val="21"/>
              </w:rPr>
              <w:t>0.050</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3、地下水环境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项目评价区域地下水环境质量执行《地下水质量标准》（GB/T14848-2017）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类标准，具体标准见表1-</w:t>
      </w:r>
      <w:r>
        <w:rPr>
          <w:rFonts w:hint="eastAsia" w:ascii="Arial" w:hAnsi="Arial" w:eastAsia="宋体" w:cs="Arial"/>
          <w:spacing w:val="10"/>
          <w:sz w:val="24"/>
          <w:szCs w:val="24"/>
        </w:rPr>
        <w:t>8</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《地下水质量标准》（摘录）   单位：mg/L，pH除外</w:t>
      </w:r>
    </w:p>
    <w:tbl>
      <w:tblPr>
        <w:tblStyle w:val="88"/>
        <w:tblW w:w="87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5"/>
        <w:gridCol w:w="2742"/>
        <w:gridCol w:w="1300"/>
        <w:gridCol w:w="786"/>
        <w:gridCol w:w="1918"/>
        <w:gridCol w:w="1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序号</w:t>
            </w:r>
          </w:p>
        </w:tc>
        <w:tc>
          <w:tcPr>
            <w:tcW w:w="2742" w:type="dxa"/>
            <w:shd w:val="clear" w:color="auto" w:fill="auto"/>
            <w:vAlign w:val="center"/>
          </w:tcPr>
          <w:p>
            <w:pPr>
              <w:autoSpaceDE w:val="0"/>
              <w:autoSpaceDN w:val="0"/>
              <w:adjustRightInd w:val="0"/>
              <w:snapToGrid w:val="0"/>
              <w:jc w:val="center"/>
              <w:rPr>
                <w:rFonts w:ascii="Arial" w:hAnsi="Arial" w:eastAsia="宋体" w:cs="Arial"/>
                <w:kern w:val="0"/>
                <w:sz w:val="21"/>
                <w:szCs w:val="21"/>
                <w:lang w:eastAsia="en-US"/>
              </w:rPr>
            </w:pPr>
            <w:r>
              <w:rPr>
                <w:rFonts w:ascii="Arial" w:hAnsi="Arial" w:eastAsia="宋体" w:cs="Arial"/>
                <w:kern w:val="0"/>
                <w:sz w:val="21"/>
                <w:szCs w:val="21"/>
                <w:lang w:eastAsia="en-US"/>
              </w:rPr>
              <w:t>水质指标</w:t>
            </w:r>
          </w:p>
        </w:tc>
        <w:tc>
          <w:tcPr>
            <w:tcW w:w="1300" w:type="dxa"/>
            <w:shd w:val="clear" w:color="auto" w:fill="auto"/>
            <w:vAlign w:val="center"/>
          </w:tcPr>
          <w:p>
            <w:pPr>
              <w:autoSpaceDE w:val="0"/>
              <w:autoSpaceDN w:val="0"/>
              <w:adjustRightInd w:val="0"/>
              <w:snapToGrid w:val="0"/>
              <w:jc w:val="center"/>
              <w:rPr>
                <w:rFonts w:ascii="Arial" w:hAnsi="Arial" w:eastAsia="宋体" w:cs="Arial"/>
                <w:kern w:val="0"/>
                <w:sz w:val="21"/>
                <w:szCs w:val="21"/>
                <w:lang w:eastAsia="en-US"/>
              </w:rPr>
            </w:pPr>
            <w:r>
              <w:rPr>
                <w:rFonts w:hint="eastAsia" w:ascii="宋体" w:hAnsi="宋体" w:eastAsia="宋体" w:cs="宋体"/>
                <w:kern w:val="0"/>
                <w:sz w:val="21"/>
                <w:szCs w:val="21"/>
                <w:lang w:eastAsia="en-US"/>
              </w:rPr>
              <w:t>Ⅲ</w:t>
            </w:r>
            <w:r>
              <w:rPr>
                <w:rFonts w:ascii="Arial" w:hAnsi="Arial" w:eastAsia="宋体" w:cs="Arial"/>
                <w:kern w:val="0"/>
                <w:sz w:val="21"/>
                <w:szCs w:val="21"/>
                <w:lang w:eastAsia="en-US"/>
              </w:rPr>
              <w:t>类标准</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序号</w:t>
            </w:r>
          </w:p>
        </w:tc>
        <w:tc>
          <w:tcPr>
            <w:tcW w:w="1918" w:type="dxa"/>
            <w:shd w:val="clear" w:color="auto" w:fill="auto"/>
            <w:vAlign w:val="center"/>
          </w:tcPr>
          <w:p>
            <w:pPr>
              <w:autoSpaceDE w:val="0"/>
              <w:autoSpaceDN w:val="0"/>
              <w:adjustRightInd w:val="0"/>
              <w:snapToGrid w:val="0"/>
              <w:jc w:val="center"/>
              <w:rPr>
                <w:rFonts w:ascii="Arial" w:hAnsi="Arial" w:eastAsia="宋体" w:cs="Arial"/>
                <w:kern w:val="0"/>
                <w:sz w:val="21"/>
                <w:szCs w:val="21"/>
                <w:lang w:eastAsia="en-US"/>
              </w:rPr>
            </w:pPr>
            <w:r>
              <w:rPr>
                <w:rFonts w:ascii="Arial" w:hAnsi="Arial" w:eastAsia="宋体" w:cs="Arial"/>
                <w:kern w:val="0"/>
                <w:sz w:val="21"/>
                <w:szCs w:val="21"/>
                <w:lang w:eastAsia="en-US"/>
              </w:rPr>
              <w:t>水质指标</w:t>
            </w:r>
          </w:p>
        </w:tc>
        <w:tc>
          <w:tcPr>
            <w:tcW w:w="1272" w:type="dxa"/>
            <w:shd w:val="clear" w:color="auto" w:fill="auto"/>
            <w:vAlign w:val="center"/>
          </w:tcPr>
          <w:p>
            <w:pPr>
              <w:autoSpaceDE w:val="0"/>
              <w:autoSpaceDN w:val="0"/>
              <w:adjustRightInd w:val="0"/>
              <w:snapToGrid w:val="0"/>
              <w:jc w:val="center"/>
              <w:rPr>
                <w:rFonts w:ascii="Arial" w:hAnsi="Arial" w:eastAsia="宋体" w:cs="Arial"/>
                <w:kern w:val="0"/>
                <w:sz w:val="21"/>
                <w:szCs w:val="21"/>
                <w:lang w:eastAsia="en-US"/>
              </w:rPr>
            </w:pPr>
            <w:r>
              <w:rPr>
                <w:rFonts w:hint="eastAsia" w:ascii="宋体" w:hAnsi="宋体" w:eastAsia="宋体" w:cs="宋体"/>
                <w:kern w:val="0"/>
                <w:sz w:val="21"/>
                <w:szCs w:val="21"/>
                <w:lang w:eastAsia="en-US"/>
              </w:rPr>
              <w:t>Ⅲ</w:t>
            </w:r>
            <w:r>
              <w:rPr>
                <w:rFonts w:ascii="Arial" w:hAnsi="Arial" w:eastAsia="宋体" w:cs="Arial"/>
                <w:kern w:val="0"/>
                <w:sz w:val="21"/>
                <w:szCs w:val="21"/>
                <w:lang w:eastAsia="en-US"/>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pH（无量纲）</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6.5~8.5</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13</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氰化物≤</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总硬度（以CaCO</w:t>
            </w:r>
            <w:r>
              <w:rPr>
                <w:rFonts w:ascii="Arial" w:hAnsi="Arial" w:eastAsia="宋体" w:cs="Arial"/>
                <w:kern w:val="0"/>
                <w:sz w:val="21"/>
                <w:szCs w:val="21"/>
                <w:vertAlign w:val="subscript"/>
              </w:rPr>
              <w:t>3</w:t>
            </w:r>
            <w:r>
              <w:rPr>
                <w:rFonts w:ascii="Arial" w:hAnsi="Arial" w:eastAsia="宋体" w:cs="Arial"/>
                <w:kern w:val="0"/>
                <w:sz w:val="21"/>
                <w:szCs w:val="21"/>
              </w:rPr>
              <w:t>计）≤</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450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14</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氟化物≤</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3</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溶解性总固体≤</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1000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15</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汞≤</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4</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硫酸盐≤</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250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16</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砷≤</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5</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氯化物≤</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250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17</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镉≤</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6</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铁≤</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0.3</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18</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铬（六价）≤</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7</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锰≤</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0.10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19</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铅≤</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8</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挥发性酚类≤</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0.002</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20</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硫化物≤</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9</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耗氧量（COD</w:t>
            </w:r>
            <w:r>
              <w:rPr>
                <w:rFonts w:ascii="Arial" w:hAnsi="Arial" w:eastAsia="宋体" w:cs="Arial"/>
                <w:kern w:val="0"/>
                <w:sz w:val="21"/>
                <w:szCs w:val="21"/>
                <w:vertAlign w:val="subscript"/>
              </w:rPr>
              <w:t>Mn</w:t>
            </w:r>
            <w:r>
              <w:rPr>
                <w:rFonts w:ascii="Arial" w:hAnsi="Arial" w:eastAsia="宋体" w:cs="Arial"/>
                <w:kern w:val="0"/>
                <w:sz w:val="21"/>
                <w:szCs w:val="21"/>
              </w:rPr>
              <w:t>法，以O</w:t>
            </w:r>
            <w:r>
              <w:rPr>
                <w:rFonts w:ascii="Arial" w:hAnsi="Arial" w:eastAsia="宋体" w:cs="Arial"/>
                <w:kern w:val="0"/>
                <w:sz w:val="21"/>
                <w:szCs w:val="21"/>
                <w:vertAlign w:val="subscript"/>
              </w:rPr>
              <w:t>2</w:t>
            </w:r>
            <w:r>
              <w:rPr>
                <w:rFonts w:ascii="Arial" w:hAnsi="Arial" w:eastAsia="宋体" w:cs="Arial"/>
                <w:kern w:val="0"/>
                <w:sz w:val="21"/>
                <w:szCs w:val="21"/>
              </w:rPr>
              <w:t>计）≤</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3.0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21</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铜≤</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氨氮（以N计）≤</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0.5</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22</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锌≤</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11</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硝酸盐（以N计）≤</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23</w:t>
            </w: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钴≤</w:t>
            </w: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75"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12</w:t>
            </w:r>
          </w:p>
        </w:tc>
        <w:tc>
          <w:tcPr>
            <w:tcW w:w="274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亚硝酸盐（以N计）≤</w:t>
            </w:r>
          </w:p>
        </w:tc>
        <w:tc>
          <w:tcPr>
            <w:tcW w:w="1300"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c>
          <w:tcPr>
            <w:tcW w:w="786"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p>
        </w:tc>
        <w:tc>
          <w:tcPr>
            <w:tcW w:w="1918"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p>
        </w:tc>
        <w:tc>
          <w:tcPr>
            <w:tcW w:w="1272" w:type="dxa"/>
            <w:shd w:val="clear" w:color="auto" w:fill="auto"/>
            <w:vAlign w:val="center"/>
          </w:tcPr>
          <w:p>
            <w:pPr>
              <w:widowControl/>
              <w:spacing w:before="100" w:beforeAutospacing="1" w:after="100" w:afterAutospacing="1" w:line="240" w:lineRule="exact"/>
              <w:jc w:val="center"/>
              <w:rPr>
                <w:rFonts w:ascii="Arial" w:hAnsi="Arial" w:eastAsia="宋体" w:cs="Arial"/>
                <w:kern w:val="0"/>
                <w:sz w:val="21"/>
                <w:szCs w:val="21"/>
              </w:rPr>
            </w:pP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4、声环境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企业厂区东、南、北面厂界声环境执行《声环境质量标准》（GB3096-2008）3类区标准，西面厂界执行4a类区标准，厂区北面村庄声环境执行2类区标准，具体标准值见表1-</w:t>
      </w:r>
      <w:r>
        <w:rPr>
          <w:rFonts w:hint="eastAsia" w:ascii="Arial" w:hAnsi="Arial" w:eastAsia="宋体" w:cs="Arial"/>
          <w:spacing w:val="10"/>
          <w:kern w:val="0"/>
          <w:sz w:val="24"/>
          <w:szCs w:val="24"/>
        </w:rPr>
        <w:t>9</w:t>
      </w:r>
      <w:r>
        <w:rPr>
          <w:rFonts w:ascii="Arial" w:hAnsi="Arial" w:eastAsia="宋体" w:cs="Arial"/>
          <w:spacing w:val="10"/>
          <w:sz w:val="24"/>
          <w:szCs w:val="24"/>
        </w:rPr>
        <w:t>。</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《声环境质量标准》（摘录）      单位：dB（A）</w:t>
      </w:r>
    </w:p>
    <w:tbl>
      <w:tblPr>
        <w:tblStyle w:val="88"/>
        <w:tblW w:w="860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3"/>
        <w:gridCol w:w="3054"/>
        <w:gridCol w:w="3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93" w:type="dxa"/>
            <w:vMerge w:val="restart"/>
            <w:vAlign w:val="center"/>
          </w:tcPr>
          <w:p>
            <w:pPr>
              <w:spacing w:line="240" w:lineRule="exact"/>
              <w:jc w:val="center"/>
              <w:rPr>
                <w:rFonts w:ascii="Arial" w:hAnsi="Arial" w:eastAsia="宋体" w:cs="Arial"/>
                <w:sz w:val="21"/>
                <w:szCs w:val="24"/>
              </w:rPr>
            </w:pPr>
            <w:r>
              <w:rPr>
                <w:rFonts w:ascii="Arial" w:hAnsi="Arial" w:eastAsia="宋体" w:cs="Arial"/>
                <w:sz w:val="21"/>
                <w:szCs w:val="24"/>
              </w:rPr>
              <w:t>类别</w:t>
            </w:r>
          </w:p>
        </w:tc>
        <w:tc>
          <w:tcPr>
            <w:tcW w:w="6110" w:type="dxa"/>
            <w:gridSpan w:val="2"/>
            <w:vAlign w:val="center"/>
          </w:tcPr>
          <w:p>
            <w:pPr>
              <w:spacing w:line="240" w:lineRule="exact"/>
              <w:jc w:val="center"/>
              <w:rPr>
                <w:rFonts w:ascii="Arial" w:hAnsi="Arial" w:eastAsia="宋体" w:cs="Arial"/>
                <w:sz w:val="21"/>
                <w:szCs w:val="24"/>
              </w:rPr>
            </w:pPr>
            <w:r>
              <w:rPr>
                <w:rFonts w:ascii="Arial" w:hAnsi="Arial" w:eastAsia="宋体" w:cs="Arial"/>
                <w:sz w:val="21"/>
                <w:szCs w:val="24"/>
              </w:rPr>
              <w:t>等效声级L</w:t>
            </w:r>
            <w:r>
              <w:rPr>
                <w:rFonts w:ascii="Arial" w:hAnsi="Arial" w:eastAsia="宋体" w:cs="Arial"/>
                <w:sz w:val="21"/>
                <w:szCs w:val="24"/>
                <w:vertAlign w:val="subscript"/>
              </w:rPr>
              <w:t>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93" w:type="dxa"/>
            <w:vMerge w:val="continue"/>
            <w:vAlign w:val="center"/>
          </w:tcPr>
          <w:p>
            <w:pPr>
              <w:spacing w:line="240" w:lineRule="exact"/>
              <w:jc w:val="center"/>
              <w:rPr>
                <w:rFonts w:ascii="Arial" w:hAnsi="Arial" w:eastAsia="宋体" w:cs="Arial"/>
                <w:sz w:val="21"/>
                <w:szCs w:val="24"/>
              </w:rPr>
            </w:pPr>
          </w:p>
        </w:tc>
        <w:tc>
          <w:tcPr>
            <w:tcW w:w="305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昼间</w:t>
            </w:r>
          </w:p>
        </w:tc>
        <w:tc>
          <w:tcPr>
            <w:tcW w:w="3056"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2类区</w:t>
            </w:r>
          </w:p>
        </w:tc>
        <w:tc>
          <w:tcPr>
            <w:tcW w:w="305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60</w:t>
            </w:r>
          </w:p>
        </w:tc>
        <w:tc>
          <w:tcPr>
            <w:tcW w:w="3056"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3类区</w:t>
            </w:r>
          </w:p>
        </w:tc>
        <w:tc>
          <w:tcPr>
            <w:tcW w:w="305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65</w:t>
            </w:r>
          </w:p>
        </w:tc>
        <w:tc>
          <w:tcPr>
            <w:tcW w:w="3056"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4a类区</w:t>
            </w:r>
          </w:p>
        </w:tc>
        <w:tc>
          <w:tcPr>
            <w:tcW w:w="305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70</w:t>
            </w:r>
          </w:p>
        </w:tc>
        <w:tc>
          <w:tcPr>
            <w:tcW w:w="3056"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55</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5、土壤环境</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kern w:val="0"/>
          <w:sz w:val="24"/>
          <w:szCs w:val="24"/>
        </w:rPr>
        <w:t>厂</w:t>
      </w:r>
      <w:r>
        <w:rPr>
          <w:rFonts w:ascii="Arial" w:hAnsi="Arial" w:eastAsia="宋体" w:cs="Arial"/>
          <w:spacing w:val="10"/>
          <w:kern w:val="0"/>
          <w:sz w:val="24"/>
          <w:szCs w:val="24"/>
        </w:rPr>
        <w:t>区土壤环境执行《土壤环境质量 建设用地土壤污染风险管控标准（试行）》（GB36600-2018）中第二类用地筛选值标准，</w:t>
      </w:r>
      <w:r>
        <w:rPr>
          <w:rFonts w:hint="eastAsia" w:ascii="Arial" w:hAnsi="Arial" w:eastAsia="宋体" w:cs="Arial"/>
          <w:spacing w:val="10"/>
          <w:kern w:val="0"/>
          <w:sz w:val="24"/>
          <w:szCs w:val="24"/>
        </w:rPr>
        <w:t>周边居住区土壤执行</w:t>
      </w:r>
      <w:r>
        <w:rPr>
          <w:rFonts w:ascii="Arial" w:hAnsi="Arial" w:eastAsia="宋体" w:cs="Arial"/>
          <w:spacing w:val="10"/>
          <w:kern w:val="0"/>
          <w:sz w:val="24"/>
          <w:szCs w:val="24"/>
        </w:rPr>
        <w:t>GB36600-2018</w:t>
      </w:r>
      <w:r>
        <w:rPr>
          <w:rFonts w:hint="eastAsia" w:ascii="Arial" w:hAnsi="Arial" w:eastAsia="宋体" w:cs="Arial"/>
          <w:spacing w:val="10"/>
          <w:kern w:val="0"/>
          <w:sz w:val="24"/>
          <w:szCs w:val="24"/>
        </w:rPr>
        <w:t>第一类用地筛选值标准，</w:t>
      </w:r>
      <w:r>
        <w:rPr>
          <w:rFonts w:ascii="Arial" w:hAnsi="Arial" w:eastAsia="宋体" w:cs="Arial"/>
          <w:spacing w:val="10"/>
          <w:kern w:val="0"/>
          <w:sz w:val="24"/>
          <w:szCs w:val="24"/>
        </w:rPr>
        <w:t>见表1-1</w:t>
      </w:r>
      <w:r>
        <w:rPr>
          <w:rFonts w:hint="eastAsia" w:ascii="Arial" w:hAnsi="Arial" w:eastAsia="宋体" w:cs="Arial"/>
          <w:spacing w:val="10"/>
          <w:kern w:val="0"/>
          <w:sz w:val="24"/>
          <w:szCs w:val="24"/>
        </w:rPr>
        <w:t>0，锰执行广西地方标准《建设用地土壤污染风险筛选值和管制值》（DB45/T2556-2022）中第二类用地筛选值标准，</w:t>
      </w:r>
      <w:r>
        <w:rPr>
          <w:rFonts w:ascii="Arial" w:hAnsi="Arial" w:eastAsia="宋体" w:cs="Arial"/>
          <w:spacing w:val="10"/>
          <w:kern w:val="0"/>
          <w:sz w:val="24"/>
          <w:szCs w:val="24"/>
        </w:rPr>
        <w:t>见表1-1</w:t>
      </w:r>
      <w:r>
        <w:rPr>
          <w:rFonts w:hint="eastAsia" w:ascii="Arial" w:hAnsi="Arial" w:eastAsia="宋体" w:cs="Arial"/>
          <w:spacing w:val="10"/>
          <w:kern w:val="0"/>
          <w:sz w:val="24"/>
          <w:szCs w:val="24"/>
        </w:rPr>
        <w:t>2</w:t>
      </w:r>
      <w:r>
        <w:rPr>
          <w:rFonts w:ascii="Arial" w:hAnsi="Arial" w:eastAsia="宋体" w:cs="Arial"/>
          <w:spacing w:val="10"/>
          <w:kern w:val="0"/>
          <w:sz w:val="24"/>
          <w:szCs w:val="24"/>
        </w:rPr>
        <w:t>；项目周边农田土壤执行《土壤环境质量 农用地土壤污染风险管控标准》（GB15618-2018），见表1-1</w:t>
      </w:r>
      <w:r>
        <w:rPr>
          <w:rFonts w:hint="eastAsia" w:ascii="Arial" w:hAnsi="Arial" w:eastAsia="宋体" w:cs="Arial"/>
          <w:spacing w:val="10"/>
          <w:kern w:val="0"/>
          <w:sz w:val="24"/>
          <w:szCs w:val="24"/>
        </w:rPr>
        <w:t>1</w:t>
      </w:r>
      <w:r>
        <w:rPr>
          <w:rFonts w:ascii="Arial" w:hAnsi="Arial" w:eastAsia="宋体" w:cs="Arial"/>
          <w:spacing w:val="10"/>
          <w:sz w:val="24"/>
          <w:szCs w:val="24"/>
        </w:rPr>
        <w:t>。</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《土壤环境质量 建设用地土壤污染风险管控标准》（摘录）  单位：mg/kg</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845"/>
        <w:gridCol w:w="1478"/>
        <w:gridCol w:w="1353"/>
        <w:gridCol w:w="1351"/>
        <w:gridCol w:w="1203"/>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tblHeader/>
          <w:jc w:val="center"/>
        </w:trPr>
        <w:tc>
          <w:tcPr>
            <w:tcW w:w="674"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1845"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1478"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CAS编号</w:t>
            </w:r>
          </w:p>
        </w:tc>
        <w:tc>
          <w:tcPr>
            <w:tcW w:w="2704" w:type="dxa"/>
            <w:gridSpan w:val="2"/>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w:t>
            </w:r>
            <w:r>
              <w:rPr>
                <w:rFonts w:hint="eastAsia" w:ascii="Arial" w:hAnsi="Arial" w:eastAsia="宋体" w:cs="Arial"/>
                <w:spacing w:val="10"/>
                <w:sz w:val="21"/>
                <w:szCs w:val="24"/>
              </w:rPr>
              <w:t>一</w:t>
            </w:r>
            <w:r>
              <w:rPr>
                <w:rFonts w:ascii="Arial" w:hAnsi="Arial" w:eastAsia="宋体" w:cs="Arial"/>
                <w:spacing w:val="10"/>
                <w:sz w:val="21"/>
                <w:szCs w:val="24"/>
              </w:rPr>
              <w:t>类用地</w:t>
            </w:r>
          </w:p>
        </w:tc>
        <w:tc>
          <w:tcPr>
            <w:tcW w:w="2292" w:type="dxa"/>
            <w:gridSpan w:val="2"/>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tblHeader/>
          <w:jc w:val="center"/>
        </w:trPr>
        <w:tc>
          <w:tcPr>
            <w:tcW w:w="674" w:type="dxa"/>
            <w:vMerge w:val="continue"/>
            <w:vAlign w:val="center"/>
          </w:tcPr>
          <w:p>
            <w:pPr>
              <w:widowControl/>
              <w:jc w:val="left"/>
              <w:rPr>
                <w:rFonts w:ascii="Arial" w:hAnsi="Arial" w:eastAsia="宋体" w:cs="Arial"/>
                <w:spacing w:val="10"/>
                <w:sz w:val="21"/>
                <w:szCs w:val="24"/>
              </w:rPr>
            </w:pPr>
          </w:p>
        </w:tc>
        <w:tc>
          <w:tcPr>
            <w:tcW w:w="1845" w:type="dxa"/>
            <w:vMerge w:val="continue"/>
            <w:vAlign w:val="center"/>
          </w:tcPr>
          <w:p>
            <w:pPr>
              <w:widowControl/>
              <w:jc w:val="left"/>
              <w:rPr>
                <w:rFonts w:ascii="Arial" w:hAnsi="Arial" w:eastAsia="宋体" w:cs="Arial"/>
                <w:spacing w:val="10"/>
                <w:sz w:val="21"/>
                <w:szCs w:val="24"/>
              </w:rPr>
            </w:pPr>
          </w:p>
        </w:tc>
        <w:tc>
          <w:tcPr>
            <w:tcW w:w="1478" w:type="dxa"/>
            <w:vMerge w:val="continue"/>
            <w:vAlign w:val="center"/>
          </w:tcPr>
          <w:p>
            <w:pPr>
              <w:widowControl/>
              <w:jc w:val="left"/>
              <w:rPr>
                <w:rFonts w:ascii="Arial" w:hAnsi="Arial" w:eastAsia="宋体" w:cs="Arial"/>
                <w:spacing w:val="10"/>
                <w:sz w:val="21"/>
                <w:szCs w:val="24"/>
              </w:rPr>
            </w:pPr>
          </w:p>
        </w:tc>
        <w:tc>
          <w:tcPr>
            <w:tcW w:w="135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1351"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7440-38-2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镉</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7440-43-9</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47</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铬（六价）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18540-29-9</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铜</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7440-50-8</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8000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18000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铅</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7439-92-1</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400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800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汞</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7439-97-6</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33</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镍</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7440-02-0</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150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900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四氯化碳</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56-3-5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0.9</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氯仿</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67-66-3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0.3</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0.9</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氯甲仿</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74-87-3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21</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37</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1,1-二氯乙烷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75-34-3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107-06-2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13</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1,1-二氯乙烯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75-35-4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66</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14</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顺-1,2-二氯乙烯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156-60-5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66</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596</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反-1,2-二氯乙烯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156-59-2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31</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54</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16</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二氯甲烷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75-09-2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94</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616</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78-87-5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1,1,1,2-四氯乙烷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630-20-6</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2.6</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26</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1,1,2,2-四氯乙烷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79-34-5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1.6</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14</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四氯乙烷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127-18-4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11</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34</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53</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1,1,1-三氯乙烷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71-55-6</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701</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840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840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22</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1,1,2-三氯乙烷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79-00-5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0.6</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23</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三氯乙烷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79-01-6</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0.7</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24</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1,1,3-三氯丙烷</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96-18-4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0.05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氯乙烯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75-01-4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0.12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0.43</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26</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71-43-2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108-90-7</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68</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95-501</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29</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1,4-二氯苯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106-46-7</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乙苯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100-41-4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72</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31</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苯乙烯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100-42-5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1290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1290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32</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甲苯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108-88-3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33</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间二甲苯+对二甲苯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108-38-3，</w:t>
            </w:r>
          </w:p>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106-42-3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163</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34</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邻二甲苯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95-47-6</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222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640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640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35</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硝基苯</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98-95-3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37</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190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76</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苯胺</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62-53-3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92</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211</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260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37</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2-氯酚</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95-57-8</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2256</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38</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苯并(α)蒽</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56-55-3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tblPrEx>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39</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苯并(α)芘</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50-32-8</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苯并(b)荧蒽</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205-99-2</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41</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苯并(K) 荧蒽</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207-08-9</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42</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微软雅黑" w:cs="Arial"/>
                <w:spacing w:val="10"/>
                <w:sz w:val="21"/>
                <w:szCs w:val="24"/>
              </w:rPr>
              <w:t>䓛</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218-01-9</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490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4900</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1293</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43</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二苯并(α，h)蒽</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53-70-3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44</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茚(1,2,3-cd)芘</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193-39-5</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45</w:t>
            </w:r>
          </w:p>
        </w:tc>
        <w:tc>
          <w:tcPr>
            <w:tcW w:w="184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萘</w:t>
            </w:r>
          </w:p>
        </w:tc>
        <w:tc>
          <w:tcPr>
            <w:tcW w:w="147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91-20-3</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255</w:t>
            </w:r>
          </w:p>
        </w:tc>
        <w:tc>
          <w:tcPr>
            <w:tcW w:w="1203"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108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674"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46</w:t>
            </w:r>
          </w:p>
        </w:tc>
        <w:tc>
          <w:tcPr>
            <w:tcW w:w="1845"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钴</w:t>
            </w:r>
          </w:p>
        </w:tc>
        <w:tc>
          <w:tcPr>
            <w:tcW w:w="1478"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7440-48-4</w:t>
            </w:r>
          </w:p>
        </w:tc>
        <w:tc>
          <w:tcPr>
            <w:tcW w:w="135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1351"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70</w:t>
            </w:r>
          </w:p>
        </w:tc>
        <w:tc>
          <w:tcPr>
            <w:tcW w:w="1203"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190</w:t>
            </w:r>
          </w:p>
        </w:tc>
        <w:tc>
          <w:tcPr>
            <w:tcW w:w="1089"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350</w:t>
            </w:r>
          </w:p>
        </w:tc>
      </w:tr>
    </w:tbl>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《土壤环境质量 农用地土壤污染风险管控标准》（摘录） 单位：mg/kg</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909"/>
        <w:gridCol w:w="1558"/>
        <w:gridCol w:w="1558"/>
        <w:gridCol w:w="1558"/>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52"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1909"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6232" w:type="dxa"/>
            <w:gridSpan w:val="4"/>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52" w:type="dxa"/>
            <w:vMerge w:val="continue"/>
            <w:vAlign w:val="center"/>
          </w:tcPr>
          <w:p>
            <w:pPr>
              <w:widowControl/>
              <w:jc w:val="left"/>
              <w:rPr>
                <w:rFonts w:ascii="Arial" w:hAnsi="Arial" w:eastAsia="宋体" w:cs="Arial"/>
                <w:spacing w:val="10"/>
                <w:sz w:val="21"/>
                <w:szCs w:val="24"/>
              </w:rPr>
            </w:pPr>
          </w:p>
        </w:tc>
        <w:tc>
          <w:tcPr>
            <w:tcW w:w="1909" w:type="dxa"/>
            <w:vMerge w:val="continue"/>
            <w:vAlign w:val="center"/>
          </w:tcPr>
          <w:p>
            <w:pPr>
              <w:widowControl/>
              <w:jc w:val="left"/>
              <w:rPr>
                <w:rFonts w:ascii="Arial" w:hAnsi="Arial" w:eastAsia="宋体" w:cs="Arial"/>
                <w:spacing w:val="10"/>
                <w:sz w:val="21"/>
                <w:szCs w:val="24"/>
              </w:rPr>
            </w:pP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pH≤5.5</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5.5＜pH≤6.5</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6.5＜pH≤7.5</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pH＞7.5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砷</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镉</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铬</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铜</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铅</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90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汞</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1.3</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2.4</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镍</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60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2"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w:t>
            </w:r>
          </w:p>
        </w:tc>
        <w:tc>
          <w:tcPr>
            <w:tcW w:w="190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锌</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w:t>
            </w:r>
          </w:p>
        </w:tc>
        <w:tc>
          <w:tcPr>
            <w:tcW w:w="1558"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300</w:t>
            </w:r>
          </w:p>
        </w:tc>
      </w:tr>
    </w:tbl>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w:t>
      </w:r>
      <w:r>
        <w:rPr>
          <w:rFonts w:ascii="Arial" w:hAnsi="Arial" w:eastAsia="宋体" w:cs="Arial"/>
          <w:b/>
          <w:spacing w:val="10"/>
          <w:kern w:val="0"/>
          <w:sz w:val="24"/>
          <w:szCs w:val="24"/>
        </w:rPr>
        <w:t>建设用地土壤污染风险管筛选值和管制值</w:t>
      </w:r>
      <w:r>
        <w:rPr>
          <w:rFonts w:ascii="Arial" w:hAnsi="Arial" w:eastAsia="宋体" w:cs="Arial"/>
          <w:b/>
          <w:sz w:val="24"/>
        </w:rPr>
        <w:t>》（摘录）  单位：mg/kg</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559"/>
        <w:gridCol w:w="1561"/>
        <w:gridCol w:w="1146"/>
        <w:gridCol w:w="1119"/>
        <w:gridCol w:w="127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tblHeader/>
          <w:jc w:val="center"/>
        </w:trPr>
        <w:tc>
          <w:tcPr>
            <w:tcW w:w="818"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1559"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1561" w:type="dxa"/>
            <w:vMerge w:val="restart"/>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CAS编号</w:t>
            </w:r>
          </w:p>
        </w:tc>
        <w:tc>
          <w:tcPr>
            <w:tcW w:w="2265" w:type="dxa"/>
            <w:gridSpan w:val="2"/>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第一类用地</w:t>
            </w:r>
          </w:p>
        </w:tc>
        <w:tc>
          <w:tcPr>
            <w:tcW w:w="2790" w:type="dxa"/>
            <w:gridSpan w:val="2"/>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tblHeader/>
          <w:jc w:val="center"/>
        </w:trPr>
        <w:tc>
          <w:tcPr>
            <w:tcW w:w="818" w:type="dxa"/>
            <w:vMerge w:val="continue"/>
            <w:vAlign w:val="center"/>
          </w:tcPr>
          <w:p>
            <w:pPr>
              <w:widowControl/>
              <w:jc w:val="left"/>
              <w:rPr>
                <w:rFonts w:ascii="Arial" w:hAnsi="Arial" w:eastAsia="宋体" w:cs="Arial"/>
                <w:spacing w:val="10"/>
                <w:sz w:val="21"/>
                <w:szCs w:val="24"/>
              </w:rPr>
            </w:pPr>
          </w:p>
        </w:tc>
        <w:tc>
          <w:tcPr>
            <w:tcW w:w="1559" w:type="dxa"/>
            <w:vMerge w:val="continue"/>
            <w:vAlign w:val="center"/>
          </w:tcPr>
          <w:p>
            <w:pPr>
              <w:widowControl/>
              <w:jc w:val="left"/>
              <w:rPr>
                <w:rFonts w:ascii="Arial" w:hAnsi="Arial" w:eastAsia="宋体" w:cs="Arial"/>
                <w:spacing w:val="10"/>
                <w:sz w:val="21"/>
                <w:szCs w:val="24"/>
              </w:rPr>
            </w:pPr>
          </w:p>
        </w:tc>
        <w:tc>
          <w:tcPr>
            <w:tcW w:w="1561" w:type="dxa"/>
            <w:vMerge w:val="continue"/>
            <w:vAlign w:val="center"/>
          </w:tcPr>
          <w:p>
            <w:pPr>
              <w:widowControl/>
              <w:jc w:val="left"/>
              <w:rPr>
                <w:rFonts w:ascii="Arial" w:hAnsi="Arial" w:eastAsia="宋体" w:cs="Arial"/>
                <w:spacing w:val="10"/>
                <w:sz w:val="21"/>
                <w:szCs w:val="24"/>
              </w:rPr>
            </w:pPr>
          </w:p>
        </w:tc>
        <w:tc>
          <w:tcPr>
            <w:tcW w:w="1146"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111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c>
          <w:tcPr>
            <w:tcW w:w="127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151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818" w:type="dxa"/>
            <w:vAlign w:val="center"/>
          </w:tcPr>
          <w:p>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155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锰</w:t>
            </w:r>
          </w:p>
        </w:tc>
        <w:tc>
          <w:tcPr>
            <w:tcW w:w="1561"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7439-96-5</w:t>
            </w:r>
          </w:p>
        </w:tc>
        <w:tc>
          <w:tcPr>
            <w:tcW w:w="1146"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2733</w:t>
            </w:r>
          </w:p>
        </w:tc>
        <w:tc>
          <w:tcPr>
            <w:tcW w:w="1119"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5465</w:t>
            </w:r>
          </w:p>
        </w:tc>
        <w:tc>
          <w:tcPr>
            <w:tcW w:w="127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8132</w:t>
            </w:r>
          </w:p>
        </w:tc>
        <w:tc>
          <w:tcPr>
            <w:tcW w:w="1515" w:type="dxa"/>
            <w:vAlign w:val="center"/>
          </w:tcPr>
          <w:p>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10000</w:t>
            </w:r>
          </w:p>
        </w:tc>
      </w:tr>
    </w:tbl>
    <w:p>
      <w:pPr>
        <w:numPr>
          <w:ilvl w:val="0"/>
          <w:numId w:val="6"/>
        </w:numPr>
        <w:spacing w:line="500" w:lineRule="exact"/>
        <w:outlineLvl w:val="3"/>
        <w:rPr>
          <w:rFonts w:ascii="Arial" w:hAnsi="Arial" w:eastAsia="宋体" w:cs="Arial"/>
          <w:b/>
          <w:spacing w:val="10"/>
          <w:sz w:val="24"/>
          <w:szCs w:val="24"/>
        </w:rPr>
      </w:pPr>
      <w:r>
        <w:rPr>
          <w:rFonts w:ascii="Arial" w:hAnsi="Arial" w:eastAsia="宋体" w:cs="Arial"/>
          <w:b/>
          <w:spacing w:val="10"/>
          <w:sz w:val="24"/>
          <w:szCs w:val="24"/>
        </w:rPr>
        <w:t>污染物排放标准</w:t>
      </w:r>
    </w:p>
    <w:p>
      <w:pPr>
        <w:pStyle w:val="5"/>
        <w:spacing w:line="500" w:lineRule="exact"/>
        <w:ind w:firstLine="480" w:firstLineChars="196"/>
      </w:pPr>
      <w:r>
        <w:rPr>
          <w:rFonts w:hint="eastAsia"/>
          <w:szCs w:val="24"/>
        </w:rPr>
        <w:t>由于二阶段项目的三元前驱体生产线已完成环保验收，其环保手续已履行，在此不再列</w:t>
      </w:r>
      <w:r>
        <w:rPr>
          <w:rFonts w:hint="eastAsia"/>
        </w:rPr>
        <w:t>三元前驱体生产线的</w:t>
      </w:r>
      <w:r>
        <w:rPr>
          <w:rFonts w:hint="eastAsia"/>
          <w:szCs w:val="24"/>
        </w:rPr>
        <w:t>污染物排放标准。</w:t>
      </w:r>
    </w:p>
    <w:p>
      <w:pPr>
        <w:pStyle w:val="5"/>
        <w:spacing w:line="500" w:lineRule="exact"/>
        <w:ind w:firstLine="480" w:firstLineChars="196"/>
      </w:pPr>
      <w:r>
        <w:t>1、废气排放标准</w:t>
      </w:r>
    </w:p>
    <w:p>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w:t>
      </w:r>
      <w:r>
        <w:rPr>
          <w:rFonts w:hint="eastAsia" w:ascii="Arial" w:hAnsi="Arial" w:eastAsia="宋体" w:cs="Arial"/>
          <w:spacing w:val="10"/>
          <w:sz w:val="24"/>
          <w:szCs w:val="24"/>
        </w:rPr>
        <w:t>1</w:t>
      </w:r>
      <w:r>
        <w:rPr>
          <w:rFonts w:ascii="Arial" w:hAnsi="Arial" w:eastAsia="宋体" w:cs="Arial"/>
          <w:spacing w:val="10"/>
          <w:sz w:val="24"/>
          <w:szCs w:val="24"/>
        </w:rPr>
        <w:t>）</w:t>
      </w:r>
      <w:r>
        <w:rPr>
          <w:rFonts w:ascii="Arial" w:hAnsi="Arial" w:eastAsia="宋体" w:cs="Arial"/>
          <w:spacing w:val="10"/>
          <w:sz w:val="24"/>
        </w:rPr>
        <w:t>有组织废气</w:t>
      </w:r>
    </w:p>
    <w:p>
      <w:pPr>
        <w:spacing w:line="500" w:lineRule="exact"/>
        <w:ind w:firstLine="480" w:firstLineChars="196"/>
        <w:rPr>
          <w:rFonts w:ascii="Arial" w:hAnsi="Arial" w:eastAsia="宋体" w:cs="Arial"/>
          <w:spacing w:val="10"/>
          <w:sz w:val="24"/>
        </w:rPr>
      </w:pPr>
      <w:r>
        <w:rPr>
          <w:rFonts w:hint="eastAsia" w:ascii="Arial" w:hAnsi="Arial" w:eastAsia="宋体" w:cs="Arial"/>
          <w:spacing w:val="10"/>
          <w:sz w:val="24"/>
        </w:rPr>
        <w:t>羟基钴生产线</w:t>
      </w:r>
      <w:r>
        <w:rPr>
          <w:rFonts w:ascii="Arial" w:hAnsi="Arial" w:eastAsia="宋体" w:cs="Arial"/>
          <w:spacing w:val="10"/>
          <w:sz w:val="24"/>
        </w:rPr>
        <w:t>有组织</w:t>
      </w:r>
      <w:r>
        <w:rPr>
          <w:rFonts w:hint="eastAsia" w:ascii="Arial" w:hAnsi="Arial" w:eastAsia="宋体" w:cs="Arial"/>
          <w:spacing w:val="10"/>
          <w:sz w:val="24"/>
        </w:rPr>
        <w:t>排放的颗粒物、氨、钴及其化合物</w:t>
      </w:r>
      <w:r>
        <w:rPr>
          <w:rFonts w:ascii="Arial" w:hAnsi="Arial" w:eastAsia="宋体" w:cs="Arial"/>
          <w:spacing w:val="10"/>
          <w:sz w:val="24"/>
        </w:rPr>
        <w:t>执行《无机化学工业污染物排放标准》（GB31573-2015）表</w:t>
      </w:r>
      <w:r>
        <w:rPr>
          <w:rFonts w:hint="eastAsia" w:ascii="Arial" w:hAnsi="Arial" w:eastAsia="宋体" w:cs="Arial"/>
          <w:spacing w:val="10"/>
          <w:sz w:val="24"/>
        </w:rPr>
        <w:t>3标准限值，</w:t>
      </w:r>
      <w:r>
        <w:rPr>
          <w:rFonts w:ascii="Arial" w:hAnsi="Arial" w:eastAsia="宋体" w:cs="Arial"/>
          <w:spacing w:val="10"/>
          <w:sz w:val="24"/>
        </w:rPr>
        <w:t>具体见表1-1</w:t>
      </w:r>
      <w:r>
        <w:rPr>
          <w:rFonts w:hint="eastAsia" w:ascii="Arial" w:hAnsi="Arial" w:eastAsia="宋体" w:cs="Arial"/>
          <w:spacing w:val="10"/>
          <w:sz w:val="24"/>
        </w:rPr>
        <w:t>3</w:t>
      </w:r>
      <w:r>
        <w:rPr>
          <w:rFonts w:ascii="Arial" w:hAnsi="Arial" w:eastAsia="宋体" w:cs="Arial"/>
          <w:spacing w:val="10"/>
          <w:sz w:val="24"/>
        </w:rPr>
        <w:t>。</w:t>
      </w:r>
    </w:p>
    <w:p>
      <w:pPr>
        <w:spacing w:line="500" w:lineRule="exact"/>
        <w:ind w:firstLine="480" w:firstLineChars="196"/>
        <w:rPr>
          <w:rFonts w:ascii="Arial" w:hAnsi="Arial" w:eastAsia="宋体" w:cs="Arial"/>
          <w:spacing w:val="10"/>
          <w:sz w:val="24"/>
        </w:rPr>
      </w:pPr>
      <w:r>
        <w:rPr>
          <w:rFonts w:ascii="Arial" w:hAnsi="Arial" w:eastAsia="宋体" w:cs="Arial"/>
          <w:spacing w:val="10"/>
          <w:sz w:val="24"/>
        </w:rPr>
        <w:t>（2）无组织废气</w:t>
      </w:r>
    </w:p>
    <w:p>
      <w:pPr>
        <w:spacing w:line="500" w:lineRule="exact"/>
        <w:ind w:firstLine="480" w:firstLineChars="196"/>
        <w:rPr>
          <w:rFonts w:ascii="Arial" w:hAnsi="Arial" w:eastAsia="宋体" w:cs="Arial"/>
          <w:spacing w:val="10"/>
          <w:sz w:val="24"/>
        </w:rPr>
      </w:pPr>
      <w:r>
        <w:rPr>
          <w:rFonts w:hint="eastAsia" w:ascii="Arial" w:hAnsi="Arial" w:eastAsia="宋体" w:cs="Arial"/>
          <w:spacing w:val="10"/>
          <w:sz w:val="24"/>
        </w:rPr>
        <w:t>羟基钴生产线无组织排放的氨</w:t>
      </w:r>
      <w:r>
        <w:rPr>
          <w:rFonts w:ascii="Arial" w:hAnsi="Arial" w:eastAsia="宋体" w:cs="Arial"/>
          <w:spacing w:val="10"/>
          <w:sz w:val="24"/>
        </w:rPr>
        <w:t>执行《无机化学工业污染物排放标准》（GB31573-2015）表</w:t>
      </w:r>
      <w:r>
        <w:rPr>
          <w:rFonts w:hint="eastAsia" w:ascii="Arial" w:hAnsi="Arial" w:eastAsia="宋体" w:cs="Arial"/>
          <w:spacing w:val="10"/>
          <w:sz w:val="24"/>
        </w:rPr>
        <w:t>5标准限值，详见表1-14。</w:t>
      </w:r>
    </w:p>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有组织废气污染物排放标准</w:t>
      </w:r>
    </w:p>
    <w:tbl>
      <w:tblPr>
        <w:tblStyle w:val="88"/>
        <w:tblW w:w="878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65"/>
        <w:gridCol w:w="2125"/>
        <w:gridCol w:w="1844"/>
        <w:gridCol w:w="1344"/>
        <w:gridCol w:w="19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5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污染源</w:t>
            </w:r>
          </w:p>
        </w:tc>
        <w:tc>
          <w:tcPr>
            <w:tcW w:w="212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排气筒编号</w:t>
            </w:r>
          </w:p>
        </w:tc>
        <w:tc>
          <w:tcPr>
            <w:tcW w:w="18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污染物</w:t>
            </w:r>
            <w:r>
              <w:rPr>
                <w:rFonts w:hint="eastAsia" w:ascii="Arial" w:hAnsi="Arial" w:eastAsia="宋体" w:cs="Arial"/>
                <w:sz w:val="21"/>
                <w:szCs w:val="21"/>
              </w:rPr>
              <w:t>项目</w:t>
            </w:r>
          </w:p>
        </w:tc>
        <w:tc>
          <w:tcPr>
            <w:tcW w:w="13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排放限值</w:t>
            </w:r>
          </w:p>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r>
              <w:rPr>
                <w:rFonts w:ascii="Arial" w:hAnsi="Arial" w:eastAsia="宋体" w:cs="Arial"/>
                <w:sz w:val="21"/>
                <w:szCs w:val="21"/>
              </w:rPr>
              <w:t>）</w:t>
            </w:r>
          </w:p>
        </w:tc>
        <w:tc>
          <w:tcPr>
            <w:tcW w:w="1909"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565" w:type="dxa"/>
            <w:tcBorders>
              <w:top w:val="single" w:color="000000" w:sz="4" w:space="0"/>
              <w:left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羟基钴生产线合成反应废气、压滤废气</w:t>
            </w:r>
          </w:p>
        </w:tc>
        <w:tc>
          <w:tcPr>
            <w:tcW w:w="2125" w:type="dxa"/>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DA</w:t>
            </w:r>
            <w:r>
              <w:rPr>
                <w:rFonts w:hint="eastAsia" w:ascii="Arial" w:hAnsi="Arial" w:eastAsia="宋体" w:cs="Arial"/>
                <w:sz w:val="21"/>
                <w:szCs w:val="21"/>
              </w:rPr>
              <w:t>145</w:t>
            </w:r>
          </w:p>
        </w:tc>
        <w:tc>
          <w:tcPr>
            <w:tcW w:w="1844" w:type="dxa"/>
            <w:tcBorders>
              <w:top w:val="single" w:color="000000" w:sz="4" w:space="0"/>
              <w:left w:val="single" w:color="000000" w:sz="4" w:space="0"/>
              <w:bottom w:val="single" w:color="000000"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13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20</w:t>
            </w:r>
          </w:p>
        </w:tc>
        <w:tc>
          <w:tcPr>
            <w:tcW w:w="1909"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565" w:type="dxa"/>
            <w:vMerge w:val="restart"/>
            <w:tcBorders>
              <w:left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羟基钴生产线烘干粉尘、破碎粉尘、包装粉尘</w:t>
            </w:r>
          </w:p>
        </w:tc>
        <w:tc>
          <w:tcPr>
            <w:tcW w:w="2125" w:type="dxa"/>
            <w:vMerge w:val="restart"/>
            <w:tcBorders>
              <w:top w:val="single" w:color="000000" w:sz="4" w:space="0"/>
              <w:left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DA146</w:t>
            </w:r>
          </w:p>
        </w:tc>
        <w:tc>
          <w:tcPr>
            <w:tcW w:w="1844"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470"/>
              <w:rPr>
                <w:rFonts w:ascii="Arial" w:hAnsi="Arial" w:cs="Arial"/>
                <w:sz w:val="21"/>
                <w:szCs w:val="21"/>
              </w:rPr>
            </w:pPr>
            <w:r>
              <w:rPr>
                <w:rFonts w:hint="eastAsia" w:ascii="Arial" w:hAnsi="Arial" w:cs="Arial"/>
                <w:sz w:val="21"/>
                <w:szCs w:val="21"/>
              </w:rPr>
              <w:t>颗粒物</w:t>
            </w:r>
          </w:p>
        </w:tc>
        <w:tc>
          <w:tcPr>
            <w:tcW w:w="13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30</w:t>
            </w:r>
          </w:p>
        </w:tc>
        <w:tc>
          <w:tcPr>
            <w:tcW w:w="1909" w:type="dxa"/>
            <w:vMerge w:val="restart"/>
            <w:tcBorders>
              <w:top w:val="single" w:color="000000" w:sz="4" w:space="0"/>
              <w:left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565" w:type="dxa"/>
            <w:vMerge w:val="continue"/>
            <w:tcBorders>
              <w:left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p>
        </w:tc>
        <w:tc>
          <w:tcPr>
            <w:tcW w:w="2125" w:type="dxa"/>
            <w:vMerge w:val="continue"/>
            <w:tcBorders>
              <w:left w:val="single" w:color="000000" w:sz="4" w:space="0"/>
              <w:bottom w:val="single" w:color="000000" w:sz="4" w:space="0"/>
              <w:right w:val="single" w:color="000000" w:sz="4" w:space="0"/>
            </w:tcBorders>
            <w:shd w:val="clear" w:color="auto" w:fill="auto"/>
            <w:vAlign w:val="center"/>
          </w:tcPr>
          <w:p>
            <w:pPr>
              <w:adjustRightInd w:val="0"/>
              <w:snapToGrid w:val="0"/>
              <w:spacing w:line="240" w:lineRule="exact"/>
              <w:jc w:val="center"/>
              <w:rPr>
                <w:rFonts w:ascii="Arial" w:hAnsi="Arial" w:eastAsia="宋体" w:cs="Arial"/>
                <w:sz w:val="21"/>
                <w:szCs w:val="21"/>
              </w:rPr>
            </w:pPr>
          </w:p>
        </w:tc>
        <w:tc>
          <w:tcPr>
            <w:tcW w:w="1844"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470"/>
              <w:rPr>
                <w:rFonts w:ascii="Arial" w:hAnsi="Arial" w:cs="Arial"/>
                <w:sz w:val="21"/>
                <w:szCs w:val="21"/>
              </w:rPr>
            </w:pPr>
            <w:r>
              <w:rPr>
                <w:rFonts w:hint="eastAsia" w:ascii="Arial" w:hAnsi="Arial" w:cs="Arial"/>
                <w:sz w:val="21"/>
                <w:szCs w:val="21"/>
              </w:rPr>
              <w:t>钴及其化合物</w:t>
            </w:r>
          </w:p>
        </w:tc>
        <w:tc>
          <w:tcPr>
            <w:tcW w:w="13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cs="Arial"/>
                <w:sz w:val="21"/>
                <w:szCs w:val="21"/>
              </w:rPr>
              <w:t>5</w:t>
            </w:r>
          </w:p>
        </w:tc>
        <w:tc>
          <w:tcPr>
            <w:tcW w:w="1909" w:type="dxa"/>
            <w:vMerge w:val="continue"/>
            <w:tcBorders>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5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母液罐</w:t>
            </w:r>
          </w:p>
        </w:tc>
        <w:tc>
          <w:tcPr>
            <w:tcW w:w="212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DA</w:t>
            </w:r>
            <w:r>
              <w:rPr>
                <w:rFonts w:hint="eastAsia" w:ascii="Arial" w:hAnsi="Arial" w:eastAsia="宋体" w:cs="Arial"/>
                <w:sz w:val="21"/>
                <w:szCs w:val="21"/>
              </w:rPr>
              <w:t>067</w:t>
            </w:r>
          </w:p>
        </w:tc>
        <w:tc>
          <w:tcPr>
            <w:tcW w:w="18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1344"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20</w:t>
            </w:r>
          </w:p>
        </w:tc>
        <w:tc>
          <w:tcPr>
            <w:tcW w:w="1909" w:type="dxa"/>
            <w:tcBorders>
              <w:top w:val="single" w:color="000000" w:sz="4" w:space="0"/>
              <w:left w:val="single" w:color="000000" w:sz="4" w:space="0"/>
              <w:bottom w:val="single" w:color="000000" w:sz="4" w:space="0"/>
              <w:right w:val="single" w:color="auto" w:sz="4" w:space="0"/>
            </w:tcBorders>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bl>
    <w:p>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企业边界大气污染物排放限值</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2146"/>
        <w:gridCol w:w="3119"/>
        <w:gridCol w:w="2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365"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序号</w:t>
            </w:r>
          </w:p>
        </w:tc>
        <w:tc>
          <w:tcPr>
            <w:tcW w:w="2146"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3119"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限值（mg/m</w:t>
            </w:r>
            <w:r>
              <w:rPr>
                <w:rFonts w:ascii="Arial" w:hAnsi="Arial" w:eastAsia="宋体" w:cs="Arial"/>
                <w:sz w:val="21"/>
                <w:szCs w:val="21"/>
                <w:vertAlign w:val="superscript"/>
              </w:rPr>
              <w:t>3</w:t>
            </w:r>
            <w:r>
              <w:rPr>
                <w:rFonts w:ascii="Arial" w:hAnsi="Arial" w:eastAsia="宋体" w:cs="Arial"/>
                <w:sz w:val="21"/>
                <w:szCs w:val="21"/>
              </w:rPr>
              <w:t>）</w:t>
            </w:r>
          </w:p>
        </w:tc>
        <w:tc>
          <w:tcPr>
            <w:tcW w:w="2363" w:type="dxa"/>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65"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c>
          <w:tcPr>
            <w:tcW w:w="2146" w:type="dxa"/>
            <w:vAlign w:val="center"/>
          </w:tcPr>
          <w:p>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3119"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0.3</w:t>
            </w:r>
          </w:p>
        </w:tc>
        <w:tc>
          <w:tcPr>
            <w:tcW w:w="2363"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bl>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2、废水排放标准</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根据《钦州港大榄坪物流加工区总体规划修编（2022-2035）环境影响报告书》1.4.2.2，“目前，已入驻的广西中伟新能源科技有限公司产生的生产废水执行《无机化学工业污染物排放标准》（GB31573-2015）及修改单直接排放标准，通过大榄坪污水处理厂排海管道排往A2排污区。大榄坪污水处理厂拟升级改造接纳生产废水，入驻的企业产生的废水必须进行预处理到相关排放标准后进入污水处理厂处理，有行业废水排放标准优先执行行业废水间接或预处理排放标准；没有行业废水排放标准的执行《污水综合排放标准》（GB8978-1996）三级标准。”</w:t>
      </w:r>
    </w:p>
    <w:p>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（1）生活污水</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sz w:val="24"/>
          <w:szCs w:val="24"/>
        </w:rPr>
        <w:t>员工生活污水经化粪池处理后排入大榄坪污水处理厂处理，故生活污水执行行业标准——《无机化学工业污染物排放标准》（GB31573-2015）表1间接排放限值</w:t>
      </w:r>
      <w:r>
        <w:rPr>
          <w:rFonts w:ascii="Arial" w:hAnsi="Arial" w:eastAsia="宋体" w:cs="Arial"/>
          <w:spacing w:val="10"/>
          <w:kern w:val="0"/>
          <w:sz w:val="24"/>
          <w:szCs w:val="24"/>
        </w:rPr>
        <w:t>，详见表1-</w:t>
      </w:r>
      <w:r>
        <w:rPr>
          <w:rFonts w:hint="eastAsia" w:ascii="Arial" w:hAnsi="Arial" w:eastAsia="宋体" w:cs="Arial"/>
          <w:spacing w:val="10"/>
          <w:kern w:val="0"/>
          <w:sz w:val="24"/>
          <w:szCs w:val="24"/>
        </w:rPr>
        <w:t>15</w:t>
      </w:r>
      <w:r>
        <w:rPr>
          <w:rFonts w:ascii="Arial" w:hAnsi="Arial" w:eastAsia="宋体" w:cs="Arial"/>
          <w:spacing w:val="10"/>
          <w:kern w:val="0"/>
          <w:sz w:val="24"/>
          <w:szCs w:val="24"/>
        </w:rPr>
        <w:t>。</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（2）生产废水</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由于目前园区配套的大榄坪污水处理厂不具备接收处理广西中伟新能源科技有限公司高盐废水的能力，大榄坪污水处理厂正在制定升级改造方案，该污水处理厂升级改造期间，企业的生产废水依托大榄坪污水处理厂深海排放管道排入A2排污区；待大榄坪污水处理厂升级改造完成后，生产废水排入大榄坪污水处理厂处理后排海。</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根据二期项目环评批复及《广西中伟新能源项目氢氧化钴处置线技改项目环境影响报告书》及其批复（自贸钦审批环〔2024〕35号），大榄坪污水处理厂升级改造期间，企业生产废水总排放口执行《无机化学工业污染物排放标准》（GB31573-2015）表1直接排放限值，同时全厂盐回收率≥90%，含盐量浓度不超过16700mg/L；待大榄坪污水处理厂升级改造完成后，企业生产废水总排放口执行《无机化学工业污染物排放标准》（GB31573-2015）表1间接排放限值，含盐量浓度限值由建设单位与大榄坪污水处理厂自行商定。</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因此，变更后项目生产废水总排口执行标准见表1-16，</w:t>
      </w:r>
      <w:r>
        <w:rPr>
          <w:rFonts w:hint="eastAsia" w:ascii="Arial" w:hAnsi="Arial" w:eastAsia="宋体" w:cs="Arial"/>
          <w:spacing w:val="10"/>
          <w:kern w:val="0"/>
          <w:sz w:val="24"/>
          <w:szCs w:val="24"/>
          <w:u w:val="single"/>
        </w:rPr>
        <w:t>羟基钴</w:t>
      </w:r>
      <w:r>
        <w:rPr>
          <w:rFonts w:ascii="Arial" w:hAnsi="Arial" w:eastAsia="宋体" w:cs="Arial"/>
          <w:spacing w:val="10"/>
          <w:kern w:val="0"/>
          <w:sz w:val="24"/>
          <w:szCs w:val="24"/>
          <w:u w:val="single"/>
        </w:rPr>
        <w:t>“车间或生产设施废水排放口”废水</w:t>
      </w:r>
      <w:r>
        <w:rPr>
          <w:rFonts w:hint="eastAsia" w:ascii="Arial" w:hAnsi="Arial" w:eastAsia="宋体" w:cs="Arial"/>
          <w:spacing w:val="10"/>
          <w:kern w:val="0"/>
          <w:sz w:val="24"/>
          <w:szCs w:val="24"/>
          <w:u w:val="single"/>
        </w:rPr>
        <w:t>中的钴</w:t>
      </w:r>
      <w:r>
        <w:rPr>
          <w:rFonts w:ascii="Arial" w:hAnsi="Arial" w:eastAsia="宋体" w:cs="Arial"/>
          <w:spacing w:val="10"/>
          <w:kern w:val="0"/>
          <w:sz w:val="24"/>
          <w:szCs w:val="24"/>
          <w:u w:val="single"/>
        </w:rPr>
        <w:t>执行《无机化学工业污染物排放标准》（GB31573-2015）表1的标准</w:t>
      </w:r>
      <w:r>
        <w:rPr>
          <w:rFonts w:hint="eastAsia" w:ascii="Arial" w:hAnsi="Arial" w:eastAsia="宋体" w:cs="Arial"/>
          <w:spacing w:val="10"/>
          <w:kern w:val="0"/>
          <w:sz w:val="24"/>
          <w:szCs w:val="24"/>
          <w:u w:val="single"/>
        </w:rPr>
        <w:t>，</w:t>
      </w:r>
      <w:r>
        <w:rPr>
          <w:rFonts w:ascii="Arial" w:hAnsi="Arial" w:eastAsia="宋体" w:cs="Arial"/>
          <w:spacing w:val="10"/>
          <w:kern w:val="0"/>
          <w:sz w:val="24"/>
          <w:szCs w:val="24"/>
        </w:rPr>
        <w:t>具体见表1-</w:t>
      </w:r>
      <w:r>
        <w:rPr>
          <w:rFonts w:hint="eastAsia" w:ascii="Arial" w:hAnsi="Arial" w:eastAsia="宋体" w:cs="Arial"/>
          <w:spacing w:val="10"/>
          <w:kern w:val="0"/>
          <w:sz w:val="24"/>
          <w:szCs w:val="24"/>
        </w:rPr>
        <w:t>17</w:t>
      </w:r>
      <w:r>
        <w:rPr>
          <w:rFonts w:ascii="Arial" w:hAnsi="Arial" w:eastAsia="宋体" w:cs="Arial"/>
          <w:spacing w:val="10"/>
          <w:kern w:val="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 xml:space="preserve">生活污水污染物排放浓度限值   单位：mg/L </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9"/>
        <w:gridCol w:w="3141"/>
        <w:gridCol w:w="3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34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314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3503"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标准</w:t>
            </w:r>
            <w:r>
              <w:rPr>
                <w:rFonts w:ascii="Arial" w:hAnsi="Arial" w:eastAsia="宋体" w:cs="Arial"/>
                <w:sz w:val="21"/>
                <w:szCs w:val="21"/>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34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314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pH值</w:t>
            </w:r>
          </w:p>
        </w:tc>
        <w:tc>
          <w:tcPr>
            <w:tcW w:w="3503"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34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c>
          <w:tcPr>
            <w:tcW w:w="314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悬浮物</w:t>
            </w:r>
          </w:p>
        </w:tc>
        <w:tc>
          <w:tcPr>
            <w:tcW w:w="3503"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34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w:t>
            </w:r>
          </w:p>
        </w:tc>
        <w:tc>
          <w:tcPr>
            <w:tcW w:w="314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vertAlign w:val="subscript"/>
              </w:rPr>
            </w:pPr>
            <w:r>
              <w:rPr>
                <w:rFonts w:ascii="Arial" w:hAnsi="Arial" w:eastAsia="宋体" w:cs="Arial"/>
                <w:sz w:val="21"/>
                <w:szCs w:val="21"/>
              </w:rPr>
              <w:t>COD</w:t>
            </w:r>
            <w:r>
              <w:rPr>
                <w:rFonts w:ascii="Arial" w:hAnsi="Arial" w:eastAsia="宋体" w:cs="Arial"/>
                <w:sz w:val="21"/>
                <w:szCs w:val="21"/>
                <w:vertAlign w:val="subscript"/>
              </w:rPr>
              <w:t>Cr</w:t>
            </w:r>
          </w:p>
        </w:tc>
        <w:tc>
          <w:tcPr>
            <w:tcW w:w="3503"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34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w:t>
            </w:r>
          </w:p>
        </w:tc>
        <w:tc>
          <w:tcPr>
            <w:tcW w:w="314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氨氮</w:t>
            </w:r>
          </w:p>
        </w:tc>
        <w:tc>
          <w:tcPr>
            <w:tcW w:w="3503"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w:t>
            </w: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生产废水总排口污染物排放浓度限值   单位：mg/L</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705"/>
        <w:gridCol w:w="3112"/>
        <w:gridCol w:w="3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大榄坪污水处理厂改造完成</w:t>
            </w:r>
            <w:r>
              <w:rPr>
                <w:rFonts w:hint="eastAsia" w:ascii="Arial" w:hAnsi="Arial" w:eastAsia="宋体" w:cs="Arial"/>
                <w:sz w:val="21"/>
                <w:szCs w:val="21"/>
              </w:rPr>
              <w:t>前</w:t>
            </w:r>
          </w:p>
          <w:p>
            <w:pPr>
              <w:spacing w:line="240" w:lineRule="exact"/>
              <w:jc w:val="center"/>
              <w:rPr>
                <w:rFonts w:ascii="Arial" w:hAnsi="Arial" w:eastAsia="宋体" w:cs="Arial"/>
                <w:sz w:val="21"/>
                <w:szCs w:val="21"/>
              </w:rPr>
            </w:pPr>
            <w:r>
              <w:rPr>
                <w:rFonts w:ascii="Arial" w:hAnsi="Arial" w:eastAsia="宋体" w:cs="Arial"/>
                <w:sz w:val="21"/>
                <w:szCs w:val="21"/>
              </w:rPr>
              <w:t>（直接排放）</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大榄坪污水处理厂改造完成后</w:t>
            </w:r>
          </w:p>
          <w:p>
            <w:pPr>
              <w:spacing w:line="240" w:lineRule="exact"/>
              <w:jc w:val="center"/>
              <w:rPr>
                <w:rFonts w:ascii="Arial" w:hAnsi="Arial" w:eastAsia="宋体" w:cs="Arial"/>
                <w:sz w:val="21"/>
                <w:szCs w:val="21"/>
              </w:rPr>
            </w:pPr>
            <w:r>
              <w:rPr>
                <w:rFonts w:ascii="Arial" w:hAnsi="Arial" w:eastAsia="宋体" w:cs="Arial"/>
                <w:sz w:val="21"/>
                <w:szCs w:val="21"/>
              </w:rPr>
              <w:t>（间接排放）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pH值</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6~9</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悬浮物</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50</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COD</w:t>
            </w:r>
            <w:r>
              <w:rPr>
                <w:rFonts w:ascii="Arial" w:hAnsi="Arial" w:eastAsia="宋体" w:cs="Arial"/>
                <w:sz w:val="21"/>
                <w:szCs w:val="21"/>
                <w:vertAlign w:val="subscript"/>
              </w:rPr>
              <w:t>Cr</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50</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4</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氨氮</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5</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石油类</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氟化物</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7</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总铜</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8</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总锰</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9</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总砷</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0.3</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11</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总汞</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12</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总镉</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13</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总铅</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14</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六价铬</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0.1</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15</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总铬</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16</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总镍</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17</w:t>
            </w:r>
          </w:p>
        </w:tc>
        <w:tc>
          <w:tcPr>
            <w:tcW w:w="170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含盐量</w:t>
            </w:r>
          </w:p>
        </w:tc>
        <w:tc>
          <w:tcPr>
            <w:tcW w:w="311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16700</w:t>
            </w:r>
          </w:p>
        </w:tc>
        <w:tc>
          <w:tcPr>
            <w:tcW w:w="31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r>
    </w:tbl>
    <w:p>
      <w:pPr>
        <w:adjustRightInd w:val="0"/>
        <w:snapToGrid w:val="0"/>
        <w:ind w:firstLine="382" w:firstLineChars="196"/>
        <w:rPr>
          <w:rFonts w:ascii="Arial" w:hAnsi="Arial" w:eastAsia="宋体" w:cs="Arial"/>
          <w:b/>
          <w:sz w:val="21"/>
        </w:rPr>
      </w:pPr>
      <w:r>
        <w:rPr>
          <w:rFonts w:hint="eastAsia" w:ascii="Arial" w:hAnsi="Arial" w:eastAsia="宋体" w:cs="Arial"/>
          <w:b/>
          <w:sz w:val="21"/>
        </w:rPr>
        <w:t>*大榄坪污水处理厂改造完成后排入污水处理厂的</w:t>
      </w:r>
      <w:r>
        <w:rPr>
          <w:rFonts w:ascii="Arial" w:hAnsi="Arial" w:eastAsia="宋体" w:cs="Arial"/>
          <w:b/>
          <w:sz w:val="21"/>
        </w:rPr>
        <w:t>生产废水含盐量浓度限值由建设单位与大榄坪污水处理厂自行商定。</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车间生产废水污染物排放浓度限值</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1682"/>
        <w:gridCol w:w="1925"/>
        <w:gridCol w:w="1624"/>
        <w:gridCol w:w="2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168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1925" w:type="dxa"/>
            <w:tcBorders>
              <w:top w:val="single" w:color="auto" w:sz="4" w:space="0"/>
              <w:left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限值（mg/L）</w:t>
            </w:r>
          </w:p>
        </w:tc>
        <w:tc>
          <w:tcPr>
            <w:tcW w:w="1624" w:type="dxa"/>
            <w:tcBorders>
              <w:top w:val="single" w:color="auto" w:sz="4" w:space="0"/>
              <w:left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c>
          <w:tcPr>
            <w:tcW w:w="2725" w:type="dxa"/>
            <w:tcBorders>
              <w:top w:val="single" w:color="auto" w:sz="4" w:space="0"/>
              <w:left w:val="single" w:color="auto" w:sz="6"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168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总钴</w:t>
            </w:r>
          </w:p>
        </w:tc>
        <w:tc>
          <w:tcPr>
            <w:tcW w:w="192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1624" w:type="dxa"/>
            <w:tcBorders>
              <w:top w:val="single" w:color="auto" w:sz="4" w:space="0"/>
              <w:left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GB31573-2015</w:t>
            </w:r>
          </w:p>
        </w:tc>
        <w:tc>
          <w:tcPr>
            <w:tcW w:w="2725" w:type="dxa"/>
            <w:tcBorders>
              <w:top w:val="single" w:color="auto" w:sz="4" w:space="0"/>
              <w:left w:val="single" w:color="auto" w:sz="6"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车间或生产设施废水排放口</w:t>
            </w:r>
          </w:p>
        </w:tc>
      </w:tr>
    </w:tbl>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3、噪声排放标准</w:t>
      </w:r>
    </w:p>
    <w:p>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运营期企业东、南、北面厂界噪声执行《工业企业厂界环境噪声排放标准》（GB12348-2008）中的3类排放标准，西面厂界执行4类排放标准，详见表1-</w:t>
      </w:r>
      <w:r>
        <w:rPr>
          <w:rFonts w:hint="eastAsia" w:ascii="Arial" w:hAnsi="Arial" w:eastAsia="宋体" w:cs="Arial"/>
          <w:spacing w:val="10"/>
          <w:kern w:val="0"/>
          <w:sz w:val="24"/>
          <w:szCs w:val="24"/>
        </w:rPr>
        <w:t>23</w:t>
      </w:r>
      <w:r>
        <w:rPr>
          <w:rFonts w:ascii="Arial" w:hAnsi="Arial" w:eastAsia="宋体" w:cs="Arial"/>
          <w:spacing w:val="10"/>
          <w:kern w:val="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《工业企业厂界环境噪声排放标准》（摘录） 单位：dB（A）</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7"/>
        <w:gridCol w:w="2908"/>
        <w:gridCol w:w="3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类别</w:t>
            </w:r>
          </w:p>
        </w:tc>
        <w:tc>
          <w:tcPr>
            <w:tcW w:w="29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昼间</w:t>
            </w:r>
          </w:p>
        </w:tc>
        <w:tc>
          <w:tcPr>
            <w:tcW w:w="33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pacing w:val="4"/>
                <w:sz w:val="21"/>
                <w:szCs w:val="21"/>
              </w:rPr>
              <w:t>3</w:t>
            </w:r>
          </w:p>
        </w:tc>
        <w:tc>
          <w:tcPr>
            <w:tcW w:w="29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65</w:t>
            </w:r>
          </w:p>
        </w:tc>
        <w:tc>
          <w:tcPr>
            <w:tcW w:w="33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4"/>
                <w:sz w:val="21"/>
                <w:szCs w:val="21"/>
              </w:rPr>
            </w:pPr>
            <w:r>
              <w:rPr>
                <w:rFonts w:ascii="Arial" w:hAnsi="Arial" w:eastAsia="宋体" w:cs="Arial"/>
                <w:spacing w:val="4"/>
                <w:sz w:val="21"/>
                <w:szCs w:val="21"/>
              </w:rPr>
              <w:t>4</w:t>
            </w:r>
          </w:p>
        </w:tc>
        <w:tc>
          <w:tcPr>
            <w:tcW w:w="290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70</w:t>
            </w:r>
          </w:p>
        </w:tc>
        <w:tc>
          <w:tcPr>
            <w:tcW w:w="33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4"/>
              </w:rPr>
            </w:pPr>
            <w:r>
              <w:rPr>
                <w:rFonts w:ascii="Arial" w:hAnsi="Arial" w:eastAsia="宋体" w:cs="Arial"/>
                <w:sz w:val="21"/>
                <w:szCs w:val="24"/>
              </w:rPr>
              <w:t>55</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4、固体废物控制标准</w:t>
      </w:r>
    </w:p>
    <w:p>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项目一般固体废物暂存，按照HJ1035-2019的要求，应采取措施有效防止有毒有害物质渗漏、流失和扬散；</w:t>
      </w:r>
      <w:r>
        <w:rPr>
          <w:rFonts w:ascii="Arial" w:hAnsi="Arial" w:eastAsia="宋体" w:cs="Arial"/>
          <w:spacing w:val="10"/>
          <w:kern w:val="0"/>
          <w:sz w:val="24"/>
          <w:szCs w:val="24"/>
        </w:rPr>
        <w:t>危险废物厂内暂存执行《危险废物贮存污染控制标准》（GB18597-2023）的相关要求。</w:t>
      </w:r>
    </w:p>
    <w:p>
      <w:pPr>
        <w:keepNext/>
        <w:keepLines/>
        <w:numPr>
          <w:ilvl w:val="0"/>
          <w:numId w:val="2"/>
        </w:numPr>
        <w:tabs>
          <w:tab w:val="left" w:pos="567"/>
        </w:tabs>
        <w:spacing w:before="210" w:after="210" w:line="500" w:lineRule="exact"/>
        <w:outlineLvl w:val="1"/>
        <w:rPr>
          <w:rFonts w:ascii="Arial" w:hAnsi="Arial" w:eastAsia="宋体" w:cs="Arial"/>
          <w:b/>
        </w:rPr>
      </w:pPr>
      <w:bookmarkStart w:id="233" w:name="_Toc166675352"/>
      <w:bookmarkStart w:id="234" w:name="_Toc154599055"/>
      <w:bookmarkStart w:id="235" w:name="_Toc182491371"/>
      <w:bookmarkStart w:id="236" w:name="_Toc185950208"/>
      <w:r>
        <w:rPr>
          <w:rFonts w:ascii="Arial" w:hAnsi="Arial" w:eastAsia="宋体" w:cs="Arial"/>
          <w:b/>
        </w:rPr>
        <w:t>评价等级</w:t>
      </w:r>
      <w:bookmarkEnd w:id="233"/>
      <w:bookmarkEnd w:id="234"/>
      <w:bookmarkEnd w:id="235"/>
      <w:bookmarkEnd w:id="236"/>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根据《环境影响评价技术导则》（HJ2.1-2016、HJ2.2-2018、HJ2.3-2018、HJ2.4-2021、HJ610-2016、HJ19-2022、</w:t>
      </w:r>
      <w:r>
        <w:rPr>
          <w:rFonts w:ascii="Arial" w:hAnsi="Arial" w:eastAsia="宋体" w:cs="Arial"/>
          <w:spacing w:val="10"/>
          <w:kern w:val="0"/>
          <w:sz w:val="24"/>
          <w:szCs w:val="24"/>
        </w:rPr>
        <w:t>HJ964-2018</w:t>
      </w:r>
      <w:r>
        <w:rPr>
          <w:rFonts w:ascii="Arial" w:hAnsi="Arial" w:eastAsia="宋体" w:cs="Arial"/>
          <w:spacing w:val="10"/>
          <w:sz w:val="24"/>
          <w:szCs w:val="24"/>
        </w:rPr>
        <w:t>）和《建设项目环境风险评价技术导则》（HJ169-2018）中有关工作等级划分的要求，确定本报告评价等级。</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由于二阶段项目的三元前驱体生产线及相关配套工程已完成环保验收，企业排污许可证已包括该部分内容，其环保手续均已履行。因此，本报告仅以变动后的羟基钴生产线建设内容判定各要素评价工作等级，不再考虑三元前驱体生产线。</w:t>
      </w:r>
    </w:p>
    <w:p>
      <w:pPr>
        <w:keepNext/>
        <w:keepLines/>
        <w:numPr>
          <w:ilvl w:val="0"/>
          <w:numId w:val="7"/>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大气环境影响评价等级</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根据工程分析，</w:t>
      </w:r>
      <w:r>
        <w:rPr>
          <w:rFonts w:hint="eastAsia" w:ascii="Arial" w:hAnsi="Arial" w:eastAsia="宋体" w:cs="Arial"/>
          <w:spacing w:val="10"/>
          <w:sz w:val="24"/>
          <w:szCs w:val="24"/>
        </w:rPr>
        <w:t>变更后</w:t>
      </w:r>
      <w:r>
        <w:rPr>
          <w:rFonts w:ascii="Arial" w:hAnsi="Arial" w:eastAsia="宋体" w:cs="Arial"/>
          <w:spacing w:val="10"/>
          <w:sz w:val="24"/>
          <w:szCs w:val="24"/>
        </w:rPr>
        <w:t>项目废气污染物包括</w:t>
      </w:r>
      <w:r>
        <w:rPr>
          <w:rFonts w:hint="eastAsia" w:ascii="Arial" w:hAnsi="Arial" w:eastAsia="宋体" w:cs="Arial"/>
          <w:spacing w:val="10"/>
          <w:sz w:val="24"/>
          <w:szCs w:val="24"/>
        </w:rPr>
        <w:t>氨、PM</w:t>
      </w:r>
      <w:r>
        <w:rPr>
          <w:rFonts w:hint="eastAsia" w:ascii="Arial" w:hAnsi="Arial" w:eastAsia="宋体" w:cs="Arial"/>
          <w:spacing w:val="10"/>
          <w:sz w:val="24"/>
          <w:szCs w:val="24"/>
          <w:vertAlign w:val="subscript"/>
        </w:rPr>
        <w:t>10</w:t>
      </w:r>
      <w:r>
        <w:rPr>
          <w:rFonts w:hint="eastAsia" w:ascii="Arial" w:hAnsi="Arial" w:eastAsia="宋体" w:cs="Arial"/>
          <w:spacing w:val="10"/>
          <w:sz w:val="24"/>
          <w:szCs w:val="24"/>
        </w:rPr>
        <w:t>、钴及其化合物</w:t>
      </w:r>
      <w:r>
        <w:rPr>
          <w:rFonts w:ascii="Arial" w:hAnsi="Arial" w:eastAsia="宋体" w:cs="Arial"/>
          <w:spacing w:val="10"/>
          <w:sz w:val="24"/>
          <w:szCs w:val="24"/>
        </w:rPr>
        <w:t>。因</w:t>
      </w:r>
      <w:r>
        <w:rPr>
          <w:rFonts w:hint="eastAsia" w:ascii="Arial" w:hAnsi="Arial" w:eastAsia="宋体" w:cs="Arial"/>
          <w:spacing w:val="10"/>
          <w:sz w:val="24"/>
          <w:szCs w:val="24"/>
        </w:rPr>
        <w:t>钴</w:t>
      </w:r>
      <w:r>
        <w:rPr>
          <w:rFonts w:ascii="Arial" w:hAnsi="Arial" w:eastAsia="宋体" w:cs="Arial"/>
          <w:spacing w:val="10"/>
          <w:sz w:val="24"/>
          <w:szCs w:val="24"/>
        </w:rPr>
        <w:t>及其化合物无环境质量标准，本报告不估算</w:t>
      </w:r>
      <w:r>
        <w:rPr>
          <w:rFonts w:hint="eastAsia" w:ascii="Arial" w:hAnsi="Arial" w:eastAsia="宋体" w:cs="Arial"/>
          <w:spacing w:val="10"/>
          <w:sz w:val="24"/>
          <w:szCs w:val="24"/>
        </w:rPr>
        <w:t>钴</w:t>
      </w:r>
      <w:r>
        <w:rPr>
          <w:rFonts w:ascii="Arial" w:hAnsi="Arial" w:eastAsia="宋体" w:cs="Arial"/>
          <w:spacing w:val="10"/>
          <w:sz w:val="24"/>
          <w:szCs w:val="24"/>
        </w:rPr>
        <w:t>及其化合物的最大落地浓度占标率。</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根据环评技术导则（HJ2.2-2018）附录A推荐估算模式，计算污染物的最大地面浓度占标率Pi（第i个污染物）及地面浓度达标准限值10%时所对应的最远距离D</w:t>
      </w:r>
      <w:r>
        <w:rPr>
          <w:rFonts w:ascii="Arial" w:hAnsi="Arial" w:eastAsia="宋体" w:cs="Arial"/>
          <w:spacing w:val="10"/>
          <w:sz w:val="24"/>
          <w:szCs w:val="24"/>
          <w:vertAlign w:val="subscript"/>
        </w:rPr>
        <w:t>10</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其中Pi定义为：</w:t>
      </w:r>
    </w:p>
    <w:p>
      <w:pPr>
        <w:spacing w:line="264" w:lineRule="auto"/>
        <w:ind w:firstLine="1169" w:firstLineChars="477"/>
        <w:rPr>
          <w:rFonts w:ascii="Arial" w:hAnsi="Arial" w:eastAsia="宋体" w:cs="Arial"/>
          <w:spacing w:val="10"/>
          <w:sz w:val="24"/>
          <w:szCs w:val="24"/>
        </w:rPr>
      </w:pPr>
      <w:r>
        <w:rPr>
          <w:rFonts w:ascii="Arial" w:hAnsi="Arial" w:eastAsia="宋体" w:cs="Arial"/>
          <w:spacing w:val="10"/>
          <w:position w:val="-12"/>
          <w:sz w:val="24"/>
          <w:szCs w:val="24"/>
        </w:rPr>
        <w:drawing>
          <wp:inline distT="0" distB="0" distL="114300" distR="114300">
            <wp:extent cx="1219200" cy="228600"/>
            <wp:effectExtent l="0" t="0" r="0" b="0"/>
            <wp:docPr id="239" name="对象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对象 163"/>
                    <pic:cNvPicPr>
                      <a:picLocks noChangeAspect="1"/>
                    </pic:cNvPicPr>
                  </pic:nvPicPr>
                  <pic:blipFill>
                    <a:blip r:embed="rId29" cstate="print"/>
                    <a:stretch>
                      <a:fillRect/>
                    </a:stretch>
                  </pic:blipFill>
                  <pic:spPr>
                    <a:xfrm>
                      <a:off x="0" y="0"/>
                      <a:ext cx="1219200" cy="228600"/>
                    </a:xfrm>
                    <a:prstGeom prst="rect">
                      <a:avLst/>
                    </a:prstGeom>
                    <a:noFill/>
                    <a:ln>
                      <a:noFill/>
                    </a:ln>
                  </pic:spPr>
                </pic:pic>
              </a:graphicData>
            </a:graphic>
          </wp:inline>
        </w:drawing>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式中：</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P</w:t>
      </w:r>
      <w:r>
        <w:rPr>
          <w:rFonts w:ascii="Arial" w:hAnsi="Arial" w:eastAsia="宋体" w:cs="Arial"/>
          <w:spacing w:val="10"/>
          <w:sz w:val="24"/>
          <w:szCs w:val="24"/>
          <w:vertAlign w:val="subscript"/>
        </w:rPr>
        <w:t>i</w:t>
      </w:r>
      <w:r>
        <w:rPr>
          <w:rFonts w:ascii="Arial" w:hAnsi="Arial" w:eastAsia="宋体" w:cs="Arial"/>
          <w:spacing w:val="10"/>
          <w:sz w:val="24"/>
          <w:szCs w:val="24"/>
        </w:rPr>
        <w:t>——第i个污染物的最大地面空气质量浓度占标率，%；</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C</w:t>
      </w:r>
      <w:r>
        <w:rPr>
          <w:rFonts w:ascii="Arial" w:hAnsi="Arial" w:eastAsia="宋体" w:cs="Arial"/>
          <w:spacing w:val="10"/>
          <w:sz w:val="24"/>
          <w:szCs w:val="24"/>
          <w:vertAlign w:val="subscript"/>
        </w:rPr>
        <w:t>i</w:t>
      </w:r>
      <w:r>
        <w:rPr>
          <w:rFonts w:ascii="Arial" w:hAnsi="Arial" w:eastAsia="宋体" w:cs="Arial"/>
          <w:spacing w:val="10"/>
          <w:sz w:val="24"/>
          <w:szCs w:val="24"/>
        </w:rPr>
        <w:t>——采用估算模式计算出的第i个污染物的最大1h地面空气质量浓度， µg/m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C</w:t>
      </w:r>
      <w:r>
        <w:rPr>
          <w:rFonts w:ascii="Arial" w:hAnsi="Arial" w:eastAsia="宋体" w:cs="Arial"/>
          <w:spacing w:val="10"/>
          <w:sz w:val="24"/>
          <w:szCs w:val="24"/>
          <w:vertAlign w:val="subscript"/>
        </w:rPr>
        <w:t>0i</w:t>
      </w:r>
      <w:r>
        <w:rPr>
          <w:rFonts w:ascii="Arial" w:hAnsi="Arial" w:eastAsia="宋体" w:cs="Arial"/>
          <w:spacing w:val="10"/>
          <w:sz w:val="24"/>
          <w:szCs w:val="24"/>
        </w:rPr>
        <w:t>——第i个污染物的环境空气质量标准，µg/m</w:t>
      </w:r>
      <w:r>
        <w:rPr>
          <w:rFonts w:ascii="Arial" w:hAnsi="Arial" w:eastAsia="宋体" w:cs="Arial"/>
          <w:spacing w:val="10"/>
          <w:sz w:val="24"/>
          <w:szCs w:val="24"/>
          <w:vertAlign w:val="superscript"/>
        </w:rPr>
        <w:t>3</w:t>
      </w:r>
      <w:r>
        <w:rPr>
          <w:rFonts w:ascii="Arial" w:hAnsi="Arial" w:eastAsia="宋体" w:cs="Arial"/>
          <w:spacing w:val="10"/>
          <w:sz w:val="24"/>
          <w:szCs w:val="24"/>
        </w:rPr>
        <w:t>。一般选用GB3095中1h平均质量浓度的二级浓度限值，如项目位于一类环境空气功能区，应选择相应的一级浓度限值；对该标准中未包含的污染物，使用评价标准确定的各评价因子1h平均质量浓度限值。对仅有8h平均质量浓度限值、日平均质量浓度限值或年平均质量浓度限值的，可分别按2倍、3倍、6倍折算为1h平均质量浓度限值。</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评价工作等级按表1-</w:t>
      </w:r>
      <w:r>
        <w:rPr>
          <w:rFonts w:hint="eastAsia" w:ascii="Arial" w:hAnsi="Arial" w:eastAsia="宋体" w:cs="Arial"/>
          <w:spacing w:val="10"/>
          <w:sz w:val="24"/>
          <w:szCs w:val="24"/>
        </w:rPr>
        <w:t>19</w:t>
      </w:r>
      <w:r>
        <w:rPr>
          <w:rFonts w:ascii="Arial" w:hAnsi="Arial" w:eastAsia="宋体" w:cs="Arial"/>
          <w:spacing w:val="10"/>
          <w:sz w:val="24"/>
          <w:szCs w:val="24"/>
        </w:rPr>
        <w:t>判据进行划分。最大地面浓度占标率P</w:t>
      </w:r>
      <w:r>
        <w:rPr>
          <w:rFonts w:ascii="Arial" w:hAnsi="Arial" w:eastAsia="宋体" w:cs="Arial"/>
          <w:spacing w:val="10"/>
          <w:sz w:val="24"/>
          <w:szCs w:val="24"/>
          <w:vertAlign w:val="subscript"/>
        </w:rPr>
        <w:t>i</w:t>
      </w:r>
      <w:r>
        <w:rPr>
          <w:rFonts w:ascii="Arial" w:hAnsi="Arial" w:eastAsia="宋体" w:cs="Arial"/>
          <w:spacing w:val="10"/>
          <w:sz w:val="24"/>
          <w:szCs w:val="24"/>
        </w:rPr>
        <w:t>按上述公式计算。</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评价工作等级</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5"/>
        <w:gridCol w:w="5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35"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评价工作等级</w:t>
            </w:r>
          </w:p>
        </w:tc>
        <w:tc>
          <w:tcPr>
            <w:tcW w:w="5058"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35"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一级</w:t>
            </w:r>
          </w:p>
        </w:tc>
        <w:tc>
          <w:tcPr>
            <w:tcW w:w="5058"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r>
              <w:rPr>
                <w:rFonts w:ascii="Arial" w:hAnsi="Arial" w:eastAsia="宋体" w:cs="Arial"/>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35"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二级</w:t>
            </w:r>
          </w:p>
        </w:tc>
        <w:tc>
          <w:tcPr>
            <w:tcW w:w="5058"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1%≤P</w:t>
            </w:r>
            <w:r>
              <w:rPr>
                <w:rFonts w:ascii="Arial" w:hAnsi="Arial" w:eastAsia="宋体" w:cs="Arial"/>
                <w:sz w:val="21"/>
                <w:szCs w:val="21"/>
                <w:vertAlign w:val="subscript"/>
              </w:rPr>
              <w:t>max</w:t>
            </w:r>
            <w:r>
              <w:rPr>
                <w:rFonts w:ascii="Arial" w:hAnsi="Arial" w:eastAsia="宋体" w:cs="Arial"/>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35"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三级</w:t>
            </w:r>
          </w:p>
        </w:tc>
        <w:tc>
          <w:tcPr>
            <w:tcW w:w="5058"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r>
              <w:rPr>
                <w:rFonts w:ascii="Arial" w:hAnsi="Arial" w:eastAsia="宋体" w:cs="Arial"/>
                <w:sz w:val="21"/>
                <w:szCs w:val="21"/>
              </w:rPr>
              <w:t>＜1%</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根据《环境影响评价技术导则大气环境》（HJ2.2-2018），利用大气环评专业辅助系统（EIAProA2018）大气预测软件，采用AERSCREEN模型筛选计算，具体估算模型参数见表1-2</w:t>
      </w:r>
      <w:r>
        <w:rPr>
          <w:rFonts w:hint="eastAsia" w:ascii="Arial" w:hAnsi="Arial" w:eastAsia="宋体" w:cs="Arial"/>
          <w:spacing w:val="10"/>
          <w:sz w:val="24"/>
          <w:szCs w:val="24"/>
        </w:rPr>
        <w:t>0</w:t>
      </w:r>
      <w:r>
        <w:rPr>
          <w:rFonts w:ascii="Arial" w:hAnsi="Arial" w:eastAsia="宋体" w:cs="Arial"/>
          <w:spacing w:val="10"/>
          <w:sz w:val="24"/>
          <w:szCs w:val="24"/>
        </w:rPr>
        <w:t>，估算结果见表1-2</w:t>
      </w:r>
      <w:r>
        <w:rPr>
          <w:rFonts w:hint="eastAsia" w:ascii="Arial" w:hAnsi="Arial" w:eastAsia="宋体" w:cs="Arial"/>
          <w:spacing w:val="10"/>
          <w:sz w:val="24"/>
          <w:szCs w:val="24"/>
        </w:rPr>
        <w:t>1</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估算模型参数表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6"/>
        <w:gridCol w:w="2998"/>
        <w:gridCol w:w="2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参数</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城市农村选项</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人口数（城市选项时）</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最高环境温度/</w:t>
            </w:r>
            <w:r>
              <w:rPr>
                <w:rFonts w:hint="eastAsia" w:cs="宋体"/>
                <w:kern w:val="2"/>
              </w:rPr>
              <w:t>℃</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最低环境温度/</w:t>
            </w:r>
            <w:r>
              <w:rPr>
                <w:rFonts w:hint="eastAsia" w:cs="宋体"/>
                <w:kern w:val="2"/>
              </w:rPr>
              <w:t>℃</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土地利用类型</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区域湿度条件</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是否考虑地形</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考虑地形</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地形数据分辨率/m</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是否考虑岸线熏烟</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考虑岸线熏烟</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岸线距离/km</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岸线方向/</w:t>
            </w:r>
            <w:r>
              <w:rPr>
                <w:rFonts w:ascii="Arial" w:hAnsi="Arial" w:cs="Arial"/>
                <w:kern w:val="2"/>
                <w:vertAlign w:val="superscript"/>
              </w:rPr>
              <w:t>o</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180°</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根据估算结果，各污染源主要污染物最大占标率为</w:t>
      </w:r>
      <w:r>
        <w:rPr>
          <w:rFonts w:hint="eastAsia" w:ascii="Arial" w:hAnsi="Arial" w:eastAsia="宋体" w:cs="Arial"/>
          <w:spacing w:val="10"/>
          <w:sz w:val="24"/>
          <w:szCs w:val="24"/>
        </w:rPr>
        <w:t>60.85</w:t>
      </w:r>
      <w:r>
        <w:rPr>
          <w:rFonts w:ascii="Arial" w:hAnsi="Arial" w:eastAsia="宋体" w:cs="Arial"/>
          <w:spacing w:val="10"/>
          <w:sz w:val="24"/>
          <w:szCs w:val="24"/>
        </w:rPr>
        <w:t>%，D</w:t>
      </w:r>
      <w:r>
        <w:rPr>
          <w:rFonts w:ascii="Arial" w:hAnsi="Arial" w:eastAsia="宋体" w:cs="Arial"/>
          <w:spacing w:val="10"/>
          <w:sz w:val="24"/>
          <w:szCs w:val="24"/>
          <w:vertAlign w:val="subscript"/>
        </w:rPr>
        <w:t>10%</w:t>
      </w:r>
      <w:r>
        <w:rPr>
          <w:rFonts w:ascii="Arial" w:hAnsi="Arial" w:eastAsia="宋体" w:cs="Arial"/>
          <w:spacing w:val="10"/>
          <w:sz w:val="24"/>
          <w:szCs w:val="24"/>
        </w:rPr>
        <w:t>最大为</w:t>
      </w:r>
      <w:r>
        <w:rPr>
          <w:rFonts w:hint="eastAsia" w:ascii="Arial" w:hAnsi="Arial" w:eastAsia="宋体" w:cs="Arial"/>
          <w:spacing w:val="10"/>
          <w:sz w:val="24"/>
          <w:szCs w:val="24"/>
        </w:rPr>
        <w:t>727</w:t>
      </w:r>
      <w:r>
        <w:rPr>
          <w:rFonts w:ascii="Arial" w:hAnsi="Arial" w:eastAsia="宋体" w:cs="Arial"/>
          <w:spacing w:val="10"/>
          <w:sz w:val="24"/>
          <w:szCs w:val="24"/>
        </w:rPr>
        <w:t>m。P</w:t>
      </w:r>
      <w:r>
        <w:rPr>
          <w:rFonts w:ascii="Arial" w:hAnsi="Arial" w:eastAsia="宋体" w:cs="Arial"/>
          <w:spacing w:val="10"/>
          <w:sz w:val="24"/>
          <w:szCs w:val="24"/>
          <w:vertAlign w:val="subscript"/>
        </w:rPr>
        <w:t>max</w:t>
      </w:r>
      <w:r>
        <w:rPr>
          <w:rFonts w:ascii="Arial" w:hAnsi="Arial" w:eastAsia="宋体" w:cs="Arial"/>
          <w:spacing w:val="10"/>
          <w:sz w:val="24"/>
          <w:szCs w:val="24"/>
        </w:rPr>
        <w:t>＞10%，根据HJ2.2-2018大气评价等级为一级。因此，</w:t>
      </w:r>
      <w:r>
        <w:rPr>
          <w:rFonts w:ascii="Arial" w:hAnsi="Arial" w:eastAsia="宋体" w:cs="Arial"/>
          <w:spacing w:val="10"/>
          <w:sz w:val="24"/>
          <w:szCs w:val="24"/>
          <w:u w:val="single"/>
        </w:rPr>
        <w:t>项目</w:t>
      </w:r>
      <w:r>
        <w:rPr>
          <w:rFonts w:hint="eastAsia" w:ascii="Arial" w:hAnsi="Arial" w:eastAsia="宋体" w:cs="Arial"/>
          <w:spacing w:val="10"/>
          <w:sz w:val="24"/>
          <w:szCs w:val="24"/>
          <w:u w:val="single"/>
        </w:rPr>
        <w:t>大气</w:t>
      </w:r>
      <w:r>
        <w:rPr>
          <w:rFonts w:ascii="Arial" w:hAnsi="Arial" w:eastAsia="宋体" w:cs="Arial"/>
          <w:spacing w:val="10"/>
          <w:sz w:val="24"/>
          <w:szCs w:val="24"/>
          <w:u w:val="single"/>
        </w:rPr>
        <w:t>评价范围为以</w:t>
      </w:r>
      <w:r>
        <w:rPr>
          <w:rFonts w:hint="eastAsia" w:ascii="Arial" w:hAnsi="Arial" w:eastAsia="宋体" w:cs="Arial"/>
          <w:spacing w:val="10"/>
          <w:sz w:val="24"/>
          <w:szCs w:val="24"/>
          <w:u w:val="single"/>
        </w:rPr>
        <w:t>厂址中心</w:t>
      </w:r>
      <w:r>
        <w:rPr>
          <w:rFonts w:ascii="Arial" w:hAnsi="Arial" w:eastAsia="宋体" w:cs="Arial"/>
          <w:spacing w:val="10"/>
          <w:sz w:val="24"/>
          <w:szCs w:val="24"/>
          <w:u w:val="single"/>
        </w:rPr>
        <w:t>外延2.5km的矩形区域</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主要污染物估算模式计算结果</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2358"/>
        <w:gridCol w:w="2845"/>
        <w:gridCol w:w="2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序号</w:t>
            </w:r>
          </w:p>
        </w:tc>
        <w:tc>
          <w:tcPr>
            <w:tcW w:w="2358"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污染源名称</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PM</w:t>
            </w:r>
            <w:r>
              <w:rPr>
                <w:rFonts w:hint="eastAsia" w:ascii="Arial" w:hAnsi="Arial" w:eastAsia="宋体" w:cs="Arial"/>
                <w:sz w:val="21"/>
                <w:szCs w:val="21"/>
                <w:vertAlign w:val="subscript"/>
              </w:rPr>
              <w:t>10</w:t>
            </w:r>
            <w:r>
              <w:rPr>
                <w:rFonts w:hint="eastAsia" w:ascii="Arial" w:hAnsi="Arial" w:eastAsia="宋体" w:cs="Arial"/>
                <w:sz w:val="21"/>
                <w:szCs w:val="21"/>
              </w:rPr>
              <w:t>|D10(m)</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氨气|D10(m)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2358"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DA145</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16.86|475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2358"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DA146</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0.02|0</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2358"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DA067</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12.54|325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2358"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60.85|725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559"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各源最大值</w:t>
            </w:r>
          </w:p>
        </w:tc>
        <w:tc>
          <w:tcPr>
            <w:tcW w:w="2845"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w:t>
            </w:r>
          </w:p>
        </w:tc>
        <w:tc>
          <w:tcPr>
            <w:tcW w:w="258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60.85</w:t>
            </w:r>
          </w:p>
        </w:tc>
      </w:tr>
    </w:tbl>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地表水环境影响评价等级</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变更后项目属水污染影响型建设项目，地表水环境影响评价等级按《环境影响评价技术导则－地表水环境》（HJ2.3-2018）表1进行判定（见表1-2</w:t>
      </w:r>
      <w:r>
        <w:rPr>
          <w:rFonts w:hint="eastAsia" w:ascii="Arial" w:hAnsi="Arial" w:cs="Arial"/>
          <w:spacing w:val="10"/>
          <w:sz w:val="24"/>
        </w:rPr>
        <w:t>2</w:t>
      </w:r>
      <w:r>
        <w:rPr>
          <w:rFonts w:hint="eastAsia"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水污染影响型建设项目评价等级判定表</w:t>
      </w:r>
    </w:p>
    <w:tbl>
      <w:tblPr>
        <w:tblStyle w:val="88"/>
        <w:tblW w:w="8633"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614"/>
        <w:gridCol w:w="2614"/>
        <w:gridCol w:w="340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vMerge w:val="restart"/>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评价等级</w:t>
            </w:r>
          </w:p>
        </w:tc>
        <w:tc>
          <w:tcPr>
            <w:tcW w:w="6019" w:type="dxa"/>
            <w:gridSpan w:val="2"/>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判定依据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z w:val="21"/>
              </w:rPr>
            </w:pPr>
          </w:p>
        </w:tc>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排放方式</w:t>
            </w:r>
          </w:p>
        </w:tc>
        <w:tc>
          <w:tcPr>
            <w:tcW w:w="3405"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废水排放量</w:t>
            </w:r>
            <w:r>
              <w:rPr>
                <w:spacing w:val="0"/>
                <w:sz w:val="21"/>
              </w:rPr>
              <w:t>Q/</w:t>
            </w:r>
            <w:r>
              <w:rPr>
                <w:rFonts w:hint="eastAsia"/>
                <w:spacing w:val="0"/>
                <w:sz w:val="21"/>
              </w:rPr>
              <w:t>（</w:t>
            </w:r>
            <w:r>
              <w:rPr>
                <w:sz w:val="21"/>
                <w:szCs w:val="21"/>
              </w:rPr>
              <w:t>m</w:t>
            </w:r>
            <w:r>
              <w:rPr>
                <w:sz w:val="21"/>
                <w:szCs w:val="21"/>
                <w:vertAlign w:val="superscript"/>
              </w:rPr>
              <w:t>3</w:t>
            </w:r>
            <w:r>
              <w:rPr>
                <w:sz w:val="21"/>
                <w:szCs w:val="21"/>
              </w:rPr>
              <w:t>/d</w:t>
            </w:r>
            <w:r>
              <w:rPr>
                <w:rFonts w:hint="eastAsia"/>
                <w:spacing w:val="0"/>
                <w:sz w:val="21"/>
              </w:rPr>
              <w:t>）；</w:t>
            </w:r>
          </w:p>
          <w:p>
            <w:pPr>
              <w:pStyle w:val="5"/>
              <w:spacing w:line="240" w:lineRule="exact"/>
              <w:ind w:firstLine="0"/>
              <w:jc w:val="center"/>
              <w:rPr>
                <w:spacing w:val="0"/>
                <w:sz w:val="21"/>
              </w:rPr>
            </w:pPr>
            <w:r>
              <w:rPr>
                <w:rFonts w:hint="eastAsia"/>
                <w:spacing w:val="0"/>
                <w:sz w:val="21"/>
              </w:rPr>
              <w:t>水污染物当量数</w:t>
            </w:r>
            <w:r>
              <w:rPr>
                <w:spacing w:val="0"/>
                <w:sz w:val="21"/>
              </w:rPr>
              <w:t>W/</w:t>
            </w:r>
            <w:r>
              <w:rPr>
                <w:rFonts w:hint="eastAsia"/>
                <w:spacing w:val="0"/>
                <w:sz w:val="21"/>
              </w:rPr>
              <w:t>（无量纲）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一级</w:t>
            </w:r>
          </w:p>
        </w:tc>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spacing w:val="0"/>
                <w:sz w:val="21"/>
              </w:rPr>
              <w:t>Q</w:t>
            </w:r>
            <w:r>
              <w:rPr>
                <w:rFonts w:hint="eastAsia"/>
                <w:spacing w:val="0"/>
                <w:sz w:val="21"/>
              </w:rPr>
              <w:t>≥</w:t>
            </w:r>
            <w:r>
              <w:rPr>
                <w:spacing w:val="0"/>
                <w:sz w:val="21"/>
              </w:rPr>
              <w:t>20000</w:t>
            </w:r>
            <w:r>
              <w:rPr>
                <w:rFonts w:hint="eastAsia"/>
                <w:spacing w:val="0"/>
                <w:sz w:val="21"/>
              </w:rPr>
              <w:t>或</w:t>
            </w:r>
            <w:r>
              <w:rPr>
                <w:spacing w:val="0"/>
                <w:sz w:val="21"/>
              </w:rPr>
              <w:t>W</w:t>
            </w:r>
            <w:r>
              <w:rPr>
                <w:rFonts w:hint="eastAsia"/>
                <w:spacing w:val="0"/>
                <w:sz w:val="21"/>
              </w:rPr>
              <w:t>≥</w:t>
            </w:r>
            <w:r>
              <w:rPr>
                <w:spacing w:val="0"/>
                <w:sz w:val="21"/>
              </w:rPr>
              <w:t>600000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二级</w:t>
            </w:r>
          </w:p>
        </w:tc>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其他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三级</w:t>
            </w:r>
            <w:r>
              <w:rPr>
                <w:spacing w:val="0"/>
                <w:sz w:val="21"/>
              </w:rPr>
              <w:t>A</w:t>
            </w:r>
          </w:p>
        </w:tc>
        <w:tc>
          <w:tcPr>
            <w:tcW w:w="2614"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pPr>
              <w:pStyle w:val="5"/>
              <w:spacing w:line="240" w:lineRule="exact"/>
              <w:ind w:firstLine="0"/>
              <w:jc w:val="center"/>
              <w:rPr>
                <w:spacing w:val="0"/>
                <w:sz w:val="21"/>
              </w:rPr>
            </w:pPr>
            <w:r>
              <w:rPr>
                <w:spacing w:val="0"/>
                <w:sz w:val="21"/>
              </w:rPr>
              <w:t>Q</w:t>
            </w:r>
            <w:r>
              <w:rPr>
                <w:rFonts w:hint="eastAsia"/>
                <w:spacing w:val="0"/>
                <w:sz w:val="21"/>
              </w:rPr>
              <w:t>＜</w:t>
            </w:r>
            <w:r>
              <w:rPr>
                <w:spacing w:val="0"/>
                <w:sz w:val="21"/>
              </w:rPr>
              <w:t>200</w:t>
            </w:r>
            <w:r>
              <w:rPr>
                <w:rFonts w:hint="eastAsia"/>
                <w:spacing w:val="0"/>
                <w:sz w:val="21"/>
              </w:rPr>
              <w:t>且</w:t>
            </w:r>
            <w:r>
              <w:rPr>
                <w:spacing w:val="0"/>
                <w:sz w:val="21"/>
              </w:rPr>
              <w:t>W</w:t>
            </w:r>
            <w:r>
              <w:rPr>
                <w:rFonts w:hint="eastAsia"/>
                <w:spacing w:val="0"/>
                <w:sz w:val="21"/>
              </w:rPr>
              <w:t>＜</w:t>
            </w:r>
            <w:r>
              <w:rPr>
                <w:spacing w:val="0"/>
                <w:sz w:val="21"/>
              </w:rPr>
              <w:t>6000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shd w:val="clear" w:color="auto" w:fill="E6E6E6"/>
            <w:vAlign w:val="center"/>
          </w:tcPr>
          <w:p>
            <w:pPr>
              <w:pStyle w:val="5"/>
              <w:spacing w:line="240" w:lineRule="exact"/>
              <w:ind w:firstLine="0"/>
              <w:jc w:val="center"/>
              <w:rPr>
                <w:spacing w:val="0"/>
                <w:sz w:val="21"/>
              </w:rPr>
            </w:pPr>
            <w:r>
              <w:rPr>
                <w:rFonts w:hint="eastAsia"/>
                <w:spacing w:val="0"/>
                <w:sz w:val="21"/>
              </w:rPr>
              <w:t>三级</w:t>
            </w:r>
            <w:r>
              <w:rPr>
                <w:spacing w:val="0"/>
                <w:sz w:val="21"/>
              </w:rPr>
              <w:t>B</w:t>
            </w:r>
          </w:p>
        </w:tc>
        <w:tc>
          <w:tcPr>
            <w:tcW w:w="2614" w:type="dxa"/>
            <w:tcBorders>
              <w:top w:val="single" w:color="auto" w:sz="6" w:space="0"/>
              <w:left w:val="single" w:color="auto" w:sz="6" w:space="0"/>
              <w:bottom w:val="single" w:color="auto" w:sz="6" w:space="0"/>
              <w:right w:val="single" w:color="auto" w:sz="6" w:space="0"/>
            </w:tcBorders>
            <w:shd w:val="clear" w:color="auto" w:fill="E6E6E6"/>
            <w:vAlign w:val="center"/>
          </w:tcPr>
          <w:p>
            <w:pPr>
              <w:pStyle w:val="5"/>
              <w:spacing w:line="240" w:lineRule="exact"/>
              <w:ind w:firstLine="0"/>
              <w:jc w:val="center"/>
              <w:rPr>
                <w:spacing w:val="0"/>
                <w:sz w:val="21"/>
              </w:rPr>
            </w:pPr>
            <w:r>
              <w:rPr>
                <w:rFonts w:hint="eastAsia"/>
                <w:spacing w:val="0"/>
                <w:sz w:val="21"/>
              </w:rPr>
              <w:t>间接排放</w:t>
            </w:r>
          </w:p>
        </w:tc>
        <w:tc>
          <w:tcPr>
            <w:tcW w:w="3405" w:type="dxa"/>
            <w:tcBorders>
              <w:top w:val="single" w:color="auto" w:sz="6" w:space="0"/>
              <w:left w:val="single" w:color="auto" w:sz="6" w:space="0"/>
              <w:bottom w:val="single" w:color="auto" w:sz="6" w:space="0"/>
              <w:right w:val="single" w:color="auto" w:sz="6" w:space="0"/>
            </w:tcBorders>
            <w:shd w:val="clear" w:color="auto" w:fill="E6E6E6"/>
            <w:vAlign w:val="center"/>
          </w:tcPr>
          <w:p>
            <w:pPr>
              <w:pStyle w:val="5"/>
              <w:spacing w:line="240" w:lineRule="exact"/>
              <w:ind w:firstLine="0"/>
              <w:jc w:val="center"/>
              <w:rPr>
                <w:spacing w:val="0"/>
                <w:sz w:val="21"/>
              </w:rPr>
            </w:pPr>
            <w:r>
              <w:rPr>
                <w:rFonts w:hint="eastAsia"/>
                <w:spacing w:val="0"/>
                <w:sz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633" w:type="dxa"/>
            <w:gridSpan w:val="3"/>
            <w:tcBorders>
              <w:top w:val="single" w:color="auto" w:sz="6" w:space="0"/>
              <w:left w:val="single" w:color="auto" w:sz="6" w:space="0"/>
              <w:bottom w:val="single" w:color="auto" w:sz="6" w:space="0"/>
              <w:right w:val="single" w:color="auto" w:sz="6" w:space="0"/>
            </w:tcBorders>
            <w:vAlign w:val="center"/>
          </w:tcPr>
          <w:p>
            <w:pPr>
              <w:pStyle w:val="5"/>
              <w:spacing w:line="300" w:lineRule="exact"/>
              <w:ind w:firstLine="0"/>
              <w:rPr>
                <w:spacing w:val="0"/>
                <w:sz w:val="21"/>
              </w:rPr>
            </w:pPr>
            <w:r>
              <w:rPr>
                <w:rFonts w:hint="eastAsia"/>
                <w:spacing w:val="0"/>
                <w:sz w:val="21"/>
              </w:rPr>
              <w:t>注</w:t>
            </w:r>
            <w:r>
              <w:rPr>
                <w:spacing w:val="0"/>
                <w:sz w:val="21"/>
              </w:rPr>
              <w:t>1</w:t>
            </w:r>
            <w:r>
              <w:rPr>
                <w:rFonts w:hint="eastAsia"/>
                <w:spacing w:val="0"/>
                <w:sz w:val="21"/>
              </w:rPr>
              <w:t>：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5"/>
              <w:spacing w:line="300" w:lineRule="exact"/>
              <w:ind w:firstLine="0"/>
              <w:rPr>
                <w:spacing w:val="0"/>
                <w:sz w:val="21"/>
              </w:rPr>
            </w:pPr>
            <w:r>
              <w:rPr>
                <w:rFonts w:hint="eastAsia"/>
                <w:spacing w:val="0"/>
                <w:sz w:val="21"/>
              </w:rPr>
              <w:t>注</w:t>
            </w:r>
            <w:r>
              <w:rPr>
                <w:spacing w:val="0"/>
                <w:sz w:val="21"/>
              </w:rPr>
              <w:t>2</w:t>
            </w:r>
            <w:r>
              <w:rPr>
                <w:rFonts w:hint="eastAsia"/>
                <w:spacing w:val="0"/>
                <w:sz w:val="21"/>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5"/>
              <w:spacing w:line="300" w:lineRule="exact"/>
              <w:ind w:firstLine="0"/>
              <w:rPr>
                <w:spacing w:val="0"/>
                <w:sz w:val="21"/>
              </w:rPr>
            </w:pPr>
            <w:r>
              <w:rPr>
                <w:rFonts w:hint="eastAsia"/>
                <w:spacing w:val="0"/>
                <w:sz w:val="21"/>
              </w:rPr>
              <w:t>注</w:t>
            </w:r>
            <w:r>
              <w:rPr>
                <w:spacing w:val="0"/>
                <w:sz w:val="21"/>
              </w:rPr>
              <w:t>3</w:t>
            </w:r>
            <w:r>
              <w:rPr>
                <w:rFonts w:hint="eastAsia"/>
                <w:spacing w:val="0"/>
                <w:sz w:val="21"/>
              </w:rPr>
              <w:t>：厂区存在堆积物（露天堆放的原料、燃料、废渣等以及垃圾堆放场）、降尘污染的，应将初期雨污水纳入废水排放量，相应的主要污染物纳入水污染当量计算。</w:t>
            </w:r>
          </w:p>
          <w:p>
            <w:pPr>
              <w:pStyle w:val="5"/>
              <w:spacing w:line="300" w:lineRule="exact"/>
              <w:ind w:firstLine="0"/>
              <w:rPr>
                <w:spacing w:val="0"/>
                <w:sz w:val="21"/>
              </w:rPr>
            </w:pPr>
            <w:r>
              <w:rPr>
                <w:rFonts w:hint="eastAsia"/>
                <w:spacing w:val="0"/>
                <w:sz w:val="21"/>
              </w:rPr>
              <w:t>注</w:t>
            </w:r>
            <w:r>
              <w:rPr>
                <w:spacing w:val="0"/>
                <w:sz w:val="21"/>
              </w:rPr>
              <w:t>4</w:t>
            </w:r>
            <w:r>
              <w:rPr>
                <w:rFonts w:hint="eastAsia"/>
                <w:spacing w:val="0"/>
                <w:sz w:val="21"/>
              </w:rPr>
              <w:t>：建设项目直接排放第一类污染物的，其评价等级为一级；建设项目直接排放的污染物为受纳水体超标因子的，评价等级不低于二级。</w:t>
            </w:r>
          </w:p>
          <w:p>
            <w:pPr>
              <w:pStyle w:val="5"/>
              <w:spacing w:line="300" w:lineRule="exact"/>
              <w:ind w:firstLine="0"/>
              <w:rPr>
                <w:spacing w:val="0"/>
                <w:sz w:val="21"/>
              </w:rPr>
            </w:pPr>
            <w:r>
              <w:rPr>
                <w:rFonts w:hint="eastAsia"/>
                <w:spacing w:val="0"/>
                <w:sz w:val="21"/>
              </w:rPr>
              <w:t>注</w:t>
            </w:r>
            <w:r>
              <w:rPr>
                <w:spacing w:val="0"/>
                <w:sz w:val="21"/>
              </w:rPr>
              <w:t>5</w:t>
            </w:r>
            <w:r>
              <w:rPr>
                <w:rFonts w:hint="eastAsia"/>
                <w:spacing w:val="0"/>
                <w:sz w:val="21"/>
              </w:rPr>
              <w:t>：直接排放受纳水体影响范围涉及饮用水水源保护区、饮用水取水口、重点保护与珍稀水生生物的栖息地、重要水生生物的自然产卵场等保护目标时，评价等级不低于二级。</w:t>
            </w:r>
          </w:p>
          <w:p>
            <w:pPr>
              <w:pStyle w:val="5"/>
              <w:spacing w:line="300" w:lineRule="exact"/>
              <w:ind w:firstLine="0"/>
              <w:rPr>
                <w:spacing w:val="0"/>
                <w:sz w:val="21"/>
              </w:rPr>
            </w:pPr>
            <w:r>
              <w:rPr>
                <w:rFonts w:hint="eastAsia"/>
                <w:spacing w:val="0"/>
                <w:sz w:val="21"/>
              </w:rPr>
              <w:t>注</w:t>
            </w:r>
            <w:r>
              <w:rPr>
                <w:spacing w:val="0"/>
                <w:sz w:val="21"/>
              </w:rPr>
              <w:t>6</w:t>
            </w:r>
            <w:r>
              <w:rPr>
                <w:rFonts w:hint="eastAsia"/>
                <w:spacing w:val="0"/>
                <w:sz w:val="21"/>
              </w:rPr>
              <w:t>：建设项目向河流、湖库排放温排水引起受纳水体水温变化超过水环境质量标准要求，且评价范围有水温敏感目标时，评价等级为一级。</w:t>
            </w:r>
          </w:p>
          <w:p>
            <w:pPr>
              <w:pStyle w:val="5"/>
              <w:spacing w:line="300" w:lineRule="exact"/>
              <w:ind w:firstLine="0"/>
              <w:rPr>
                <w:spacing w:val="0"/>
                <w:sz w:val="21"/>
              </w:rPr>
            </w:pPr>
            <w:r>
              <w:rPr>
                <w:rFonts w:hint="eastAsia"/>
                <w:spacing w:val="0"/>
                <w:sz w:val="21"/>
              </w:rPr>
              <w:t>注</w:t>
            </w:r>
            <w:r>
              <w:rPr>
                <w:spacing w:val="0"/>
                <w:sz w:val="21"/>
              </w:rPr>
              <w:t>7</w:t>
            </w:r>
            <w:r>
              <w:rPr>
                <w:rFonts w:hint="eastAsia"/>
                <w:spacing w:val="0"/>
                <w:sz w:val="21"/>
              </w:rPr>
              <w:t>：建设项目利用海水作为调节温度介质，排水量≥</w:t>
            </w:r>
            <w:r>
              <w:rPr>
                <w:spacing w:val="0"/>
                <w:sz w:val="21"/>
              </w:rPr>
              <w:t>500</w:t>
            </w:r>
            <w:r>
              <w:rPr>
                <w:rFonts w:hint="eastAsia"/>
                <w:spacing w:val="0"/>
                <w:sz w:val="21"/>
              </w:rPr>
              <w:t>万</w:t>
            </w:r>
            <w:r>
              <w:rPr>
                <w:spacing w:val="0"/>
                <w:sz w:val="21"/>
              </w:rPr>
              <w:t>m</w:t>
            </w:r>
            <w:r>
              <w:rPr>
                <w:spacing w:val="0"/>
                <w:sz w:val="21"/>
                <w:vertAlign w:val="superscript"/>
              </w:rPr>
              <w:t>3</w:t>
            </w:r>
            <w:r>
              <w:rPr>
                <w:spacing w:val="0"/>
                <w:sz w:val="21"/>
              </w:rPr>
              <w:t>/d</w:t>
            </w:r>
            <w:r>
              <w:rPr>
                <w:rFonts w:hint="eastAsia"/>
                <w:spacing w:val="0"/>
                <w:sz w:val="21"/>
              </w:rPr>
              <w:t>，评价等级为一级；排水量</w:t>
            </w:r>
            <w:r>
              <w:rPr>
                <w:spacing w:val="0"/>
                <w:sz w:val="21"/>
              </w:rPr>
              <w:t>&lt;500</w:t>
            </w:r>
            <w:r>
              <w:rPr>
                <w:rFonts w:hint="eastAsia"/>
                <w:spacing w:val="0"/>
                <w:sz w:val="21"/>
              </w:rPr>
              <w:t>万</w:t>
            </w:r>
            <w:r>
              <w:rPr>
                <w:spacing w:val="0"/>
                <w:sz w:val="21"/>
              </w:rPr>
              <w:t>m</w:t>
            </w:r>
            <w:r>
              <w:rPr>
                <w:spacing w:val="0"/>
                <w:sz w:val="21"/>
                <w:vertAlign w:val="superscript"/>
              </w:rPr>
              <w:t>3</w:t>
            </w:r>
            <w:r>
              <w:rPr>
                <w:spacing w:val="0"/>
                <w:sz w:val="21"/>
              </w:rPr>
              <w:t>/d</w:t>
            </w:r>
            <w:r>
              <w:rPr>
                <w:rFonts w:hint="eastAsia"/>
                <w:spacing w:val="0"/>
                <w:sz w:val="21"/>
              </w:rPr>
              <w:t>，评价等级为二级。</w:t>
            </w:r>
          </w:p>
          <w:p>
            <w:pPr>
              <w:pStyle w:val="5"/>
              <w:spacing w:line="300" w:lineRule="exact"/>
              <w:ind w:firstLine="0"/>
              <w:rPr>
                <w:spacing w:val="0"/>
                <w:sz w:val="21"/>
              </w:rPr>
            </w:pPr>
            <w:r>
              <w:rPr>
                <w:rFonts w:hint="eastAsia"/>
                <w:spacing w:val="0"/>
                <w:sz w:val="21"/>
              </w:rPr>
              <w:t>注</w:t>
            </w:r>
            <w:r>
              <w:rPr>
                <w:spacing w:val="0"/>
                <w:sz w:val="21"/>
              </w:rPr>
              <w:t>8</w:t>
            </w:r>
            <w:r>
              <w:rPr>
                <w:rFonts w:hint="eastAsia"/>
                <w:spacing w:val="0"/>
                <w:sz w:val="21"/>
              </w:rPr>
              <w:t>：仅涉及清净下水排放的，如其排放水质满足受纳水体水环境质量标准要求的，评价等级为三级</w:t>
            </w:r>
            <w:r>
              <w:rPr>
                <w:spacing w:val="0"/>
                <w:sz w:val="21"/>
              </w:rPr>
              <w:t>A</w:t>
            </w:r>
            <w:r>
              <w:rPr>
                <w:rFonts w:hint="eastAsia"/>
                <w:spacing w:val="0"/>
                <w:sz w:val="21"/>
              </w:rPr>
              <w:t>。</w:t>
            </w:r>
          </w:p>
          <w:p>
            <w:pPr>
              <w:pStyle w:val="5"/>
              <w:spacing w:line="300" w:lineRule="exact"/>
              <w:ind w:firstLine="0"/>
              <w:rPr>
                <w:spacing w:val="0"/>
                <w:sz w:val="21"/>
              </w:rPr>
            </w:pPr>
            <w:r>
              <w:rPr>
                <w:rFonts w:hint="eastAsia"/>
                <w:spacing w:val="0"/>
                <w:sz w:val="21"/>
              </w:rPr>
              <w:t>注</w:t>
            </w:r>
            <w:r>
              <w:rPr>
                <w:spacing w:val="0"/>
                <w:sz w:val="21"/>
              </w:rPr>
              <w:t>9</w:t>
            </w:r>
            <w:r>
              <w:rPr>
                <w:rFonts w:hint="eastAsia"/>
                <w:spacing w:val="0"/>
                <w:sz w:val="21"/>
              </w:rPr>
              <w:t>：依托现有排放口，且对外环境未新增排放污染物的直接排放建设项目，评价等级参照间接排放，定为三级</w:t>
            </w:r>
            <w:r>
              <w:rPr>
                <w:spacing w:val="0"/>
                <w:sz w:val="21"/>
              </w:rPr>
              <w:t>B</w:t>
            </w:r>
            <w:r>
              <w:rPr>
                <w:rFonts w:hint="eastAsia"/>
                <w:spacing w:val="0"/>
                <w:sz w:val="21"/>
              </w:rPr>
              <w:t>。</w:t>
            </w:r>
          </w:p>
          <w:p>
            <w:pPr>
              <w:pStyle w:val="5"/>
              <w:spacing w:line="300" w:lineRule="exact"/>
              <w:ind w:firstLine="0"/>
              <w:rPr>
                <w:spacing w:val="0"/>
                <w:sz w:val="21"/>
              </w:rPr>
            </w:pPr>
            <w:r>
              <w:rPr>
                <w:rFonts w:hint="eastAsia"/>
                <w:spacing w:val="0"/>
                <w:sz w:val="21"/>
              </w:rPr>
              <w:t>注</w:t>
            </w:r>
            <w:r>
              <w:rPr>
                <w:spacing w:val="0"/>
                <w:sz w:val="21"/>
              </w:rPr>
              <w:t>10</w:t>
            </w:r>
            <w:r>
              <w:rPr>
                <w:rFonts w:hint="eastAsia"/>
                <w:spacing w:val="0"/>
                <w:sz w:val="21"/>
              </w:rPr>
              <w:t>：建设项目生产工艺中有废水产生，但作为回水利用，不排放到外环境的，按三级</w:t>
            </w:r>
            <w:r>
              <w:rPr>
                <w:spacing w:val="0"/>
                <w:sz w:val="21"/>
              </w:rPr>
              <w:t>B</w:t>
            </w:r>
            <w:r>
              <w:rPr>
                <w:rFonts w:hint="eastAsia"/>
                <w:spacing w:val="0"/>
                <w:sz w:val="21"/>
              </w:rPr>
              <w:t>评价。</w:t>
            </w:r>
          </w:p>
        </w:tc>
      </w:tr>
    </w:tbl>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变更后项目生活污水经处理后排入大榄坪污水处理厂处理；近期，生产废水经处理达标后依托大榄坪污水处理厂现有深海排放管道直接排放，生产废水主要污染物包括化学需氧量、氨氮、硫酸盐、钴等，不涉及第一类水污染物，生产废水排放量约78.95</w:t>
      </w:r>
      <w:r>
        <w:rPr>
          <w:rFonts w:ascii="Arial" w:hAnsi="Arial" w:cs="Arial"/>
          <w:sz w:val="24"/>
          <w:szCs w:val="24"/>
        </w:rPr>
        <w:t>m</w:t>
      </w:r>
      <w:r>
        <w:rPr>
          <w:rFonts w:ascii="Arial" w:hAnsi="Arial" w:cs="Arial"/>
          <w:sz w:val="24"/>
          <w:szCs w:val="24"/>
          <w:vertAlign w:val="superscript"/>
        </w:rPr>
        <w:t>3</w:t>
      </w:r>
      <w:r>
        <w:rPr>
          <w:rFonts w:ascii="Arial" w:hAnsi="Arial" w:cs="Arial"/>
          <w:sz w:val="24"/>
          <w:szCs w:val="24"/>
        </w:rPr>
        <w:t>/d</w:t>
      </w:r>
      <w:r>
        <w:rPr>
          <w:rFonts w:hint="eastAsia" w:ascii="Arial" w:hAnsi="Arial" w:eastAsia="宋体" w:cs="Arial"/>
          <w:spacing w:val="10"/>
          <w:sz w:val="24"/>
          <w:szCs w:val="24"/>
        </w:rPr>
        <w:t>，水污染物当量为392.325；远期，</w:t>
      </w:r>
      <w:r>
        <w:rPr>
          <w:rFonts w:hint="eastAsia" w:ascii="Arial" w:hAnsi="Arial" w:eastAsia="宋体" w:cs="Arial"/>
          <w:spacing w:val="10"/>
          <w:kern w:val="0"/>
          <w:sz w:val="24"/>
          <w:szCs w:val="24"/>
        </w:rPr>
        <w:t>待大榄坪污水处理厂升级改造完成后，项目</w:t>
      </w:r>
      <w:r>
        <w:rPr>
          <w:rFonts w:hint="eastAsia" w:ascii="Arial" w:hAnsi="Arial" w:eastAsia="宋体" w:cs="Arial"/>
          <w:spacing w:val="10"/>
          <w:sz w:val="24"/>
          <w:szCs w:val="24"/>
        </w:rPr>
        <w:t>生产废水经处理达标后排入</w:t>
      </w:r>
      <w:r>
        <w:rPr>
          <w:rFonts w:hint="eastAsia" w:ascii="Arial" w:hAnsi="Arial" w:eastAsia="宋体" w:cs="Arial"/>
          <w:spacing w:val="10"/>
          <w:kern w:val="0"/>
          <w:sz w:val="24"/>
          <w:szCs w:val="24"/>
        </w:rPr>
        <w:t>大榄坪污水处理厂处理。</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根据表1-22，近期项目生产废水排放量约78.95</w:t>
      </w:r>
      <w:r>
        <w:rPr>
          <w:rFonts w:ascii="Arial" w:hAnsi="Arial" w:cs="Arial"/>
          <w:sz w:val="24"/>
          <w:szCs w:val="24"/>
        </w:rPr>
        <w:t>m</w:t>
      </w:r>
      <w:r>
        <w:rPr>
          <w:rFonts w:ascii="Arial" w:hAnsi="Arial" w:cs="Arial"/>
          <w:sz w:val="24"/>
          <w:szCs w:val="24"/>
          <w:vertAlign w:val="superscript"/>
        </w:rPr>
        <w:t>3</w:t>
      </w:r>
      <w:r>
        <w:rPr>
          <w:rFonts w:ascii="Arial" w:hAnsi="Arial" w:cs="Arial"/>
          <w:sz w:val="24"/>
          <w:szCs w:val="24"/>
        </w:rPr>
        <w:t>/d</w:t>
      </w:r>
      <w:r>
        <w:rPr>
          <w:rFonts w:hint="eastAsia" w:ascii="Arial" w:hAnsi="Arial" w:eastAsia="宋体" w:cs="Arial"/>
          <w:spacing w:val="10"/>
          <w:sz w:val="24"/>
          <w:szCs w:val="24"/>
        </w:rPr>
        <w:t>，水污染物当量为392.325，判定项目地表水环境影响评价等级为三级A；远期项目废水间接排放，地表水环境影响评价等级为三级B。从严执行，项目地表水环境影响评价等级为三级A。</w:t>
      </w:r>
    </w:p>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地下水环境影响评价等级</w:t>
      </w:r>
    </w:p>
    <w:p>
      <w:pPr>
        <w:spacing w:line="500" w:lineRule="exact"/>
        <w:ind w:firstLine="476"/>
        <w:rPr>
          <w:rFonts w:ascii="Arial" w:hAnsi="Arial" w:eastAsia="宋体" w:cs="Arial"/>
          <w:spacing w:val="10"/>
          <w:sz w:val="24"/>
          <w:szCs w:val="24"/>
        </w:rPr>
      </w:pPr>
      <w:r>
        <w:rPr>
          <w:rFonts w:ascii="Arial" w:hAnsi="Arial" w:eastAsia="宋体" w:cs="Arial"/>
          <w:spacing w:val="10"/>
          <w:kern w:val="0"/>
          <w:sz w:val="24"/>
          <w:szCs w:val="24"/>
        </w:rPr>
        <w:t>根据《环境影响评价技术导则 地下水环境》（HJ610-2016）附录A的规定，项目</w:t>
      </w:r>
      <w:r>
        <w:rPr>
          <w:rFonts w:hint="eastAsia" w:ascii="Arial" w:hAnsi="Arial" w:eastAsia="宋体" w:cs="Arial"/>
          <w:spacing w:val="10"/>
          <w:kern w:val="0"/>
          <w:sz w:val="24"/>
          <w:szCs w:val="24"/>
        </w:rPr>
        <w:t>涉及</w:t>
      </w:r>
      <w:r>
        <w:rPr>
          <w:rFonts w:ascii="Arial" w:hAnsi="Arial" w:eastAsia="宋体" w:cs="Arial"/>
          <w:spacing w:val="10"/>
          <w:kern w:val="0"/>
          <w:sz w:val="24"/>
          <w:szCs w:val="24"/>
        </w:rPr>
        <w:t>附录A的化工</w:t>
      </w:r>
      <w:r>
        <w:rPr>
          <w:rFonts w:hint="eastAsia" w:ascii="Arial" w:hAnsi="Arial" w:eastAsia="宋体" w:cs="Arial"/>
          <w:spacing w:val="10"/>
          <w:kern w:val="0"/>
          <w:sz w:val="24"/>
          <w:szCs w:val="24"/>
        </w:rPr>
        <w:t>——基本化学原料制造</w:t>
      </w:r>
      <w:r>
        <w:rPr>
          <w:rFonts w:ascii="Arial" w:hAnsi="Arial" w:eastAsia="宋体" w:cs="Arial"/>
          <w:spacing w:val="10"/>
          <w:kern w:val="0"/>
          <w:sz w:val="24"/>
          <w:szCs w:val="24"/>
        </w:rPr>
        <w:t>，属于</w:t>
      </w:r>
      <w:r>
        <w:rPr>
          <w:rFonts w:hint="eastAsia" w:ascii="宋体" w:hAnsi="宋体" w:eastAsia="宋体" w:cs="宋体"/>
          <w:spacing w:val="10"/>
          <w:kern w:val="0"/>
          <w:sz w:val="24"/>
          <w:szCs w:val="24"/>
        </w:rPr>
        <w:t>Ⅰ</w:t>
      </w:r>
      <w:r>
        <w:rPr>
          <w:rFonts w:ascii="Arial" w:hAnsi="Arial" w:eastAsia="宋体" w:cs="Arial"/>
          <w:spacing w:val="10"/>
          <w:kern w:val="0"/>
          <w:sz w:val="24"/>
          <w:szCs w:val="24"/>
        </w:rPr>
        <w:t>类项目；项目区周边分布的村屯均已通市政自来水，地下水环境敏感程度属不敏感。根据HJ610-2016，按照地下水等级划分依据，确定项目地下水评价等级为二级，详见表1-2</w:t>
      </w:r>
      <w:r>
        <w:rPr>
          <w:rFonts w:hint="eastAsia" w:ascii="Arial" w:hAnsi="Arial" w:eastAsia="宋体" w:cs="Arial"/>
          <w:spacing w:val="10"/>
          <w:kern w:val="0"/>
          <w:sz w:val="24"/>
          <w:szCs w:val="24"/>
        </w:rPr>
        <w:t>3</w:t>
      </w:r>
      <w:r>
        <w:rPr>
          <w:rFonts w:ascii="Arial" w:hAnsi="Arial" w:eastAsia="宋体" w:cs="Arial"/>
          <w:spacing w:val="10"/>
          <w:kern w:val="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地下水评价工作等级分级表</w:t>
      </w:r>
    </w:p>
    <w:tbl>
      <w:tblPr>
        <w:tblStyle w:val="88"/>
        <w:tblW w:w="8993"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58"/>
        <w:gridCol w:w="2024"/>
        <w:gridCol w:w="2191"/>
        <w:gridCol w:w="25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2258"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 xml:space="preserve">           项目类别</w:t>
            </w:r>
          </w:p>
          <w:p>
            <w:pPr>
              <w:spacing w:line="240" w:lineRule="exact"/>
              <w:rPr>
                <w:rFonts w:ascii="Arial" w:hAnsi="Arial" w:eastAsia="宋体" w:cs="Arial"/>
                <w:sz w:val="21"/>
                <w:szCs w:val="24"/>
              </w:rPr>
            </w:pPr>
            <w:r>
              <w:rPr>
                <w:rFonts w:ascii="Arial" w:hAnsi="Arial" w:eastAsia="宋体" w:cs="Arial"/>
                <w:sz w:val="21"/>
                <w:szCs w:val="24"/>
              </w:rPr>
              <w:t>环境敏感程度</w:t>
            </w:r>
          </w:p>
        </w:tc>
        <w:tc>
          <w:tcPr>
            <w:tcW w:w="202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I类项目</w:t>
            </w:r>
          </w:p>
        </w:tc>
        <w:tc>
          <w:tcPr>
            <w:tcW w:w="2191"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II类项目</w:t>
            </w:r>
          </w:p>
        </w:tc>
        <w:tc>
          <w:tcPr>
            <w:tcW w:w="2520"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III类项目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258"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敏感</w:t>
            </w:r>
          </w:p>
        </w:tc>
        <w:tc>
          <w:tcPr>
            <w:tcW w:w="2024"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191"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520"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258"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较敏感</w:t>
            </w:r>
          </w:p>
        </w:tc>
        <w:tc>
          <w:tcPr>
            <w:tcW w:w="2024"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191"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二</w:t>
            </w:r>
          </w:p>
        </w:tc>
        <w:tc>
          <w:tcPr>
            <w:tcW w:w="2520"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258"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不敏感</w:t>
            </w:r>
          </w:p>
        </w:tc>
        <w:tc>
          <w:tcPr>
            <w:tcW w:w="2024" w:type="dxa"/>
            <w:shd w:val="clear" w:color="auto" w:fill="EEECE1" w:themeFill="background2"/>
            <w:vAlign w:val="center"/>
          </w:tcPr>
          <w:p>
            <w:pPr>
              <w:spacing w:line="240" w:lineRule="exact"/>
              <w:jc w:val="center"/>
              <w:rPr>
                <w:rFonts w:ascii="Arial" w:hAnsi="Arial" w:eastAsia="宋体" w:cs="Arial"/>
                <w:sz w:val="21"/>
                <w:szCs w:val="24"/>
              </w:rPr>
            </w:pPr>
            <w:r>
              <w:rPr>
                <w:rFonts w:ascii="Arial" w:hAnsi="Arial" w:eastAsia="宋体" w:cs="Arial"/>
                <w:sz w:val="21"/>
                <w:szCs w:val="24"/>
              </w:rPr>
              <w:t>二</w:t>
            </w:r>
          </w:p>
        </w:tc>
        <w:tc>
          <w:tcPr>
            <w:tcW w:w="2191"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三</w:t>
            </w:r>
          </w:p>
        </w:tc>
        <w:tc>
          <w:tcPr>
            <w:tcW w:w="2520"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三</w:t>
            </w:r>
          </w:p>
        </w:tc>
      </w:tr>
    </w:tbl>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声环境影响评价等级</w:t>
      </w:r>
    </w:p>
    <w:p>
      <w:pPr>
        <w:spacing w:line="500" w:lineRule="exact"/>
        <w:ind w:firstLine="490" w:firstLineChars="200"/>
        <w:rPr>
          <w:rFonts w:ascii="Arial" w:hAnsi="Arial" w:eastAsia="宋体" w:cs="Arial"/>
          <w:spacing w:val="10"/>
          <w:sz w:val="24"/>
          <w:szCs w:val="24"/>
        </w:rPr>
      </w:pPr>
      <w:r>
        <w:rPr>
          <w:rFonts w:ascii="Arial" w:hAnsi="Arial" w:eastAsia="宋体" w:cs="Arial"/>
          <w:snapToGrid w:val="0"/>
          <w:spacing w:val="10"/>
          <w:kern w:val="0"/>
          <w:sz w:val="24"/>
          <w:szCs w:val="24"/>
        </w:rPr>
        <w:t>《环境影响评价技术导则 声环境》（HJ2.4-2021）中噪声评价工作等级划分的依据包括声环境功能区划、声环境保护目标噪声级增量、受噪声影响人口数量。</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项目所在地声环境功能区为3类区，项目建成前后</w:t>
      </w:r>
      <w:r>
        <w:rPr>
          <w:rFonts w:ascii="Arial" w:hAnsi="Arial" w:eastAsia="宋体" w:cs="Arial"/>
          <w:snapToGrid w:val="0"/>
          <w:spacing w:val="10"/>
          <w:kern w:val="0"/>
          <w:sz w:val="24"/>
          <w:szCs w:val="24"/>
        </w:rPr>
        <w:t>声环境保护目标</w:t>
      </w:r>
      <w:r>
        <w:rPr>
          <w:rFonts w:ascii="Arial" w:hAnsi="Arial" w:eastAsia="宋体" w:cs="Arial"/>
          <w:spacing w:val="10"/>
          <w:sz w:val="24"/>
          <w:szCs w:val="24"/>
        </w:rPr>
        <w:t>噪声级增加量≤3dB（A）、受影响人口变化不大。根据HJ2.4-2021相关规定，项目的声环境影响评价工作等级定为三级，详见表1-2</w:t>
      </w:r>
      <w:r>
        <w:rPr>
          <w:rFonts w:hint="eastAsia" w:ascii="Arial" w:hAnsi="Arial" w:eastAsia="宋体" w:cs="Arial"/>
          <w:spacing w:val="10"/>
          <w:sz w:val="24"/>
          <w:szCs w:val="24"/>
        </w:rPr>
        <w:t>4</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声环境影响评价工作等级划分</w:t>
      </w:r>
    </w:p>
    <w:tbl>
      <w:tblPr>
        <w:tblStyle w:val="88"/>
        <w:tblW w:w="8993"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93"/>
        <w:gridCol w:w="5475"/>
        <w:gridCol w:w="122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划分要素</w:t>
            </w:r>
          </w:p>
        </w:tc>
        <w:tc>
          <w:tcPr>
            <w:tcW w:w="547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划分依据</w:t>
            </w:r>
          </w:p>
        </w:tc>
        <w:tc>
          <w:tcPr>
            <w:tcW w:w="122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评价等级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声环境功能区划</w:t>
            </w:r>
          </w:p>
        </w:tc>
        <w:tc>
          <w:tcPr>
            <w:tcW w:w="547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厂区位于《声环境质量标准》（GB3096-2008）3类区</w:t>
            </w:r>
          </w:p>
        </w:tc>
        <w:tc>
          <w:tcPr>
            <w:tcW w:w="122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三级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声环境保护目标噪声级增量</w:t>
            </w:r>
          </w:p>
        </w:tc>
        <w:tc>
          <w:tcPr>
            <w:tcW w:w="547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小于3dB（A）</w:t>
            </w:r>
          </w:p>
        </w:tc>
        <w:tc>
          <w:tcPr>
            <w:tcW w:w="122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三级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93"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受噪声影响人口数量</w:t>
            </w:r>
          </w:p>
        </w:tc>
        <w:tc>
          <w:tcPr>
            <w:tcW w:w="547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变化不大</w:t>
            </w:r>
          </w:p>
        </w:tc>
        <w:tc>
          <w:tcPr>
            <w:tcW w:w="1225" w:type="dxa"/>
            <w:vAlign w:val="center"/>
          </w:tcPr>
          <w:p>
            <w:pPr>
              <w:spacing w:line="240" w:lineRule="exact"/>
              <w:jc w:val="center"/>
              <w:rPr>
                <w:rFonts w:ascii="Arial" w:hAnsi="Arial" w:eastAsia="宋体" w:cs="Arial"/>
                <w:sz w:val="21"/>
                <w:szCs w:val="24"/>
              </w:rPr>
            </w:pPr>
            <w:r>
              <w:rPr>
                <w:rFonts w:ascii="Arial" w:hAnsi="Arial" w:eastAsia="宋体" w:cs="Arial"/>
                <w:sz w:val="21"/>
                <w:szCs w:val="24"/>
              </w:rPr>
              <w:t>三级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93"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声评价等级</w:t>
            </w:r>
          </w:p>
        </w:tc>
        <w:tc>
          <w:tcPr>
            <w:tcW w:w="5475" w:type="dxa"/>
            <w:shd w:val="clear" w:color="auto" w:fill="auto"/>
            <w:vAlign w:val="center"/>
          </w:tcPr>
          <w:p>
            <w:pPr>
              <w:spacing w:line="240" w:lineRule="exact"/>
              <w:jc w:val="center"/>
              <w:rPr>
                <w:rFonts w:ascii="Arial" w:hAnsi="Arial" w:eastAsia="宋体" w:cs="Arial"/>
                <w:sz w:val="21"/>
                <w:szCs w:val="24"/>
              </w:rPr>
            </w:pPr>
            <w:r>
              <w:rPr>
                <w:rFonts w:ascii="Arial" w:hAnsi="Arial" w:eastAsia="宋体" w:cs="Arial"/>
                <w:sz w:val="21"/>
                <w:szCs w:val="24"/>
              </w:rPr>
              <w:t>/</w:t>
            </w:r>
          </w:p>
        </w:tc>
        <w:tc>
          <w:tcPr>
            <w:tcW w:w="1225" w:type="dxa"/>
            <w:shd w:val="clear" w:color="auto" w:fill="E6E6E6"/>
            <w:vAlign w:val="center"/>
          </w:tcPr>
          <w:p>
            <w:pPr>
              <w:spacing w:line="240" w:lineRule="exact"/>
              <w:jc w:val="center"/>
              <w:rPr>
                <w:rFonts w:ascii="Arial" w:hAnsi="Arial" w:eastAsia="宋体" w:cs="Arial"/>
                <w:sz w:val="21"/>
                <w:szCs w:val="24"/>
              </w:rPr>
            </w:pPr>
            <w:r>
              <w:rPr>
                <w:rFonts w:ascii="Arial" w:hAnsi="Arial" w:eastAsia="宋体" w:cs="Arial"/>
                <w:sz w:val="21"/>
                <w:szCs w:val="24"/>
              </w:rPr>
              <w:t>三级</w:t>
            </w:r>
          </w:p>
        </w:tc>
      </w:tr>
    </w:tbl>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环境风险评价等级</w:t>
      </w:r>
    </w:p>
    <w:p>
      <w:pPr>
        <w:spacing w:line="500" w:lineRule="exact"/>
        <w:ind w:firstLine="490" w:firstLineChars="200"/>
        <w:rPr>
          <w:rFonts w:ascii="Arial" w:hAnsi="Arial" w:eastAsia="宋体" w:cs="Arial"/>
          <w:snapToGrid w:val="0"/>
          <w:spacing w:val="10"/>
          <w:kern w:val="0"/>
          <w:sz w:val="24"/>
          <w:szCs w:val="24"/>
        </w:rPr>
      </w:pPr>
      <w:r>
        <w:rPr>
          <w:rFonts w:ascii="Arial" w:hAnsi="Arial" w:eastAsia="宋体" w:cs="Arial"/>
          <w:snapToGrid w:val="0"/>
          <w:spacing w:val="10"/>
          <w:kern w:val="0"/>
          <w:sz w:val="24"/>
          <w:szCs w:val="24"/>
        </w:rPr>
        <w:t>依据《建设项目环境风险评价技术导则》（HJ169-2018），建设项目环境风险评价工作级别按表1-</w:t>
      </w:r>
      <w:r>
        <w:rPr>
          <w:rFonts w:hint="eastAsia" w:ascii="Arial" w:hAnsi="Arial" w:eastAsia="宋体" w:cs="Arial"/>
          <w:snapToGrid w:val="0"/>
          <w:spacing w:val="10"/>
          <w:kern w:val="0"/>
          <w:sz w:val="24"/>
          <w:szCs w:val="24"/>
        </w:rPr>
        <w:t>25</w:t>
      </w:r>
      <w:r>
        <w:rPr>
          <w:rFonts w:ascii="Arial" w:hAnsi="Arial" w:eastAsia="宋体" w:cs="Arial"/>
          <w:snapToGrid w:val="0"/>
          <w:spacing w:val="10"/>
          <w:kern w:val="0"/>
          <w:sz w:val="24"/>
          <w:szCs w:val="24"/>
        </w:rPr>
        <w:t>进行划分。</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风险评价工作等级划分表</w:t>
      </w:r>
    </w:p>
    <w:tbl>
      <w:tblPr>
        <w:tblStyle w:val="88"/>
        <w:tblW w:w="899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28"/>
        <w:gridCol w:w="1691"/>
        <w:gridCol w:w="1691"/>
        <w:gridCol w:w="1691"/>
        <w:gridCol w:w="169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22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环境风险潜势</w:t>
            </w:r>
          </w:p>
        </w:tc>
        <w:tc>
          <w:tcPr>
            <w:tcW w:w="1691" w:type="dxa"/>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rPr>
              <w:t>、</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22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评价工作等级</w:t>
            </w:r>
          </w:p>
        </w:tc>
        <w:tc>
          <w:tcPr>
            <w:tcW w:w="1691" w:type="dxa"/>
            <w:shd w:val="clear" w:color="auto" w:fill="D8D8D8" w:themeFill="background1" w:themeFillShade="D9"/>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w:t>
            </w:r>
          </w:p>
        </w:tc>
        <w:tc>
          <w:tcPr>
            <w:tcW w:w="16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w:t>
            </w:r>
          </w:p>
        </w:tc>
        <w:tc>
          <w:tcPr>
            <w:tcW w:w="169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w:t>
            </w:r>
          </w:p>
        </w:tc>
        <w:tc>
          <w:tcPr>
            <w:tcW w:w="1692" w:type="dxa"/>
            <w:vAlign w:val="center"/>
          </w:tcPr>
          <w:p>
            <w:pPr>
              <w:adjustRightInd w:val="0"/>
              <w:snapToGrid w:val="0"/>
              <w:jc w:val="center"/>
              <w:rPr>
                <w:rFonts w:ascii="Arial" w:hAnsi="Arial" w:eastAsia="宋体" w:cs="Arial"/>
                <w:spacing w:val="10"/>
                <w:sz w:val="21"/>
                <w:szCs w:val="21"/>
                <w:vertAlign w:val="superscript"/>
              </w:rPr>
            </w:pPr>
            <w:r>
              <w:rPr>
                <w:rFonts w:ascii="Arial" w:hAnsi="Arial" w:eastAsia="宋体" w:cs="Arial"/>
                <w:spacing w:val="10"/>
                <w:sz w:val="21"/>
                <w:szCs w:val="21"/>
              </w:rPr>
              <w:t>简单分析</w:t>
            </w:r>
            <w:r>
              <w:rPr>
                <w:rFonts w:ascii="Arial" w:hAnsi="Arial" w:eastAsia="宋体" w:cs="Arial"/>
                <w:spacing w:val="10"/>
                <w:sz w:val="21"/>
                <w:szCs w:val="21"/>
                <w:vertAlign w:val="superscript"/>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93" w:type="dxa"/>
            <w:gridSpan w:val="5"/>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a：是相对详细评价工作内容而言，在描述危险物质、环境影响途径、环境危害后果、风险防范措施等方面给出定性的说明。见附录A。</w:t>
            </w:r>
          </w:p>
        </w:tc>
      </w:tr>
    </w:tbl>
    <w:p>
      <w:pPr>
        <w:spacing w:line="500" w:lineRule="exact"/>
        <w:ind w:firstLine="490" w:firstLineChars="200"/>
        <w:rPr>
          <w:rFonts w:ascii="Arial" w:hAnsi="Arial" w:eastAsia="宋体" w:cs="Arial"/>
          <w:sz w:val="24"/>
          <w:szCs w:val="21"/>
        </w:rPr>
      </w:pPr>
      <w:r>
        <w:rPr>
          <w:rFonts w:ascii="Arial" w:hAnsi="Arial" w:eastAsia="宋体" w:cs="Arial"/>
          <w:spacing w:val="10"/>
          <w:sz w:val="24"/>
          <w:szCs w:val="24"/>
        </w:rPr>
        <w:t>根据对项目涉及的物质和工艺系统的危险性及其所在地的环境敏感程度分析（详见下文4.3章节），项目大气、地表水及地下水环境风险潜势分别为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ascii="Arial" w:hAnsi="Arial" w:eastAsia="宋体" w:cs="Arial"/>
          <w:spacing w:val="10"/>
          <w:sz w:val="24"/>
          <w:szCs w:val="24"/>
        </w:rPr>
        <w:t>。因此，项目环境风险潜势综合等级为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rPr>
        <w:t>级。对照表1-</w:t>
      </w:r>
      <w:r>
        <w:rPr>
          <w:rFonts w:hint="eastAsia" w:ascii="Arial" w:hAnsi="Arial" w:eastAsia="宋体" w:cs="Arial"/>
          <w:spacing w:val="10"/>
          <w:sz w:val="24"/>
          <w:szCs w:val="24"/>
        </w:rPr>
        <w:t>25</w:t>
      </w:r>
      <w:r>
        <w:rPr>
          <w:rFonts w:ascii="Arial" w:hAnsi="Arial" w:eastAsia="宋体" w:cs="Arial"/>
          <w:spacing w:val="10"/>
          <w:sz w:val="24"/>
          <w:szCs w:val="24"/>
        </w:rPr>
        <w:t>，将项目风险评价等级定为一级。</w:t>
      </w:r>
    </w:p>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土壤环境影响评价等级</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1、土壤环境影响评价项目类别识别</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根据《环境影响评价技术导则  土壤环境（试行）》（HJ964-2018），项目</w:t>
      </w:r>
      <w:r>
        <w:rPr>
          <w:rFonts w:hint="eastAsia" w:ascii="Arial" w:hAnsi="Arial" w:eastAsia="宋体" w:cs="Arial"/>
          <w:spacing w:val="10"/>
          <w:sz w:val="24"/>
          <w:szCs w:val="24"/>
        </w:rPr>
        <w:t>涉及化工</w:t>
      </w:r>
      <w:r>
        <w:rPr>
          <w:rFonts w:hint="eastAsia" w:ascii="Arial" w:hAnsi="Arial" w:eastAsia="宋体" w:cs="Arial"/>
          <w:spacing w:val="10"/>
          <w:kern w:val="0"/>
          <w:sz w:val="24"/>
          <w:szCs w:val="24"/>
        </w:rPr>
        <w:t>——化学原料和化学制品制造</w:t>
      </w:r>
      <w:r>
        <w:rPr>
          <w:rFonts w:ascii="Arial" w:hAnsi="Arial" w:eastAsia="宋体" w:cs="Arial"/>
          <w:spacing w:val="10"/>
          <w:sz w:val="24"/>
          <w:szCs w:val="24"/>
        </w:rPr>
        <w:t>，属于</w:t>
      </w:r>
      <w:r>
        <w:rPr>
          <w:rFonts w:hint="eastAsia" w:ascii="宋体" w:hAnsi="宋体" w:eastAsia="宋体" w:cs="宋体"/>
          <w:spacing w:val="10"/>
          <w:sz w:val="24"/>
          <w:szCs w:val="24"/>
        </w:rPr>
        <w:t>Ⅰ</w:t>
      </w:r>
      <w:r>
        <w:rPr>
          <w:rFonts w:ascii="Arial" w:hAnsi="Arial" w:eastAsia="宋体" w:cs="Arial"/>
          <w:spacing w:val="10"/>
          <w:sz w:val="24"/>
          <w:szCs w:val="24"/>
        </w:rPr>
        <w:t>类项目。</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2、占地规模及敏感程度</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项目为污染影响型项目，项目用地约</w:t>
      </w:r>
      <w:r>
        <w:rPr>
          <w:rFonts w:hint="eastAsia" w:ascii="Arial" w:hAnsi="Arial" w:eastAsia="宋体" w:cs="Arial"/>
          <w:spacing w:val="10"/>
          <w:sz w:val="24"/>
          <w:szCs w:val="24"/>
        </w:rPr>
        <w:t>0.55</w:t>
      </w:r>
      <w:r>
        <w:rPr>
          <w:rFonts w:ascii="Arial" w:hAnsi="Arial" w:eastAsia="宋体" w:cs="Arial"/>
          <w:spacing w:val="10"/>
          <w:sz w:val="24"/>
          <w:szCs w:val="24"/>
        </w:rPr>
        <w:t>hm</w:t>
      </w:r>
      <w:r>
        <w:rPr>
          <w:rFonts w:ascii="Arial" w:hAnsi="Arial" w:eastAsia="宋体" w:cs="Arial"/>
          <w:spacing w:val="10"/>
          <w:sz w:val="24"/>
          <w:szCs w:val="24"/>
          <w:vertAlign w:val="superscript"/>
        </w:rPr>
        <w:t>2</w:t>
      </w:r>
      <w:r>
        <w:rPr>
          <w:rFonts w:ascii="Arial" w:hAnsi="Arial" w:eastAsia="宋体" w:cs="Arial"/>
          <w:spacing w:val="10"/>
          <w:sz w:val="24"/>
          <w:szCs w:val="24"/>
        </w:rPr>
        <w:t>，厂区占地约105.6hm</w:t>
      </w:r>
      <w:r>
        <w:rPr>
          <w:rFonts w:ascii="Arial" w:hAnsi="Arial" w:eastAsia="宋体" w:cs="Arial"/>
          <w:spacing w:val="10"/>
          <w:sz w:val="24"/>
          <w:szCs w:val="24"/>
          <w:vertAlign w:val="superscript"/>
        </w:rPr>
        <w:t>2</w:t>
      </w:r>
      <w:r>
        <w:rPr>
          <w:rFonts w:ascii="Arial" w:hAnsi="Arial" w:eastAsia="宋体" w:cs="Arial"/>
          <w:spacing w:val="10"/>
          <w:sz w:val="24"/>
          <w:szCs w:val="24"/>
        </w:rPr>
        <w:t>，属大型规模；厂区周边1km范围内有学校、居民区、农田耕地。因此，将项目敏感程度划分为“敏感”，详见表1-</w:t>
      </w:r>
      <w:r>
        <w:rPr>
          <w:rFonts w:hint="eastAsia" w:ascii="Arial" w:hAnsi="Arial" w:eastAsia="宋体" w:cs="Arial"/>
          <w:spacing w:val="10"/>
          <w:sz w:val="24"/>
          <w:szCs w:val="24"/>
        </w:rPr>
        <w:t>26</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污染影响型敏感程度分级表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6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敏感程度</w:t>
            </w:r>
          </w:p>
        </w:tc>
        <w:tc>
          <w:tcPr>
            <w:tcW w:w="676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shd w:val="clear" w:color="auto" w:fill="D8D8D8" w:themeFill="background1" w:themeFillShade="D9"/>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w:t>
            </w:r>
          </w:p>
        </w:tc>
        <w:tc>
          <w:tcPr>
            <w:tcW w:w="6765" w:type="dxa"/>
            <w:shd w:val="clear" w:color="auto" w:fill="D8D8D8" w:themeFill="background1" w:themeFillShade="D9"/>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w:t>
            </w:r>
          </w:p>
        </w:tc>
        <w:tc>
          <w:tcPr>
            <w:tcW w:w="676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w:t>
            </w:r>
          </w:p>
        </w:tc>
        <w:tc>
          <w:tcPr>
            <w:tcW w:w="676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其他情况</w:t>
            </w:r>
          </w:p>
        </w:tc>
      </w:tr>
    </w:tbl>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3、评价等级划分</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综上分析，占地规模为大型、敏感程度为敏感，</w:t>
      </w:r>
      <w:r>
        <w:rPr>
          <w:rFonts w:hint="eastAsia" w:ascii="Arial" w:hAnsi="Arial" w:eastAsia="宋体" w:cs="Arial"/>
          <w:spacing w:val="10"/>
          <w:sz w:val="24"/>
          <w:szCs w:val="24"/>
        </w:rPr>
        <w:t>项目</w:t>
      </w:r>
      <w:r>
        <w:rPr>
          <w:rFonts w:ascii="Arial" w:hAnsi="Arial" w:eastAsia="宋体" w:cs="Arial"/>
          <w:spacing w:val="10"/>
          <w:sz w:val="24"/>
          <w:szCs w:val="24"/>
        </w:rPr>
        <w:t>为</w:t>
      </w:r>
      <w:r>
        <w:rPr>
          <w:rFonts w:hint="eastAsia" w:ascii="宋体" w:hAnsi="宋体" w:eastAsia="宋体" w:cs="宋体"/>
          <w:spacing w:val="10"/>
          <w:sz w:val="24"/>
          <w:szCs w:val="24"/>
        </w:rPr>
        <w:t>Ⅰ</w:t>
      </w:r>
      <w:r>
        <w:rPr>
          <w:rFonts w:ascii="Arial" w:hAnsi="Arial" w:eastAsia="宋体" w:cs="Arial"/>
          <w:spacing w:val="10"/>
          <w:sz w:val="24"/>
          <w:szCs w:val="24"/>
        </w:rPr>
        <w:t>类项目，根据土壤导则表4的划分依据，项目土壤环境影响评价工作等级为一级，详见表1-</w:t>
      </w:r>
      <w:r>
        <w:rPr>
          <w:rFonts w:hint="eastAsia" w:ascii="Arial" w:hAnsi="Arial" w:eastAsia="宋体" w:cs="Arial"/>
          <w:spacing w:val="10"/>
          <w:sz w:val="24"/>
          <w:szCs w:val="24"/>
        </w:rPr>
        <w:t>27</w:t>
      </w:r>
      <w:r>
        <w:rPr>
          <w:rFonts w:ascii="Arial" w:hAnsi="Arial" w:eastAsia="宋体" w:cs="Arial"/>
          <w:spacing w:val="10"/>
          <w:sz w:val="24"/>
          <w:szCs w:val="24"/>
        </w:rPr>
        <w:t>。</w:t>
      </w:r>
    </w:p>
    <w:p>
      <w:pPr>
        <w:spacing w:line="500" w:lineRule="exact"/>
        <w:ind w:firstLine="476"/>
        <w:rPr>
          <w:rFonts w:ascii="Arial" w:hAnsi="Arial" w:eastAsia="宋体" w:cs="Arial"/>
          <w:spacing w:val="10"/>
          <w:sz w:val="24"/>
          <w:szCs w:val="24"/>
        </w:rPr>
      </w:pPr>
    </w:p>
    <w:p>
      <w:pPr>
        <w:spacing w:line="500" w:lineRule="exact"/>
        <w:ind w:firstLine="476"/>
        <w:rPr>
          <w:rFonts w:ascii="Arial" w:hAnsi="Arial" w:eastAsia="宋体" w:cs="Arial"/>
          <w:spacing w:val="10"/>
          <w:sz w:val="24"/>
          <w:szCs w:val="24"/>
        </w:rPr>
      </w:pP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污染影响型土壤评价工作等级划分表</w:t>
      </w:r>
    </w:p>
    <w:tbl>
      <w:tblPr>
        <w:tblStyle w:val="88"/>
        <w:tblW w:w="88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886"/>
        <w:gridCol w:w="886"/>
        <w:gridCol w:w="885"/>
        <w:gridCol w:w="885"/>
        <w:gridCol w:w="885"/>
        <w:gridCol w:w="885"/>
        <w:gridCol w:w="886"/>
        <w:gridCol w:w="886"/>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6"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类别</w:t>
            </w:r>
          </w:p>
        </w:tc>
        <w:tc>
          <w:tcPr>
            <w:tcW w:w="2657" w:type="dxa"/>
            <w:gridSpan w:val="3"/>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c>
          <w:tcPr>
            <w:tcW w:w="2655" w:type="dxa"/>
            <w:gridSpan w:val="3"/>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2658" w:type="dxa"/>
            <w:gridSpan w:val="3"/>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6" w:type="dxa"/>
            <w:vMerge w:val="continue"/>
            <w:vAlign w:val="center"/>
          </w:tcPr>
          <w:p>
            <w:pPr>
              <w:widowControl/>
              <w:jc w:val="left"/>
              <w:rPr>
                <w:rFonts w:ascii="Arial" w:hAnsi="Arial" w:eastAsia="宋体" w:cs="Arial"/>
                <w:spacing w:val="10"/>
                <w:sz w:val="21"/>
                <w:szCs w:val="21"/>
              </w:rPr>
            </w:pP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88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56" w:type="dxa"/>
            <w:gridSpan w:val="10"/>
            <w:vAlign w:val="center"/>
          </w:tcPr>
          <w:p>
            <w:pPr>
              <w:adjustRightInd w:val="0"/>
              <w:snapToGrid w:val="0"/>
              <w:rPr>
                <w:rFonts w:ascii="Arial" w:hAnsi="Arial" w:eastAsia="宋体" w:cs="Arial"/>
                <w:b/>
                <w:spacing w:val="10"/>
                <w:sz w:val="21"/>
                <w:szCs w:val="21"/>
              </w:rPr>
            </w:pPr>
            <w:r>
              <w:rPr>
                <w:rFonts w:ascii="Arial" w:hAnsi="Arial" w:eastAsia="宋体" w:cs="Arial"/>
                <w:b/>
                <w:spacing w:val="10"/>
                <w:sz w:val="21"/>
                <w:szCs w:val="21"/>
              </w:rPr>
              <w:t>注：“—”表示可不开展土壤环境影响评价工作。</w:t>
            </w:r>
          </w:p>
        </w:tc>
      </w:tr>
    </w:tbl>
    <w:p>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生态环境影响评价等级</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属污染影响类建设项目，所处的</w:t>
      </w:r>
      <w:r>
        <w:rPr>
          <w:rFonts w:ascii="Arial" w:hAnsi="Arial" w:eastAsia="宋体" w:cs="Arial"/>
          <w:spacing w:val="10"/>
          <w:sz w:val="24"/>
          <w:szCs w:val="24"/>
        </w:rPr>
        <w:t>2#地块位于钦州港大榄坪物流加工区，同时也处于广西钦州石化产业园，两个园区规划环评</w:t>
      </w:r>
      <w:r>
        <w:rPr>
          <w:rFonts w:hint="eastAsia" w:ascii="Arial" w:hAnsi="Arial" w:eastAsia="宋体" w:cs="Arial"/>
          <w:spacing w:val="10"/>
          <w:sz w:val="24"/>
          <w:szCs w:val="24"/>
        </w:rPr>
        <w:t>均</w:t>
      </w:r>
      <w:r>
        <w:rPr>
          <w:rFonts w:ascii="Arial" w:hAnsi="Arial" w:eastAsia="宋体" w:cs="Arial"/>
          <w:spacing w:val="10"/>
          <w:sz w:val="24"/>
          <w:szCs w:val="24"/>
        </w:rPr>
        <w:t>已批准，项目符合</w:t>
      </w:r>
      <w:r>
        <w:rPr>
          <w:rFonts w:hint="eastAsia" w:ascii="Arial" w:hAnsi="Arial" w:eastAsia="宋体" w:cs="Arial"/>
          <w:spacing w:val="10"/>
          <w:sz w:val="24"/>
          <w:szCs w:val="24"/>
        </w:rPr>
        <w:t>这</w:t>
      </w:r>
      <w:r>
        <w:rPr>
          <w:rFonts w:ascii="Arial" w:hAnsi="Arial" w:eastAsia="宋体" w:cs="Arial"/>
          <w:spacing w:val="10"/>
          <w:sz w:val="24"/>
          <w:szCs w:val="24"/>
        </w:rPr>
        <w:t>两个</w:t>
      </w:r>
      <w:r>
        <w:rPr>
          <w:rFonts w:hint="eastAsia" w:ascii="Arial" w:hAnsi="Arial" w:eastAsia="宋体" w:cs="Arial"/>
          <w:spacing w:val="10"/>
          <w:sz w:val="24"/>
          <w:szCs w:val="24"/>
        </w:rPr>
        <w:t>园区</w:t>
      </w:r>
      <w:r>
        <w:rPr>
          <w:rFonts w:ascii="Arial" w:hAnsi="Arial" w:eastAsia="宋体" w:cs="Arial"/>
          <w:spacing w:val="10"/>
          <w:sz w:val="24"/>
          <w:szCs w:val="24"/>
        </w:rPr>
        <w:t>规划环评</w:t>
      </w:r>
      <w:r>
        <w:rPr>
          <w:rFonts w:hint="eastAsia" w:ascii="Arial" w:hAnsi="Arial" w:eastAsia="宋体" w:cs="Arial"/>
          <w:spacing w:val="10"/>
          <w:sz w:val="24"/>
          <w:szCs w:val="24"/>
        </w:rPr>
        <w:t>的</w:t>
      </w:r>
      <w:r>
        <w:rPr>
          <w:rFonts w:ascii="Arial" w:hAnsi="Arial" w:eastAsia="宋体" w:cs="Arial"/>
          <w:spacing w:val="10"/>
          <w:sz w:val="24"/>
          <w:szCs w:val="24"/>
        </w:rPr>
        <w:t>要求</w:t>
      </w:r>
      <w:r>
        <w:rPr>
          <w:rFonts w:hint="eastAsia" w:ascii="Arial" w:hAnsi="Arial" w:eastAsia="宋体" w:cs="Arial"/>
          <w:spacing w:val="10"/>
          <w:sz w:val="24"/>
          <w:szCs w:val="24"/>
        </w:rPr>
        <w:t>，</w:t>
      </w:r>
      <w:r>
        <w:rPr>
          <w:rFonts w:ascii="Arial" w:hAnsi="Arial" w:eastAsia="宋体" w:cs="Arial"/>
          <w:spacing w:val="10"/>
          <w:sz w:val="24"/>
          <w:szCs w:val="24"/>
        </w:rPr>
        <w:t>不涉及生态敏感区</w:t>
      </w:r>
      <w:r>
        <w:rPr>
          <w:rFonts w:hint="eastAsia" w:ascii="Arial" w:hAnsi="Arial" w:eastAsia="宋体" w:cs="Arial"/>
          <w:spacing w:val="10"/>
          <w:sz w:val="24"/>
          <w:szCs w:val="24"/>
        </w:rPr>
        <w:t>。</w:t>
      </w:r>
      <w:r>
        <w:rPr>
          <w:rFonts w:ascii="Arial" w:hAnsi="Arial" w:eastAsia="宋体" w:cs="Arial"/>
          <w:spacing w:val="10"/>
          <w:sz w:val="24"/>
          <w:szCs w:val="24"/>
        </w:rPr>
        <w:t>根据《环境影响评价技术导则</w:t>
      </w:r>
      <w:r>
        <w:rPr>
          <w:rFonts w:hint="eastAsia" w:ascii="Arial" w:hAnsi="Arial" w:eastAsia="宋体" w:cs="Arial"/>
          <w:spacing w:val="10"/>
          <w:sz w:val="24"/>
          <w:szCs w:val="24"/>
        </w:rPr>
        <w:t xml:space="preserve"> </w:t>
      </w:r>
      <w:r>
        <w:rPr>
          <w:rFonts w:ascii="Arial" w:hAnsi="Arial" w:eastAsia="宋体" w:cs="Arial"/>
          <w:spacing w:val="10"/>
          <w:sz w:val="24"/>
          <w:szCs w:val="24"/>
        </w:rPr>
        <w:t>生态影响》（HJ19-2022）6.1.8，项目可不确定评价等级，直接进行生态影响简单分析。</w:t>
      </w:r>
    </w:p>
    <w:p>
      <w:pPr>
        <w:spacing w:line="500" w:lineRule="exact"/>
        <w:ind w:firstLine="476"/>
        <w:rPr>
          <w:rFonts w:ascii="Arial" w:hAnsi="Arial" w:eastAsia="宋体" w:cs="Arial"/>
          <w:spacing w:val="10"/>
          <w:sz w:val="24"/>
          <w:szCs w:val="24"/>
        </w:rPr>
      </w:pPr>
      <w:r>
        <w:rPr>
          <w:rFonts w:hint="eastAsia" w:ascii="Arial" w:hAnsi="Arial" w:eastAsia="宋体" w:cs="Arial"/>
          <w:spacing w:val="10"/>
          <w:sz w:val="24"/>
          <w:szCs w:val="24"/>
        </w:rPr>
        <w:t>项目的生产废水经处理达标后依托大榄坪污水处理厂现有的深海排放管道排放，项目无海洋工程建设内容，不再按《海洋工程环境影响评价技术导则》（GB/T19485-2014）判定生态评价等级。</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综上所述，项目各环境要素的评价工作等级划分情况见表1-</w:t>
      </w:r>
      <w:r>
        <w:rPr>
          <w:rFonts w:hint="eastAsia" w:ascii="Arial" w:hAnsi="Arial" w:eastAsia="宋体" w:cs="Arial"/>
          <w:spacing w:val="10"/>
          <w:sz w:val="24"/>
          <w:szCs w:val="24"/>
        </w:rPr>
        <w:t>28</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评价工作等级划分表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1060"/>
        <w:gridCol w:w="2915"/>
        <w:gridCol w:w="3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16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bookmarkStart w:id="237" w:name="_Toc154599056"/>
            <w:r>
              <w:rPr>
                <w:rFonts w:ascii="Arial" w:hAnsi="Arial" w:eastAsia="宋体" w:cs="Arial"/>
                <w:sz w:val="21"/>
                <w:szCs w:val="21"/>
              </w:rPr>
              <w:t>评价内容</w:t>
            </w:r>
          </w:p>
        </w:tc>
        <w:tc>
          <w:tcPr>
            <w:tcW w:w="106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工作等级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判据</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ind w:firstLine="389"/>
              <w:jc w:val="center"/>
              <w:rPr>
                <w:rFonts w:ascii="Arial" w:hAnsi="Arial" w:eastAsia="宋体" w:cs="Arial"/>
                <w:sz w:val="21"/>
                <w:szCs w:val="21"/>
              </w:rPr>
            </w:pPr>
            <w:r>
              <w:rPr>
                <w:rFonts w:ascii="Arial" w:hAnsi="Arial" w:eastAsia="宋体" w:cs="Arial"/>
                <w:sz w:val="21"/>
                <w:szCs w:val="21"/>
              </w:rPr>
              <w:t>建设项目情况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1060" w:type="dxa"/>
            <w:vMerge w:val="restart"/>
            <w:tcBorders>
              <w:top w:val="single" w:color="auto" w:sz="4" w:space="0"/>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三级</w:t>
            </w:r>
            <w:r>
              <w:rPr>
                <w:rFonts w:hint="eastAsia" w:ascii="Arial" w:hAnsi="Arial" w:eastAsia="宋体" w:cs="Arial"/>
                <w:sz w:val="21"/>
                <w:szCs w:val="21"/>
              </w:rPr>
              <w:t>A</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HJ2.3-2018：</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060" w:type="dxa"/>
            <w:vMerge w:val="continue"/>
            <w:tcBorders>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hint="eastAsia" w:ascii="Arial" w:hAnsi="Arial" w:eastAsia="宋体" w:cs="Arial"/>
                <w:sz w:val="21"/>
                <w:szCs w:val="21"/>
              </w:rPr>
              <w:t>废水排放量Q</w:t>
            </w:r>
            <w:r>
              <w:rPr>
                <w:rFonts w:ascii="Arial" w:hAnsi="Arial" w:cs="Arial"/>
                <w:sz w:val="21"/>
              </w:rPr>
              <w:t>（</w:t>
            </w:r>
            <w:r>
              <w:rPr>
                <w:rFonts w:ascii="Arial" w:hAnsi="Arial" w:cs="Arial"/>
                <w:sz w:val="21"/>
                <w:szCs w:val="21"/>
              </w:rPr>
              <w:t>m</w:t>
            </w:r>
            <w:r>
              <w:rPr>
                <w:rFonts w:ascii="Arial" w:hAnsi="Arial" w:cs="Arial"/>
                <w:sz w:val="21"/>
                <w:szCs w:val="21"/>
                <w:vertAlign w:val="superscript"/>
              </w:rPr>
              <w:t>3</w:t>
            </w:r>
            <w:r>
              <w:rPr>
                <w:rFonts w:ascii="Arial" w:hAnsi="Arial" w:cs="Arial"/>
                <w:sz w:val="21"/>
                <w:szCs w:val="21"/>
              </w:rPr>
              <w:t>/d</w:t>
            </w:r>
            <w:r>
              <w:rPr>
                <w:rFonts w:ascii="Arial" w:hAnsi="Arial" w:cs="Arial"/>
                <w:sz w:val="21"/>
              </w:rPr>
              <w:t>）</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78.95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060" w:type="dxa"/>
            <w:vMerge w:val="continue"/>
            <w:tcBorders>
              <w:left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hint="eastAsia" w:ascii="Arial" w:hAnsi="Arial" w:eastAsia="宋体" w:cs="Arial"/>
                <w:sz w:val="21"/>
                <w:szCs w:val="21"/>
              </w:rPr>
              <w:t>水污染物当量W（无量纲）</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hint="eastAsia" w:ascii="Arial" w:hAnsi="Arial" w:eastAsia="宋体" w:cs="Arial"/>
                <w:sz w:val="21"/>
                <w:szCs w:val="21"/>
              </w:rPr>
              <w:t>392.325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二级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HJ610-2016：</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项目类型</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hint="eastAsia" w:ascii="宋体" w:hAnsi="宋体" w:eastAsia="宋体" w:cs="宋体"/>
                <w:sz w:val="21"/>
                <w:szCs w:val="21"/>
              </w:rPr>
              <w:t>Ⅰ</w:t>
            </w:r>
            <w:r>
              <w:rPr>
                <w:rFonts w:ascii="Arial" w:hAnsi="Arial" w:eastAsia="宋体" w:cs="Arial"/>
                <w:sz w:val="21"/>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地下水环境敏感程度分级</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不敏感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环境空气</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HJ2.2-2018：</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bCs/>
                <w:sz w:val="21"/>
                <w:szCs w:val="21"/>
              </w:rPr>
            </w:pPr>
            <w:r>
              <w:rPr>
                <w:rFonts w:ascii="Arial" w:hAnsi="Arial" w:eastAsia="宋体" w:cs="Arial"/>
                <w:sz w:val="21"/>
                <w:szCs w:val="21"/>
              </w:rPr>
              <w:t>Pmax=</w:t>
            </w:r>
            <w:r>
              <w:rPr>
                <w:rFonts w:hint="eastAsia" w:ascii="Arial" w:hAnsi="Arial" w:eastAsia="宋体" w:cs="Arial"/>
                <w:sz w:val="21"/>
                <w:szCs w:val="21"/>
              </w:rPr>
              <w:t>60.85</w:t>
            </w:r>
            <w:r>
              <w:rPr>
                <w:rFonts w:ascii="Arial" w:hAnsi="Arial" w:eastAsia="宋体" w:cs="Arial"/>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三级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HJ2.4-2021：</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区域声环境功能区</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GB3096-2008规定的3类区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4"/>
              </w:rPr>
              <w:t>声环境保护目标噪声级增量</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4"/>
              </w:rPr>
              <w:t>声环境保护目标</w:t>
            </w:r>
            <w:r>
              <w:rPr>
                <w:rFonts w:ascii="Arial" w:hAnsi="Arial" w:eastAsia="宋体" w:cs="Arial"/>
                <w:sz w:val="21"/>
                <w:szCs w:val="21"/>
              </w:rPr>
              <w:t>噪声级增高量在3dB以下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受噪声影响人口数量</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环境风险</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HJ169-2018：</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环境风险</w:t>
            </w:r>
            <w:r>
              <w:rPr>
                <w:rFonts w:ascii="Arial" w:hAnsi="Arial" w:eastAsia="宋体" w:cs="Arial"/>
                <w:spacing w:val="10"/>
                <w:sz w:val="21"/>
                <w:szCs w:val="21"/>
              </w:rPr>
              <w:t>潜势</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hint="eastAsia" w:ascii="宋体" w:hAnsi="宋体" w:eastAsia="宋体" w:cs="宋体"/>
                <w:spacing w:val="10"/>
                <w:sz w:val="21"/>
                <w:szCs w:val="21"/>
                <w:u w:val="single"/>
              </w:rPr>
              <w:t>Ⅳ</w:t>
            </w:r>
            <w:r>
              <w:rPr>
                <w:rFonts w:hint="eastAsia" w:ascii="宋体" w:hAnsi="宋体" w:eastAsia="宋体" w:cs="宋体"/>
                <w:spacing w:val="10"/>
                <w:sz w:val="21"/>
                <w:szCs w:val="21"/>
                <w:u w:val="single"/>
                <w:vertAlign w:val="superscript"/>
              </w:rPr>
              <w:t>+</w:t>
            </w:r>
            <w:r>
              <w:rPr>
                <w:rFonts w:ascii="Arial" w:hAnsi="Arial" w:eastAsia="宋体" w:cs="Arial"/>
                <w:spacing w:val="10"/>
                <w:sz w:val="21"/>
                <w:szCs w:val="21"/>
                <w:u w:val="single"/>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Arial" w:hAnsi="Arial" w:eastAsia="宋体" w:cs="Arial"/>
                <w:kern w:val="0"/>
                <w:sz w:val="21"/>
                <w:szCs w:val="21"/>
              </w:rPr>
            </w:pPr>
            <w:r>
              <w:rPr>
                <w:rFonts w:ascii="Arial" w:hAnsi="Arial" w:eastAsia="宋体" w:cs="Arial"/>
                <w:kern w:val="0"/>
                <w:sz w:val="21"/>
                <w:szCs w:val="21"/>
              </w:rPr>
              <w:t>土壤环境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Arial" w:hAnsi="Arial" w:eastAsia="宋体" w:cs="Arial"/>
                <w:kern w:val="0"/>
                <w:sz w:val="21"/>
                <w:szCs w:val="21"/>
              </w:rPr>
            </w:pPr>
            <w:r>
              <w:rPr>
                <w:rFonts w:ascii="Arial" w:hAnsi="Arial" w:eastAsia="宋体" w:cs="Arial"/>
                <w:kern w:val="0"/>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rPr>
                <w:rFonts w:ascii="Arial" w:hAnsi="Arial" w:eastAsia="宋体" w:cs="Arial"/>
                <w:sz w:val="21"/>
                <w:szCs w:val="21"/>
              </w:rPr>
            </w:pPr>
            <w:r>
              <w:rPr>
                <w:rFonts w:ascii="Arial" w:hAnsi="Arial" w:eastAsia="宋体" w:cs="Arial"/>
                <w:sz w:val="21"/>
                <w:szCs w:val="21"/>
              </w:rPr>
              <w:t>HJ964-2018：</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项目类别</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sz w:val="21"/>
                <w:szCs w:val="21"/>
              </w:rPr>
            </w:pPr>
            <w:r>
              <w:rPr>
                <w:rFonts w:hint="eastAsia" w:ascii="宋体" w:hAnsi="宋体" w:eastAsia="宋体" w:cs="宋体"/>
                <w:sz w:val="21"/>
                <w:szCs w:val="21"/>
              </w:rPr>
              <w:t>Ⅰ</w:t>
            </w:r>
            <w:r>
              <w:rPr>
                <w:rFonts w:ascii="Arial" w:hAnsi="Arial" w:eastAsia="宋体" w:cs="Arial"/>
                <w:sz w:val="21"/>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占地规模</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highlight w:val="yellow"/>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highlight w:val="yellow"/>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敏感程度</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简单分析</w:t>
            </w: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HJ19-2022：</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项目情况</w:t>
            </w:r>
          </w:p>
        </w:tc>
        <w:tc>
          <w:tcPr>
            <w:tcW w:w="38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污染影响类项目，处于已批准规划环评的产业园区内且符合规划环评要求、不涉及生态敏感区</w:t>
            </w:r>
          </w:p>
        </w:tc>
      </w:tr>
      <w:bookmarkEnd w:id="237"/>
    </w:tbl>
    <w:p>
      <w:pPr>
        <w:keepNext/>
        <w:keepLines/>
        <w:numPr>
          <w:ilvl w:val="0"/>
          <w:numId w:val="2"/>
        </w:numPr>
        <w:tabs>
          <w:tab w:val="left" w:pos="567"/>
        </w:tabs>
        <w:spacing w:before="210" w:after="210" w:line="500" w:lineRule="exact"/>
        <w:outlineLvl w:val="1"/>
        <w:rPr>
          <w:rFonts w:ascii="Arial" w:hAnsi="Arial" w:eastAsia="宋体" w:cs="Arial"/>
          <w:b/>
        </w:rPr>
      </w:pPr>
      <w:bookmarkStart w:id="238" w:name="_Toc185950209"/>
      <w:bookmarkStart w:id="239" w:name="_Toc182491372"/>
      <w:r>
        <w:rPr>
          <w:rFonts w:ascii="Arial" w:hAnsi="Arial" w:eastAsia="宋体" w:cs="Arial"/>
          <w:b/>
        </w:rPr>
        <w:t>评价范围以及环境敏感区</w:t>
      </w:r>
      <w:bookmarkEnd w:id="238"/>
      <w:bookmarkEnd w:id="239"/>
    </w:p>
    <w:p>
      <w:pPr>
        <w:keepNext/>
        <w:keepLines/>
        <w:numPr>
          <w:ilvl w:val="0"/>
          <w:numId w:val="8"/>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评价范围</w:t>
      </w:r>
    </w:p>
    <w:p>
      <w:pPr>
        <w:spacing w:line="500" w:lineRule="exact"/>
        <w:ind w:firstLine="476"/>
        <w:rPr>
          <w:rFonts w:ascii="Arial" w:hAnsi="Arial" w:eastAsia="宋体" w:cs="Arial"/>
          <w:spacing w:val="10"/>
          <w:sz w:val="24"/>
          <w:szCs w:val="24"/>
          <w:lang w:val="zh-CN"/>
        </w:rPr>
      </w:pPr>
      <w:r>
        <w:rPr>
          <w:rFonts w:ascii="Arial" w:hAnsi="Arial" w:eastAsia="宋体" w:cs="Arial"/>
          <w:spacing w:val="10"/>
          <w:sz w:val="24"/>
          <w:szCs w:val="24"/>
        </w:rPr>
        <w:t>《环境影响评价技术导则》（HJ2.1-2016、HJ2.2-2018、</w:t>
      </w:r>
      <w:r>
        <w:rPr>
          <w:rFonts w:ascii="Arial" w:hAnsi="Arial" w:eastAsia="宋体" w:cs="Arial"/>
          <w:spacing w:val="10"/>
          <w:kern w:val="0"/>
          <w:sz w:val="24"/>
          <w:szCs w:val="24"/>
        </w:rPr>
        <w:t>HJ2.3-2018</w:t>
      </w:r>
      <w:r>
        <w:rPr>
          <w:rFonts w:ascii="Arial" w:hAnsi="Arial" w:eastAsia="宋体" w:cs="Arial"/>
          <w:spacing w:val="10"/>
          <w:sz w:val="24"/>
          <w:szCs w:val="24"/>
        </w:rPr>
        <w:t>、HJ2.4-2021、HJ610-2016、HJ19-2022、</w:t>
      </w:r>
      <w:r>
        <w:rPr>
          <w:rFonts w:ascii="Arial" w:hAnsi="Arial" w:eastAsia="宋体" w:cs="Arial"/>
          <w:spacing w:val="10"/>
          <w:kern w:val="0"/>
          <w:sz w:val="24"/>
          <w:szCs w:val="24"/>
        </w:rPr>
        <w:t>HJ964-2018</w:t>
      </w:r>
      <w:r>
        <w:rPr>
          <w:rFonts w:ascii="Arial" w:hAnsi="Arial" w:eastAsia="宋体" w:cs="Arial"/>
          <w:spacing w:val="10"/>
          <w:sz w:val="24"/>
          <w:szCs w:val="24"/>
        </w:rPr>
        <w:t>）</w:t>
      </w:r>
      <w:r>
        <w:rPr>
          <w:rFonts w:hint="eastAsia" w:ascii="Arial" w:hAnsi="Arial" w:eastAsia="宋体" w:cs="Arial"/>
          <w:spacing w:val="10"/>
          <w:sz w:val="24"/>
          <w:szCs w:val="24"/>
        </w:rPr>
        <w:t>、</w:t>
      </w:r>
      <w:r>
        <w:rPr>
          <w:rFonts w:ascii="Arial" w:hAnsi="Arial" w:eastAsia="宋体" w:cs="Arial"/>
          <w:spacing w:val="10"/>
          <w:sz w:val="24"/>
          <w:szCs w:val="24"/>
        </w:rPr>
        <w:t>《建设项目环境风险评价技术导则》（</w:t>
      </w:r>
      <w:r>
        <w:rPr>
          <w:rFonts w:ascii="Arial" w:hAnsi="Arial" w:eastAsia="宋体" w:cs="Arial"/>
          <w:spacing w:val="10"/>
          <w:kern w:val="0"/>
          <w:sz w:val="24"/>
          <w:szCs w:val="24"/>
        </w:rPr>
        <w:t>HJ169-2018</w:t>
      </w:r>
      <w:r>
        <w:rPr>
          <w:rFonts w:ascii="Arial" w:hAnsi="Arial" w:eastAsia="宋体" w:cs="Arial"/>
          <w:spacing w:val="10"/>
          <w:sz w:val="24"/>
          <w:szCs w:val="24"/>
        </w:rPr>
        <w:t>）中有关划分</w:t>
      </w:r>
      <w:r>
        <w:rPr>
          <w:rFonts w:ascii="Arial" w:hAnsi="Arial" w:eastAsia="宋体" w:cs="Arial"/>
          <w:spacing w:val="10"/>
          <w:sz w:val="24"/>
          <w:szCs w:val="24"/>
          <w:lang w:val="zh-CN"/>
        </w:rPr>
        <w:t>评价范围的有关规则，确定评价范围见表</w:t>
      </w:r>
      <w:r>
        <w:rPr>
          <w:rFonts w:hint="eastAsia" w:ascii="Arial" w:hAnsi="Arial" w:eastAsia="宋体" w:cs="Arial"/>
          <w:spacing w:val="10"/>
          <w:sz w:val="24"/>
          <w:szCs w:val="24"/>
          <w:lang w:val="zh-CN"/>
        </w:rPr>
        <w:t>1-29</w:t>
      </w:r>
      <w:r>
        <w:rPr>
          <w:rFonts w:ascii="Arial" w:hAnsi="Arial" w:eastAsia="宋体" w:cs="Arial"/>
          <w:spacing w:val="10"/>
          <w:sz w:val="24"/>
          <w:szCs w:val="24"/>
          <w:lang w:val="zh-CN"/>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项目各环境要素评价范围表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7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环境要素</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水环境</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hint="eastAsia" w:ascii="Arial" w:hAnsi="Arial" w:eastAsia="宋体" w:cs="Arial"/>
                <w:spacing w:val="10"/>
                <w:sz w:val="21"/>
                <w:szCs w:val="21"/>
              </w:rPr>
              <w:t>排放口为中心、半径为25 km范围的海域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地下水</w:t>
            </w:r>
          </w:p>
        </w:tc>
        <w:tc>
          <w:tcPr>
            <w:tcW w:w="7695" w:type="dxa"/>
            <w:tcBorders>
              <w:top w:val="single" w:color="auto" w:sz="4" w:space="0"/>
              <w:left w:val="single" w:color="auto" w:sz="4" w:space="0"/>
              <w:bottom w:val="single" w:color="auto" w:sz="4" w:space="0"/>
              <w:right w:val="single" w:color="auto" w:sz="4" w:space="0"/>
            </w:tcBorders>
            <w:vAlign w:val="center"/>
          </w:tcPr>
          <w:p>
            <w:pPr>
              <w:pStyle w:val="5"/>
              <w:spacing w:line="240" w:lineRule="exact"/>
              <w:ind w:firstLine="0"/>
              <w:rPr>
                <w:sz w:val="21"/>
                <w:szCs w:val="21"/>
              </w:rPr>
            </w:pPr>
            <w:r>
              <w:rPr>
                <w:sz w:val="21"/>
                <w:szCs w:val="21"/>
              </w:rPr>
              <w:t>项目区地下水由西北向东南径流，排泄至鹿耳环江。评价区以淡水湾-鲎泊潭-大坑一带地下水分水岭为调查边界，分水岭以北的河流为排泄边界1，分水岭以南的西侧金鼓江为排泄边界2、东侧鹿耳环江为排泄边界3以及南侧钦州湾作为排泄边界4。地下水露头为评价区补给边界，地下水补给、径流、排泄系统独立完整。因此本次地下水环境影响调查评价范围：北侧以分水岭为调查边界，西侧以金鼓江为边界，东调查至鹿耳环江，南至钦州湾。鹿耳环江为项目区地下水主要排泄区，鹿耳环江最终汇入钦州湾。本次调查面积约33.67km</w:t>
            </w:r>
            <w:r>
              <w:rPr>
                <w:sz w:val="21"/>
                <w:szCs w:val="21"/>
                <w:vertAlign w:val="superscript"/>
              </w:rPr>
              <w:t>2</w:t>
            </w: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环境空气</w:t>
            </w:r>
          </w:p>
        </w:tc>
        <w:tc>
          <w:tcPr>
            <w:tcW w:w="7695" w:type="dxa"/>
            <w:tcBorders>
              <w:top w:val="single" w:color="auto" w:sz="4" w:space="0"/>
              <w:left w:val="single" w:color="auto" w:sz="4" w:space="0"/>
              <w:bottom w:val="single" w:color="auto" w:sz="4" w:space="0"/>
              <w:right w:val="single" w:color="auto" w:sz="4" w:space="0"/>
            </w:tcBorders>
            <w:vAlign w:val="center"/>
          </w:tcPr>
          <w:p>
            <w:pPr>
              <w:pStyle w:val="5"/>
              <w:spacing w:line="240" w:lineRule="exact"/>
              <w:ind w:firstLine="0"/>
              <w:rPr>
                <w:sz w:val="21"/>
                <w:szCs w:val="21"/>
                <w:u w:val="single"/>
              </w:rPr>
            </w:pPr>
            <w:r>
              <w:rPr>
                <w:rFonts w:hint="eastAsia"/>
                <w:sz w:val="21"/>
                <w:szCs w:val="21"/>
                <w:u w:val="single"/>
              </w:rPr>
              <w:t>厂址中心</w:t>
            </w:r>
            <w:r>
              <w:rPr>
                <w:sz w:val="21"/>
                <w:szCs w:val="21"/>
                <w:u w:val="single"/>
              </w:rPr>
              <w:t>外延2.5km的矩形区域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声环境</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厂界外200m范围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土壤环境</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厂界外1km范围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vMerge w:val="restart"/>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环境风险</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大气：项目边界外5km的区域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地表水：与水环境</w:t>
            </w:r>
            <w:r>
              <w:rPr>
                <w:rFonts w:hint="eastAsia" w:ascii="Arial" w:hAnsi="Arial" w:eastAsia="宋体" w:cs="Arial"/>
                <w:spacing w:val="10"/>
                <w:sz w:val="21"/>
                <w:szCs w:val="21"/>
              </w:rPr>
              <w:t>评价</w:t>
            </w:r>
            <w:r>
              <w:rPr>
                <w:rFonts w:ascii="Arial" w:hAnsi="Arial" w:eastAsia="宋体" w:cs="Arial"/>
                <w:spacing w:val="10"/>
                <w:sz w:val="21"/>
                <w:szCs w:val="21"/>
              </w:rPr>
              <w:t>范围相同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地下水：与地下水调查范围相同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生态环境</w:t>
            </w:r>
          </w:p>
        </w:tc>
        <w:tc>
          <w:tcPr>
            <w:tcW w:w="7695"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厂区范围内</w:t>
            </w:r>
          </w:p>
        </w:tc>
      </w:tr>
    </w:tbl>
    <w:p>
      <w:pPr>
        <w:keepNext/>
        <w:keepLines/>
        <w:numPr>
          <w:ilvl w:val="0"/>
          <w:numId w:val="8"/>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环境敏感区</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项目环境空气保护目标见表1-</w:t>
      </w:r>
      <w:r>
        <w:rPr>
          <w:rFonts w:hint="eastAsia" w:ascii="Arial" w:hAnsi="Arial" w:eastAsia="宋体" w:cs="Arial"/>
          <w:spacing w:val="10"/>
          <w:sz w:val="24"/>
          <w:szCs w:val="24"/>
        </w:rPr>
        <w:t>30</w:t>
      </w:r>
      <w:r>
        <w:rPr>
          <w:rFonts w:ascii="Arial" w:hAnsi="Arial" w:eastAsia="宋体" w:cs="Arial"/>
          <w:spacing w:val="10"/>
          <w:sz w:val="24"/>
          <w:szCs w:val="24"/>
        </w:rPr>
        <w:t>，</w:t>
      </w:r>
      <w:r>
        <w:rPr>
          <w:rFonts w:ascii="Arial" w:hAnsi="Arial" w:eastAsia="宋体" w:cs="Arial"/>
          <w:spacing w:val="10"/>
          <w:sz w:val="24"/>
          <w:szCs w:val="24"/>
          <w:u w:val="single"/>
        </w:rPr>
        <w:t>风险环境敏感目标见下文&amp;4.3.1.</w:t>
      </w:r>
      <w:r>
        <w:rPr>
          <w:rFonts w:hint="eastAsia" w:ascii="Arial" w:hAnsi="Arial" w:eastAsia="宋体" w:cs="Arial"/>
          <w:spacing w:val="10"/>
          <w:sz w:val="24"/>
          <w:szCs w:val="24"/>
          <w:u w:val="single"/>
        </w:rPr>
        <w:t>2</w:t>
      </w:r>
      <w:r>
        <w:rPr>
          <w:rFonts w:ascii="Arial" w:hAnsi="Arial" w:eastAsia="宋体" w:cs="Arial"/>
          <w:spacing w:val="10"/>
          <w:sz w:val="24"/>
          <w:szCs w:val="24"/>
        </w:rPr>
        <w:t>。</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1、环境空气保护目标</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环境空气保护目标</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2338"/>
        <w:gridCol w:w="996"/>
        <w:gridCol w:w="1437"/>
        <w:gridCol w:w="1142"/>
        <w:gridCol w:w="1290"/>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序号</w:t>
            </w:r>
          </w:p>
        </w:tc>
        <w:tc>
          <w:tcPr>
            <w:tcW w:w="2338"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名称</w:t>
            </w:r>
          </w:p>
        </w:tc>
        <w:tc>
          <w:tcPr>
            <w:tcW w:w="996"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相对厂址方位</w:t>
            </w:r>
          </w:p>
        </w:tc>
        <w:tc>
          <w:tcPr>
            <w:tcW w:w="1437"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离厂区最近距离（m）</w:t>
            </w:r>
          </w:p>
        </w:tc>
        <w:tc>
          <w:tcPr>
            <w:tcW w:w="1142"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规模（人）</w:t>
            </w:r>
          </w:p>
        </w:tc>
        <w:tc>
          <w:tcPr>
            <w:tcW w:w="1290" w:type="dxa"/>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饮用水源</w:t>
            </w:r>
          </w:p>
        </w:tc>
        <w:tc>
          <w:tcPr>
            <w:tcW w:w="1286" w:type="dxa"/>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sz w:val="21"/>
                <w:szCs w:val="21"/>
              </w:rPr>
              <w:t>1</w:t>
            </w:r>
          </w:p>
        </w:tc>
        <w:tc>
          <w:tcPr>
            <w:tcW w:w="233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鸡墩头村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700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restart"/>
            <w:vAlign w:val="center"/>
          </w:tcPr>
          <w:p>
            <w:pPr>
              <w:adjustRightInd w:val="0"/>
              <w:snapToGrid w:val="0"/>
              <w:jc w:val="center"/>
              <w:rPr>
                <w:rFonts w:ascii="Arial" w:hAnsi="Arial" w:eastAsia="宋体" w:cs="Arial"/>
                <w:kern w:val="0"/>
                <w:sz w:val="21"/>
                <w:szCs w:val="21"/>
                <w:lang w:bidi="ar"/>
              </w:rPr>
            </w:pPr>
            <w:r>
              <w:rPr>
                <w:rFonts w:ascii="Arial" w:hAnsi="Arial" w:eastAsia="宋体" w:cs="Arial"/>
                <w:sz w:val="21"/>
                <w:szCs w:val="21"/>
              </w:rPr>
              <w:t>环境空气：二级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sz w:val="21"/>
                <w:szCs w:val="21"/>
              </w:rPr>
              <w:t>2</w:t>
            </w:r>
          </w:p>
        </w:tc>
        <w:tc>
          <w:tcPr>
            <w:tcW w:w="233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钦州港经开区第五小学</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过路山村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420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上硫磺山村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1055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200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下硫磺山村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1105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68</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东港区第一幼儿园</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1110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270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硫磺山村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1205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127</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鲎泊潭村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1280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240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9</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港区中学</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1425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1000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新农村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1440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420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老鸭坑村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1475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钦州港经开区第七小学</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1620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350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13</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大坑村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1755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107</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黄竹根村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1805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140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龙狗坑村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1820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140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16</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淡水湾村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1860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17</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管委会办公楼</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1995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1000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海关办公楼</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2385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19</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港区政务中心</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2400</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w:t>
            </w:r>
          </w:p>
        </w:tc>
        <w:tc>
          <w:tcPr>
            <w:tcW w:w="2338"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新联村</w:t>
            </w:r>
          </w:p>
        </w:tc>
        <w:tc>
          <w:tcPr>
            <w:tcW w:w="99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43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2955</w:t>
            </w:r>
          </w:p>
        </w:tc>
        <w:tc>
          <w:tcPr>
            <w:tcW w:w="1142" w:type="dxa"/>
            <w:vAlign w:val="center"/>
          </w:tcPr>
          <w:p>
            <w:pPr>
              <w:adjustRightInd w:val="0"/>
              <w:snapToGrid w:val="0"/>
              <w:jc w:val="center"/>
              <w:rPr>
                <w:rFonts w:ascii="Arial" w:hAnsi="Arial" w:eastAsia="宋体" w:cs="Arial"/>
                <w:sz w:val="21"/>
                <w:szCs w:val="21"/>
              </w:rPr>
            </w:pPr>
            <w:r>
              <w:rPr>
                <w:rFonts w:ascii="Arial" w:hAnsi="Arial" w:cs="Arial"/>
                <w:sz w:val="21"/>
                <w:szCs w:val="21"/>
              </w:rPr>
              <w:t>744</w:t>
            </w:r>
          </w:p>
        </w:tc>
        <w:tc>
          <w:tcPr>
            <w:tcW w:w="1290" w:type="dxa"/>
            <w:vAlign w:val="center"/>
          </w:tcPr>
          <w:p>
            <w:pPr>
              <w:pStyle w:val="942"/>
              <w:adjustRightInd w:val="0"/>
              <w:snapToGrid w:val="0"/>
              <w:jc w:val="center"/>
              <w:rPr>
                <w:rFonts w:ascii="Arial" w:hAnsi="Arial" w:cs="Arial"/>
                <w:sz w:val="21"/>
                <w:szCs w:val="21"/>
              </w:rPr>
            </w:pPr>
            <w:r>
              <w:rPr>
                <w:rFonts w:ascii="Arial" w:hAnsi="Arial" w:cs="Arial"/>
                <w:sz w:val="21"/>
                <w:szCs w:val="21"/>
              </w:rPr>
              <w:t>自来水</w:t>
            </w:r>
          </w:p>
        </w:tc>
        <w:tc>
          <w:tcPr>
            <w:tcW w:w="1286" w:type="dxa"/>
            <w:vMerge w:val="continue"/>
            <w:vAlign w:val="center"/>
          </w:tcPr>
          <w:p>
            <w:pPr>
              <w:adjustRightInd w:val="0"/>
              <w:snapToGrid w:val="0"/>
              <w:jc w:val="center"/>
              <w:rPr>
                <w:rFonts w:ascii="Arial" w:hAnsi="Arial" w:eastAsia="宋体" w:cs="Arial"/>
                <w:sz w:val="21"/>
                <w:szCs w:val="21"/>
              </w:rPr>
            </w:pPr>
          </w:p>
        </w:tc>
      </w:tr>
    </w:tbl>
    <w:p>
      <w:pPr>
        <w:spacing w:line="240" w:lineRule="exact"/>
        <w:ind w:firstLine="430" w:firstLineChars="200"/>
        <w:rPr>
          <w:rFonts w:ascii="Arial" w:hAnsi="Arial" w:eastAsia="宋体" w:cs="Arial"/>
          <w:b/>
          <w:spacing w:val="10"/>
          <w:kern w:val="0"/>
          <w:sz w:val="21"/>
          <w:szCs w:val="21"/>
        </w:rPr>
      </w:pPr>
      <w:r>
        <w:rPr>
          <w:rFonts w:ascii="Arial" w:hAnsi="Arial" w:eastAsia="宋体" w:cs="Arial"/>
          <w:b/>
          <w:spacing w:val="10"/>
          <w:kern w:val="0"/>
          <w:sz w:val="21"/>
          <w:szCs w:val="21"/>
        </w:rPr>
        <w:t>*厂界北面的部分鸡墩头村居民楼在园区拆迁范围内，现阶段仍有少量居民居住。</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2、地表水环境保护目标</w:t>
      </w:r>
    </w:p>
    <w:p>
      <w:pPr>
        <w:spacing w:line="500" w:lineRule="exact"/>
        <w:ind w:firstLine="476"/>
        <w:rPr>
          <w:rFonts w:ascii="Arial" w:hAnsi="Arial" w:eastAsia="宋体" w:cs="Arial"/>
          <w:spacing w:val="10"/>
          <w:kern w:val="0"/>
          <w:sz w:val="24"/>
          <w:szCs w:val="21"/>
        </w:rPr>
      </w:pPr>
      <w:r>
        <w:rPr>
          <w:rFonts w:hint="eastAsia" w:ascii="Arial" w:hAnsi="Arial" w:eastAsia="宋体" w:cs="Arial"/>
          <w:spacing w:val="10"/>
          <w:kern w:val="0"/>
          <w:sz w:val="24"/>
          <w:szCs w:val="21"/>
        </w:rPr>
        <w:t>地表水评价范围内属于HJ2.3-2018的水环境保护目标主要包括茅尾海红树林自然保护区（康熙岭片区、坚心围片区、七十二泾片区）、北部湾二长棘鲷长毛对虾国家级种质资源保护区（实验区）</w:t>
      </w:r>
      <w:r>
        <w:rPr>
          <w:rFonts w:ascii="Arial" w:hAnsi="Arial" w:eastAsia="宋体" w:cs="Arial"/>
          <w:spacing w:val="10"/>
          <w:kern w:val="0"/>
          <w:sz w:val="24"/>
          <w:szCs w:val="21"/>
        </w:rPr>
        <w:t>。</w:t>
      </w:r>
    </w:p>
    <w:p>
      <w:pPr>
        <w:spacing w:line="500" w:lineRule="exact"/>
        <w:ind w:firstLine="476"/>
        <w:rPr>
          <w:rFonts w:ascii="Arial" w:hAnsi="Arial" w:eastAsia="宋体" w:cs="Arial"/>
          <w:spacing w:val="10"/>
          <w:kern w:val="0"/>
          <w:sz w:val="24"/>
          <w:szCs w:val="21"/>
        </w:rPr>
      </w:pPr>
    </w:p>
    <w:p>
      <w:pPr>
        <w:spacing w:line="500" w:lineRule="exact"/>
        <w:ind w:firstLine="476"/>
        <w:rPr>
          <w:rFonts w:ascii="Arial" w:hAnsi="Arial" w:eastAsia="宋体" w:cs="Arial"/>
          <w:spacing w:val="10"/>
          <w:kern w:val="0"/>
          <w:sz w:val="24"/>
          <w:szCs w:val="21"/>
        </w:rPr>
      </w:pPr>
    </w:p>
    <w:p>
      <w:pPr>
        <w:spacing w:line="500" w:lineRule="exact"/>
        <w:ind w:firstLine="476"/>
        <w:rPr>
          <w:rFonts w:ascii="Arial" w:hAnsi="Arial" w:eastAsia="宋体" w:cs="Arial"/>
          <w:spacing w:val="10"/>
          <w:kern w:val="0"/>
          <w:sz w:val="24"/>
          <w:szCs w:val="21"/>
        </w:rPr>
      </w:pP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水环境保护目标</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3"/>
        <w:gridCol w:w="1430"/>
        <w:gridCol w:w="2865"/>
        <w:gridCol w:w="844"/>
        <w:gridCol w:w="2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6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类型</w:t>
            </w:r>
          </w:p>
        </w:tc>
        <w:tc>
          <w:tcPr>
            <w:tcW w:w="4295"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名称</w:t>
            </w:r>
          </w:p>
        </w:tc>
        <w:tc>
          <w:tcPr>
            <w:tcW w:w="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方位</w:t>
            </w:r>
          </w:p>
        </w:tc>
        <w:tc>
          <w:tcPr>
            <w:tcW w:w="222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离厂界</w:t>
            </w:r>
            <w:r>
              <w:rPr>
                <w:rFonts w:ascii="Arial" w:hAnsi="Arial" w:eastAsia="宋体" w:cs="Arial"/>
                <w:sz w:val="21"/>
                <w:szCs w:val="21"/>
              </w:rPr>
              <w:t>最近距离（km）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33" w:type="dxa"/>
            <w:vMerge w:val="restart"/>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涉水的自然保护区</w:t>
            </w:r>
          </w:p>
        </w:tc>
        <w:tc>
          <w:tcPr>
            <w:tcW w:w="1430" w:type="dxa"/>
            <w:vMerge w:val="restart"/>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茅尾海红树林自然保护区</w:t>
            </w:r>
          </w:p>
        </w:tc>
        <w:tc>
          <w:tcPr>
            <w:tcW w:w="286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康熙岭片区</w:t>
            </w:r>
          </w:p>
        </w:tc>
        <w:tc>
          <w:tcPr>
            <w:tcW w:w="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222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33" w:type="dxa"/>
            <w:vMerge w:val="continue"/>
            <w:vAlign w:val="center"/>
          </w:tcPr>
          <w:p>
            <w:pPr>
              <w:adjustRightInd w:val="0"/>
              <w:snapToGrid w:val="0"/>
              <w:jc w:val="center"/>
              <w:rPr>
                <w:rFonts w:ascii="Arial" w:hAnsi="Arial" w:eastAsia="宋体" w:cs="Arial"/>
                <w:sz w:val="21"/>
                <w:szCs w:val="21"/>
              </w:rPr>
            </w:pPr>
          </w:p>
        </w:tc>
        <w:tc>
          <w:tcPr>
            <w:tcW w:w="1430" w:type="dxa"/>
            <w:vMerge w:val="continue"/>
            <w:vAlign w:val="center"/>
          </w:tcPr>
          <w:p>
            <w:pPr>
              <w:adjustRightInd w:val="0"/>
              <w:snapToGrid w:val="0"/>
              <w:jc w:val="center"/>
              <w:rPr>
                <w:rFonts w:ascii="Arial" w:hAnsi="Arial" w:eastAsia="宋体" w:cs="Arial"/>
                <w:sz w:val="21"/>
                <w:szCs w:val="21"/>
              </w:rPr>
            </w:pPr>
          </w:p>
        </w:tc>
        <w:tc>
          <w:tcPr>
            <w:tcW w:w="286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坚心围片区</w:t>
            </w:r>
          </w:p>
        </w:tc>
        <w:tc>
          <w:tcPr>
            <w:tcW w:w="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222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33" w:type="dxa"/>
            <w:vMerge w:val="continue"/>
            <w:vAlign w:val="center"/>
          </w:tcPr>
          <w:p>
            <w:pPr>
              <w:adjustRightInd w:val="0"/>
              <w:snapToGrid w:val="0"/>
              <w:jc w:val="center"/>
              <w:rPr>
                <w:rFonts w:ascii="Arial" w:hAnsi="Arial" w:eastAsia="宋体" w:cs="Arial"/>
                <w:sz w:val="21"/>
                <w:szCs w:val="21"/>
              </w:rPr>
            </w:pPr>
          </w:p>
        </w:tc>
        <w:tc>
          <w:tcPr>
            <w:tcW w:w="1430" w:type="dxa"/>
            <w:vMerge w:val="continue"/>
            <w:vAlign w:val="center"/>
          </w:tcPr>
          <w:p>
            <w:pPr>
              <w:adjustRightInd w:val="0"/>
              <w:snapToGrid w:val="0"/>
              <w:jc w:val="center"/>
              <w:rPr>
                <w:rFonts w:ascii="Arial" w:hAnsi="Arial" w:eastAsia="宋体" w:cs="Arial"/>
                <w:sz w:val="21"/>
                <w:szCs w:val="21"/>
              </w:rPr>
            </w:pPr>
          </w:p>
        </w:tc>
        <w:tc>
          <w:tcPr>
            <w:tcW w:w="286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七十二泾片区</w:t>
            </w:r>
          </w:p>
        </w:tc>
        <w:tc>
          <w:tcPr>
            <w:tcW w:w="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222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种质资源保护区</w:t>
            </w:r>
          </w:p>
        </w:tc>
        <w:tc>
          <w:tcPr>
            <w:tcW w:w="4295"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北部湾二长棘鲷长毛对虾国家级种质资源保护区（</w:t>
            </w:r>
            <w:r>
              <w:rPr>
                <w:rFonts w:ascii="Arial" w:hAnsi="Arial" w:eastAsia="宋体" w:cs="Arial"/>
                <w:sz w:val="21"/>
                <w:szCs w:val="21"/>
              </w:rPr>
              <w:t>实验区</w:t>
            </w:r>
            <w:r>
              <w:rPr>
                <w:rFonts w:hint="eastAsia" w:ascii="Arial" w:hAnsi="Arial" w:eastAsia="宋体" w:cs="Arial"/>
                <w:sz w:val="21"/>
                <w:szCs w:val="21"/>
              </w:rPr>
              <w:t>）</w:t>
            </w:r>
          </w:p>
        </w:tc>
        <w:tc>
          <w:tcPr>
            <w:tcW w:w="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南</w:t>
            </w:r>
          </w:p>
        </w:tc>
        <w:tc>
          <w:tcPr>
            <w:tcW w:w="222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21.2</w:t>
            </w:r>
          </w:p>
        </w:tc>
      </w:tr>
    </w:tbl>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3、地下水保护目标</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项目地下水环境评价范围内没有已划定的水源保护区、集中式及分散式饮用水水源地，无矿泉水、温泉等地下水资源保护区，地下水保护目标主要是下游所在含水层。</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4、声环境保护目标</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厂界200米范围内敏感目标为厂区北面10米的鸡墩头村（距项目车间最近距离约945米）；厂界200米范围内的鸡墩头村主要为沿街商铺、仓储大棚等，滨海公路南侧至厂界北侧为园区拆迁范围。</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5、土壤环境保护目标</w:t>
      </w:r>
    </w:p>
    <w:p>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厂界外1</w:t>
      </w:r>
      <w:r>
        <w:rPr>
          <w:rFonts w:hint="eastAsia" w:ascii="Arial" w:hAnsi="Arial" w:eastAsia="宋体" w:cs="Arial"/>
          <w:spacing w:val="10"/>
          <w:kern w:val="0"/>
          <w:sz w:val="24"/>
          <w:szCs w:val="21"/>
        </w:rPr>
        <w:t>千米</w:t>
      </w:r>
      <w:r>
        <w:rPr>
          <w:rFonts w:ascii="Arial" w:hAnsi="Arial" w:eastAsia="宋体" w:cs="Arial"/>
          <w:spacing w:val="10"/>
          <w:kern w:val="0"/>
          <w:sz w:val="24"/>
          <w:szCs w:val="21"/>
        </w:rPr>
        <w:t>的耕地、学校、居民区，其中的学校、居民区详见表1-</w:t>
      </w:r>
      <w:r>
        <w:rPr>
          <w:rFonts w:hint="eastAsia" w:ascii="Arial" w:hAnsi="Arial" w:eastAsia="宋体" w:cs="Arial"/>
          <w:spacing w:val="10"/>
          <w:kern w:val="0"/>
          <w:sz w:val="24"/>
          <w:szCs w:val="21"/>
        </w:rPr>
        <w:t>30</w:t>
      </w:r>
      <w:r>
        <w:rPr>
          <w:rFonts w:ascii="Arial" w:hAnsi="Arial" w:eastAsia="宋体" w:cs="Arial"/>
          <w:spacing w:val="10"/>
          <w:kern w:val="0"/>
          <w:sz w:val="24"/>
          <w:szCs w:val="21"/>
        </w:rPr>
        <w:t>。</w:t>
      </w:r>
    </w:p>
    <w:p>
      <w:pPr>
        <w:keepNext/>
        <w:keepLines/>
        <w:numPr>
          <w:ilvl w:val="0"/>
          <w:numId w:val="2"/>
        </w:numPr>
        <w:tabs>
          <w:tab w:val="left" w:pos="567"/>
        </w:tabs>
        <w:spacing w:before="210" w:after="210" w:line="500" w:lineRule="exact"/>
        <w:outlineLvl w:val="1"/>
        <w:rPr>
          <w:rFonts w:ascii="Arial" w:hAnsi="Arial" w:eastAsia="宋体" w:cs="Arial"/>
          <w:b/>
        </w:rPr>
      </w:pPr>
      <w:bookmarkStart w:id="240" w:name="_Toc154599057"/>
      <w:bookmarkStart w:id="241" w:name="_Toc182491373"/>
      <w:bookmarkStart w:id="242" w:name="_Toc166675354"/>
      <w:bookmarkStart w:id="243" w:name="_Toc185950210"/>
      <w:r>
        <w:rPr>
          <w:rFonts w:ascii="Arial" w:hAnsi="Arial" w:eastAsia="宋体" w:cs="Arial"/>
          <w:b/>
        </w:rPr>
        <w:t>相关规划</w:t>
      </w:r>
      <w:bookmarkEnd w:id="240"/>
      <w:bookmarkEnd w:id="241"/>
      <w:bookmarkEnd w:id="242"/>
      <w:bookmarkEnd w:id="243"/>
    </w:p>
    <w:p>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与《钦州港大榄坪物流加工区总体规划修编（2022-2035）》符合性分析</w:t>
      </w:r>
    </w:p>
    <w:p>
      <w:pPr>
        <w:pStyle w:val="5"/>
        <w:spacing w:line="500" w:lineRule="exact"/>
        <w:ind w:firstLine="0"/>
        <w:outlineLvl w:val="3"/>
        <w:rPr>
          <w:b/>
          <w:szCs w:val="24"/>
        </w:rPr>
      </w:pPr>
      <w:r>
        <w:rPr>
          <w:b/>
          <w:szCs w:val="24"/>
        </w:rPr>
        <w:t>1.5.</w:t>
      </w:r>
      <w:r>
        <w:rPr>
          <w:rFonts w:hint="eastAsia"/>
          <w:b/>
          <w:szCs w:val="24"/>
        </w:rPr>
        <w:t>1</w:t>
      </w:r>
      <w:r>
        <w:rPr>
          <w:b/>
          <w:szCs w:val="24"/>
        </w:rPr>
        <w:t>.1规划概况</w:t>
      </w:r>
    </w:p>
    <w:p>
      <w:pPr>
        <w:pStyle w:val="5"/>
        <w:spacing w:line="500" w:lineRule="exact"/>
        <w:ind w:firstLine="475" w:firstLineChars="194"/>
        <w:rPr>
          <w:szCs w:val="24"/>
        </w:rPr>
      </w:pPr>
      <w:r>
        <w:rPr>
          <w:szCs w:val="24"/>
        </w:rPr>
        <w:t>1、规划范围及时间</w:t>
      </w:r>
    </w:p>
    <w:p>
      <w:pPr>
        <w:pStyle w:val="5"/>
        <w:spacing w:line="500" w:lineRule="exact"/>
        <w:ind w:firstLine="475" w:firstLineChars="194"/>
        <w:rPr>
          <w:szCs w:val="24"/>
        </w:rPr>
      </w:pPr>
      <w:r>
        <w:rPr>
          <w:szCs w:val="24"/>
        </w:rPr>
        <w:t>规划区东侧为鹿耳环江及三娘湾旅游景区，西侧为大榄坪作业区和钦州港保税港区，南侧为钦州港保税港区和大环作业区，北侧为钦州港行政商务中心。总规划面积约18.76平方公里（1875.98公顷）。</w:t>
      </w:r>
    </w:p>
    <w:p>
      <w:pPr>
        <w:pStyle w:val="5"/>
        <w:spacing w:line="500" w:lineRule="exact"/>
        <w:ind w:firstLine="475" w:firstLineChars="194"/>
        <w:rPr>
          <w:szCs w:val="24"/>
        </w:rPr>
      </w:pPr>
      <w:r>
        <w:rPr>
          <w:szCs w:val="24"/>
        </w:rPr>
        <w:t>具体规划范围如下：</w:t>
      </w:r>
    </w:p>
    <w:p>
      <w:pPr>
        <w:pStyle w:val="5"/>
        <w:spacing w:line="500" w:lineRule="exact"/>
        <w:ind w:firstLine="475" w:firstLineChars="194"/>
        <w:rPr>
          <w:szCs w:val="24"/>
        </w:rPr>
      </w:pPr>
      <w:r>
        <w:rPr>
          <w:szCs w:val="24"/>
        </w:rPr>
        <w:t>（1）保税港大街北侧规划范围为：东至鹿耳环江，西至二号路，南至保税港大街，北至滨海公路。</w:t>
      </w:r>
    </w:p>
    <w:p>
      <w:pPr>
        <w:pStyle w:val="5"/>
        <w:spacing w:line="500" w:lineRule="exact"/>
        <w:ind w:firstLine="475" w:firstLineChars="194"/>
        <w:rPr>
          <w:szCs w:val="24"/>
        </w:rPr>
      </w:pPr>
      <w:r>
        <w:rPr>
          <w:szCs w:val="24"/>
        </w:rPr>
        <w:t>（2）保税港大街南侧规划范围为：东至三墩公路，西至综合保税区东边界道路，南至三墩公路和陆海大道交界处，北至保税港大街。</w:t>
      </w:r>
    </w:p>
    <w:p>
      <w:pPr>
        <w:pStyle w:val="5"/>
        <w:spacing w:line="500" w:lineRule="exact"/>
        <w:ind w:firstLine="475" w:firstLineChars="194"/>
        <w:rPr>
          <w:szCs w:val="24"/>
        </w:rPr>
      </w:pPr>
      <w:r>
        <w:rPr>
          <w:szCs w:val="24"/>
        </w:rPr>
        <w:t>规划期限为：近期：2025年；远期：2035年。</w:t>
      </w:r>
    </w:p>
    <w:p>
      <w:pPr>
        <w:pStyle w:val="5"/>
        <w:spacing w:line="500" w:lineRule="exact"/>
        <w:ind w:firstLine="475" w:firstLineChars="194"/>
        <w:rPr>
          <w:szCs w:val="24"/>
        </w:rPr>
      </w:pPr>
      <w:r>
        <w:rPr>
          <w:szCs w:val="24"/>
        </w:rPr>
        <w:t>2、产业发展</w:t>
      </w:r>
    </w:p>
    <w:p>
      <w:pPr>
        <w:pStyle w:val="5"/>
        <w:spacing w:line="500" w:lineRule="exact"/>
        <w:ind w:firstLine="475" w:firstLineChars="194"/>
        <w:rPr>
          <w:szCs w:val="24"/>
        </w:rPr>
      </w:pPr>
      <w:r>
        <w:rPr>
          <w:szCs w:val="24"/>
        </w:rPr>
        <w:t>（1）产业规划</w:t>
      </w:r>
    </w:p>
    <w:p>
      <w:pPr>
        <w:pStyle w:val="5"/>
        <w:spacing w:line="500" w:lineRule="exact"/>
        <w:ind w:firstLine="475" w:firstLineChars="194"/>
        <w:rPr>
          <w:szCs w:val="24"/>
        </w:rPr>
      </w:pPr>
      <w:r>
        <w:rPr>
          <w:szCs w:val="24"/>
        </w:rPr>
        <w:t>加工区依托“临港”交通区位优势，推动港产城融合，以临港汽车、装备产业加工及新能源材料制造等为主导产业。</w:t>
      </w:r>
    </w:p>
    <w:p>
      <w:pPr>
        <w:pStyle w:val="5"/>
        <w:spacing w:line="500" w:lineRule="exact"/>
        <w:ind w:firstLine="475" w:firstLineChars="194"/>
        <w:rPr>
          <w:szCs w:val="24"/>
        </w:rPr>
      </w:pPr>
      <w:r>
        <w:rPr>
          <w:rFonts w:hint="eastAsia" w:ascii="宋体" w:hAnsi="宋体" w:cs="宋体"/>
          <w:szCs w:val="24"/>
        </w:rPr>
        <w:t>①</w:t>
      </w:r>
      <w:r>
        <w:rPr>
          <w:szCs w:val="24"/>
        </w:rPr>
        <w:t>汽车产业</w:t>
      </w:r>
    </w:p>
    <w:p>
      <w:pPr>
        <w:pStyle w:val="5"/>
        <w:spacing w:line="500" w:lineRule="exact"/>
        <w:ind w:firstLine="475" w:firstLineChars="194"/>
        <w:rPr>
          <w:szCs w:val="24"/>
        </w:rPr>
      </w:pPr>
      <w:r>
        <w:rPr>
          <w:szCs w:val="24"/>
        </w:rPr>
        <w:t>加工区围绕吸引整车组装厂为核心构建针对满足需求的汽车制造产业基础，打造面向东盟的新能源汽车整车制造、零部件、充电设施为一体的产业集群。</w:t>
      </w:r>
    </w:p>
    <w:p>
      <w:pPr>
        <w:pStyle w:val="5"/>
        <w:spacing w:line="500" w:lineRule="exact"/>
        <w:ind w:firstLine="475" w:firstLineChars="194"/>
        <w:rPr>
          <w:szCs w:val="24"/>
        </w:rPr>
      </w:pPr>
      <w:r>
        <w:rPr>
          <w:rFonts w:hint="eastAsia" w:ascii="宋体" w:hAnsi="宋体" w:cs="宋体"/>
          <w:szCs w:val="24"/>
        </w:rPr>
        <w:t>②</w:t>
      </w:r>
      <w:r>
        <w:rPr>
          <w:szCs w:val="24"/>
        </w:rPr>
        <w:t>装备加工产业</w:t>
      </w:r>
    </w:p>
    <w:p>
      <w:pPr>
        <w:pStyle w:val="5"/>
        <w:spacing w:line="500" w:lineRule="exact"/>
        <w:ind w:firstLine="475" w:firstLineChars="194"/>
        <w:rPr>
          <w:szCs w:val="24"/>
        </w:rPr>
      </w:pPr>
      <w:r>
        <w:rPr>
          <w:szCs w:val="24"/>
        </w:rPr>
        <w:t>本次规划装备制造业涉及通用设备制造、专用设备制造、电气机械和器材制造三大门类。主要选择通用零部件、农用机械、建筑与工程机械、电力设备等门类作为发展方向。</w:t>
      </w:r>
    </w:p>
    <w:p>
      <w:pPr>
        <w:pStyle w:val="5"/>
        <w:spacing w:line="500" w:lineRule="exact"/>
        <w:ind w:firstLine="475" w:firstLineChars="194"/>
        <w:rPr>
          <w:szCs w:val="24"/>
        </w:rPr>
      </w:pPr>
      <w:r>
        <w:rPr>
          <w:rFonts w:hint="eastAsia" w:ascii="宋体" w:hAnsi="宋体" w:cs="宋体"/>
          <w:szCs w:val="24"/>
        </w:rPr>
        <w:t>③</w:t>
      </w:r>
      <w:r>
        <w:rPr>
          <w:szCs w:val="24"/>
        </w:rPr>
        <w:t>新能源材料产业</w:t>
      </w:r>
    </w:p>
    <w:p>
      <w:pPr>
        <w:pStyle w:val="5"/>
        <w:spacing w:line="500" w:lineRule="exact"/>
        <w:ind w:firstLine="475" w:firstLineChars="194"/>
        <w:rPr>
          <w:szCs w:val="24"/>
        </w:rPr>
      </w:pPr>
      <w:r>
        <w:rPr>
          <w:szCs w:val="24"/>
        </w:rPr>
        <w:t>新能源材料产业涉及有色金属冶炼（镍钴冶炼）、电子元件及专用材料制造等，主要选择金属镍溶解处置线和金属钴溶解、高冰镍、硫酸镍、硫酸钴、三元前驱体生产、电解镍生产等作为发展方向。</w:t>
      </w:r>
    </w:p>
    <w:p>
      <w:pPr>
        <w:pStyle w:val="5"/>
        <w:spacing w:line="500" w:lineRule="exact"/>
        <w:ind w:firstLine="475" w:firstLineChars="194"/>
        <w:rPr>
          <w:szCs w:val="24"/>
        </w:rPr>
      </w:pPr>
      <w:r>
        <w:rPr>
          <w:rFonts w:hint="eastAsia" w:ascii="宋体" w:hAnsi="宋体" w:cs="宋体"/>
          <w:szCs w:val="24"/>
        </w:rPr>
        <w:t>④</w:t>
      </w:r>
      <w:r>
        <w:rPr>
          <w:szCs w:val="24"/>
        </w:rPr>
        <w:t>物流产业</w:t>
      </w:r>
    </w:p>
    <w:p>
      <w:pPr>
        <w:pStyle w:val="5"/>
        <w:spacing w:line="500" w:lineRule="exact"/>
        <w:ind w:firstLine="475" w:firstLineChars="194"/>
        <w:rPr>
          <w:szCs w:val="24"/>
        </w:rPr>
      </w:pPr>
      <w:r>
        <w:rPr>
          <w:szCs w:val="24"/>
        </w:rPr>
        <w:t>依托深水港口、保税港区政策，建立以国际物流为主导，商务服务相配套的现代港口物流产业体系。重点发展集装箱堆存、拆拼、转运、综合处理等系列服务；根据港口发展适度发展其他件杂货种的仓储业务。</w:t>
      </w:r>
    </w:p>
    <w:p>
      <w:pPr>
        <w:pStyle w:val="5"/>
        <w:spacing w:line="500" w:lineRule="exact"/>
        <w:ind w:firstLine="475" w:firstLineChars="194"/>
        <w:rPr>
          <w:szCs w:val="24"/>
        </w:rPr>
      </w:pPr>
      <w:r>
        <w:rPr>
          <w:szCs w:val="24"/>
        </w:rPr>
        <w:t>（2）产业布局</w:t>
      </w:r>
    </w:p>
    <w:p>
      <w:pPr>
        <w:pStyle w:val="5"/>
        <w:spacing w:line="500" w:lineRule="exact"/>
        <w:ind w:firstLine="475" w:firstLineChars="194"/>
        <w:rPr>
          <w:szCs w:val="24"/>
        </w:rPr>
      </w:pPr>
      <w:r>
        <w:rPr>
          <w:szCs w:val="24"/>
        </w:rPr>
        <w:t>本规划将产业空间布局划分为4个类别组团。</w:t>
      </w:r>
    </w:p>
    <w:p>
      <w:pPr>
        <w:pStyle w:val="5"/>
        <w:spacing w:line="500" w:lineRule="exact"/>
        <w:ind w:firstLine="475" w:firstLineChars="194"/>
        <w:rPr>
          <w:szCs w:val="24"/>
        </w:rPr>
      </w:pPr>
      <w:r>
        <w:rPr>
          <w:rFonts w:hint="eastAsia" w:ascii="宋体" w:hAnsi="宋体" w:cs="宋体"/>
          <w:szCs w:val="24"/>
        </w:rPr>
        <w:t>①</w:t>
      </w:r>
      <w:r>
        <w:rPr>
          <w:szCs w:val="24"/>
        </w:rPr>
        <w:t>汽车产业：新能源汽车整车制造、零部件、充电设施等。</w:t>
      </w:r>
    </w:p>
    <w:p>
      <w:pPr>
        <w:pStyle w:val="5"/>
        <w:spacing w:line="500" w:lineRule="exact"/>
        <w:ind w:firstLine="475" w:firstLineChars="194"/>
        <w:rPr>
          <w:szCs w:val="24"/>
        </w:rPr>
      </w:pPr>
      <w:r>
        <w:rPr>
          <w:rFonts w:hint="eastAsia" w:ascii="宋体" w:hAnsi="宋体" w:cs="宋体"/>
          <w:szCs w:val="24"/>
        </w:rPr>
        <w:t>②</w:t>
      </w:r>
      <w:r>
        <w:rPr>
          <w:szCs w:val="24"/>
        </w:rPr>
        <w:t>装备加工产业：以通用零部件、农用机械、建筑与工程机械、电力设备等为主导。</w:t>
      </w:r>
    </w:p>
    <w:p>
      <w:pPr>
        <w:pStyle w:val="5"/>
        <w:spacing w:line="500" w:lineRule="exact"/>
        <w:ind w:firstLine="475" w:firstLineChars="194"/>
        <w:rPr>
          <w:szCs w:val="24"/>
        </w:rPr>
      </w:pPr>
      <w:r>
        <w:rPr>
          <w:rFonts w:hint="eastAsia" w:ascii="宋体" w:hAnsi="宋体" w:cs="宋体"/>
          <w:szCs w:val="24"/>
        </w:rPr>
        <w:t>③</w:t>
      </w:r>
      <w:r>
        <w:rPr>
          <w:szCs w:val="24"/>
        </w:rPr>
        <w:t>新能源材料产业：金属镍溶解处置线和金属钴溶解、高冰镍、硫酸镍、硫酸钴、三元前驱体生产、电解镍生产等。</w:t>
      </w:r>
    </w:p>
    <w:p>
      <w:pPr>
        <w:pStyle w:val="5"/>
        <w:spacing w:line="500" w:lineRule="exact"/>
        <w:ind w:firstLine="475" w:firstLineChars="194"/>
        <w:rPr>
          <w:szCs w:val="24"/>
        </w:rPr>
      </w:pPr>
      <w:r>
        <w:rPr>
          <w:rFonts w:hint="eastAsia" w:ascii="宋体" w:hAnsi="宋体" w:cs="宋体"/>
          <w:szCs w:val="24"/>
        </w:rPr>
        <w:t>④</w:t>
      </w:r>
      <w:r>
        <w:rPr>
          <w:szCs w:val="24"/>
        </w:rPr>
        <w:t>现代物流产业区：物流项目。</w:t>
      </w:r>
    </w:p>
    <w:p>
      <w:pPr>
        <w:pStyle w:val="5"/>
        <w:spacing w:line="500" w:lineRule="exact"/>
        <w:ind w:firstLine="0"/>
        <w:outlineLvl w:val="3"/>
        <w:rPr>
          <w:b/>
          <w:szCs w:val="24"/>
        </w:rPr>
      </w:pPr>
      <w:r>
        <w:rPr>
          <w:b/>
          <w:szCs w:val="24"/>
        </w:rPr>
        <w:t>1.5.</w:t>
      </w:r>
      <w:r>
        <w:rPr>
          <w:rFonts w:hint="eastAsia"/>
          <w:b/>
          <w:szCs w:val="24"/>
        </w:rPr>
        <w:t>1</w:t>
      </w:r>
      <w:r>
        <w:rPr>
          <w:b/>
          <w:szCs w:val="24"/>
        </w:rPr>
        <w:t>.2与规划符合性分析</w:t>
      </w:r>
    </w:p>
    <w:p>
      <w:pPr>
        <w:pStyle w:val="5"/>
        <w:spacing w:line="500" w:lineRule="exact"/>
        <w:ind w:firstLine="475" w:firstLineChars="194"/>
        <w:rPr>
          <w:szCs w:val="24"/>
        </w:rPr>
      </w:pPr>
      <w:r>
        <w:rPr>
          <w:rFonts w:hint="eastAsia"/>
          <w:szCs w:val="24"/>
        </w:rPr>
        <w:t>变更后</w:t>
      </w:r>
      <w:r>
        <w:rPr>
          <w:szCs w:val="24"/>
        </w:rPr>
        <w:t>项目</w:t>
      </w:r>
      <w:r>
        <w:rPr>
          <w:rFonts w:hint="eastAsia"/>
          <w:szCs w:val="24"/>
        </w:rPr>
        <w:t>以硫酸钴晶体、液碱、氨水及双氧水为原辅料生产羟基钴，羟基钴属于钴酸锂类电池的原料之一</w:t>
      </w:r>
      <w:r>
        <w:rPr>
          <w:szCs w:val="24"/>
        </w:rPr>
        <w:t>。因此，</w:t>
      </w:r>
      <w:r>
        <w:rPr>
          <w:rFonts w:hint="eastAsia"/>
          <w:szCs w:val="24"/>
        </w:rPr>
        <w:t>变更后</w:t>
      </w:r>
      <w:r>
        <w:rPr>
          <w:szCs w:val="24"/>
        </w:rPr>
        <w:t>项目属于“新能源材料产业”，项目的建设符合《钦州港大榄坪物流加工区总体规划修编（2022-2035）》</w:t>
      </w:r>
      <w:r>
        <w:rPr>
          <w:rFonts w:hint="eastAsia"/>
          <w:szCs w:val="24"/>
        </w:rPr>
        <w:t>的产业发展及产业布局</w:t>
      </w:r>
      <w:r>
        <w:rPr>
          <w:szCs w:val="24"/>
        </w:rPr>
        <w:t>。</w:t>
      </w:r>
    </w:p>
    <w:p>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与《钦州港大榄坪物流加工区总体规划修编（2022-2035）环境影响报告书》及其审查意见符合性分析</w:t>
      </w:r>
    </w:p>
    <w:p>
      <w:pPr>
        <w:pStyle w:val="5"/>
        <w:spacing w:line="500" w:lineRule="exact"/>
        <w:ind w:firstLine="0"/>
        <w:outlineLvl w:val="3"/>
        <w:rPr>
          <w:b/>
          <w:szCs w:val="24"/>
        </w:rPr>
      </w:pPr>
      <w:r>
        <w:rPr>
          <w:b/>
          <w:szCs w:val="24"/>
        </w:rPr>
        <w:t>1.5.</w:t>
      </w:r>
      <w:r>
        <w:rPr>
          <w:rFonts w:hint="eastAsia"/>
          <w:b/>
          <w:szCs w:val="24"/>
        </w:rPr>
        <w:t>2</w:t>
      </w:r>
      <w:r>
        <w:rPr>
          <w:b/>
          <w:szCs w:val="24"/>
        </w:rPr>
        <w:t>.1规划环评相关要求及符合性分析</w:t>
      </w:r>
    </w:p>
    <w:p>
      <w:pPr>
        <w:pStyle w:val="5"/>
        <w:spacing w:line="500" w:lineRule="exact"/>
        <w:ind w:firstLine="475" w:firstLineChars="194"/>
        <w:rPr>
          <w:szCs w:val="24"/>
        </w:rPr>
      </w:pPr>
      <w:r>
        <w:rPr>
          <w:szCs w:val="24"/>
        </w:rPr>
        <w:t>1、环境准入</w:t>
      </w:r>
    </w:p>
    <w:p>
      <w:pPr>
        <w:pStyle w:val="5"/>
        <w:spacing w:line="500" w:lineRule="exact"/>
        <w:ind w:firstLine="475" w:firstLineChars="194"/>
        <w:rPr>
          <w:szCs w:val="24"/>
        </w:rPr>
      </w:pPr>
      <w:r>
        <w:rPr>
          <w:szCs w:val="24"/>
        </w:rPr>
        <w:t>（1）保护区域环境准入要求（见表1-3</w:t>
      </w:r>
      <w:r>
        <w:rPr>
          <w:rFonts w:hint="eastAsia"/>
          <w:szCs w:val="24"/>
        </w:rPr>
        <w:t>2</w:t>
      </w:r>
      <w:r>
        <w:rPr>
          <w:szCs w:val="24"/>
        </w:rPr>
        <w:t>）</w:t>
      </w:r>
    </w:p>
    <w:p>
      <w:pPr>
        <w:pStyle w:val="5"/>
        <w:spacing w:line="500" w:lineRule="exact"/>
        <w:ind w:firstLine="475" w:firstLineChars="194"/>
        <w:rPr>
          <w:szCs w:val="24"/>
        </w:rPr>
      </w:pPr>
      <w:r>
        <w:rPr>
          <w:szCs w:val="24"/>
        </w:rPr>
        <w:t>（2）重点管控区域环境准入要求（见表1-3</w:t>
      </w:r>
      <w:r>
        <w:rPr>
          <w:rFonts w:hint="eastAsia"/>
          <w:szCs w:val="24"/>
        </w:rPr>
        <w:t>3</w:t>
      </w:r>
      <w:r>
        <w:rPr>
          <w:szCs w:val="24"/>
        </w:rPr>
        <w:t>、表1-3</w:t>
      </w:r>
      <w:r>
        <w:rPr>
          <w:rFonts w:hint="eastAsia"/>
          <w:szCs w:val="24"/>
        </w:rPr>
        <w:t>4</w:t>
      </w:r>
      <w:r>
        <w:rPr>
          <w:szCs w:val="24"/>
        </w:rPr>
        <w:t>）</w:t>
      </w:r>
    </w:p>
    <w:p>
      <w:pPr>
        <w:pStyle w:val="5"/>
        <w:spacing w:line="500" w:lineRule="exact"/>
        <w:ind w:firstLine="475" w:firstLineChars="194"/>
        <w:rPr>
          <w:szCs w:val="24"/>
        </w:rPr>
      </w:pPr>
      <w:r>
        <w:rPr>
          <w:szCs w:val="24"/>
        </w:rPr>
        <w:t>2、环境管理对策</w:t>
      </w:r>
    </w:p>
    <w:p>
      <w:pPr>
        <w:pStyle w:val="5"/>
        <w:spacing w:line="500" w:lineRule="exact"/>
        <w:ind w:firstLine="475" w:firstLineChars="194"/>
        <w:rPr>
          <w:szCs w:val="24"/>
          <w:highlight w:val="yellow"/>
        </w:rPr>
      </w:pPr>
      <w:r>
        <w:rPr>
          <w:szCs w:val="24"/>
        </w:rPr>
        <w:t>根据表1-3</w:t>
      </w:r>
      <w:r>
        <w:rPr>
          <w:rFonts w:hint="eastAsia"/>
          <w:szCs w:val="24"/>
        </w:rPr>
        <w:t>2</w:t>
      </w:r>
      <w:r>
        <w:rPr>
          <w:szCs w:val="24"/>
        </w:rPr>
        <w:t>~表1-</w:t>
      </w:r>
      <w:r>
        <w:rPr>
          <w:rFonts w:hint="eastAsia"/>
          <w:szCs w:val="24"/>
        </w:rPr>
        <w:t>34</w:t>
      </w:r>
      <w:r>
        <w:rPr>
          <w:szCs w:val="24"/>
        </w:rPr>
        <w:t>，项目符合规划环评相关要求。</w:t>
      </w:r>
    </w:p>
    <w:p>
      <w:pPr>
        <w:pStyle w:val="5"/>
        <w:spacing w:line="500" w:lineRule="exact"/>
        <w:ind w:firstLine="475" w:firstLineChars="194"/>
        <w:rPr>
          <w:szCs w:val="24"/>
          <w:highlight w:val="yellow"/>
        </w:rPr>
        <w:sectPr>
          <w:headerReference r:id="rId13" w:type="default"/>
          <w:footerReference r:id="rId14" w:type="default"/>
          <w:pgSz w:w="11907" w:h="16840"/>
          <w:pgMar w:top="1678" w:right="1408" w:bottom="1901" w:left="1155" w:header="1174" w:footer="1029" w:gutter="567"/>
          <w:pgNumType w:start="1"/>
          <w:cols w:space="720" w:num="1"/>
          <w:docGrid w:type="linesAndChars" w:linePitch="421" w:charSpace="-3161"/>
        </w:sectPr>
      </w:pP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保护区域环境准入要求符合性分析</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656"/>
        <w:gridCol w:w="5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序号</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内容</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禁止建设工业污染类项目，地块建设内容应符合相应规划。加工区在引进对环境影响较大的项目时，应当尽可能布局在远离生态红线的开发用地上，确保生态保护钦州港大榄坪物流加工区总体规划修编（2022-2035）环境影响报告书红线内的敏感区域环境质量不下降。</w:t>
            </w:r>
          </w:p>
        </w:tc>
        <w:tc>
          <w:tcPr>
            <w:tcW w:w="5006"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项目在企业现有厂区工业用地内建设，不在保护区域内。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以保护为主，严格限制区域开发强度，区域内污染物排放总量不得增加。</w:t>
            </w:r>
          </w:p>
        </w:tc>
        <w:tc>
          <w:tcPr>
            <w:tcW w:w="50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未依法取得相关开发建设手续前，禁止建设。</w:t>
            </w:r>
          </w:p>
        </w:tc>
        <w:tc>
          <w:tcPr>
            <w:tcW w:w="50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准入负面清单符合性分析</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5246"/>
        <w:gridCol w:w="7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类型</w:t>
            </w:r>
          </w:p>
        </w:tc>
        <w:tc>
          <w:tcPr>
            <w:tcW w:w="52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内容</w:t>
            </w:r>
          </w:p>
        </w:tc>
        <w:tc>
          <w:tcPr>
            <w:tcW w:w="713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总体要求</w:t>
            </w:r>
          </w:p>
        </w:tc>
        <w:tc>
          <w:tcPr>
            <w:tcW w:w="52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1.禁止建设国家现行产业政策明令限制、禁止或淘汰的项目、产能严重过剩行业项目、落后生产工艺或设备、落后生产能力项目。</w:t>
            </w:r>
          </w:p>
          <w:p>
            <w:pPr>
              <w:adjustRightInd w:val="0"/>
              <w:snapToGrid w:val="0"/>
              <w:jc w:val="left"/>
              <w:rPr>
                <w:rFonts w:ascii="Arial" w:hAnsi="Arial" w:eastAsia="宋体" w:cs="Arial"/>
                <w:sz w:val="21"/>
                <w:szCs w:val="21"/>
              </w:rPr>
            </w:pPr>
            <w:r>
              <w:rPr>
                <w:rFonts w:ascii="Arial" w:hAnsi="Arial" w:eastAsia="宋体" w:cs="Arial"/>
                <w:sz w:val="21"/>
                <w:szCs w:val="21"/>
              </w:rPr>
              <w:t>2.禁止建设不符合园区规划产业定位或与产业链条无关联的项目。</w:t>
            </w:r>
          </w:p>
          <w:p>
            <w:pPr>
              <w:adjustRightInd w:val="0"/>
              <w:snapToGrid w:val="0"/>
              <w:jc w:val="left"/>
              <w:rPr>
                <w:rFonts w:ascii="Arial" w:hAnsi="Arial" w:eastAsia="宋体" w:cs="Arial"/>
                <w:sz w:val="21"/>
                <w:szCs w:val="21"/>
              </w:rPr>
            </w:pPr>
            <w:r>
              <w:rPr>
                <w:rFonts w:ascii="Arial" w:hAnsi="Arial" w:eastAsia="宋体" w:cs="Arial"/>
                <w:sz w:val="21"/>
                <w:szCs w:val="21"/>
              </w:rPr>
              <w:t>3.禁止建设不符合国家相关行业准入条件的项目。</w:t>
            </w:r>
          </w:p>
          <w:p>
            <w:pPr>
              <w:adjustRightInd w:val="0"/>
              <w:snapToGrid w:val="0"/>
              <w:jc w:val="left"/>
              <w:rPr>
                <w:rFonts w:ascii="Arial" w:hAnsi="Arial" w:eastAsia="宋体" w:cs="Arial"/>
                <w:sz w:val="21"/>
                <w:szCs w:val="21"/>
              </w:rPr>
            </w:pPr>
            <w:r>
              <w:rPr>
                <w:rFonts w:ascii="Arial" w:hAnsi="Arial" w:eastAsia="宋体" w:cs="Arial"/>
                <w:sz w:val="21"/>
                <w:szCs w:val="21"/>
              </w:rPr>
              <w:t>4.禁止建设《产业结构调整指导目录（2019年本）》（2021年12月修改）、《广西工业产业结构调整指导目录（2021年本）》、《外商投资产业指导目录（2017年修订）》中限制类、淘汰类项目。</w:t>
            </w:r>
          </w:p>
        </w:tc>
        <w:tc>
          <w:tcPr>
            <w:tcW w:w="713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1.项目不属于国家现行产业政策明令限制、禁止或淘汰的项目，不属于产能严重过剩行业项目，不使用落后生产工艺或设备，也不属于落后生产能力项目。</w:t>
            </w:r>
          </w:p>
          <w:p>
            <w:pPr>
              <w:adjustRightInd w:val="0"/>
              <w:snapToGrid w:val="0"/>
              <w:jc w:val="left"/>
              <w:rPr>
                <w:rFonts w:ascii="Arial" w:hAnsi="Arial" w:eastAsia="宋体" w:cs="Arial"/>
                <w:sz w:val="21"/>
                <w:szCs w:val="21"/>
              </w:rPr>
            </w:pPr>
            <w:r>
              <w:rPr>
                <w:rFonts w:ascii="Arial" w:hAnsi="Arial" w:eastAsia="宋体" w:cs="Arial"/>
                <w:sz w:val="21"/>
                <w:szCs w:val="21"/>
              </w:rPr>
              <w:t>2.根据&amp;1.5.2.2的分析，项目符合园区规划产业定位，属于产业链相关项目。</w:t>
            </w:r>
          </w:p>
          <w:p>
            <w:pPr>
              <w:adjustRightInd w:val="0"/>
              <w:snapToGrid w:val="0"/>
              <w:jc w:val="left"/>
              <w:rPr>
                <w:rFonts w:ascii="Arial" w:hAnsi="Arial" w:eastAsia="宋体" w:cs="Arial"/>
                <w:sz w:val="21"/>
                <w:szCs w:val="21"/>
              </w:rPr>
            </w:pPr>
            <w:r>
              <w:rPr>
                <w:rFonts w:ascii="Arial" w:hAnsi="Arial" w:eastAsia="宋体" w:cs="Arial"/>
                <w:sz w:val="21"/>
                <w:szCs w:val="21"/>
              </w:rPr>
              <w:t>3.项目符合国家相关行业准入条件。</w:t>
            </w:r>
          </w:p>
          <w:p>
            <w:pPr>
              <w:adjustRightInd w:val="0"/>
              <w:snapToGrid w:val="0"/>
              <w:jc w:val="left"/>
              <w:rPr>
                <w:rFonts w:ascii="Arial" w:hAnsi="Arial" w:eastAsia="宋体" w:cs="Arial"/>
                <w:sz w:val="21"/>
                <w:szCs w:val="21"/>
              </w:rPr>
            </w:pPr>
            <w:r>
              <w:rPr>
                <w:rFonts w:ascii="Arial" w:hAnsi="Arial" w:eastAsia="宋体" w:cs="Arial"/>
                <w:sz w:val="21"/>
                <w:szCs w:val="21"/>
              </w:rPr>
              <w:t>4.项目不属于《产业结构调整指导目录（2024年本）》鼓励类、限制类、淘汰类项目，为允许类；《广西工业产业结构调整指导目录（2021年本）》现已废止</w:t>
            </w:r>
            <w:r>
              <w:rPr>
                <w:rFonts w:hint="eastAsia" w:ascii="Arial" w:hAnsi="Arial" w:eastAsia="宋体" w:cs="Arial"/>
                <w:sz w:val="21"/>
                <w:szCs w:val="21"/>
              </w:rPr>
              <w:t>，不再对照分析</w:t>
            </w:r>
            <w:r>
              <w:rPr>
                <w:rFonts w:ascii="Arial" w:hAnsi="Arial" w:eastAsia="宋体" w:cs="Arial"/>
                <w:sz w:val="21"/>
                <w:szCs w:val="21"/>
              </w:rPr>
              <w:t>。</w:t>
            </w: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重点管控区域行业环境准入清单符合性分析</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553"/>
        <w:gridCol w:w="4820"/>
        <w:gridCol w:w="5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清单类型</w:t>
            </w:r>
          </w:p>
        </w:tc>
        <w:tc>
          <w:tcPr>
            <w:tcW w:w="737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内容</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空间布局约束</w:t>
            </w:r>
          </w:p>
        </w:tc>
        <w:tc>
          <w:tcPr>
            <w:tcW w:w="737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1.应按规划功能组团布局相应产业，入驻企业的选址须符合相应的行业准入条件和防护距离要求，企业的厂区布局设计要严格遵守《建筑设计防火规范》等相关规定，充分考虑总图布置在环保方面合理性。</w:t>
            </w:r>
          </w:p>
          <w:p>
            <w:pPr>
              <w:adjustRightInd w:val="0"/>
              <w:snapToGrid w:val="0"/>
              <w:jc w:val="left"/>
              <w:rPr>
                <w:rFonts w:ascii="Arial" w:hAnsi="Arial" w:eastAsia="宋体" w:cs="Arial"/>
                <w:sz w:val="21"/>
                <w:szCs w:val="21"/>
              </w:rPr>
            </w:pPr>
            <w:r>
              <w:rPr>
                <w:rFonts w:ascii="Arial" w:hAnsi="Arial" w:eastAsia="宋体" w:cs="Arial"/>
                <w:sz w:val="21"/>
                <w:szCs w:val="21"/>
              </w:rPr>
              <w:t>2.村屯用地周边严控布局潜在污染和环境风险突出的建设项目。</w:t>
            </w:r>
          </w:p>
          <w:p>
            <w:pPr>
              <w:adjustRightInd w:val="0"/>
              <w:snapToGrid w:val="0"/>
              <w:jc w:val="left"/>
              <w:rPr>
                <w:rFonts w:ascii="Arial" w:hAnsi="Arial" w:eastAsia="宋体" w:cs="Arial"/>
                <w:sz w:val="21"/>
                <w:szCs w:val="21"/>
              </w:rPr>
            </w:pPr>
            <w:r>
              <w:rPr>
                <w:rFonts w:ascii="Arial" w:hAnsi="Arial" w:eastAsia="宋体" w:cs="Arial"/>
                <w:sz w:val="21"/>
                <w:szCs w:val="21"/>
              </w:rPr>
              <w:t>3.入园项目应符合园区产业定位，符合《广西生态保护正面清单》（2022）和《广西生态保护禁止事项清单（2022）》中的要求。</w:t>
            </w:r>
          </w:p>
          <w:p>
            <w:pPr>
              <w:adjustRightInd w:val="0"/>
              <w:snapToGrid w:val="0"/>
              <w:jc w:val="left"/>
              <w:rPr>
                <w:rFonts w:ascii="Arial" w:hAnsi="Arial" w:eastAsia="宋体" w:cs="Arial"/>
                <w:sz w:val="21"/>
                <w:szCs w:val="21"/>
              </w:rPr>
            </w:pPr>
            <w:r>
              <w:rPr>
                <w:rFonts w:ascii="Arial" w:hAnsi="Arial" w:eastAsia="宋体" w:cs="Arial"/>
                <w:sz w:val="21"/>
                <w:szCs w:val="21"/>
              </w:rPr>
              <w:t>4.入驻企业应符合国家和行业环境保护标准、清洁生产标准和行业准入条件要求，符合国家产业政策、区域规划及政策要求，建设规模应符合国家产业政策的最小经济规模要求。禁止建设国家现行产业政策明令限制、禁止或淘汰的项目、落后生产工艺或设备、落后生产能力项目，禁止建设不符合园区规划产业定位或与产业链条无关联的项目。</w:t>
            </w:r>
          </w:p>
          <w:p>
            <w:pPr>
              <w:adjustRightInd w:val="0"/>
              <w:snapToGrid w:val="0"/>
              <w:jc w:val="left"/>
              <w:rPr>
                <w:rFonts w:ascii="Arial" w:hAnsi="Arial" w:eastAsia="宋体" w:cs="Arial"/>
                <w:sz w:val="21"/>
                <w:szCs w:val="21"/>
              </w:rPr>
            </w:pPr>
            <w:r>
              <w:rPr>
                <w:rFonts w:ascii="Arial" w:hAnsi="Arial" w:eastAsia="宋体" w:cs="Arial"/>
                <w:sz w:val="21"/>
                <w:szCs w:val="21"/>
              </w:rPr>
              <w:t>5.有行业标准的，企业清洁生产水平至少达到国内领先水平。</w:t>
            </w:r>
          </w:p>
          <w:p>
            <w:pPr>
              <w:adjustRightInd w:val="0"/>
              <w:snapToGrid w:val="0"/>
              <w:jc w:val="left"/>
              <w:rPr>
                <w:rFonts w:ascii="Arial" w:hAnsi="Arial" w:eastAsia="宋体" w:cs="Arial"/>
                <w:sz w:val="21"/>
                <w:szCs w:val="21"/>
              </w:rPr>
            </w:pPr>
            <w:r>
              <w:rPr>
                <w:rFonts w:ascii="Arial" w:hAnsi="Arial" w:eastAsia="宋体" w:cs="Arial"/>
                <w:sz w:val="21"/>
                <w:szCs w:val="21"/>
              </w:rPr>
              <w:t>6.危险化学品的仓储条件必须满足《危险化学品经营企业安全技术基本要求》（GB18265-2019）要求。</w:t>
            </w:r>
          </w:p>
          <w:p>
            <w:pPr>
              <w:adjustRightInd w:val="0"/>
              <w:snapToGrid w:val="0"/>
              <w:jc w:val="left"/>
              <w:rPr>
                <w:rFonts w:ascii="Arial" w:hAnsi="Arial" w:eastAsia="宋体" w:cs="Arial"/>
                <w:sz w:val="21"/>
                <w:szCs w:val="21"/>
              </w:rPr>
            </w:pPr>
            <w:r>
              <w:rPr>
                <w:rFonts w:ascii="Arial" w:hAnsi="Arial" w:eastAsia="宋体" w:cs="Arial"/>
                <w:sz w:val="21"/>
                <w:szCs w:val="21"/>
              </w:rPr>
              <w:t>7.入驻企业执行排污许可证制度，合理确定排污单位污染物排放种类、浓度、许可排放量等要求。</w:t>
            </w:r>
          </w:p>
          <w:p>
            <w:pPr>
              <w:adjustRightInd w:val="0"/>
              <w:snapToGrid w:val="0"/>
              <w:jc w:val="left"/>
              <w:rPr>
                <w:rFonts w:ascii="Arial" w:hAnsi="Arial" w:eastAsia="宋体" w:cs="Arial"/>
                <w:szCs w:val="21"/>
              </w:rPr>
            </w:pPr>
            <w:r>
              <w:rPr>
                <w:rFonts w:ascii="Arial" w:hAnsi="Arial" w:eastAsia="宋体" w:cs="Arial"/>
                <w:sz w:val="21"/>
                <w:szCs w:val="21"/>
              </w:rPr>
              <w:t>8.加工区围填海历史遗留问题应根据《国务院关于加强滨海湿地保护严格管控围填海的通知》（国发〔2018〕24号）的有关规定，严格限制围填海用于房地产开发、低水平重复建设旅游休闲娱乐项目及污染海洋生态环境的项目，对入驻的项目，按照法定审批权限依法办理用海手续。</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1.项目在现有厂区内建设，处于对应的新能源材料产业组团；项目符合行业准入条件，不设置防护距离；项目各建设内容结合现有工程功能布局布置，平面布局合理。</w:t>
            </w:r>
          </w:p>
          <w:p>
            <w:pPr>
              <w:adjustRightInd w:val="0"/>
              <w:snapToGrid w:val="0"/>
              <w:jc w:val="left"/>
              <w:rPr>
                <w:rFonts w:ascii="Arial" w:hAnsi="Arial" w:eastAsia="宋体" w:cs="Arial"/>
                <w:sz w:val="21"/>
                <w:szCs w:val="21"/>
              </w:rPr>
            </w:pPr>
            <w:r>
              <w:rPr>
                <w:rFonts w:ascii="Arial" w:hAnsi="Arial" w:eastAsia="宋体" w:cs="Arial"/>
                <w:sz w:val="21"/>
                <w:szCs w:val="21"/>
              </w:rPr>
              <w:t>2.项目周边最近敏感点为北面鸡墩头村，经预测对其影响在可接受范围内。</w:t>
            </w:r>
          </w:p>
          <w:p>
            <w:pPr>
              <w:adjustRightInd w:val="0"/>
              <w:snapToGrid w:val="0"/>
              <w:jc w:val="left"/>
              <w:rPr>
                <w:rFonts w:ascii="Arial" w:hAnsi="Arial" w:eastAsia="宋体" w:cs="Arial"/>
                <w:sz w:val="21"/>
                <w:szCs w:val="21"/>
              </w:rPr>
            </w:pPr>
            <w:r>
              <w:rPr>
                <w:rFonts w:ascii="Arial" w:hAnsi="Arial" w:eastAsia="宋体" w:cs="Arial"/>
                <w:sz w:val="21"/>
                <w:szCs w:val="21"/>
              </w:rPr>
              <w:t>3.项目符合园区产业定位要求，不涉及《广西生态保护禁止事项清单（2022）》中的负面清单事项内容。</w:t>
            </w:r>
          </w:p>
          <w:p>
            <w:pPr>
              <w:adjustRightInd w:val="0"/>
              <w:snapToGrid w:val="0"/>
              <w:jc w:val="left"/>
              <w:rPr>
                <w:rFonts w:ascii="Arial" w:hAnsi="Arial" w:eastAsia="宋体" w:cs="Arial"/>
                <w:sz w:val="21"/>
                <w:szCs w:val="21"/>
              </w:rPr>
            </w:pPr>
            <w:r>
              <w:rPr>
                <w:rFonts w:ascii="Arial" w:hAnsi="Arial" w:eastAsia="宋体" w:cs="Arial"/>
                <w:sz w:val="21"/>
                <w:szCs w:val="21"/>
              </w:rPr>
              <w:t>4.项目各污染物达标排放；符合清洁生产标准和行业准入条件；符合国家级地区产业政策要求；符合园区规划；不属于国家现行产业政策明令限制、禁止或淘汰的项目，不属于产能严重过剩行业项目，不使用落后生产工艺或设备，也不属于落后生产能力项目；根据&amp;1.5.2.2的分析，项目符合园区规划产业定位，属于产业链相关项目。</w:t>
            </w:r>
          </w:p>
          <w:p>
            <w:pPr>
              <w:adjustRightInd w:val="0"/>
              <w:snapToGrid w:val="0"/>
              <w:jc w:val="left"/>
              <w:rPr>
                <w:rFonts w:ascii="Arial" w:hAnsi="Arial" w:eastAsia="宋体" w:cs="Arial"/>
                <w:sz w:val="21"/>
                <w:szCs w:val="21"/>
              </w:rPr>
            </w:pPr>
            <w:r>
              <w:rPr>
                <w:rFonts w:ascii="Arial" w:hAnsi="Arial" w:eastAsia="宋体" w:cs="Arial"/>
                <w:sz w:val="21"/>
                <w:szCs w:val="21"/>
              </w:rPr>
              <w:t>5.项目清洁生产可达到国际先进水平。</w:t>
            </w:r>
          </w:p>
          <w:p>
            <w:pPr>
              <w:adjustRightInd w:val="0"/>
              <w:snapToGrid w:val="0"/>
              <w:jc w:val="left"/>
              <w:rPr>
                <w:rFonts w:ascii="Arial" w:hAnsi="Arial" w:eastAsia="宋体" w:cs="Arial"/>
                <w:sz w:val="21"/>
                <w:szCs w:val="21"/>
              </w:rPr>
            </w:pPr>
            <w:r>
              <w:rPr>
                <w:rFonts w:ascii="Arial" w:hAnsi="Arial" w:eastAsia="宋体" w:cs="Arial"/>
                <w:sz w:val="21"/>
                <w:szCs w:val="21"/>
              </w:rPr>
              <w:t>6.项目危险化学品贮存符合《危险化学品经营企业安全技术基本要求》（GB18265-2019）要求。</w:t>
            </w:r>
          </w:p>
          <w:p>
            <w:pPr>
              <w:adjustRightInd w:val="0"/>
              <w:snapToGrid w:val="0"/>
              <w:jc w:val="left"/>
              <w:rPr>
                <w:rFonts w:ascii="Arial" w:hAnsi="Arial" w:eastAsia="宋体" w:cs="Arial"/>
                <w:sz w:val="21"/>
                <w:szCs w:val="21"/>
              </w:rPr>
            </w:pPr>
            <w:r>
              <w:rPr>
                <w:rFonts w:ascii="Arial" w:hAnsi="Arial" w:eastAsia="宋体" w:cs="Arial"/>
                <w:sz w:val="21"/>
                <w:szCs w:val="21"/>
              </w:rPr>
              <w:t>7.企业已申领排污许可证，项目新增内容将根据相关行业排污许可规范进行增补。</w:t>
            </w:r>
          </w:p>
          <w:p>
            <w:pPr>
              <w:adjustRightInd w:val="0"/>
              <w:snapToGrid w:val="0"/>
              <w:jc w:val="left"/>
              <w:rPr>
                <w:rFonts w:ascii="Arial" w:hAnsi="Arial" w:eastAsia="宋体" w:cs="Arial"/>
                <w:sz w:val="21"/>
                <w:szCs w:val="21"/>
              </w:rPr>
            </w:pPr>
            <w:r>
              <w:rPr>
                <w:rFonts w:ascii="Arial" w:hAnsi="Arial" w:eastAsia="宋体" w:cs="Arial"/>
                <w:sz w:val="21"/>
                <w:szCs w:val="21"/>
              </w:rPr>
              <w:t>8.项目在现有厂区内建设，不新增用地。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主导产业约束</w:t>
            </w:r>
          </w:p>
        </w:tc>
        <w:tc>
          <w:tcPr>
            <w:tcW w:w="737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限制涉及《产业结构调整指导目录（2019年本）》（2021年12月修改）、《广西工业产业结构调整指导目录（2021年本）》中规定的限制类生产工艺装备、产品的项目入驻。禁止采用《产业结构调整指导目录（2019年本）》（2021年12月修改）中规定的淘汰类落后生产工艺装备，或生产淘汰类落后产品的项目入驻。</w:t>
            </w:r>
          </w:p>
          <w:p>
            <w:pPr>
              <w:adjustRightInd w:val="0"/>
              <w:snapToGrid w:val="0"/>
              <w:jc w:val="left"/>
              <w:rPr>
                <w:rFonts w:ascii="Arial" w:hAnsi="Arial" w:eastAsia="宋体" w:cs="Arial"/>
                <w:sz w:val="21"/>
                <w:szCs w:val="21"/>
              </w:rPr>
            </w:pPr>
            <w:r>
              <w:rPr>
                <w:rFonts w:ascii="Arial" w:hAnsi="Arial" w:eastAsia="宋体" w:cs="Arial"/>
                <w:sz w:val="21"/>
                <w:szCs w:val="21"/>
              </w:rPr>
              <w:t>2.随着环保相关政策标准的不断更新出台，应以最新的为准，《产业结构调整指导目录（2019年本）》（2021年12月修改）、《广西工业产业结构调整指导目录（2021年本）》中有利于园区形成循环经济链的限制类产业经过充分论证后允以准入。</w:t>
            </w:r>
          </w:p>
          <w:p>
            <w:pPr>
              <w:adjustRightInd w:val="0"/>
              <w:snapToGrid w:val="0"/>
              <w:jc w:val="left"/>
              <w:rPr>
                <w:rFonts w:ascii="Arial" w:hAnsi="Arial" w:eastAsia="宋体" w:cs="Arial"/>
                <w:szCs w:val="21"/>
              </w:rPr>
            </w:pPr>
            <w:r>
              <w:rPr>
                <w:rFonts w:ascii="Arial" w:hAnsi="Arial" w:eastAsia="宋体" w:cs="Arial"/>
                <w:sz w:val="21"/>
                <w:szCs w:val="21"/>
              </w:rPr>
              <w:t>3.园区引进工业项目应满足《钦州市“三线一单”生态环境准入及管控要求清单》要求。</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1.项目不属于《产业结构调整指导目录（2024年本）》鼓励类、限制类、淘汰类项目，为允许类；《广西工业产业结构调整指导目录（2021年本）》现已废止，</w:t>
            </w:r>
            <w:r>
              <w:rPr>
                <w:rFonts w:hint="eastAsia" w:ascii="Arial" w:hAnsi="Arial" w:eastAsia="宋体" w:cs="Arial"/>
                <w:sz w:val="21"/>
                <w:szCs w:val="21"/>
              </w:rPr>
              <w:t>不再对照分析</w:t>
            </w:r>
            <w:r>
              <w:rPr>
                <w:rFonts w:ascii="Arial" w:hAnsi="Arial" w:eastAsia="宋体" w:cs="Arial"/>
                <w:sz w:val="21"/>
                <w:szCs w:val="21"/>
              </w:rPr>
              <w:t>；项目不使用淘汰类落后生产工艺装备，不生产淘汰类落后产品。</w:t>
            </w:r>
          </w:p>
          <w:p>
            <w:pPr>
              <w:adjustRightInd w:val="0"/>
              <w:snapToGrid w:val="0"/>
              <w:jc w:val="left"/>
              <w:rPr>
                <w:rFonts w:ascii="Arial" w:hAnsi="Arial" w:eastAsia="宋体" w:cs="Arial"/>
                <w:sz w:val="21"/>
                <w:szCs w:val="21"/>
              </w:rPr>
            </w:pPr>
            <w:r>
              <w:rPr>
                <w:rFonts w:ascii="Arial" w:hAnsi="Arial" w:eastAsia="宋体" w:cs="Arial"/>
                <w:sz w:val="21"/>
                <w:szCs w:val="21"/>
              </w:rPr>
              <w:t>2.项目满足目前最新的产业政策要求。</w:t>
            </w:r>
          </w:p>
          <w:p>
            <w:pPr>
              <w:adjustRightInd w:val="0"/>
              <w:snapToGrid w:val="0"/>
              <w:jc w:val="left"/>
              <w:rPr>
                <w:rFonts w:ascii="Arial" w:hAnsi="Arial" w:eastAsia="宋体" w:cs="Arial"/>
                <w:sz w:val="21"/>
                <w:szCs w:val="21"/>
              </w:rPr>
            </w:pPr>
            <w:r>
              <w:rPr>
                <w:rFonts w:ascii="Arial" w:hAnsi="Arial" w:eastAsia="宋体" w:cs="Arial"/>
                <w:sz w:val="21"/>
                <w:szCs w:val="21"/>
              </w:rPr>
              <w:t>3.项目满足《</w:t>
            </w:r>
            <w:r>
              <w:rPr>
                <w:rFonts w:hint="eastAsia" w:ascii="Arial" w:hAnsi="Arial" w:eastAsia="宋体" w:cs="Arial"/>
                <w:sz w:val="21"/>
                <w:szCs w:val="21"/>
              </w:rPr>
              <w:t>钦州市生态环境分区管控动态更新成果（2023版）</w:t>
            </w:r>
            <w:r>
              <w:rPr>
                <w:rFonts w:ascii="Arial" w:hAnsi="Arial" w:eastAsia="宋体" w:cs="Arial"/>
                <w:sz w:val="21"/>
                <w:szCs w:val="21"/>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highlight w:val="yellow"/>
              </w:rPr>
            </w:pPr>
            <w:r>
              <w:rPr>
                <w:rFonts w:ascii="Arial" w:hAnsi="Arial" w:eastAsia="宋体" w:cs="Arial"/>
                <w:sz w:val="21"/>
                <w:szCs w:val="21"/>
              </w:rPr>
              <w:t>污染物排放管控</w:t>
            </w:r>
          </w:p>
        </w:tc>
        <w:tc>
          <w:tcPr>
            <w:tcW w:w="255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大气污染物排放总量</w:t>
            </w:r>
          </w:p>
        </w:tc>
        <w:tc>
          <w:tcPr>
            <w:tcW w:w="482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近期：NO</w:t>
            </w:r>
            <w:r>
              <w:rPr>
                <w:rFonts w:ascii="Arial" w:hAnsi="Arial" w:eastAsia="宋体" w:cs="Arial"/>
                <w:sz w:val="21"/>
                <w:szCs w:val="21"/>
                <w:vertAlign w:val="subscript"/>
              </w:rPr>
              <w:t>X</w:t>
            </w:r>
            <w:r>
              <w:rPr>
                <w:rFonts w:ascii="Arial" w:hAnsi="Arial" w:eastAsia="宋体" w:cs="Arial"/>
                <w:sz w:val="21"/>
                <w:szCs w:val="21"/>
              </w:rPr>
              <w:t>304.41t/a，VOC</w:t>
            </w:r>
            <w:r>
              <w:rPr>
                <w:rFonts w:ascii="Arial" w:hAnsi="Arial" w:eastAsia="宋体" w:cs="Arial"/>
                <w:sz w:val="21"/>
                <w:szCs w:val="21"/>
                <w:vertAlign w:val="subscript"/>
              </w:rPr>
              <w:t>S</w:t>
            </w:r>
            <w:r>
              <w:rPr>
                <w:rFonts w:ascii="Arial" w:hAnsi="Arial" w:eastAsia="宋体" w:cs="Arial"/>
                <w:sz w:val="21"/>
                <w:szCs w:val="21"/>
              </w:rPr>
              <w:t>5.45t/a；</w:t>
            </w:r>
          </w:p>
          <w:p>
            <w:pPr>
              <w:adjustRightInd w:val="0"/>
              <w:snapToGrid w:val="0"/>
              <w:jc w:val="left"/>
              <w:rPr>
                <w:rFonts w:ascii="Arial" w:hAnsi="Arial" w:eastAsia="宋体" w:cs="Arial"/>
                <w:sz w:val="21"/>
                <w:szCs w:val="21"/>
              </w:rPr>
            </w:pPr>
            <w:r>
              <w:rPr>
                <w:rFonts w:ascii="Arial" w:hAnsi="Arial" w:eastAsia="宋体" w:cs="Arial"/>
                <w:sz w:val="21"/>
                <w:szCs w:val="21"/>
              </w:rPr>
              <w:t>远期：NO</w:t>
            </w:r>
            <w:r>
              <w:rPr>
                <w:rFonts w:ascii="Arial" w:hAnsi="Arial" w:eastAsia="宋体" w:cs="Arial"/>
                <w:sz w:val="21"/>
                <w:szCs w:val="21"/>
                <w:vertAlign w:val="subscript"/>
              </w:rPr>
              <w:t>X</w:t>
            </w:r>
            <w:r>
              <w:rPr>
                <w:rFonts w:ascii="Arial" w:hAnsi="Arial" w:eastAsia="宋体" w:cs="Arial"/>
                <w:sz w:val="21"/>
                <w:szCs w:val="21"/>
              </w:rPr>
              <w:t>490.34t/a，VOC</w:t>
            </w:r>
            <w:r>
              <w:rPr>
                <w:rFonts w:ascii="Arial" w:hAnsi="Arial" w:eastAsia="宋体" w:cs="Arial"/>
                <w:sz w:val="21"/>
                <w:szCs w:val="21"/>
                <w:vertAlign w:val="subscript"/>
              </w:rPr>
              <w:t>S</w:t>
            </w:r>
            <w:r>
              <w:rPr>
                <w:rFonts w:ascii="Arial" w:hAnsi="Arial" w:eastAsia="宋体" w:cs="Arial"/>
                <w:sz w:val="21"/>
                <w:szCs w:val="21"/>
              </w:rPr>
              <w:t>303.31t/a；</w:t>
            </w:r>
          </w:p>
        </w:tc>
        <w:tc>
          <w:tcPr>
            <w:tcW w:w="5006" w:type="dxa"/>
            <w:vMerge w:val="restart"/>
            <w:tcBorders>
              <w:top w:val="single" w:color="auto" w:sz="4" w:space="0"/>
              <w:left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hint="eastAsia" w:ascii="Arial" w:hAnsi="Arial" w:eastAsia="宋体" w:cs="Arial"/>
                <w:sz w:val="21"/>
                <w:szCs w:val="21"/>
              </w:rPr>
              <w:t>变更后</w:t>
            </w:r>
            <w:r>
              <w:rPr>
                <w:rFonts w:ascii="Arial" w:hAnsi="Arial" w:eastAsia="宋体" w:cs="Arial"/>
                <w:sz w:val="21"/>
                <w:szCs w:val="21"/>
              </w:rPr>
              <w:t>项目不排放氮氧化物</w:t>
            </w:r>
            <w:r>
              <w:rPr>
                <w:rFonts w:hint="eastAsia" w:ascii="Arial" w:hAnsi="Arial" w:eastAsia="宋体" w:cs="Arial"/>
                <w:sz w:val="21"/>
                <w:szCs w:val="21"/>
              </w:rPr>
              <w:t>及</w:t>
            </w:r>
            <w:r>
              <w:rPr>
                <w:rFonts w:ascii="Arial" w:hAnsi="Arial" w:eastAsia="宋体" w:cs="Arial"/>
                <w:sz w:val="21"/>
                <w:szCs w:val="21"/>
              </w:rPr>
              <w:t>VOC</w:t>
            </w:r>
            <w:r>
              <w:rPr>
                <w:rFonts w:ascii="Arial" w:hAnsi="Arial" w:eastAsia="宋体" w:cs="Arial"/>
                <w:sz w:val="21"/>
                <w:szCs w:val="21"/>
                <w:vertAlign w:val="subscript"/>
              </w:rPr>
              <w:t>S</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hint="eastAsia" w:ascii="Arial" w:hAnsi="Arial" w:eastAsia="宋体" w:cs="Arial"/>
                <w:sz w:val="21"/>
                <w:szCs w:val="21"/>
              </w:rPr>
              <w:t>项目COD排放量0.1806t/a，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排放量0.0249t/a。根据规划环评报告，该报告规划污染物总量时已考虑了中伟一~三阶段项目及一体化项目，规划环评报告已考虑的中伟公司COD排放量205.896t/a，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排放量39.63t/a。本项目建成后，中伟公司COD排放量58.8315t/a，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排放量6.0813t/a，均在规划总量范围内。因此，项目建设符合园区总量控制要求</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255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水污染物排放总量</w:t>
            </w:r>
          </w:p>
        </w:tc>
        <w:tc>
          <w:tcPr>
            <w:tcW w:w="482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近期：COD912.5t/a，NH</w:t>
            </w:r>
            <w:r>
              <w:rPr>
                <w:rFonts w:ascii="Arial" w:hAnsi="Arial" w:eastAsia="宋体" w:cs="Arial"/>
                <w:sz w:val="21"/>
                <w:szCs w:val="21"/>
                <w:vertAlign w:val="subscript"/>
              </w:rPr>
              <w:t>3</w:t>
            </w:r>
            <w:r>
              <w:rPr>
                <w:rFonts w:ascii="Arial" w:hAnsi="Arial" w:eastAsia="宋体" w:cs="Arial"/>
                <w:sz w:val="21"/>
                <w:szCs w:val="21"/>
              </w:rPr>
              <w:t xml:space="preserve"> -N91.25t/a</w:t>
            </w:r>
          </w:p>
          <w:p>
            <w:pPr>
              <w:adjustRightInd w:val="0"/>
              <w:snapToGrid w:val="0"/>
              <w:jc w:val="left"/>
              <w:rPr>
                <w:rFonts w:ascii="Arial" w:hAnsi="Arial" w:eastAsia="宋体" w:cs="Arial"/>
                <w:sz w:val="21"/>
                <w:szCs w:val="21"/>
              </w:rPr>
            </w:pPr>
            <w:r>
              <w:rPr>
                <w:rFonts w:ascii="Arial" w:hAnsi="Arial" w:eastAsia="宋体" w:cs="Arial"/>
                <w:sz w:val="21"/>
                <w:szCs w:val="21"/>
              </w:rPr>
              <w:t>远期：COD4562.50t/a，NH</w:t>
            </w:r>
            <w:r>
              <w:rPr>
                <w:rFonts w:ascii="Arial" w:hAnsi="Arial" w:eastAsia="宋体" w:cs="Arial"/>
                <w:sz w:val="21"/>
                <w:szCs w:val="21"/>
                <w:vertAlign w:val="subscript"/>
              </w:rPr>
              <w:t>3</w:t>
            </w:r>
            <w:r>
              <w:rPr>
                <w:rFonts w:ascii="Arial" w:hAnsi="Arial" w:eastAsia="宋体" w:cs="Arial"/>
                <w:sz w:val="21"/>
                <w:szCs w:val="21"/>
              </w:rPr>
              <w:t>-N456.25t/a</w:t>
            </w:r>
          </w:p>
        </w:tc>
        <w:tc>
          <w:tcPr>
            <w:tcW w:w="5006" w:type="dxa"/>
            <w:vMerge w:val="continue"/>
            <w:tcBorders>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737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1.建设项目污染物排放应符合园区的总量控制要求，确保污染物达标排放，不造成区域环境质量降级。</w:t>
            </w:r>
          </w:p>
          <w:p>
            <w:pPr>
              <w:adjustRightInd w:val="0"/>
              <w:snapToGrid w:val="0"/>
              <w:jc w:val="left"/>
              <w:rPr>
                <w:rFonts w:ascii="Arial" w:hAnsi="Arial" w:eastAsia="宋体" w:cs="Arial"/>
                <w:sz w:val="21"/>
                <w:szCs w:val="21"/>
              </w:rPr>
            </w:pPr>
            <w:r>
              <w:rPr>
                <w:rFonts w:ascii="Arial" w:hAnsi="Arial" w:eastAsia="宋体" w:cs="Arial"/>
                <w:sz w:val="21"/>
                <w:szCs w:val="21"/>
              </w:rPr>
              <w:t>2.新建“两高”项目应按照《关于加强重点行业建设项目区域削减措施监督管理的通知》要求，依据区域环境质量改善目标，制定配套区域污染物削减方案，采取有效的污染物区域削减措施，腾出足够的环境容量。</w:t>
            </w:r>
          </w:p>
          <w:p>
            <w:pPr>
              <w:adjustRightInd w:val="0"/>
              <w:snapToGrid w:val="0"/>
              <w:jc w:val="left"/>
              <w:rPr>
                <w:rFonts w:ascii="Arial" w:hAnsi="Arial" w:eastAsia="宋体" w:cs="Arial"/>
                <w:sz w:val="21"/>
                <w:szCs w:val="21"/>
              </w:rPr>
            </w:pPr>
            <w:r>
              <w:rPr>
                <w:rFonts w:ascii="Arial" w:hAnsi="Arial" w:eastAsia="宋体" w:cs="Arial"/>
                <w:sz w:val="21"/>
                <w:szCs w:val="21"/>
              </w:rPr>
              <w:t>3.新建、扩建、改建涉及重点重金属排放建设项目依照相关规定实行总量控制。</w:t>
            </w:r>
          </w:p>
          <w:p>
            <w:pPr>
              <w:adjustRightInd w:val="0"/>
              <w:snapToGrid w:val="0"/>
              <w:jc w:val="left"/>
              <w:rPr>
                <w:rFonts w:ascii="Arial" w:hAnsi="Arial" w:eastAsia="宋体" w:cs="Arial"/>
                <w:sz w:val="21"/>
                <w:szCs w:val="21"/>
              </w:rPr>
            </w:pPr>
            <w:r>
              <w:rPr>
                <w:rFonts w:ascii="Arial" w:hAnsi="Arial" w:eastAsia="宋体" w:cs="Arial"/>
                <w:sz w:val="21"/>
                <w:szCs w:val="21"/>
              </w:rPr>
              <w:t>4.加强园区挥发性有机物排放企业精细化管控，无组织废气排放控制以及高效收集和治污设施建设，大力提升挥发性有机物排放收集率、去除率和治理设施运行率，严格控制挥发性有机污染物排放。采用全密闭、连续化、自动化等生产技术以及高效工艺与设备等，减少工艺过程无组织排放。</w:t>
            </w:r>
          </w:p>
          <w:p>
            <w:pPr>
              <w:adjustRightInd w:val="0"/>
              <w:snapToGrid w:val="0"/>
              <w:jc w:val="left"/>
              <w:rPr>
                <w:rFonts w:ascii="Arial" w:hAnsi="Arial" w:eastAsia="宋体" w:cs="Arial"/>
                <w:sz w:val="21"/>
                <w:szCs w:val="21"/>
              </w:rPr>
            </w:pPr>
            <w:r>
              <w:rPr>
                <w:rFonts w:ascii="Arial" w:hAnsi="Arial" w:eastAsia="宋体" w:cs="Arial"/>
                <w:sz w:val="21"/>
                <w:szCs w:val="21"/>
              </w:rPr>
              <w:t>5.推进园区污水处理厂升级改造，实行“清污分流、雨污分流”，实现废水分类收集、分质处理，入园企业应在达到纳管标准后接入污水处理厂处理。</w:t>
            </w:r>
          </w:p>
          <w:p>
            <w:pPr>
              <w:adjustRightInd w:val="0"/>
              <w:snapToGrid w:val="0"/>
              <w:jc w:val="left"/>
              <w:rPr>
                <w:rFonts w:ascii="Arial" w:hAnsi="Arial" w:eastAsia="宋体" w:cs="Arial"/>
                <w:sz w:val="21"/>
                <w:szCs w:val="21"/>
              </w:rPr>
            </w:pPr>
            <w:r>
              <w:rPr>
                <w:rFonts w:ascii="Arial" w:hAnsi="Arial" w:eastAsia="宋体" w:cs="Arial"/>
                <w:sz w:val="21"/>
                <w:szCs w:val="21"/>
              </w:rPr>
              <w:t>6.入园建设项目主要污染物排放应控制在区域环境承载能力范围内，并确保完成下达的主要污染物排放总量削减的约束性任务，保障环境质量达标。</w:t>
            </w:r>
          </w:p>
          <w:p>
            <w:pPr>
              <w:adjustRightInd w:val="0"/>
              <w:snapToGrid w:val="0"/>
              <w:jc w:val="left"/>
              <w:rPr>
                <w:rFonts w:ascii="Arial" w:hAnsi="Arial" w:eastAsia="宋体" w:cs="Arial"/>
                <w:sz w:val="21"/>
                <w:szCs w:val="21"/>
              </w:rPr>
            </w:pPr>
            <w:r>
              <w:rPr>
                <w:rFonts w:ascii="Arial" w:hAnsi="Arial" w:eastAsia="宋体" w:cs="Arial"/>
                <w:sz w:val="21"/>
                <w:szCs w:val="21"/>
              </w:rPr>
              <w:t>7.园区污水处理厂执行《城镇污水处理厂污染物排放标准》（GB18918-2002）一级标准A标准。园区污水处理厂要保障出水水质稳定达标排放。</w:t>
            </w:r>
          </w:p>
          <w:p>
            <w:pPr>
              <w:adjustRightInd w:val="0"/>
              <w:snapToGrid w:val="0"/>
              <w:jc w:val="left"/>
              <w:rPr>
                <w:rFonts w:ascii="Arial" w:hAnsi="Arial" w:eastAsia="宋体" w:cs="Arial"/>
                <w:sz w:val="21"/>
                <w:szCs w:val="21"/>
              </w:rPr>
            </w:pPr>
            <w:r>
              <w:rPr>
                <w:rFonts w:ascii="Arial" w:hAnsi="Arial" w:eastAsia="宋体" w:cs="Arial"/>
                <w:sz w:val="21"/>
                <w:szCs w:val="21"/>
              </w:rPr>
              <w:t>8.提升危险废物处置和利用能力，推动工业固体废物依法纳入排污许可管理，禁止进口洋垃圾，严厉打击涉固体废物环境违法行为。</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1.项目各污染物可达标排放，</w:t>
            </w:r>
            <w:r>
              <w:rPr>
                <w:rFonts w:hint="eastAsia" w:ascii="Arial" w:hAnsi="Arial" w:eastAsia="宋体" w:cs="Arial"/>
                <w:sz w:val="21"/>
                <w:szCs w:val="21"/>
              </w:rPr>
              <w:t>污染物排放符合园区总量控制要求</w:t>
            </w:r>
            <w:r>
              <w:rPr>
                <w:rFonts w:ascii="Arial" w:hAnsi="Arial" w:eastAsia="宋体" w:cs="Arial"/>
                <w:sz w:val="21"/>
                <w:szCs w:val="21"/>
              </w:rPr>
              <w:t>，根据预测，项目建设不造成区域环境质量降级。</w:t>
            </w:r>
          </w:p>
          <w:p>
            <w:pPr>
              <w:adjustRightInd w:val="0"/>
              <w:snapToGrid w:val="0"/>
              <w:jc w:val="left"/>
              <w:rPr>
                <w:rFonts w:ascii="Arial" w:hAnsi="Arial" w:eastAsia="宋体" w:cs="Arial"/>
                <w:sz w:val="21"/>
                <w:szCs w:val="21"/>
              </w:rPr>
            </w:pPr>
            <w:r>
              <w:rPr>
                <w:rFonts w:ascii="Arial" w:hAnsi="Arial" w:eastAsia="宋体" w:cs="Arial"/>
                <w:sz w:val="21"/>
                <w:szCs w:val="21"/>
              </w:rPr>
              <w:t>2.项目不属于“两高”项目。</w:t>
            </w:r>
          </w:p>
          <w:p>
            <w:pPr>
              <w:adjustRightInd w:val="0"/>
              <w:snapToGrid w:val="0"/>
              <w:jc w:val="left"/>
              <w:rPr>
                <w:rFonts w:ascii="Arial" w:hAnsi="Arial" w:eastAsia="宋体" w:cs="Arial"/>
                <w:sz w:val="21"/>
                <w:szCs w:val="21"/>
              </w:rPr>
            </w:pPr>
            <w:r>
              <w:rPr>
                <w:rFonts w:ascii="Arial" w:hAnsi="Arial" w:eastAsia="宋体" w:cs="Arial"/>
                <w:sz w:val="21"/>
                <w:szCs w:val="21"/>
              </w:rPr>
              <w:t>3.项目不排放重点重金属。</w:t>
            </w:r>
          </w:p>
          <w:p>
            <w:pPr>
              <w:adjustRightInd w:val="0"/>
              <w:snapToGrid w:val="0"/>
              <w:jc w:val="left"/>
              <w:rPr>
                <w:rFonts w:ascii="Arial" w:hAnsi="Arial" w:eastAsia="宋体" w:cs="Arial"/>
                <w:sz w:val="21"/>
                <w:szCs w:val="21"/>
              </w:rPr>
            </w:pPr>
            <w:r>
              <w:rPr>
                <w:rFonts w:ascii="Arial" w:hAnsi="Arial" w:eastAsia="宋体" w:cs="Arial"/>
                <w:sz w:val="21"/>
                <w:szCs w:val="21"/>
              </w:rPr>
              <w:t>4.项目采用全密闭、连续化、自动化等生产技术收集车间废气，设计已加强减少工艺过程无组织排放。</w:t>
            </w:r>
          </w:p>
          <w:p>
            <w:pPr>
              <w:adjustRightInd w:val="0"/>
              <w:snapToGrid w:val="0"/>
              <w:jc w:val="left"/>
              <w:rPr>
                <w:rFonts w:ascii="Arial" w:hAnsi="Arial" w:eastAsia="宋体" w:cs="Arial"/>
                <w:sz w:val="21"/>
                <w:szCs w:val="21"/>
              </w:rPr>
            </w:pPr>
            <w:r>
              <w:rPr>
                <w:rFonts w:ascii="Arial" w:hAnsi="Arial" w:eastAsia="宋体" w:cs="Arial"/>
                <w:sz w:val="21"/>
                <w:szCs w:val="21"/>
              </w:rPr>
              <w:t>5.项目实行“清污分流、雨污分流”，废水分类收集、分质处理，生活污水经预处理后排入大榄坪污水处理厂处理。</w:t>
            </w:r>
          </w:p>
          <w:p>
            <w:pPr>
              <w:adjustRightInd w:val="0"/>
              <w:snapToGrid w:val="0"/>
              <w:jc w:val="left"/>
              <w:rPr>
                <w:rFonts w:ascii="Arial" w:hAnsi="Arial" w:eastAsia="宋体" w:cs="Arial"/>
                <w:sz w:val="21"/>
                <w:szCs w:val="21"/>
              </w:rPr>
            </w:pPr>
            <w:r>
              <w:rPr>
                <w:rFonts w:ascii="Arial" w:hAnsi="Arial" w:eastAsia="宋体" w:cs="Arial"/>
                <w:sz w:val="21"/>
                <w:szCs w:val="21"/>
              </w:rPr>
              <w:t>6.根据预测项目外排污染物在区域环境承载能力范围内。</w:t>
            </w:r>
          </w:p>
          <w:p>
            <w:pPr>
              <w:adjustRightInd w:val="0"/>
              <w:snapToGrid w:val="0"/>
              <w:jc w:val="left"/>
              <w:rPr>
                <w:rFonts w:ascii="Arial" w:hAnsi="Arial" w:eastAsia="宋体" w:cs="Arial"/>
                <w:sz w:val="21"/>
                <w:szCs w:val="21"/>
              </w:rPr>
            </w:pPr>
            <w:r>
              <w:rPr>
                <w:rFonts w:ascii="Arial" w:hAnsi="Arial" w:eastAsia="宋体" w:cs="Arial"/>
                <w:sz w:val="21"/>
                <w:szCs w:val="21"/>
              </w:rPr>
              <w:t>7.项目</w:t>
            </w:r>
            <w:r>
              <w:rPr>
                <w:rFonts w:hint="eastAsia" w:ascii="Arial" w:hAnsi="Arial" w:eastAsia="宋体" w:cs="Arial"/>
                <w:sz w:val="21"/>
                <w:szCs w:val="21"/>
              </w:rPr>
              <w:t>不适用</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8.项目不使用洋垃圾，各类固体废物分类收集处置。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环境风险防控</w:t>
            </w:r>
          </w:p>
        </w:tc>
        <w:tc>
          <w:tcPr>
            <w:tcW w:w="737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建立污染源头、过程处理和最终排放的“三级防控”机制，开展环境风险评估，制定突发环境事件应急预案并备案，配备应急能力和物资，建设环境应急队伍，并定期演练。企业、园区与地方人民政府环境应急预案应当有机衔接。</w:t>
            </w:r>
          </w:p>
          <w:p>
            <w:pPr>
              <w:adjustRightInd w:val="0"/>
              <w:snapToGrid w:val="0"/>
              <w:jc w:val="left"/>
              <w:rPr>
                <w:rFonts w:ascii="Arial" w:hAnsi="Arial" w:eastAsia="宋体" w:cs="Arial"/>
                <w:sz w:val="21"/>
                <w:szCs w:val="21"/>
              </w:rPr>
            </w:pPr>
            <w:r>
              <w:rPr>
                <w:rFonts w:ascii="Arial" w:hAnsi="Arial" w:eastAsia="宋体" w:cs="Arial"/>
                <w:sz w:val="21"/>
                <w:szCs w:val="21"/>
              </w:rPr>
              <w:t>2.涉及重大危险源的，需要建设危险化学品安全生产风险监测预警系统，以安全生产许可作为其前置条件。建立健全有毒有害化学物质环境管理制度，开展新污染物筛查、评估，推行重点行业重点化学物质生产使用信息调查和环境危害评估，识别有毒有害化学物质，建立新污染物清单。</w:t>
            </w:r>
          </w:p>
          <w:p>
            <w:pPr>
              <w:adjustRightInd w:val="0"/>
              <w:snapToGrid w:val="0"/>
              <w:jc w:val="left"/>
              <w:rPr>
                <w:rFonts w:ascii="Arial" w:hAnsi="Arial" w:eastAsia="宋体" w:cs="Arial"/>
                <w:sz w:val="21"/>
                <w:szCs w:val="21"/>
              </w:rPr>
            </w:pPr>
            <w:r>
              <w:rPr>
                <w:rFonts w:ascii="Arial" w:hAnsi="Arial" w:eastAsia="宋体" w:cs="Arial"/>
                <w:sz w:val="21"/>
                <w:szCs w:val="21"/>
              </w:rPr>
              <w:t>3.园区应设立事故应急池，防止事故状态下园区废水污染海洋环境，威胁海洋安全。</w:t>
            </w:r>
          </w:p>
          <w:p>
            <w:pPr>
              <w:adjustRightInd w:val="0"/>
              <w:snapToGrid w:val="0"/>
              <w:jc w:val="left"/>
              <w:rPr>
                <w:rFonts w:ascii="Arial" w:hAnsi="Arial" w:eastAsia="宋体" w:cs="Arial"/>
                <w:sz w:val="21"/>
                <w:szCs w:val="21"/>
              </w:rPr>
            </w:pPr>
            <w:r>
              <w:rPr>
                <w:rFonts w:ascii="Arial" w:hAnsi="Arial" w:eastAsia="宋体" w:cs="Arial"/>
                <w:sz w:val="21"/>
                <w:szCs w:val="21"/>
              </w:rPr>
              <w:t>4.园区应积极参与区域污染联防联控，逐步建立一体化的综合防治体系。</w:t>
            </w:r>
          </w:p>
          <w:p>
            <w:pPr>
              <w:adjustRightInd w:val="0"/>
              <w:snapToGrid w:val="0"/>
              <w:jc w:val="left"/>
              <w:rPr>
                <w:rFonts w:ascii="Arial" w:hAnsi="Arial" w:eastAsia="宋体" w:cs="Arial"/>
                <w:sz w:val="21"/>
                <w:szCs w:val="21"/>
              </w:rPr>
            </w:pPr>
            <w:r>
              <w:rPr>
                <w:rFonts w:ascii="Arial" w:hAnsi="Arial" w:eastAsia="宋体" w:cs="Arial"/>
                <w:sz w:val="21"/>
                <w:szCs w:val="21"/>
              </w:rPr>
              <w:t>5.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p>
            <w:pPr>
              <w:adjustRightInd w:val="0"/>
              <w:snapToGrid w:val="0"/>
              <w:jc w:val="left"/>
              <w:rPr>
                <w:rFonts w:ascii="Arial" w:hAnsi="Arial" w:eastAsia="宋体" w:cs="Arial"/>
                <w:sz w:val="21"/>
                <w:szCs w:val="21"/>
              </w:rPr>
            </w:pPr>
            <w:r>
              <w:rPr>
                <w:rFonts w:ascii="Arial" w:hAnsi="Arial" w:eastAsia="宋体" w:cs="Arial"/>
                <w:sz w:val="21"/>
                <w:szCs w:val="21"/>
              </w:rPr>
              <w:t>6.涉重企业要采用新技术、新工艺，实现全面达标排放。坚决淘汰不符合国家产业政策的落后生产工艺装备。</w:t>
            </w:r>
          </w:p>
          <w:p>
            <w:pPr>
              <w:adjustRightInd w:val="0"/>
              <w:snapToGrid w:val="0"/>
              <w:jc w:val="left"/>
              <w:rPr>
                <w:rFonts w:ascii="Arial" w:hAnsi="Arial" w:eastAsia="宋体" w:cs="Arial"/>
                <w:sz w:val="21"/>
                <w:szCs w:val="21"/>
              </w:rPr>
            </w:pPr>
            <w:r>
              <w:rPr>
                <w:rFonts w:ascii="Arial" w:hAnsi="Arial" w:eastAsia="宋体" w:cs="Arial"/>
                <w:sz w:val="21"/>
                <w:szCs w:val="21"/>
              </w:rPr>
              <w:t>7.开展环境风险评估，制定突发环境事件应急预案并备案，配备应急能力和物资，建设环境应急队伍，并定期演练。企业、园区与地方人民政府环境应急预案应当有机衔接。</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1.企业已编制突发环境事件应急预案并备案，报告要求将项目增加的内容纳入全厂应急预案，企业、园区及地区环境应急预案进行有机衔接。</w:t>
            </w:r>
          </w:p>
          <w:p>
            <w:pPr>
              <w:adjustRightInd w:val="0"/>
              <w:snapToGrid w:val="0"/>
              <w:jc w:val="left"/>
              <w:rPr>
                <w:rFonts w:ascii="Arial" w:hAnsi="Arial" w:eastAsia="宋体" w:cs="Arial"/>
                <w:sz w:val="21"/>
                <w:szCs w:val="21"/>
              </w:rPr>
            </w:pPr>
            <w:r>
              <w:rPr>
                <w:rFonts w:ascii="Arial" w:hAnsi="Arial" w:eastAsia="宋体" w:cs="Arial"/>
                <w:sz w:val="21"/>
                <w:szCs w:val="21"/>
              </w:rPr>
              <w:t>2.企业将根据项目建设内容另行编制应急预案，涉及重大危险源的，建设危险化学品安全生产风险监测预警系统，建立健全有毒有害化学物质环境管理制度。</w:t>
            </w:r>
          </w:p>
          <w:p>
            <w:pPr>
              <w:adjustRightInd w:val="0"/>
              <w:snapToGrid w:val="0"/>
              <w:jc w:val="left"/>
              <w:rPr>
                <w:rFonts w:ascii="Arial" w:hAnsi="Arial" w:eastAsia="宋体" w:cs="Arial"/>
                <w:sz w:val="21"/>
                <w:szCs w:val="21"/>
              </w:rPr>
            </w:pPr>
            <w:r>
              <w:rPr>
                <w:rFonts w:ascii="Arial" w:hAnsi="Arial" w:eastAsia="宋体" w:cs="Arial"/>
                <w:sz w:val="21"/>
                <w:szCs w:val="21"/>
              </w:rPr>
              <w:t>3.本项目不涉及。</w:t>
            </w:r>
          </w:p>
          <w:p>
            <w:pPr>
              <w:adjustRightInd w:val="0"/>
              <w:snapToGrid w:val="0"/>
              <w:jc w:val="left"/>
              <w:rPr>
                <w:rFonts w:ascii="Arial" w:hAnsi="Arial" w:eastAsia="宋体" w:cs="Arial"/>
                <w:sz w:val="21"/>
                <w:szCs w:val="21"/>
              </w:rPr>
            </w:pPr>
            <w:r>
              <w:rPr>
                <w:rFonts w:ascii="Arial" w:hAnsi="Arial" w:eastAsia="宋体" w:cs="Arial"/>
                <w:sz w:val="21"/>
                <w:szCs w:val="21"/>
              </w:rPr>
              <w:t>4.本项目不涉及。</w:t>
            </w:r>
          </w:p>
          <w:p>
            <w:pPr>
              <w:adjustRightInd w:val="0"/>
              <w:snapToGrid w:val="0"/>
              <w:jc w:val="left"/>
              <w:rPr>
                <w:rFonts w:ascii="Arial" w:hAnsi="Arial" w:eastAsia="宋体" w:cs="Arial"/>
                <w:sz w:val="21"/>
                <w:szCs w:val="21"/>
              </w:rPr>
            </w:pPr>
            <w:r>
              <w:rPr>
                <w:rFonts w:ascii="Arial" w:hAnsi="Arial" w:eastAsia="宋体" w:cs="Arial"/>
                <w:sz w:val="21"/>
                <w:szCs w:val="21"/>
              </w:rPr>
              <w:t>5.企业不属于土壤污染重点监管单位。</w:t>
            </w:r>
          </w:p>
          <w:p>
            <w:pPr>
              <w:adjustRightInd w:val="0"/>
              <w:snapToGrid w:val="0"/>
              <w:jc w:val="left"/>
              <w:rPr>
                <w:rFonts w:ascii="Arial" w:hAnsi="Arial" w:eastAsia="宋体" w:cs="Arial"/>
                <w:sz w:val="21"/>
                <w:szCs w:val="21"/>
              </w:rPr>
            </w:pPr>
            <w:r>
              <w:rPr>
                <w:rFonts w:ascii="Arial" w:hAnsi="Arial" w:eastAsia="宋体" w:cs="Arial"/>
                <w:sz w:val="21"/>
                <w:szCs w:val="21"/>
              </w:rPr>
              <w:t>6.项目生产废水设有除重工艺（树脂除重），项目不使用国家产业政策的落后生产工艺装备。</w:t>
            </w:r>
          </w:p>
          <w:p>
            <w:pPr>
              <w:adjustRightInd w:val="0"/>
              <w:snapToGrid w:val="0"/>
              <w:jc w:val="left"/>
              <w:rPr>
                <w:rFonts w:ascii="Arial" w:hAnsi="Arial" w:eastAsia="宋体" w:cs="Arial"/>
                <w:sz w:val="21"/>
                <w:szCs w:val="21"/>
              </w:rPr>
            </w:pPr>
            <w:r>
              <w:rPr>
                <w:rFonts w:ascii="Arial" w:hAnsi="Arial" w:eastAsia="宋体" w:cs="Arial"/>
                <w:sz w:val="21"/>
                <w:szCs w:val="21"/>
              </w:rPr>
              <w:t>7.企业已编制突发环境事件应急预案并备案，报告要求将项目纳入全厂应急预案，企业、园区及地区环境应急预案进行有机衔接。</w:t>
            </w: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环境管理对策要求</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656"/>
        <w:gridCol w:w="5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类别</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规划环评中的要求</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资源节约与碳减排措施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为了减少碳排放量、建立低碳经济发展体系，评价建议入园企业采用先进的生产工艺和节能设备，采用电动机变频调速技术等降低动力消耗，通过对低位热能的有效利用进一步提高能源利用效率，对换热器进行除垢和防腐保温，从而减少碳排放量。</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项目生产工艺先进；项目不属于“两高”项目。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大气环境污染防治措施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建议规划区优化能源消费结构，以“清洁”能源为主；加强脱硫、脱硝、高效除尘、柴油机（车）排放净化、环境监测等方面的技术研发，推进技术成果转化应用；发展循环经济。鼓励产业集聚发展，实施园区循环化改造，推进能源梯级利用、水资源循环利用、废物交换利用、土地节约集约利用，促进企业循环式生产、园区循环式发展、产业循环式组合，构建循环型工业体系；园区需严格控制挥发性有机物等的排放浓度和排放量，加大环境监测、信息、应急、监察等能力建设力度，达到标准化建设要求；园区要严格执行污染物排放总量控制计划，尽可能在有限的容量范围内引进更多生产工艺较先进、排污较少的项目。</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项目主要使用水、电等能源；各污染物可达标排放，排放总量符合园区要求。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规划区建设期加强施工扬尘监管，积极推进绿色施工，建设工程施工现场应全封闭设置围挡墙，严禁敞开式作业，施工现场道路应进行地面硬化；营运期企业所产生废气处理遵循“谁产生、谁处理”的原则，由各企业自行处理后达标排放。</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w:t>
            </w:r>
            <w:r>
              <w:rPr>
                <w:rFonts w:hint="eastAsia" w:ascii="Arial" w:hAnsi="Arial" w:eastAsia="宋体" w:cs="Arial"/>
                <w:sz w:val="21"/>
                <w:szCs w:val="21"/>
              </w:rPr>
              <w:t>已完成施工</w:t>
            </w:r>
            <w:r>
              <w:rPr>
                <w:rFonts w:ascii="Arial" w:hAnsi="Arial" w:eastAsia="宋体" w:cs="Arial"/>
                <w:sz w:val="21"/>
                <w:szCs w:val="21"/>
              </w:rPr>
              <w:t>，</w:t>
            </w:r>
            <w:r>
              <w:rPr>
                <w:rFonts w:hint="eastAsia" w:ascii="Arial" w:hAnsi="Arial" w:eastAsia="宋体" w:cs="Arial"/>
                <w:sz w:val="21"/>
                <w:szCs w:val="21"/>
              </w:rPr>
              <w:t>厂区</w:t>
            </w:r>
            <w:r>
              <w:rPr>
                <w:rFonts w:ascii="Arial" w:hAnsi="Arial" w:eastAsia="宋体" w:cs="Arial"/>
                <w:sz w:val="21"/>
                <w:szCs w:val="21"/>
              </w:rPr>
              <w:t>道路已硬化；项目各大气污染物可达标排放。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园区拟引进的产业，企业工艺过程严格控制，尽可能减少工艺废气的无组织排放，无组织排放的企业厂界监控点处污染物浓度必须达标；除尘必须采用高效除尘设备，且定期维护；加强重金属颗粒物烟气的收尘处理。</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项目车间内废气均进行有组织收集，减少了无组织废气排放量，根据预测，厂界无组织废气可达标排放。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海洋环境污染防治措施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完善排水系统并实行雨污分流，对规划范围内强化污水截流、收集，要尽快实现管网全覆盖、全收集、全处理，大幅提升园区污水收集处理能力。加强园区初期雨水收集处理设施建设，有效减少面源污染，有条件的企业要推进初期雨水收集、处理和资源化利用。</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highlight w:val="yellow"/>
              </w:rPr>
            </w:pPr>
            <w:r>
              <w:rPr>
                <w:rFonts w:ascii="Arial" w:hAnsi="Arial" w:eastAsia="宋体" w:cs="Arial"/>
                <w:sz w:val="21"/>
                <w:szCs w:val="21"/>
              </w:rPr>
              <w:t>项目执行雨污分流、清污分流，废水分质处理，厂区已设初期雨水收集池。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加工区要创造各种条件，加强水资源的综合调配和管理，提高水资源的重复利用率，如在企业间调配利用较清洁的废水等，在企业层次上，要严格控制用水定额，按水质不同分质用水，提高新鲜水的重复利用率。为减少河流污染带，把规划区的排放总量控制在纳污的环境容量之内，必须实行园区、企业两个层次的排污总量控制。</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highlight w:val="yellow"/>
              </w:rPr>
            </w:pPr>
            <w:r>
              <w:rPr>
                <w:rFonts w:ascii="Arial" w:hAnsi="Arial" w:eastAsia="宋体" w:cs="Arial"/>
                <w:sz w:val="21"/>
                <w:szCs w:val="21"/>
              </w:rPr>
              <w:t>项目废水分质处理，</w:t>
            </w:r>
            <w:r>
              <w:rPr>
                <w:rFonts w:hint="eastAsia" w:ascii="Arial" w:hAnsi="Arial" w:eastAsia="宋体" w:cs="Arial"/>
                <w:sz w:val="21"/>
                <w:szCs w:val="21"/>
              </w:rPr>
              <w:t>生活污水排入大榄坪污水处理厂处理，</w:t>
            </w:r>
            <w:r>
              <w:rPr>
                <w:rFonts w:ascii="Arial" w:hAnsi="Arial" w:eastAsia="宋体" w:cs="Arial"/>
                <w:sz w:val="21"/>
                <w:szCs w:val="21"/>
              </w:rPr>
              <w:t>生产废水</w:t>
            </w:r>
            <w:r>
              <w:rPr>
                <w:rFonts w:hint="eastAsia" w:ascii="Arial" w:hAnsi="Arial" w:eastAsia="宋体" w:cs="Arial"/>
                <w:sz w:val="21"/>
                <w:szCs w:val="21"/>
              </w:rPr>
              <w:t>排放的COD、氨氮在纳污的环境容量之内</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新能源电池材料行业产生的废水主要包括三元前驱体合成母液和三元前驱体洗液、萃取反萃取废水、洗涤废水、蒸发浓缩废水、酸化烟气处理废水、杂排废水等，主要污染物为氨氮、溶解性总固体、硫酸盐、氯化物和重金属杂盐，产污环节含盐量大多在10000mg/L～200000mg/L。拟入驻的新能源电池材料产业项目应根据水处理工艺、纳污海域的水环境容量、环境保护目标、海洋生物保护状况等情况具体分析，在项目环境影响评价报告中确定含盐废水的排放限值，企业应配套高效的脱盐系统（如MVR技术+膜处理），提高生产废水循环利用率，实现脱盐率、排放浓度、排放量等均达到区内先进水平。</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highlight w:val="yellow"/>
                <w:u w:val="single"/>
              </w:rPr>
            </w:pPr>
            <w:r>
              <w:rPr>
                <w:rFonts w:ascii="Arial" w:hAnsi="Arial" w:eastAsia="宋体" w:cs="Arial"/>
                <w:sz w:val="21"/>
                <w:szCs w:val="21"/>
              </w:rPr>
              <w:t>项目采用MVR技术+膜处理含盐废水，项目实施后经核算</w:t>
            </w:r>
            <w:r>
              <w:rPr>
                <w:rFonts w:hint="eastAsia" w:ascii="Arial" w:hAnsi="Arial" w:eastAsia="宋体" w:cs="Arial"/>
                <w:sz w:val="21"/>
                <w:szCs w:val="21"/>
              </w:rPr>
              <w:t>全厂盐回收率大于90%。近期，大榄坪污水处理厂仅处理生活污水，项目新增外排生产废水依托大榄坪污水处理厂深海排放管道排入A2排污区，</w:t>
            </w:r>
            <w:r>
              <w:rPr>
                <w:rFonts w:hint="eastAsia" w:ascii="Arial" w:hAnsi="Arial" w:eastAsia="宋体" w:cs="Arial"/>
                <w:sz w:val="21"/>
                <w:szCs w:val="21"/>
                <w:u w:val="single"/>
              </w:rPr>
              <w:t>本报告已明确废水含盐量排放限值为16700mg/L（详见排放标准），项目实施后厂区废水含盐量排放浓度低于该限值，符合要求</w:t>
            </w:r>
            <w:r>
              <w:rPr>
                <w:rFonts w:hint="eastAsia" w:ascii="Arial" w:hAnsi="Arial" w:eastAsia="宋体" w:cs="Arial"/>
                <w:sz w:val="21"/>
                <w:szCs w:val="21"/>
              </w:rPr>
              <w:t>；远期，待大榄坪污水处理厂升级改造可接纳生产废水后，厂区生产废水排入大榄坪污水处理厂处理后排海，符合规划环评要求。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地下水环境污染防治措施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规划区入驻的项目用水均不取用地下水。建设项目场地污染防治对策应从以下方面考虑：</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提出实施清洁生产及各类废物循环利用的具体方案，以及工艺、管道、设备、污水储存及处理构筑物应采取的控制措施，从源头控制污染物的排放。</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根据建设项目的情况划分污染防治区，提出不同区域的地面防渗方案，给出具体的防渗材料及防渗标准要求，建立防渗设施的检漏系统。</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建立场地区地下水环境监控体系，包括建立地下水污染监控制度和环境管理体系、制定监测计划、配备先进的检测仪器和设备，以便及时发现问题，及时采取措施。</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制定地下水风险事故应急响应预案，明确风险事故状态下应采取的封闭、截流等措施，提出防止受污染的地下水扩散和对受污染的地下水进行治理的具体方案。</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采用先进技术、改进生产工艺、采取闭路循环、把工业“三废”的污染消化在生产过程中。工业“三废”达标排放、合理布局，强化水资源的保护和管理，严禁渗坑渗井排放，所有排污沟、渠须全部硬化和密封，严禁下渗污染。</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企业需根据厂区生产情况设置相应的事故应急池。</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要求进入规划区的企业，其固体废物和原料堆场必须按照《一般工业固体废物贮存和填埋污染控制标准》（GB18599-2020）进行建设和管理，采用库房、包装工具（罐、桶、包装袋等）贮存的按《排污许可申请与核发技术规范 工业固体废物（试行）》（HJ1200-2021）的要求建设与管理。涉及危险废物贮存的应严格按照《危险废物贮存污染控制标准》中的有关管理要求执行，污水池和污水管网须做好防渗、防腐处理。</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项目不取用地下水。</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生产装置、设备、管道等多布置在地面，采用玻璃钢、PPH、PVC材质。</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项目将根据分区防渗要求设置防渗设施。</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厂区</w:t>
            </w:r>
            <w:r>
              <w:rPr>
                <w:rFonts w:hint="eastAsia" w:ascii="Arial" w:hAnsi="Arial" w:eastAsia="宋体" w:cs="Arial"/>
                <w:sz w:val="21"/>
                <w:szCs w:val="21"/>
              </w:rPr>
              <w:t>已</w:t>
            </w:r>
            <w:r>
              <w:rPr>
                <w:rFonts w:ascii="Arial" w:hAnsi="Arial" w:eastAsia="宋体" w:cs="Arial"/>
                <w:sz w:val="21"/>
                <w:szCs w:val="21"/>
              </w:rPr>
              <w:t>建立4个地下水监控井，并按照自行监测要求进行地下水监测。</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项目采取闭路循环，有效减少污染物排放，各类污染物可达标排放。</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厂区已设立事故应急池。</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厂区一般固废暂存间按</w:t>
            </w:r>
            <w:r>
              <w:rPr>
                <w:rFonts w:hint="eastAsia" w:ascii="Arial" w:hAnsi="Arial" w:eastAsia="宋体" w:cs="Arial"/>
                <w:sz w:val="21"/>
                <w:szCs w:val="21"/>
              </w:rPr>
              <w:t>HJ1035-2019的要求采取有效措施</w:t>
            </w:r>
            <w:r>
              <w:rPr>
                <w:rFonts w:ascii="Arial" w:hAnsi="Arial" w:eastAsia="宋体" w:cs="Arial"/>
                <w:sz w:val="21"/>
                <w:szCs w:val="21"/>
              </w:rPr>
              <w:t>；危险废物依托现有危废暂存间暂存。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土壤环境污染防治措施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引进高新产业、限制落后传统产业；提倡使用清洁能源；入园企业凡存在有组织排放工艺尾气的，应采取分类分质治理措施，处理后的废气排放必须达到相应的国家排放标准；做好道路两旁绿化工作，建设防护绿化带，减缓汽车尾气扩散，减小公路扬尘的影响范围；加强对污水收集、输送和处理设施运行的管理，保证污水能经处理后达标排放；对临时堆放的垃圾，材料，产品等，应及时处理；规范管理危险废物和固体废物；鼓励对园区内企业实施清洁生产，鼓励土壤污染重点监管单位因地制宜实施管道化、密闭化改造，重点区域防腐防渗改造，以及物料、污水管线架空建设和改造。</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项目主要使用水、电等能源；各废气污染物可达标排放；厂区道路及车间周围均设有绿化带；</w:t>
            </w:r>
            <w:r>
              <w:rPr>
                <w:rFonts w:hint="eastAsia" w:ascii="Arial" w:hAnsi="Arial" w:eastAsia="宋体" w:cs="Arial"/>
                <w:sz w:val="21"/>
                <w:szCs w:val="21"/>
              </w:rPr>
              <w:t>外排生产废水及生活污水均可达标排放</w:t>
            </w:r>
            <w:r>
              <w:rPr>
                <w:rFonts w:ascii="Arial" w:hAnsi="Arial" w:eastAsia="宋体" w:cs="Arial"/>
                <w:sz w:val="21"/>
                <w:szCs w:val="21"/>
              </w:rPr>
              <w:t>；危险废物依托现有危废暂存间暂存并及时处理。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声环境污染防治措施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将工业用地、公共设施用地等较嘈杂的用地与居住用地等需要安静的用地分隔开来，入园企业也要注意将生产区与办公区分离开来；运营噪声较大、昼夜连续生产、以噪声影响为主的项目，应考虑布设在周边敏感点的远端，远离敏感人群，并划定适当的防护距离；在工业园内主次干道等道路两侧设计合理的绿化带，可以有效地降低工业及交通噪声的影响范围及程度；对于具体项目应从工程选址、总图布置、设备选型、操作工艺等方面尽量减少声源对环境产生的影响。</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厂区生产区与办公区分开布置；运行噪声经建筑隔声、距离衰减后，各厂界噪声均达标。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固体废物管理及污染防治措施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固体废物根据不同的类别进行不同的处理处置。对于一般固体废物中可以综合利用的工业固体废物要进行综合利用；对不能综合利用的固体废物，送至规范的临时堆场或填埋场；危险废物应集中送至有资质的废物处置单位安全处置。建议建立园区内固体废物交换信息中心，鼓励和促进业间进行废物交换。</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项目固体废物分类收集处置，可在厂区综合利用的固废先在厂区进行综合利用，不能利用的再委托处置；危险废物依托现有危废暂存间暂存并及时处理。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生态功能修复和生物多样性保护对策和措施</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红树林的保护须严格执行国家及地方相应的保护管理办法和规定，加强管理，有效保护湿地生物多样性，加大可研投入，改善湿地红树林生长环境，加强宣传教育，提高人们的生态保护意识，通过广播、电视、报刊、杂志等多种形式加强宣传，普及红树林湿地的科学知识，强化沿海地区群众的生态保护意识和可持续发展观念，使培育和保护红树林湿地成为人们的自觉行动。</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规划的实施造成的生态破坏与污染问题也将给临近海域海洋渔业养殖带来压力，对此建立海洋生态补偿机制至关重要，主要包括资金补偿、政策补偿和资源补偿，其中资源补偿（生态补偿）的方式主要包括：增殖放流、人工鱼礁和人工鱼巢等。人工增殖放流可以补充经济水产生物幼体和饵料基础，直接提高港口码头周围海域渔业资源的数量和底栖生物量，修复和改善工程周围海域渔业生物种群结构。</w:t>
            </w:r>
          </w:p>
        </w:tc>
        <w:tc>
          <w:tcPr>
            <w:tcW w:w="50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环境风险防范对策</w:t>
            </w: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规划区主要的环境风险类型为泄漏，火灾、爆炸，火灾、爆炸引起的次生污染。对入驻的企业提出环境风险防范约束性要求，建立园区环境风险防控体系，积极采取区域联防联控对策措施，从而加强对园区环境风险的防范。</w:t>
            </w:r>
          </w:p>
        </w:tc>
        <w:tc>
          <w:tcPr>
            <w:tcW w:w="5006"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厂区建立三级防控体系，按要求编制突发环境事件应急预案，配备应急物资。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6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企业应及时制定“企业突发环境事件应急预案”，建立企业应急队伍，并向规划区管理部门报备；规划区应建立完整的环境风险应急体系，完善应急物资的管理，加强对企业风险防范措施的落实情况的监督管理等。当企业内部发生突发环境风险事件时，企业若是无法自行处理，应及时上报规划区，必要时启动应急预案。</w:t>
            </w:r>
          </w:p>
        </w:tc>
        <w:tc>
          <w:tcPr>
            <w:tcW w:w="50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r>
    </w:tbl>
    <w:p>
      <w:pPr>
        <w:pStyle w:val="5"/>
        <w:spacing w:line="500" w:lineRule="exact"/>
        <w:ind w:firstLine="475" w:firstLineChars="194"/>
        <w:rPr>
          <w:szCs w:val="24"/>
          <w:highlight w:val="yellow"/>
        </w:rPr>
      </w:pPr>
    </w:p>
    <w:p>
      <w:pPr>
        <w:pStyle w:val="5"/>
        <w:spacing w:line="500" w:lineRule="exact"/>
        <w:ind w:firstLine="475" w:firstLineChars="194"/>
        <w:rPr>
          <w:szCs w:val="24"/>
          <w:highlight w:val="yellow"/>
        </w:rPr>
        <w:sectPr>
          <w:pgSz w:w="16840" w:h="11907" w:orient="landscape"/>
          <w:pgMar w:top="1157" w:right="1678" w:bottom="1406" w:left="1899" w:header="1174" w:footer="1026" w:gutter="567"/>
          <w:cols w:space="720" w:num="1"/>
          <w:docGrid w:type="linesAndChars" w:linePitch="421" w:charSpace="-3161"/>
        </w:sectPr>
      </w:pPr>
    </w:p>
    <w:p>
      <w:pPr>
        <w:pStyle w:val="5"/>
        <w:spacing w:line="500" w:lineRule="exact"/>
        <w:ind w:firstLine="0"/>
        <w:outlineLvl w:val="3"/>
        <w:rPr>
          <w:b/>
          <w:szCs w:val="24"/>
        </w:rPr>
      </w:pPr>
      <w:r>
        <w:rPr>
          <w:b/>
          <w:szCs w:val="24"/>
        </w:rPr>
        <w:t>1.5.</w:t>
      </w:r>
      <w:r>
        <w:rPr>
          <w:rFonts w:hint="eastAsia"/>
          <w:b/>
          <w:szCs w:val="24"/>
        </w:rPr>
        <w:t>2</w:t>
      </w:r>
      <w:r>
        <w:rPr>
          <w:b/>
          <w:szCs w:val="24"/>
        </w:rPr>
        <w:t>.2审查意见相关要求及符合性分析</w:t>
      </w:r>
    </w:p>
    <w:p>
      <w:pPr>
        <w:pStyle w:val="5"/>
        <w:spacing w:line="500" w:lineRule="exact"/>
        <w:ind w:firstLine="475" w:firstLineChars="194"/>
        <w:rPr>
          <w:szCs w:val="24"/>
        </w:rPr>
      </w:pPr>
      <w:r>
        <w:rPr>
          <w:szCs w:val="24"/>
        </w:rPr>
        <w:t>1、对近期建设项目环评的意见</w:t>
      </w:r>
    </w:p>
    <w:p>
      <w:pPr>
        <w:pStyle w:val="5"/>
        <w:spacing w:line="500" w:lineRule="exact"/>
        <w:ind w:firstLine="475" w:firstLineChars="194"/>
        <w:rPr>
          <w:szCs w:val="24"/>
        </w:rPr>
      </w:pPr>
      <w:r>
        <w:rPr>
          <w:szCs w:val="24"/>
        </w:rPr>
        <w:t>规划包含的近期建设项目在开展环境影响评价时，应落实本次规划环境影响评价提出的各项要求；深入论证项目工程分析及污染物排放量核定；着重分析项目废水的水质、水量纳入园区集中污水处理厂的可行性；强化项目风险防范措施的环境可行性与园区风险防范措施的衔接性分析；重视项目对敏感环境保护目标的影响评价。规划协调性分析及环境现状调查及生态环境影响内容可适当简化。</w:t>
      </w:r>
    </w:p>
    <w:p>
      <w:pPr>
        <w:pStyle w:val="5"/>
        <w:spacing w:line="500" w:lineRule="exact"/>
        <w:ind w:firstLine="475" w:firstLineChars="194"/>
        <w:rPr>
          <w:szCs w:val="24"/>
        </w:rPr>
      </w:pPr>
      <w:r>
        <w:rPr>
          <w:szCs w:val="24"/>
        </w:rPr>
        <w:t>2、与审查意见符合性分析</w:t>
      </w:r>
    </w:p>
    <w:p>
      <w:pPr>
        <w:pStyle w:val="5"/>
        <w:spacing w:line="500" w:lineRule="exact"/>
        <w:ind w:firstLine="475" w:firstLineChars="194"/>
        <w:rPr>
          <w:szCs w:val="24"/>
        </w:rPr>
      </w:pPr>
      <w:r>
        <w:rPr>
          <w:szCs w:val="24"/>
        </w:rPr>
        <w:t>项目环评详细深入论证项目工程分析、核定污染物排放量；生活污水经处理后排入园区污水处理厂处理</w:t>
      </w:r>
      <w:r>
        <w:rPr>
          <w:rFonts w:hint="eastAsia"/>
          <w:szCs w:val="24"/>
        </w:rPr>
        <w:t>；项目变更后生产废水较变更前有所增加，但企业全厂生产废水排放量未超过一期一阶段项目环评，报告引用该项目环评的排水预测结论对海域影响进行分析论证</w:t>
      </w:r>
      <w:r>
        <w:rPr>
          <w:szCs w:val="24"/>
        </w:rPr>
        <w:t>；分析了风险防范措施及与园区的衔接性；根据预测，项目的建设对周边大气、水、声、土壤环境影响在可接受范围。</w:t>
      </w:r>
    </w:p>
    <w:p>
      <w:pPr>
        <w:pStyle w:val="5"/>
        <w:spacing w:line="500" w:lineRule="exact"/>
        <w:ind w:firstLine="475" w:firstLineChars="194"/>
        <w:rPr>
          <w:szCs w:val="24"/>
        </w:rPr>
      </w:pPr>
      <w:r>
        <w:rPr>
          <w:szCs w:val="24"/>
        </w:rPr>
        <w:t>因此，项目符合规划环评审查意见的要求。</w:t>
      </w:r>
    </w:p>
    <w:p>
      <w:pPr>
        <w:pStyle w:val="5"/>
        <w:spacing w:line="500" w:lineRule="exact"/>
        <w:ind w:firstLine="0"/>
        <w:outlineLvl w:val="3"/>
        <w:rPr>
          <w:b/>
          <w:szCs w:val="24"/>
        </w:rPr>
      </w:pPr>
      <w:r>
        <w:rPr>
          <w:b/>
          <w:szCs w:val="24"/>
        </w:rPr>
        <w:t>1.5.</w:t>
      </w:r>
      <w:r>
        <w:rPr>
          <w:rFonts w:hint="eastAsia"/>
          <w:b/>
          <w:szCs w:val="24"/>
        </w:rPr>
        <w:t>2</w:t>
      </w:r>
      <w:r>
        <w:rPr>
          <w:b/>
          <w:szCs w:val="24"/>
        </w:rPr>
        <w:t>.3小结</w:t>
      </w:r>
    </w:p>
    <w:p>
      <w:pPr>
        <w:pStyle w:val="5"/>
        <w:spacing w:line="500" w:lineRule="exact"/>
        <w:ind w:firstLine="475" w:firstLineChars="194"/>
        <w:rPr>
          <w:szCs w:val="24"/>
        </w:rPr>
      </w:pPr>
      <w:r>
        <w:rPr>
          <w:szCs w:val="24"/>
        </w:rPr>
        <w:t>综上分析，项目符合大榄坪物流加工区规划环评及审查意见的相关要求。</w:t>
      </w:r>
    </w:p>
    <w:p>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与《广西钦州石化产业园总体发展规划（2020-2035年）》符合性分析</w:t>
      </w:r>
    </w:p>
    <w:p>
      <w:pPr>
        <w:pStyle w:val="5"/>
        <w:spacing w:line="500" w:lineRule="exact"/>
        <w:ind w:firstLine="475" w:firstLineChars="194"/>
        <w:rPr>
          <w:szCs w:val="24"/>
        </w:rPr>
      </w:pPr>
      <w:r>
        <w:rPr>
          <w:szCs w:val="24"/>
        </w:rPr>
        <w:t>项目布置于</w:t>
      </w:r>
      <w:r>
        <w:rPr>
          <w:rFonts w:hint="eastAsia"/>
          <w:szCs w:val="24"/>
        </w:rPr>
        <w:t>中伟</w:t>
      </w:r>
      <w:r>
        <w:rPr>
          <w:szCs w:val="24"/>
        </w:rPr>
        <w:t>2#地块，</w:t>
      </w:r>
      <w:r>
        <w:rPr>
          <w:rFonts w:hint="eastAsia"/>
          <w:szCs w:val="24"/>
        </w:rPr>
        <w:t>同时处于</w:t>
      </w:r>
      <w:r>
        <w:rPr>
          <w:szCs w:val="24"/>
        </w:rPr>
        <w:t>石化产业园区的鹿耳片区。</w:t>
      </w:r>
    </w:p>
    <w:p>
      <w:pPr>
        <w:pStyle w:val="5"/>
        <w:spacing w:line="500" w:lineRule="exact"/>
        <w:ind w:firstLine="475" w:firstLineChars="194"/>
        <w:rPr>
          <w:szCs w:val="24"/>
        </w:rPr>
      </w:pPr>
      <w:r>
        <w:rPr>
          <w:szCs w:val="24"/>
        </w:rPr>
        <w:t>中伟公司主营三元前驱体、四氧化三钴等前驱体研发以及金属镍钴及电池材料综合循环利用，项目</w:t>
      </w:r>
      <w:r>
        <w:rPr>
          <w:rFonts w:hint="eastAsia"/>
          <w:szCs w:val="24"/>
        </w:rPr>
        <w:t>以硫酸钴晶体、液碱、氨水及双氧水为原辅料生产羟基钴，羟基钴属于钴酸锂类电池的原料之一</w:t>
      </w:r>
      <w:r>
        <w:rPr>
          <w:szCs w:val="24"/>
        </w:rPr>
        <w:t>。因此，项目属于</w:t>
      </w:r>
      <w:r>
        <w:rPr>
          <w:rFonts w:hint="eastAsia"/>
          <w:szCs w:val="24"/>
        </w:rPr>
        <w:t>特种电化学产品</w:t>
      </w:r>
      <w:r>
        <w:rPr>
          <w:szCs w:val="24"/>
        </w:rPr>
        <w:t>，符合石化产业园的主导产业。因此，项目符合石化产业园区规划，符合鹿耳片区的空间布局规划。</w:t>
      </w:r>
    </w:p>
    <w:p>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与《广西钦州石化产业园总体发展规划（2020-2035年）环境影响报告书》及审查意见符合性分析</w:t>
      </w:r>
    </w:p>
    <w:p>
      <w:pPr>
        <w:pStyle w:val="5"/>
        <w:spacing w:line="500" w:lineRule="exact"/>
        <w:ind w:firstLine="0"/>
        <w:outlineLvl w:val="3"/>
        <w:rPr>
          <w:b/>
          <w:szCs w:val="24"/>
        </w:rPr>
      </w:pPr>
      <w:r>
        <w:rPr>
          <w:b/>
          <w:szCs w:val="24"/>
        </w:rPr>
        <w:t>1.5.</w:t>
      </w:r>
      <w:r>
        <w:rPr>
          <w:rFonts w:hint="eastAsia"/>
          <w:b/>
          <w:szCs w:val="24"/>
        </w:rPr>
        <w:t>4</w:t>
      </w:r>
      <w:r>
        <w:rPr>
          <w:b/>
          <w:szCs w:val="24"/>
        </w:rPr>
        <w:t>.1规划环评相关要求及符合性分析</w:t>
      </w:r>
    </w:p>
    <w:p>
      <w:pPr>
        <w:pStyle w:val="5"/>
        <w:spacing w:line="500" w:lineRule="exact"/>
        <w:ind w:firstLine="475" w:firstLineChars="194"/>
        <w:rPr>
          <w:bCs/>
          <w:szCs w:val="24"/>
        </w:rPr>
      </w:pPr>
      <w:r>
        <w:rPr>
          <w:bCs/>
          <w:szCs w:val="24"/>
        </w:rPr>
        <w:t>1、入园项目生态环境准入要求（见表1-</w:t>
      </w:r>
      <w:r>
        <w:rPr>
          <w:rFonts w:hint="eastAsia"/>
          <w:bCs/>
          <w:szCs w:val="24"/>
        </w:rPr>
        <w:t>36</w:t>
      </w:r>
      <w:r>
        <w:rPr>
          <w:bCs/>
          <w:szCs w:val="24"/>
        </w:rPr>
        <w:t>）</w:t>
      </w:r>
    </w:p>
    <w:p>
      <w:pPr>
        <w:pStyle w:val="5"/>
        <w:spacing w:line="500" w:lineRule="exact"/>
        <w:ind w:firstLine="475" w:firstLineChars="194"/>
        <w:rPr>
          <w:szCs w:val="24"/>
        </w:rPr>
      </w:pPr>
      <w:r>
        <w:rPr>
          <w:bCs/>
          <w:szCs w:val="24"/>
        </w:rPr>
        <w:t>2、</w:t>
      </w:r>
      <w:r>
        <w:rPr>
          <w:szCs w:val="24"/>
        </w:rPr>
        <w:t>入园区内项目清单</w:t>
      </w:r>
      <w:r>
        <w:rPr>
          <w:bCs/>
          <w:szCs w:val="24"/>
        </w:rPr>
        <w:t>（见表1-</w:t>
      </w:r>
      <w:r>
        <w:rPr>
          <w:rFonts w:hint="eastAsia"/>
          <w:bCs/>
          <w:szCs w:val="24"/>
        </w:rPr>
        <w:t>37</w:t>
      </w:r>
      <w:r>
        <w:rPr>
          <w:bCs/>
          <w:szCs w:val="24"/>
        </w:rPr>
        <w:t>）</w:t>
      </w:r>
    </w:p>
    <w:p>
      <w:pPr>
        <w:pStyle w:val="5"/>
        <w:spacing w:line="500" w:lineRule="exact"/>
        <w:ind w:firstLine="475" w:firstLineChars="194"/>
        <w:rPr>
          <w:szCs w:val="24"/>
        </w:rPr>
      </w:pPr>
      <w:r>
        <w:rPr>
          <w:szCs w:val="24"/>
        </w:rPr>
        <w:t>根据表1-</w:t>
      </w:r>
      <w:r>
        <w:rPr>
          <w:rFonts w:hint="eastAsia"/>
          <w:szCs w:val="24"/>
        </w:rPr>
        <w:t>36</w:t>
      </w:r>
      <w:r>
        <w:rPr>
          <w:szCs w:val="24"/>
        </w:rPr>
        <w:t>、表1-</w:t>
      </w:r>
      <w:r>
        <w:rPr>
          <w:rFonts w:hint="eastAsia"/>
          <w:szCs w:val="24"/>
        </w:rPr>
        <w:t>37</w:t>
      </w:r>
      <w:r>
        <w:rPr>
          <w:szCs w:val="24"/>
        </w:rPr>
        <w:t>，项目符合园区规划环评相关要求。</w:t>
      </w:r>
    </w:p>
    <w:p>
      <w:pPr>
        <w:pStyle w:val="5"/>
        <w:spacing w:line="500" w:lineRule="exact"/>
        <w:ind w:firstLine="475" w:firstLineChars="194"/>
        <w:rPr>
          <w:szCs w:val="24"/>
          <w:highlight w:val="yellow"/>
        </w:rPr>
      </w:pPr>
    </w:p>
    <w:p>
      <w:pPr>
        <w:pStyle w:val="5"/>
        <w:spacing w:line="500" w:lineRule="exact"/>
        <w:ind w:firstLine="475" w:firstLineChars="194"/>
        <w:rPr>
          <w:szCs w:val="24"/>
          <w:highlight w:val="yellow"/>
        </w:rPr>
        <w:sectPr>
          <w:pgSz w:w="11907" w:h="16840"/>
          <w:pgMar w:top="1678" w:right="1408" w:bottom="1901" w:left="1155" w:header="1174" w:footer="1029" w:gutter="567"/>
          <w:cols w:space="720" w:num="1"/>
          <w:docGrid w:type="linesAndChars" w:linePitch="421" w:charSpace="-3161"/>
        </w:sectPr>
      </w:pP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入园项目生态环境准入要求符合性分析</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505"/>
        <w:gridCol w:w="4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序号</w:t>
            </w:r>
          </w:p>
        </w:tc>
        <w:tc>
          <w:tcPr>
            <w:tcW w:w="85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Cs w:val="21"/>
              </w:rPr>
            </w:pPr>
            <w:r>
              <w:rPr>
                <w:rFonts w:ascii="Arial" w:hAnsi="Arial" w:eastAsia="宋体" w:cs="Arial"/>
                <w:sz w:val="21"/>
                <w:szCs w:val="21"/>
              </w:rPr>
              <w:t>内容</w:t>
            </w:r>
          </w:p>
        </w:tc>
        <w:tc>
          <w:tcPr>
            <w:tcW w:w="43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85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建设项目应为石化产业园区产业链范围内的项目，选址应符合石化产业园区规划的功能分区。</w:t>
            </w:r>
          </w:p>
        </w:tc>
        <w:tc>
          <w:tcPr>
            <w:tcW w:w="43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符合。项目符合石化产业园区的主导产业，位于鹿耳片区，符合该片区空间布局规划。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85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建设项目污染防治和环境影响方面的准入要求：</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引进的项目必须符合国家的产业政策，积极引进国家鼓励类项目，不得引进限制类和淘汰类项目；禁止建设不符合国家产业政策和准入条件、布局不合理、环境容量不足的项目（含新建、改建、扩建、异地搬迁、技术改造项目），严格控制可能对环境产生影响项目的建设，限制发展、淘汰技术落后、高能耗、高污染的项目。</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园区实现集中供热，各企业不得自建供热锅炉（企业利用自产燃料气除外）； 采用雨污分流制，雨水监控达标后通过雨水管网就近排入水体，各企业废水预处理后纳入园区污水处理厂处理，涵盖了工业区内大型企业、港口各作业区的污水处理，并配套中水回用系统。</w:t>
            </w:r>
          </w:p>
        </w:tc>
        <w:tc>
          <w:tcPr>
            <w:tcW w:w="43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项目符合国家产业政策，不属于限制类和淘汰类项目；符合国家产业政策和准入条件，根据预测，项目建设不会导致区域环境质量降级。</w:t>
            </w:r>
          </w:p>
          <w:p>
            <w:pPr>
              <w:adjustRightInd w:val="0"/>
              <w:snapToGrid w:val="0"/>
              <w:jc w:val="left"/>
              <w:rPr>
                <w:rFonts w:ascii="Arial" w:hAnsi="Arial" w:eastAsia="宋体" w:cs="Arial"/>
                <w:sz w:val="21"/>
                <w:szCs w:val="21"/>
                <w:highlight w:val="yellow"/>
              </w:rPr>
            </w:pPr>
            <w:r>
              <w:rPr>
                <w:rFonts w:hint="eastAsia" w:ascii="宋体" w:hAnsi="宋体" w:eastAsia="宋体" w:cs="宋体"/>
                <w:sz w:val="21"/>
                <w:szCs w:val="21"/>
              </w:rPr>
              <w:t>②</w:t>
            </w:r>
            <w:r>
              <w:rPr>
                <w:rFonts w:ascii="Arial" w:hAnsi="Arial" w:eastAsia="宋体" w:cs="Arial"/>
                <w:sz w:val="21"/>
                <w:szCs w:val="21"/>
              </w:rPr>
              <w:t>项目不涉及自建供热锅炉；采用雨污分流制，清洁雨水随园区雨水管网排入地表水体</w:t>
            </w:r>
            <w:r>
              <w:rPr>
                <w:rFonts w:hint="eastAsia" w:ascii="Arial" w:hAnsi="Arial" w:eastAsia="宋体" w:cs="Arial"/>
                <w:sz w:val="21"/>
                <w:szCs w:val="21"/>
              </w:rPr>
              <w:t>；大榄坪污水处理厂升级改造前，项目生产废水经处理达标后依托该污水处理厂深海排放管道排入A2排污区，污水厂升级改造后，废水排入污水厂处理</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85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 xml:space="preserve">挥发性有机物（VOCs）的治理应纳入企业的环保措施：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在油类（燃油、溶剂）的储存、运输过程中的VOCs污染防治技术措施包括：</w:t>
            </w:r>
          </w:p>
          <w:p>
            <w:pPr>
              <w:adjustRightInd w:val="0"/>
              <w:snapToGrid w:val="0"/>
              <w:jc w:val="left"/>
              <w:rPr>
                <w:rFonts w:ascii="Arial" w:hAnsi="Arial" w:eastAsia="宋体" w:cs="Arial"/>
                <w:sz w:val="21"/>
                <w:szCs w:val="21"/>
              </w:rPr>
            </w:pPr>
            <w:r>
              <w:rPr>
                <w:rFonts w:ascii="Arial" w:hAnsi="Arial" w:eastAsia="宋体" w:cs="Arial"/>
                <w:sz w:val="21"/>
                <w:szCs w:val="21"/>
              </w:rPr>
              <w:t xml:space="preserve">储油库、加油站和油罐车宜配备相应的油气收集系统，储油库、加油站宜配备相应的油气回收系统；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油类（燃油、溶剂等）储罐宜采用高效密封的内（外）浮顶罐，当采用固定顶罐时，通过密闭排气系统将含VOCs气体输送至回收设备；</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油类（燃油、溶剂等）运载工具（汽车油罐车、铁路油槽车、油轮等）在装载过程中排放的VOCs密闭收集输送至回收设备，也可返回储罐或送入气体管网。</w:t>
            </w:r>
          </w:p>
        </w:tc>
        <w:tc>
          <w:tcPr>
            <w:tcW w:w="43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企业危废暂存间产生的挥发性有机物经收集处理达标后有组织排放。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85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其他方面的准入条件：</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按照《钦州港临海工业园区发展环境影响跟踪评价报告书》（北海市碧蓝海洋环境保护服务有限公司，2014年10月）的要求，要适当提高企业进入园区的门槛。进入园区的项目不仅要达到经济规模，采用工艺技术符合国家要求，而且还要求原料和产品对环境的友好性。入区必须进行环境影响评价和安全评价，并要求企业建立起切实可行的环境管理制度和清洁生产机制。入驻企业须强制通过清洁生产审计，必要的话入驻企业“三废”排放标准可参照国外先进水平严格要求。入驻企业投资强度应达到7000万元/ha，单位土地面积年工业增加值产出强度要达到15～18亿元/km</w:t>
            </w:r>
            <w:r>
              <w:rPr>
                <w:rFonts w:ascii="Arial" w:hAnsi="Arial" w:eastAsia="宋体" w:cs="Arial"/>
                <w:sz w:val="21"/>
                <w:szCs w:val="21"/>
                <w:vertAlign w:val="superscript"/>
              </w:rPr>
              <w:t>2</w:t>
            </w:r>
            <w:r>
              <w:rPr>
                <w:rFonts w:ascii="Arial" w:hAnsi="Arial" w:eastAsia="宋体" w:cs="Arial"/>
                <w:sz w:val="21"/>
                <w:szCs w:val="21"/>
              </w:rPr>
              <w:t xml:space="preserve">。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 xml:space="preserve">工业技术的选择，要选择原料和能源消耗低、污染物排放少的工业技术，单位工业增加值的能耗、水耗和污染物排放量应达到同行业国际先进水平且必须低于地方制定的标准；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企业污染物排放浓度达到国家或地方规定的排放标准和总量指标；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按照生态工业园区标准建设产业区，采用循环经济原则，将工业园内各企业的工业三废和有害排放物作为资源在企业间循环利用，变废为宝，化害为利。企业的清洁生产水平需达到国际先进水平，对于有助于循环经济“补链”的企业优先引进；</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所有入园企业都必须依法进行环境影响评价。该规划中所包含的近期（一般为五年内）建设项目，对轻污染项目（不涉及热力设施，且挥发性有机物年排放量小于0.1吨、废水纳入管网），经请示环境主管部门的同意后，可以对大气环境、水环境、生态环境现状和评价专题内容可以适当简化。</w:t>
            </w:r>
          </w:p>
        </w:tc>
        <w:tc>
          <w:tcPr>
            <w:tcW w:w="43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项目在现有厂区建设，不新增用地。</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项目清洁生产可达到国际先进水平。</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各污染物排放浓度达到规定的排放标准，</w:t>
            </w:r>
            <w:r>
              <w:rPr>
                <w:rFonts w:hint="eastAsia" w:ascii="Arial" w:hAnsi="Arial" w:eastAsia="宋体" w:cs="Arial"/>
                <w:sz w:val="21"/>
                <w:szCs w:val="21"/>
              </w:rPr>
              <w:t>污染物排放符合总量控制的要求</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项目清洁生产可达到国际先进水平。</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项目依法开展环评工作。</w:t>
            </w: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入园项目清单要求符合性分析</w:t>
      </w:r>
    </w:p>
    <w:tbl>
      <w:tblPr>
        <w:tblStyle w:val="88"/>
        <w:tblW w:w="134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6947"/>
        <w:gridCol w:w="5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7" w:type="dxa"/>
            <w:vAlign w:val="center"/>
          </w:tcPr>
          <w:p>
            <w:pPr>
              <w:adjustRightInd w:val="0"/>
              <w:snapToGrid w:val="0"/>
              <w:jc w:val="center"/>
              <w:rPr>
                <w:rFonts w:ascii="Arial" w:hAnsi="Arial" w:eastAsia="宋体" w:cs="Arial"/>
                <w:szCs w:val="21"/>
              </w:rPr>
            </w:pPr>
            <w:r>
              <w:rPr>
                <w:rFonts w:ascii="Arial" w:hAnsi="Arial" w:eastAsia="宋体" w:cs="Arial"/>
                <w:sz w:val="21"/>
                <w:szCs w:val="21"/>
              </w:rPr>
              <w:t>类别</w:t>
            </w:r>
          </w:p>
        </w:tc>
        <w:tc>
          <w:tcPr>
            <w:tcW w:w="6947" w:type="dxa"/>
            <w:vAlign w:val="center"/>
          </w:tcPr>
          <w:p>
            <w:pPr>
              <w:adjustRightInd w:val="0"/>
              <w:snapToGrid w:val="0"/>
              <w:jc w:val="center"/>
              <w:rPr>
                <w:rFonts w:ascii="Arial" w:hAnsi="Arial" w:eastAsia="宋体" w:cs="Arial"/>
                <w:szCs w:val="21"/>
              </w:rPr>
            </w:pPr>
            <w:r>
              <w:rPr>
                <w:rFonts w:ascii="Arial" w:hAnsi="Arial" w:eastAsia="宋体" w:cs="Arial"/>
                <w:sz w:val="21"/>
                <w:szCs w:val="21"/>
              </w:rPr>
              <w:t>内容</w:t>
            </w:r>
          </w:p>
        </w:tc>
        <w:tc>
          <w:tcPr>
            <w:tcW w:w="571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正面清单</w:t>
            </w:r>
          </w:p>
        </w:tc>
        <w:tc>
          <w:tcPr>
            <w:tcW w:w="6947" w:type="dxa"/>
            <w:vAlign w:val="center"/>
          </w:tcPr>
          <w:p>
            <w:pPr>
              <w:adjustRightInd w:val="0"/>
              <w:snapToGrid w:val="0"/>
              <w:jc w:val="left"/>
              <w:rPr>
                <w:rFonts w:ascii="Arial" w:hAnsi="Arial" w:eastAsia="宋体" w:cs="Arial"/>
                <w:sz w:val="21"/>
                <w:szCs w:val="21"/>
              </w:rPr>
            </w:pPr>
            <w:r>
              <w:rPr>
                <w:rFonts w:ascii="Arial" w:hAnsi="Arial" w:eastAsia="宋体" w:cs="Arial"/>
                <w:sz w:val="21"/>
                <w:szCs w:val="21"/>
              </w:rPr>
              <w:t xml:space="preserve">根据规划在引进项目时，要严格把关，坚持发展高起点、高技术含量、高附加值的项目。主要引进原则应包含以下几方面：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具有先进的生产技术水平；</w:t>
            </w:r>
            <w:r>
              <w:rPr>
                <w:rFonts w:hint="eastAsia" w:ascii="宋体" w:hAnsi="宋体" w:eastAsia="宋体" w:cs="宋体"/>
                <w:sz w:val="21"/>
                <w:szCs w:val="21"/>
              </w:rPr>
              <w:t>②</w:t>
            </w:r>
            <w:r>
              <w:rPr>
                <w:rFonts w:ascii="Arial" w:hAnsi="Arial" w:eastAsia="宋体" w:cs="Arial"/>
                <w:sz w:val="21"/>
                <w:szCs w:val="21"/>
              </w:rPr>
              <w:t xml:space="preserve">采用先进的环境保护技术；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具备先进的环境管理水平；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 xml:space="preserve">符合国际先进清洁生产标准；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 xml:space="preserve">符合当地生态、环境保护的要求，达到环境污染物总量控制的目标；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 xml:space="preserve">有助于园区循环经济“补链”的企业优先引进；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符合本园区产业发展规划的企业。</w:t>
            </w:r>
          </w:p>
        </w:tc>
        <w:tc>
          <w:tcPr>
            <w:tcW w:w="5715" w:type="dxa"/>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ascii="Arial" w:hAnsi="Arial" w:eastAsia="宋体" w:cs="Arial"/>
                <w:sz w:val="21"/>
                <w:szCs w:val="21"/>
              </w:rPr>
              <w:t>项目采用先进的生产技术水平及环境保护技术，企业具备先进的环境管理水平；符合国际先进清洁生产标准；符合地方生态、环境保护的要求，污染物排放达到总量控制指标要求；符合园区产业发展规划。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负面清单</w:t>
            </w:r>
          </w:p>
        </w:tc>
        <w:tc>
          <w:tcPr>
            <w:tcW w:w="6947" w:type="dxa"/>
            <w:vAlign w:val="center"/>
          </w:tcPr>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 xml:space="preserve">《市场准入负面清单（2019年版）》。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不符合园区的产业定位和产业发展规划的项目。</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《产业结构调整指导目录（2019年本）》限制、淘汰类项目。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 xml:space="preserve">不符合地方产业指导名录规定的项目。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 xml:space="preserve">工艺技术落后，不符合广西、钦州产业发展方向，不符合行业准入条件和有关规定，不利于地方产业结构优化升级，需要督促改造和禁止新建的装备及产品。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不符合国家、地方有关法律法规规定，严重浪费资源、污染环境、不具备安全生产条件，需要淘汰的落后工艺技术、装备及产品。</w:t>
            </w:r>
          </w:p>
        </w:tc>
        <w:tc>
          <w:tcPr>
            <w:tcW w:w="5715" w:type="dxa"/>
            <w:vAlign w:val="center"/>
          </w:tcPr>
          <w:p>
            <w:pPr>
              <w:adjustRightInd w:val="0"/>
              <w:snapToGrid w:val="0"/>
              <w:jc w:val="left"/>
              <w:rPr>
                <w:rFonts w:ascii="Arial" w:hAnsi="Arial" w:eastAsia="宋体" w:cs="Arial"/>
                <w:sz w:val="21"/>
                <w:szCs w:val="21"/>
              </w:rPr>
            </w:pPr>
            <w:r>
              <w:rPr>
                <w:rFonts w:ascii="Arial" w:hAnsi="Arial" w:eastAsia="宋体" w:cs="Arial"/>
                <w:sz w:val="21"/>
                <w:szCs w:val="21"/>
              </w:rPr>
              <w:t>符合。</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 xml:space="preserve">项目不属于《市场准入负面清单（2019年版）》内容。 </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项目符合园区的产业定位和产业发展规划。</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项目不属于《产业结构调整指导目录（2024年本）》鼓励、限制、淘汰类项目，为允许类。</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项目不属于《北钦防一体化产业协同发展限制布局清单（工业类2021年版）》的限制产业。</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项目无落后工艺和设备，符合行业准入条件和有关规定。</w:t>
            </w:r>
          </w:p>
          <w:p>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项目符合国家、地方有关法律法规规定，无落后工艺技术、装备及产品。</w:t>
            </w:r>
          </w:p>
        </w:tc>
      </w:tr>
    </w:tbl>
    <w:p>
      <w:pPr>
        <w:pStyle w:val="5"/>
        <w:spacing w:line="500" w:lineRule="exact"/>
        <w:ind w:firstLine="0"/>
        <w:rPr>
          <w:szCs w:val="24"/>
          <w:highlight w:val="yellow"/>
        </w:rPr>
        <w:sectPr>
          <w:pgSz w:w="16840" w:h="11907" w:orient="landscape"/>
          <w:pgMar w:top="1157" w:right="1678" w:bottom="1406" w:left="1899" w:header="1174" w:footer="1026" w:gutter="567"/>
          <w:cols w:space="720" w:num="1"/>
          <w:docGrid w:type="linesAndChars" w:linePitch="421" w:charSpace="-3161"/>
        </w:sectPr>
      </w:pPr>
    </w:p>
    <w:p>
      <w:pPr>
        <w:pStyle w:val="5"/>
        <w:spacing w:line="500" w:lineRule="exact"/>
        <w:ind w:firstLine="0"/>
        <w:outlineLvl w:val="3"/>
        <w:rPr>
          <w:b/>
          <w:szCs w:val="24"/>
        </w:rPr>
      </w:pPr>
      <w:r>
        <w:rPr>
          <w:b/>
          <w:szCs w:val="24"/>
        </w:rPr>
        <w:t>1.5.</w:t>
      </w:r>
      <w:r>
        <w:rPr>
          <w:rFonts w:hint="eastAsia"/>
          <w:b/>
          <w:szCs w:val="24"/>
        </w:rPr>
        <w:t>4</w:t>
      </w:r>
      <w:r>
        <w:rPr>
          <w:b/>
          <w:szCs w:val="24"/>
        </w:rPr>
        <w:t>.2审查意见相关要求及符合性分析</w:t>
      </w:r>
    </w:p>
    <w:p>
      <w:pPr>
        <w:pStyle w:val="5"/>
        <w:adjustRightInd w:val="0"/>
        <w:snapToGrid w:val="0"/>
        <w:spacing w:line="500" w:lineRule="exact"/>
        <w:ind w:firstLine="490" w:firstLineChars="200"/>
        <w:rPr>
          <w:szCs w:val="24"/>
        </w:rPr>
      </w:pPr>
      <w:r>
        <w:rPr>
          <w:szCs w:val="24"/>
        </w:rPr>
        <w:t>1、对《规划》包含的近期建设项目环评的意见</w:t>
      </w:r>
    </w:p>
    <w:p>
      <w:pPr>
        <w:pStyle w:val="5"/>
        <w:adjustRightInd w:val="0"/>
        <w:snapToGrid w:val="0"/>
        <w:spacing w:line="500" w:lineRule="exact"/>
        <w:ind w:firstLine="490" w:firstLineChars="200"/>
        <w:rPr>
          <w:szCs w:val="24"/>
        </w:rPr>
      </w:pPr>
      <w:r>
        <w:rPr>
          <w:szCs w:val="24"/>
        </w:rPr>
        <w:t>《规划》所包含的近期建设项目在开展环境影响评价时，应落实《规划》环评提出的各项要求，重点开展工程分析、海域排污论证、化学品输送及仓储、危险废物处理处置、环境风险评价和环保措施的可行性论证，重点关注控制挥发性有机物排放的环保措施、应急体系建设等内容，强化以新带老、危险化学品输送及仓储污染防治、环境风险防范及应急设施建设等措施的落实。规划协调性分析及环境现状调查内容可适当简化。</w:t>
      </w:r>
    </w:p>
    <w:p>
      <w:pPr>
        <w:pStyle w:val="5"/>
        <w:adjustRightInd w:val="0"/>
        <w:snapToGrid w:val="0"/>
        <w:spacing w:line="500" w:lineRule="exact"/>
        <w:ind w:firstLine="490" w:firstLineChars="200"/>
        <w:rPr>
          <w:szCs w:val="24"/>
        </w:rPr>
      </w:pPr>
      <w:r>
        <w:rPr>
          <w:szCs w:val="24"/>
        </w:rPr>
        <w:t>2、与审查意见符合性分析</w:t>
      </w:r>
    </w:p>
    <w:p>
      <w:pPr>
        <w:pStyle w:val="5"/>
        <w:adjustRightInd w:val="0"/>
        <w:snapToGrid w:val="0"/>
        <w:spacing w:line="500" w:lineRule="exact"/>
        <w:ind w:firstLine="490" w:firstLineChars="200"/>
        <w:rPr>
          <w:szCs w:val="24"/>
        </w:rPr>
      </w:pPr>
      <w:r>
        <w:rPr>
          <w:rFonts w:hint="eastAsia"/>
          <w:szCs w:val="24"/>
        </w:rPr>
        <w:t>本报告</w:t>
      </w:r>
      <w:r>
        <w:rPr>
          <w:szCs w:val="24"/>
        </w:rPr>
        <w:t>深入论证</w:t>
      </w:r>
      <w:r>
        <w:rPr>
          <w:rFonts w:hint="eastAsia"/>
          <w:szCs w:val="24"/>
        </w:rPr>
        <w:t>了变更后的</w:t>
      </w:r>
      <w:r>
        <w:rPr>
          <w:szCs w:val="24"/>
        </w:rPr>
        <w:t>工程分析</w:t>
      </w:r>
      <w:r>
        <w:rPr>
          <w:rFonts w:hint="eastAsia"/>
          <w:szCs w:val="24"/>
        </w:rPr>
        <w:t>；项目生活污水经处理后排入园区污水处理厂处理；项目变更后生产废水较变更前有所增加，但企业全厂生产废水排放量未超过一期一阶段项目环评，报告引用该项目环评的排水预测结论对海域影响进行分析论证；</w:t>
      </w:r>
      <w:r>
        <w:rPr>
          <w:szCs w:val="24"/>
        </w:rPr>
        <w:t>对化学品输送及仓储、危险废物处理处置进行充分分析，按要求编制环境风险评价，提出应急体系建设；各环保措施进行了可行性论证；项目挥发性有机物排放量很小，报告提出了有效控制措施；报告提出了以新带老措施及环境风险防范及应急设施。</w:t>
      </w:r>
    </w:p>
    <w:p>
      <w:pPr>
        <w:pStyle w:val="5"/>
        <w:adjustRightInd w:val="0"/>
        <w:snapToGrid w:val="0"/>
        <w:spacing w:line="500" w:lineRule="exact"/>
        <w:ind w:firstLine="490" w:firstLineChars="200"/>
        <w:rPr>
          <w:szCs w:val="24"/>
        </w:rPr>
      </w:pPr>
      <w:r>
        <w:rPr>
          <w:szCs w:val="24"/>
        </w:rPr>
        <w:t>因此，项目符合规划环评审查意见的要求。</w:t>
      </w:r>
    </w:p>
    <w:p>
      <w:pPr>
        <w:pStyle w:val="5"/>
        <w:spacing w:line="500" w:lineRule="exact"/>
        <w:ind w:firstLine="0"/>
        <w:outlineLvl w:val="3"/>
        <w:rPr>
          <w:b/>
          <w:szCs w:val="24"/>
        </w:rPr>
      </w:pPr>
      <w:r>
        <w:rPr>
          <w:b/>
          <w:szCs w:val="24"/>
        </w:rPr>
        <w:t>1.5.</w:t>
      </w:r>
      <w:r>
        <w:rPr>
          <w:rFonts w:hint="eastAsia"/>
          <w:b/>
          <w:szCs w:val="24"/>
        </w:rPr>
        <w:t>4</w:t>
      </w:r>
      <w:r>
        <w:rPr>
          <w:b/>
          <w:szCs w:val="24"/>
        </w:rPr>
        <w:t>.3小结</w:t>
      </w:r>
    </w:p>
    <w:p>
      <w:pPr>
        <w:pStyle w:val="5"/>
        <w:spacing w:line="500" w:lineRule="exact"/>
        <w:ind w:firstLine="475" w:firstLineChars="194"/>
        <w:rPr>
          <w:szCs w:val="24"/>
          <w:u w:val="single"/>
        </w:rPr>
      </w:pPr>
      <w:r>
        <w:rPr>
          <w:szCs w:val="24"/>
        </w:rPr>
        <w:t>项目符合石化产业园规划环评及审查意见的相关要求。</w:t>
      </w:r>
    </w:p>
    <w:p>
      <w:pPr>
        <w:keepNext/>
        <w:keepLines/>
        <w:numPr>
          <w:ilvl w:val="0"/>
          <w:numId w:val="2"/>
        </w:numPr>
        <w:tabs>
          <w:tab w:val="left" w:pos="567"/>
        </w:tabs>
        <w:spacing w:before="210" w:after="210" w:line="500" w:lineRule="exact"/>
        <w:outlineLvl w:val="1"/>
        <w:rPr>
          <w:rFonts w:ascii="Arial" w:hAnsi="Arial" w:eastAsia="宋体" w:cs="Arial"/>
          <w:b/>
        </w:rPr>
      </w:pPr>
      <w:bookmarkStart w:id="244" w:name="_Toc154599058"/>
      <w:bookmarkStart w:id="245" w:name="_Toc182491374"/>
      <w:bookmarkStart w:id="246" w:name="_Toc185950211"/>
      <w:bookmarkStart w:id="247" w:name="_Toc166675355"/>
      <w:r>
        <w:rPr>
          <w:rFonts w:ascii="Arial" w:hAnsi="Arial" w:eastAsia="宋体" w:cs="Arial"/>
          <w:b/>
        </w:rPr>
        <w:t>与相关政策、规范符合性分析</w:t>
      </w:r>
      <w:bookmarkEnd w:id="244"/>
      <w:bookmarkEnd w:id="245"/>
      <w:bookmarkEnd w:id="246"/>
      <w:bookmarkEnd w:id="247"/>
    </w:p>
    <w:p>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生态环境分区管控</w:t>
      </w:r>
      <w:r>
        <w:rPr>
          <w:rFonts w:ascii="Arial" w:hAnsi="Arial" w:eastAsia="宋体" w:cs="Arial"/>
          <w:b/>
          <w:bCs/>
          <w:sz w:val="24"/>
          <w:szCs w:val="24"/>
        </w:rPr>
        <w:t>相符性分析</w:t>
      </w:r>
    </w:p>
    <w:p>
      <w:pPr>
        <w:pStyle w:val="5"/>
        <w:spacing w:line="500" w:lineRule="exact"/>
        <w:ind w:firstLine="475" w:firstLineChars="194"/>
        <w:rPr>
          <w:szCs w:val="24"/>
        </w:rPr>
      </w:pPr>
      <w:r>
        <w:rPr>
          <w:szCs w:val="24"/>
        </w:rPr>
        <w:t>1、生态保护红线</w:t>
      </w:r>
    </w:p>
    <w:p>
      <w:pPr>
        <w:pStyle w:val="5"/>
        <w:spacing w:line="500" w:lineRule="exact"/>
        <w:ind w:firstLine="475" w:firstLineChars="194"/>
        <w:rPr>
          <w:szCs w:val="24"/>
        </w:rPr>
      </w:pPr>
      <w:r>
        <w:rPr>
          <w:szCs w:val="24"/>
        </w:rPr>
        <w:t>根据《生态保护红线划定指南》、《广西生态保护红线划定方案》对生态保护红线类型的划分要求，项目在原厂区内建设，不新增用地，用地不涉及生态敏感区/脆弱区、生物多样性保护区、水源涵养生态保护区、重要湿地保护区、自然与人文景观、林地保护区、集中式饮用水源保护区等环境敏感区。</w:t>
      </w:r>
    </w:p>
    <w:p>
      <w:pPr>
        <w:pStyle w:val="5"/>
        <w:spacing w:line="500" w:lineRule="exact"/>
        <w:ind w:firstLine="475" w:firstLineChars="194"/>
        <w:rPr>
          <w:szCs w:val="24"/>
        </w:rPr>
      </w:pPr>
      <w:r>
        <w:rPr>
          <w:szCs w:val="24"/>
        </w:rPr>
        <w:t>根据</w:t>
      </w:r>
      <w:r>
        <w:rPr>
          <w:rFonts w:hint="eastAsia"/>
          <w:kern w:val="0"/>
          <w:szCs w:val="24"/>
          <w:u w:val="single"/>
        </w:rPr>
        <w:t>《钦州市生态环境局关于印发〈钦州市生态环境分区管控动态更新成果（2023版）〉的通知》</w:t>
      </w:r>
      <w:r>
        <w:rPr>
          <w:szCs w:val="24"/>
          <w:u w:val="single"/>
        </w:rPr>
        <w:t>，项目所在位置属</w:t>
      </w:r>
      <w:r>
        <w:rPr>
          <w:rFonts w:hint="eastAsia"/>
          <w:szCs w:val="24"/>
          <w:u w:val="single"/>
        </w:rPr>
        <w:t>广西钦州石化产业园重点管控单元</w:t>
      </w:r>
      <w:r>
        <w:rPr>
          <w:szCs w:val="24"/>
          <w:u w:val="single"/>
        </w:rPr>
        <w:t>，不在钦南区优先保护单元的范围内。</w:t>
      </w:r>
    </w:p>
    <w:p>
      <w:pPr>
        <w:pStyle w:val="5"/>
        <w:spacing w:line="500" w:lineRule="exact"/>
        <w:ind w:firstLine="475" w:firstLineChars="194"/>
        <w:rPr>
          <w:szCs w:val="24"/>
        </w:rPr>
      </w:pPr>
      <w:r>
        <w:rPr>
          <w:szCs w:val="24"/>
        </w:rPr>
        <w:t>因此，项目用地不涉及生态红线区，符合生态保护红线要求。</w:t>
      </w:r>
    </w:p>
    <w:p>
      <w:pPr>
        <w:pStyle w:val="5"/>
        <w:spacing w:line="500" w:lineRule="exact"/>
        <w:ind w:firstLine="475" w:firstLineChars="194"/>
        <w:rPr>
          <w:szCs w:val="24"/>
        </w:rPr>
      </w:pPr>
      <w:r>
        <w:rPr>
          <w:szCs w:val="24"/>
        </w:rPr>
        <w:t>2、环境质量底线</w:t>
      </w:r>
    </w:p>
    <w:p>
      <w:pPr>
        <w:pStyle w:val="5"/>
        <w:spacing w:line="500" w:lineRule="exact"/>
        <w:ind w:firstLine="475" w:firstLineChars="194"/>
        <w:rPr>
          <w:szCs w:val="24"/>
        </w:rPr>
      </w:pPr>
      <w:r>
        <w:rPr>
          <w:szCs w:val="24"/>
        </w:rPr>
        <w:t>根据下文&amp;3.2章节可知，项目所在区域大气环境质量、海水环境质量、声环境质量、土壤环境质量能够满足相应的标准要求。</w:t>
      </w:r>
    </w:p>
    <w:p>
      <w:pPr>
        <w:pStyle w:val="5"/>
        <w:spacing w:line="500" w:lineRule="exact"/>
        <w:ind w:firstLine="475" w:firstLineChars="194"/>
        <w:rPr>
          <w:szCs w:val="24"/>
        </w:rPr>
      </w:pPr>
      <w:r>
        <w:rPr>
          <w:rFonts w:hint="eastAsia"/>
          <w:szCs w:val="24"/>
        </w:rPr>
        <w:t>项目变更后生产废水较变更前有所增加，但企业全厂生产废水排放量未超过一期一阶段项目环评，根据引用的预测结论，地表水环境影响可接受</w:t>
      </w:r>
      <w:r>
        <w:rPr>
          <w:szCs w:val="24"/>
        </w:rPr>
        <w:t>；经预测排放的废气污染物的短期浓度贡献值、年均浓度贡献值均符合相应标准要求，大气环境影响可以接受；经预测项目1、5、10、30年排放的污染物对土壤中累积可以满足《土壤环境质量 建设用地土壤污染风险管控标准（试行）》（GB36600-2018）中第二类用地筛选值。</w:t>
      </w:r>
    </w:p>
    <w:p>
      <w:pPr>
        <w:pStyle w:val="5"/>
        <w:spacing w:line="500" w:lineRule="exact"/>
        <w:ind w:firstLine="475" w:firstLineChars="194"/>
        <w:rPr>
          <w:szCs w:val="24"/>
        </w:rPr>
      </w:pPr>
      <w:r>
        <w:rPr>
          <w:szCs w:val="24"/>
        </w:rPr>
        <w:t>因此，项目符合环境质量底线要求。</w:t>
      </w:r>
    </w:p>
    <w:p>
      <w:pPr>
        <w:pStyle w:val="5"/>
        <w:spacing w:line="500" w:lineRule="exact"/>
        <w:ind w:firstLine="475" w:firstLineChars="194"/>
        <w:rPr>
          <w:szCs w:val="24"/>
        </w:rPr>
      </w:pPr>
      <w:r>
        <w:rPr>
          <w:szCs w:val="24"/>
        </w:rPr>
        <w:t>3、资源利用上限</w:t>
      </w:r>
    </w:p>
    <w:p>
      <w:pPr>
        <w:pStyle w:val="5"/>
        <w:spacing w:line="500" w:lineRule="exact"/>
        <w:ind w:firstLine="475" w:firstLineChars="194"/>
        <w:rPr>
          <w:szCs w:val="24"/>
        </w:rPr>
      </w:pPr>
      <w:r>
        <w:rPr>
          <w:szCs w:val="24"/>
        </w:rPr>
        <w:t>项目位于钦州港大榄坪物流加工区，同时也处于钦州石化产业园区，用地性质均为工业用地，项目在现有厂区内建设，不新增用地；项目营运过程中消耗原料氢氧化镍钴、硫酸、盐酸、液碱、二氧化硫等等，项目取水由工业园区供给，营运过程中消耗一定量的水、电等资源，资源消耗量相对于区域资源利用总量较少，符合资源利用上线要求。项目建成运行后通过内部管理、设备选择、原辅材料的选用和管理、资源回收利用、污染治理等多方面采取合理可行的防治措施，以“节约、降耗、减污”为目标，有效地控制污染。项目用水、电等不会突破区域的资源利用上线。</w:t>
      </w:r>
    </w:p>
    <w:p>
      <w:pPr>
        <w:pStyle w:val="5"/>
        <w:spacing w:line="500" w:lineRule="exact"/>
        <w:ind w:firstLine="475" w:firstLineChars="194"/>
        <w:rPr>
          <w:szCs w:val="24"/>
        </w:rPr>
      </w:pPr>
      <w:r>
        <w:rPr>
          <w:szCs w:val="24"/>
        </w:rPr>
        <w:t>4、环境准入负面清单</w:t>
      </w:r>
    </w:p>
    <w:p>
      <w:pPr>
        <w:pStyle w:val="5"/>
        <w:spacing w:line="500" w:lineRule="exact"/>
        <w:ind w:firstLine="475" w:firstLineChars="194"/>
        <w:rPr>
          <w:szCs w:val="24"/>
        </w:rPr>
      </w:pPr>
      <w:r>
        <w:rPr>
          <w:szCs w:val="24"/>
        </w:rPr>
        <w:t>（1）项目位于钦州市，</w:t>
      </w:r>
      <w:r>
        <w:rPr>
          <w:rFonts w:hint="eastAsia"/>
          <w:szCs w:val="24"/>
        </w:rPr>
        <w:t>未列入《广西壮族自治区重点生态功能区县产业准入负面清单调整方案》中负面清单行业内容</w:t>
      </w:r>
      <w:r>
        <w:rPr>
          <w:szCs w:val="24"/>
        </w:rPr>
        <w:t>。</w:t>
      </w:r>
    </w:p>
    <w:p>
      <w:pPr>
        <w:pStyle w:val="5"/>
        <w:spacing w:line="500" w:lineRule="exact"/>
        <w:ind w:firstLine="475" w:firstLineChars="194"/>
        <w:rPr>
          <w:szCs w:val="24"/>
        </w:rPr>
      </w:pPr>
      <w:r>
        <w:rPr>
          <w:szCs w:val="24"/>
        </w:rPr>
        <w:t>（2）项目的建设不涉及《广西壮族自治区生态环境厅等部门关于印发〈广西生态保护正面清单（2022）〉和〈广西生态保护禁止事项清单（2022）》的通知〉（桂环发〔2022〕54号）》中的负面清单事项内容。</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（3）与</w:t>
      </w:r>
      <w:r>
        <w:rPr>
          <w:rFonts w:hint="eastAsia" w:ascii="Arial" w:hAnsi="Arial" w:eastAsia="宋体" w:cs="Arial"/>
          <w:spacing w:val="10"/>
          <w:sz w:val="24"/>
          <w:szCs w:val="24"/>
        </w:rPr>
        <w:t>《广西壮族自治区生态环境分区管控动态更新成果（2023年）》</w:t>
      </w:r>
      <w:r>
        <w:rPr>
          <w:rFonts w:ascii="Arial" w:hAnsi="Arial" w:eastAsia="宋体" w:cs="Arial"/>
          <w:spacing w:val="10"/>
          <w:sz w:val="24"/>
          <w:szCs w:val="24"/>
        </w:rPr>
        <w:t>相符性分析</w:t>
      </w:r>
    </w:p>
    <w:p>
      <w:pPr>
        <w:pStyle w:val="5"/>
        <w:spacing w:line="500" w:lineRule="exact"/>
        <w:ind w:firstLine="475" w:firstLineChars="194"/>
        <w:rPr>
          <w:szCs w:val="24"/>
        </w:rPr>
      </w:pPr>
      <w:r>
        <w:rPr>
          <w:szCs w:val="24"/>
        </w:rPr>
        <w:t>项目位于钦州市钦州港，属</w:t>
      </w:r>
      <w:r>
        <w:rPr>
          <w:rFonts w:hint="eastAsia"/>
          <w:szCs w:val="24"/>
        </w:rPr>
        <w:t>于广西壮族自治区生态环境分区管控动态更新成果（2023年）</w:t>
      </w:r>
      <w:r>
        <w:rPr>
          <w:szCs w:val="24"/>
        </w:rPr>
        <w:t>中四大板块中的北部湾经济区。项目建设符合国家及地方产业政策，不涉及自然保护区、饮用水源保护区等生态保护目标，不在生态保护红线内，满足自治区和北部湾经济区生态环境总体准入及管控要求，项目建设符合</w:t>
      </w:r>
      <w:r>
        <w:rPr>
          <w:rFonts w:hint="eastAsia"/>
          <w:szCs w:val="24"/>
        </w:rPr>
        <w:t>广西壮族自治区生态环境分区管控动态更新成果（2023年）的</w:t>
      </w:r>
      <w:r>
        <w:rPr>
          <w:szCs w:val="24"/>
        </w:rPr>
        <w:t>要求，详见表1-</w:t>
      </w:r>
      <w:r>
        <w:rPr>
          <w:rFonts w:hint="eastAsia"/>
          <w:szCs w:val="24"/>
        </w:rPr>
        <w:t>43</w:t>
      </w:r>
      <w:r>
        <w:rPr>
          <w:szCs w:val="24"/>
        </w:rPr>
        <w:t>。</w:t>
      </w:r>
    </w:p>
    <w:p>
      <w:pPr>
        <w:spacing w:line="500" w:lineRule="exact"/>
        <w:ind w:firstLine="490" w:firstLineChars="200"/>
        <w:rPr>
          <w:rFonts w:ascii="Arial" w:hAnsi="Arial" w:eastAsia="宋体" w:cs="Arial"/>
          <w:spacing w:val="10"/>
          <w:sz w:val="24"/>
          <w:szCs w:val="24"/>
          <w:highlight w:val="yellow"/>
        </w:rPr>
      </w:pPr>
    </w:p>
    <w:p>
      <w:pPr>
        <w:spacing w:line="500" w:lineRule="exact"/>
        <w:ind w:firstLine="490" w:firstLineChars="200"/>
        <w:rPr>
          <w:rFonts w:ascii="Arial" w:hAnsi="Arial" w:eastAsia="宋体" w:cs="Arial"/>
          <w:spacing w:val="10"/>
          <w:sz w:val="24"/>
          <w:szCs w:val="24"/>
          <w:highlight w:val="yellow"/>
        </w:rPr>
        <w:sectPr>
          <w:pgSz w:w="11907" w:h="16840"/>
          <w:pgMar w:top="1678" w:right="1408" w:bottom="1901" w:left="1155" w:header="1174" w:footer="1029" w:gutter="567"/>
          <w:cols w:space="720" w:num="1"/>
          <w:docGrid w:type="linesAndChars" w:linePitch="421" w:charSpace="-3161"/>
        </w:sectPr>
      </w:pPr>
    </w:p>
    <w:p>
      <w:pPr>
        <w:keepNext/>
        <w:keepLines/>
        <w:numPr>
          <w:ilvl w:val="0"/>
          <w:numId w:val="5"/>
        </w:numPr>
        <w:tabs>
          <w:tab w:val="left" w:pos="0"/>
        </w:tabs>
        <w:spacing w:line="500" w:lineRule="exact"/>
        <w:jc w:val="center"/>
        <w:outlineLvl w:val="4"/>
        <w:rPr>
          <w:rFonts w:ascii="Arial" w:hAnsi="Arial" w:eastAsia="宋体" w:cs="Arial"/>
          <w:b/>
          <w:sz w:val="24"/>
        </w:rPr>
      </w:pPr>
      <w:r>
        <w:rPr>
          <w:rFonts w:ascii="Arial" w:hAnsi="Arial" w:eastAsia="宋体" w:cs="Arial"/>
          <w:b/>
          <w:sz w:val="24"/>
        </w:rPr>
        <w:t>项目与</w:t>
      </w:r>
      <w:r>
        <w:rPr>
          <w:rFonts w:hint="eastAsia" w:ascii="Arial" w:hAnsi="Arial" w:eastAsia="宋体" w:cs="Arial"/>
          <w:b/>
          <w:sz w:val="24"/>
        </w:rPr>
        <w:t>《广西壮族自治区生态环境分区管控动态更新成果（2023年）》（北部湾经济区）</w:t>
      </w:r>
      <w:r>
        <w:rPr>
          <w:rFonts w:ascii="Arial" w:hAnsi="Arial" w:eastAsia="宋体" w:cs="Arial"/>
          <w:b/>
          <w:sz w:val="24"/>
        </w:rPr>
        <w:t>要求对比表</w:t>
      </w:r>
    </w:p>
    <w:tbl>
      <w:tblPr>
        <w:tblStyle w:val="88"/>
        <w:tblW w:w="13479" w:type="dxa"/>
        <w:jc w:val="center"/>
        <w:tblInd w:w="0" w:type="dxa"/>
        <w:tblLayout w:type="fixed"/>
        <w:tblCellMar>
          <w:top w:w="0" w:type="dxa"/>
          <w:left w:w="108" w:type="dxa"/>
          <w:bottom w:w="0" w:type="dxa"/>
          <w:right w:w="108" w:type="dxa"/>
        </w:tblCellMar>
      </w:tblPr>
      <w:tblGrid>
        <w:gridCol w:w="806"/>
        <w:gridCol w:w="741"/>
        <w:gridCol w:w="1111"/>
        <w:gridCol w:w="8648"/>
        <w:gridCol w:w="2173"/>
      </w:tblGrid>
      <w:tr>
        <w:tblPrEx>
          <w:tblLayout w:type="fixed"/>
          <w:tblCellMar>
            <w:top w:w="0" w:type="dxa"/>
            <w:left w:w="108" w:type="dxa"/>
            <w:bottom w:w="0" w:type="dxa"/>
            <w:right w:w="108" w:type="dxa"/>
          </w:tblCellMar>
        </w:tblPrEx>
        <w:trPr>
          <w:trHeight w:val="340" w:hRule="atLeast"/>
          <w:tblHeader/>
          <w:jc w:val="center"/>
        </w:trPr>
        <w:tc>
          <w:tcPr>
            <w:tcW w:w="8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适用分区</w:t>
            </w:r>
          </w:p>
        </w:tc>
        <w:tc>
          <w:tcPr>
            <w:tcW w:w="74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适用对象</w:t>
            </w:r>
          </w:p>
        </w:tc>
        <w:tc>
          <w:tcPr>
            <w:tcW w:w="111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管控要求类别</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生态环境准入及管控要求</w:t>
            </w:r>
          </w:p>
        </w:tc>
        <w:tc>
          <w:tcPr>
            <w:tcW w:w="217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项目情况</w:t>
            </w:r>
          </w:p>
        </w:tc>
      </w:tr>
      <w:tr>
        <w:tblPrEx>
          <w:tblLayout w:type="fixed"/>
          <w:tblCellMar>
            <w:top w:w="0" w:type="dxa"/>
            <w:left w:w="108" w:type="dxa"/>
            <w:bottom w:w="0" w:type="dxa"/>
            <w:right w:w="108" w:type="dxa"/>
          </w:tblCellMar>
        </w:tblPrEx>
        <w:trPr>
          <w:trHeight w:val="34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自治区</w:t>
            </w:r>
          </w:p>
        </w:tc>
        <w:tc>
          <w:tcPr>
            <w:tcW w:w="74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全自治区</w:t>
            </w:r>
          </w:p>
        </w:tc>
        <w:tc>
          <w:tcPr>
            <w:tcW w:w="111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空间布局约束</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hint="eastAsia" w:ascii="Arial" w:hAnsi="Arial" w:eastAsia="宋体" w:cs="Arial"/>
                <w:sz w:val="21"/>
                <w:szCs w:val="21"/>
              </w:rPr>
              <w:t>1．新建、改建、扩建工业项目应按照国家、自治区相关行业建设项目环境影响评价文件审批原则入园。新建企业应符合批准实施的国土空间规划、“十四五”规划纲要和相关专项规划。</w:t>
            </w:r>
          </w:p>
          <w:p>
            <w:pPr>
              <w:adjustRightInd w:val="0"/>
              <w:snapToGrid w:val="0"/>
              <w:rPr>
                <w:rFonts w:ascii="Arial" w:hAnsi="Arial" w:eastAsia="宋体" w:cs="Arial"/>
                <w:sz w:val="21"/>
                <w:szCs w:val="21"/>
              </w:rPr>
            </w:pPr>
            <w:r>
              <w:rPr>
                <w:rFonts w:hint="eastAsia" w:ascii="Arial" w:hAnsi="Arial" w:eastAsia="宋体" w:cs="Arial"/>
                <w:sz w:val="21"/>
                <w:szCs w:val="21"/>
              </w:rPr>
              <w:t>2．禁止新建、扩建现行《产业结构调整指导目录》《广西工业产业结构调整指导目录》明确的淘汰类、禁止类项目；禁止引入不符合现行《市场准入负面清单》禁止准入类事项。新建项目要严格落实国家有关产业重大生产力规划布局要求，并符合广西优化主导产业布局、新发展格局下广西重点产业布局规划、广西制造强区建设中长期规划及相关产业规划布局。</w:t>
            </w:r>
          </w:p>
          <w:p>
            <w:pPr>
              <w:adjustRightInd w:val="0"/>
              <w:snapToGrid w:val="0"/>
              <w:rPr>
                <w:rFonts w:ascii="Arial" w:hAnsi="Arial" w:eastAsia="宋体" w:cs="Arial"/>
                <w:sz w:val="21"/>
                <w:szCs w:val="21"/>
              </w:rPr>
            </w:pPr>
            <w:r>
              <w:rPr>
                <w:rFonts w:hint="eastAsia" w:ascii="Arial" w:hAnsi="Arial" w:eastAsia="宋体" w:cs="Arial"/>
                <w:sz w:val="21"/>
                <w:szCs w:val="21"/>
              </w:rPr>
              <w:t>3．鼓励和引导新建涉挥发性有机物VOCs排放的工业企业入园区（含工业园区、工业集中区、工业集聚区）。未纳入《石化产业规划布局方案》的新建炼化项目一律不得建设。</w:t>
            </w:r>
          </w:p>
          <w:p>
            <w:pPr>
              <w:adjustRightInd w:val="0"/>
              <w:snapToGrid w:val="0"/>
              <w:rPr>
                <w:rFonts w:ascii="Arial" w:hAnsi="Arial" w:eastAsia="宋体" w:cs="Arial"/>
                <w:sz w:val="21"/>
                <w:szCs w:val="21"/>
              </w:rPr>
            </w:pPr>
            <w:r>
              <w:rPr>
                <w:rFonts w:hint="eastAsia" w:ascii="Arial" w:hAnsi="Arial" w:eastAsia="宋体" w:cs="Arial"/>
                <w:sz w:val="21"/>
                <w:szCs w:val="21"/>
              </w:rPr>
              <w:t>4．建设项目使用林地，应当按照《建设项目使用林地审核审批管理办法》审核和审批，严格保护和合理利用林地，促进生态林业和民生林业发展。公益林、天然林依据《中华人民共和国森林法》《中华人民共和国森林法实施条例》《国家级公益林管理办法》《国家级公益林区划界定办法》《天然林保护修复制度方案》等国家和自治区有关规定进行管理。</w:t>
            </w:r>
          </w:p>
          <w:p>
            <w:pPr>
              <w:adjustRightInd w:val="0"/>
              <w:snapToGrid w:val="0"/>
              <w:rPr>
                <w:rFonts w:ascii="Arial" w:hAnsi="Arial" w:eastAsia="宋体" w:cs="Arial"/>
                <w:sz w:val="21"/>
                <w:szCs w:val="21"/>
              </w:rPr>
            </w:pPr>
            <w:r>
              <w:rPr>
                <w:rFonts w:hint="eastAsia" w:ascii="Arial" w:hAnsi="Arial" w:eastAsia="宋体" w:cs="Arial"/>
                <w:sz w:val="21"/>
                <w:szCs w:val="21"/>
              </w:rPr>
              <w:t>5．建设项目使用草地，应当按照《草原征占用审核审批管理规范》审核和审批，严格保护和合理利用草地。</w:t>
            </w:r>
          </w:p>
          <w:p>
            <w:pPr>
              <w:adjustRightInd w:val="0"/>
              <w:snapToGrid w:val="0"/>
              <w:rPr>
                <w:rFonts w:ascii="Arial" w:hAnsi="Arial" w:eastAsia="宋体" w:cs="Arial"/>
                <w:sz w:val="21"/>
                <w:szCs w:val="21"/>
              </w:rPr>
            </w:pPr>
            <w:r>
              <w:rPr>
                <w:rFonts w:hint="eastAsia" w:ascii="Arial" w:hAnsi="Arial" w:eastAsia="宋体" w:cs="Arial"/>
                <w:sz w:val="21"/>
                <w:szCs w:val="21"/>
              </w:rPr>
              <w:t>6．严格执行能耗“双控”、碳排放强度、碳达峰和碳中和目标要求，新建项目能源利用效率应达到国内先进水平。</w:t>
            </w:r>
          </w:p>
          <w:p>
            <w:pPr>
              <w:adjustRightInd w:val="0"/>
              <w:snapToGrid w:val="0"/>
              <w:rPr>
                <w:rFonts w:ascii="Arial" w:hAnsi="Arial" w:eastAsia="宋体" w:cs="Arial"/>
                <w:sz w:val="21"/>
                <w:szCs w:val="21"/>
              </w:rPr>
            </w:pPr>
            <w:r>
              <w:rPr>
                <w:rFonts w:hint="eastAsia" w:ascii="Arial" w:hAnsi="Arial" w:eastAsia="宋体" w:cs="Arial"/>
                <w:sz w:val="21"/>
                <w:szCs w:val="21"/>
              </w:rPr>
              <w:t>7．新建、改建、扩建“两高”项目须符合生态环境保护法律法规和相关法定规划，满足重点污染物排放总量控制、碳排放达峰目标、生态环境准入清单、相关规划环评和相应行业建设项目环境准入条件、环评文件审批原则要求。拟建、在建项目，应对照能效标杆水平建设实施；能效介于标杆水平和基准水平之间的存量项目，鼓励加强绿色低碳工艺技术装备应用，引导企业应改尽改、应提尽提；能效低于基准水平的存量项目，有序开展节能降碳技术改造或淘汰退出。</w:t>
            </w:r>
          </w:p>
          <w:p>
            <w:pPr>
              <w:adjustRightInd w:val="0"/>
              <w:snapToGrid w:val="0"/>
              <w:rPr>
                <w:rFonts w:ascii="Arial" w:hAnsi="Arial" w:eastAsia="宋体" w:cs="Arial"/>
                <w:sz w:val="21"/>
                <w:szCs w:val="21"/>
              </w:rPr>
            </w:pPr>
            <w:r>
              <w:rPr>
                <w:rFonts w:hint="eastAsia" w:ascii="Arial" w:hAnsi="Arial" w:eastAsia="宋体" w:cs="Arial"/>
                <w:sz w:val="21"/>
                <w:szCs w:val="21"/>
              </w:rPr>
              <w:t>8．石化、煤化工、燃煤发电（含热电）、钢铁、有色金属冶炼、制浆造纸行业新增主要污染物排放量的建设项目，应满足区域、流域控制单元环境质量改善目标管理要求，主要污染物实行区域倍量削减或等量削减；市级生态环境主管部门审批的编制环境影响报告书的重点行业建设项目可参照执行。</w:t>
            </w:r>
          </w:p>
          <w:p>
            <w:pPr>
              <w:adjustRightInd w:val="0"/>
              <w:snapToGrid w:val="0"/>
              <w:rPr>
                <w:rFonts w:ascii="Arial" w:hAnsi="Arial" w:eastAsia="宋体" w:cs="Arial"/>
                <w:sz w:val="21"/>
                <w:szCs w:val="21"/>
              </w:rPr>
            </w:pPr>
            <w:r>
              <w:rPr>
                <w:rFonts w:hint="eastAsia" w:ascii="Arial" w:hAnsi="Arial" w:eastAsia="宋体" w:cs="Arial"/>
                <w:sz w:val="21"/>
                <w:szCs w:val="21"/>
              </w:rPr>
              <w:t>9．依据国土空间规划和“三区三线”，明确减污降碳重点管控区域和相关管控要求，将碳达峰碳中和要求纳入“三线一单”（生态保护红线、环境质量底线、资源利用上线和生态环境准入清单）分区管控体系。</w:t>
            </w:r>
          </w:p>
          <w:p>
            <w:pPr>
              <w:adjustRightInd w:val="0"/>
              <w:snapToGrid w:val="0"/>
              <w:rPr>
                <w:rFonts w:ascii="Arial" w:hAnsi="Arial" w:eastAsia="宋体" w:cs="Arial"/>
                <w:sz w:val="21"/>
                <w:szCs w:val="21"/>
              </w:rPr>
            </w:pPr>
            <w:r>
              <w:rPr>
                <w:rFonts w:hint="eastAsia" w:ascii="Arial" w:hAnsi="Arial" w:eastAsia="宋体" w:cs="Arial"/>
                <w:sz w:val="21"/>
                <w:szCs w:val="21"/>
              </w:rPr>
              <w:t>10．增强区域环境质量改善目标对能源和产业布局的引导作用。加大污染严重地区结构调整和布局优化力度，依法依规加快推动重点区域、重点流域落后和过剩产能退出。依法加快城市建成区重污染企业搬迁改造或关闭退出。</w:t>
            </w:r>
          </w:p>
          <w:p>
            <w:pPr>
              <w:adjustRightInd w:val="0"/>
              <w:snapToGrid w:val="0"/>
              <w:rPr>
                <w:rFonts w:ascii="Arial" w:hAnsi="Arial" w:eastAsia="宋体" w:cs="Arial"/>
                <w:sz w:val="21"/>
                <w:szCs w:val="21"/>
              </w:rPr>
            </w:pPr>
            <w:r>
              <w:rPr>
                <w:rFonts w:hint="eastAsia" w:ascii="Arial" w:hAnsi="Arial" w:eastAsia="宋体" w:cs="Arial"/>
                <w:sz w:val="21"/>
                <w:szCs w:val="21"/>
              </w:rPr>
              <w:t>11．严格执行《广西生态保护正面清单（2022）》和《广西生态保护禁止事项清单（2022）》。</w:t>
            </w:r>
          </w:p>
          <w:p>
            <w:pPr>
              <w:adjustRightInd w:val="0"/>
              <w:snapToGrid w:val="0"/>
              <w:rPr>
                <w:rFonts w:ascii="Arial" w:hAnsi="Arial" w:eastAsia="宋体" w:cs="Arial"/>
                <w:sz w:val="21"/>
                <w:szCs w:val="21"/>
              </w:rPr>
            </w:pPr>
            <w:r>
              <w:rPr>
                <w:rFonts w:hint="eastAsia" w:ascii="Arial" w:hAnsi="Arial" w:eastAsia="宋体" w:cs="Arial"/>
                <w:sz w:val="21"/>
                <w:szCs w:val="21"/>
              </w:rPr>
              <w:t>12．“准入及管控要求”涉及跨省（市）界有协议或相关规定的，从其规定。</w:t>
            </w:r>
          </w:p>
          <w:p>
            <w:pPr>
              <w:adjustRightInd w:val="0"/>
              <w:snapToGrid w:val="0"/>
              <w:rPr>
                <w:rFonts w:ascii="Arial" w:hAnsi="Arial" w:eastAsia="宋体" w:cs="Arial"/>
                <w:sz w:val="21"/>
                <w:szCs w:val="21"/>
              </w:rPr>
            </w:pPr>
            <w:r>
              <w:rPr>
                <w:rFonts w:hint="eastAsia" w:ascii="Arial" w:hAnsi="Arial" w:eastAsia="宋体" w:cs="Arial"/>
                <w:sz w:val="21"/>
                <w:szCs w:val="21"/>
              </w:rPr>
              <w:t>13．“准入及管控要求”规定依据的法规、规章等发生变更的，从其规定。</w:t>
            </w:r>
          </w:p>
        </w:tc>
        <w:tc>
          <w:tcPr>
            <w:tcW w:w="2173"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ascii="Arial" w:hAnsi="Arial" w:eastAsia="宋体" w:cs="Arial"/>
                <w:b/>
                <w:sz w:val="21"/>
                <w:szCs w:val="21"/>
              </w:rPr>
              <w:t>相符</w:t>
            </w:r>
            <w:r>
              <w:rPr>
                <w:rFonts w:ascii="Arial" w:hAnsi="Arial" w:eastAsia="宋体" w:cs="Arial"/>
                <w:sz w:val="21"/>
                <w:szCs w:val="21"/>
              </w:rPr>
              <w:t>。</w:t>
            </w:r>
          </w:p>
          <w:p>
            <w:pPr>
              <w:adjustRightInd w:val="0"/>
              <w:snapToGrid w:val="0"/>
              <w:rPr>
                <w:rFonts w:ascii="Arial" w:hAnsi="Arial" w:eastAsia="宋体" w:cs="Arial"/>
                <w:sz w:val="21"/>
                <w:szCs w:val="21"/>
              </w:rPr>
            </w:pPr>
            <w:r>
              <w:rPr>
                <w:rFonts w:hint="eastAsia" w:ascii="Arial" w:hAnsi="Arial" w:eastAsia="宋体" w:cs="Arial"/>
                <w:sz w:val="21"/>
                <w:szCs w:val="21"/>
              </w:rPr>
              <w:t>1.项目处于</w:t>
            </w:r>
            <w:r>
              <w:rPr>
                <w:rFonts w:ascii="Arial" w:hAnsi="Arial" w:eastAsia="宋体" w:cs="Arial"/>
                <w:sz w:val="21"/>
                <w:szCs w:val="21"/>
              </w:rPr>
              <w:t>化工园内</w:t>
            </w:r>
            <w:r>
              <w:rPr>
                <w:rFonts w:hint="eastAsia" w:ascii="Arial" w:hAnsi="Arial" w:eastAsia="宋体" w:cs="Arial"/>
                <w:sz w:val="21"/>
                <w:szCs w:val="21"/>
              </w:rPr>
              <w:t>，在现有厂区内建设；</w:t>
            </w:r>
          </w:p>
          <w:p>
            <w:pPr>
              <w:adjustRightInd w:val="0"/>
              <w:snapToGrid w:val="0"/>
              <w:rPr>
                <w:rFonts w:ascii="Arial" w:hAnsi="Arial" w:eastAsia="宋体" w:cs="Arial"/>
                <w:sz w:val="21"/>
                <w:szCs w:val="21"/>
              </w:rPr>
            </w:pPr>
            <w:r>
              <w:rPr>
                <w:rFonts w:hint="eastAsia" w:ascii="Arial" w:hAnsi="Arial" w:eastAsia="宋体" w:cs="Arial"/>
                <w:sz w:val="21"/>
                <w:szCs w:val="21"/>
              </w:rPr>
              <w:t>2.</w:t>
            </w:r>
            <w:r>
              <w:rPr>
                <w:rFonts w:ascii="Arial" w:hAnsi="Arial" w:eastAsia="宋体" w:cs="Arial"/>
                <w:sz w:val="21"/>
                <w:szCs w:val="21"/>
              </w:rPr>
              <w:t>项目不属于《产业结构调整指导目录2024年本》鼓励类、限制类、淘汰类项目，为允许类，不在《市场准入负面清单》内；</w:t>
            </w:r>
          </w:p>
          <w:p>
            <w:pPr>
              <w:adjustRightInd w:val="0"/>
              <w:snapToGrid w:val="0"/>
              <w:rPr>
                <w:rFonts w:ascii="Arial" w:hAnsi="Arial" w:eastAsia="宋体" w:cs="Arial"/>
                <w:sz w:val="21"/>
                <w:szCs w:val="21"/>
              </w:rPr>
            </w:pPr>
            <w:r>
              <w:rPr>
                <w:rFonts w:hint="eastAsia" w:ascii="Arial" w:hAnsi="Arial" w:eastAsia="宋体" w:cs="Arial"/>
                <w:sz w:val="21"/>
                <w:szCs w:val="21"/>
              </w:rPr>
              <w:t>3.</w:t>
            </w:r>
            <w:r>
              <w:rPr>
                <w:rFonts w:ascii="Arial" w:hAnsi="Arial" w:eastAsia="宋体" w:cs="Arial"/>
                <w:sz w:val="21"/>
                <w:szCs w:val="21"/>
              </w:rPr>
              <w:t>项目</w:t>
            </w:r>
            <w:r>
              <w:rPr>
                <w:rFonts w:hint="eastAsia" w:ascii="Arial" w:hAnsi="Arial" w:eastAsia="宋体" w:cs="Arial"/>
                <w:sz w:val="21"/>
                <w:szCs w:val="21"/>
              </w:rPr>
              <w:t>处于</w:t>
            </w:r>
            <w:r>
              <w:rPr>
                <w:rFonts w:ascii="Arial" w:hAnsi="Arial" w:eastAsia="宋体" w:cs="Arial"/>
                <w:sz w:val="21"/>
                <w:szCs w:val="21"/>
              </w:rPr>
              <w:t>化工园内；</w:t>
            </w:r>
          </w:p>
          <w:p>
            <w:pPr>
              <w:adjustRightInd w:val="0"/>
              <w:snapToGrid w:val="0"/>
              <w:rPr>
                <w:rFonts w:ascii="Arial" w:hAnsi="Arial" w:eastAsia="宋体" w:cs="Arial"/>
                <w:sz w:val="21"/>
                <w:szCs w:val="21"/>
              </w:rPr>
            </w:pPr>
            <w:r>
              <w:rPr>
                <w:rFonts w:hint="eastAsia" w:ascii="Arial" w:hAnsi="Arial" w:eastAsia="宋体" w:cs="Arial"/>
                <w:sz w:val="21"/>
                <w:szCs w:val="21"/>
              </w:rPr>
              <w:t>4及5.</w:t>
            </w:r>
            <w:r>
              <w:rPr>
                <w:rFonts w:ascii="Arial" w:hAnsi="Arial" w:eastAsia="宋体" w:cs="Arial"/>
                <w:sz w:val="21"/>
                <w:szCs w:val="21"/>
              </w:rPr>
              <w:t>项目用地属工业用地，不占用林地、草地；</w:t>
            </w:r>
          </w:p>
          <w:p>
            <w:pPr>
              <w:adjustRightInd w:val="0"/>
              <w:snapToGrid w:val="0"/>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项目</w:t>
            </w:r>
            <w:r>
              <w:rPr>
                <w:rFonts w:hint="eastAsia" w:ascii="Arial" w:hAnsi="Arial" w:eastAsia="宋体" w:cs="Arial"/>
                <w:sz w:val="21"/>
                <w:szCs w:val="21"/>
              </w:rPr>
              <w:t>不属于“两高”项目</w:t>
            </w:r>
            <w:r>
              <w:rPr>
                <w:rFonts w:ascii="Arial" w:hAnsi="Arial" w:eastAsia="宋体" w:cs="Arial"/>
                <w:sz w:val="21"/>
                <w:szCs w:val="21"/>
              </w:rPr>
              <w:t>，能源利用效率达到国内先进水平</w:t>
            </w:r>
            <w:r>
              <w:rPr>
                <w:rFonts w:hint="eastAsia" w:ascii="Arial" w:hAnsi="Arial" w:eastAsia="宋体" w:cs="Arial"/>
                <w:sz w:val="21"/>
                <w:szCs w:val="21"/>
              </w:rPr>
              <w:t>；</w:t>
            </w:r>
          </w:p>
          <w:p>
            <w:pPr>
              <w:adjustRightInd w:val="0"/>
              <w:snapToGrid w:val="0"/>
              <w:rPr>
                <w:rFonts w:ascii="Arial" w:hAnsi="Arial" w:eastAsia="宋体" w:cs="Arial"/>
                <w:sz w:val="21"/>
                <w:szCs w:val="21"/>
              </w:rPr>
            </w:pPr>
            <w:r>
              <w:rPr>
                <w:rFonts w:hint="eastAsia" w:ascii="Arial" w:hAnsi="Arial" w:eastAsia="宋体" w:cs="Arial"/>
                <w:sz w:val="21"/>
                <w:szCs w:val="21"/>
              </w:rPr>
              <w:t>7.项目不属于“两高”项目；</w:t>
            </w:r>
          </w:p>
          <w:p>
            <w:pPr>
              <w:adjustRightInd w:val="0"/>
              <w:snapToGrid w:val="0"/>
              <w:rPr>
                <w:rFonts w:ascii="Arial" w:hAnsi="Arial" w:eastAsia="宋体" w:cs="Arial"/>
                <w:sz w:val="21"/>
                <w:szCs w:val="21"/>
              </w:rPr>
            </w:pPr>
            <w:r>
              <w:rPr>
                <w:rFonts w:hint="eastAsia" w:ascii="Arial" w:hAnsi="Arial" w:eastAsia="宋体" w:cs="Arial"/>
                <w:sz w:val="21"/>
                <w:szCs w:val="21"/>
              </w:rPr>
              <w:t>8.不适用；</w:t>
            </w:r>
          </w:p>
          <w:p>
            <w:pPr>
              <w:adjustRightInd w:val="0"/>
              <w:snapToGrid w:val="0"/>
              <w:rPr>
                <w:rFonts w:ascii="Arial" w:hAnsi="Arial" w:eastAsia="宋体" w:cs="Arial"/>
                <w:sz w:val="21"/>
                <w:szCs w:val="21"/>
              </w:rPr>
            </w:pPr>
            <w:r>
              <w:rPr>
                <w:rFonts w:hint="eastAsia" w:ascii="Arial" w:hAnsi="Arial" w:eastAsia="宋体" w:cs="Arial"/>
                <w:sz w:val="21"/>
                <w:szCs w:val="21"/>
              </w:rPr>
              <w:t>9.不适用；</w:t>
            </w:r>
          </w:p>
          <w:p>
            <w:pPr>
              <w:adjustRightInd w:val="0"/>
              <w:snapToGrid w:val="0"/>
              <w:rPr>
                <w:rFonts w:ascii="Arial" w:hAnsi="Arial" w:eastAsia="宋体" w:cs="Arial"/>
                <w:sz w:val="21"/>
                <w:szCs w:val="21"/>
              </w:rPr>
            </w:pPr>
            <w:r>
              <w:rPr>
                <w:rFonts w:hint="eastAsia" w:ascii="Arial" w:hAnsi="Arial" w:eastAsia="宋体" w:cs="Arial"/>
                <w:sz w:val="21"/>
                <w:szCs w:val="21"/>
              </w:rPr>
              <w:t>10.不适用；</w:t>
            </w:r>
          </w:p>
          <w:p>
            <w:pPr>
              <w:adjustRightInd w:val="0"/>
              <w:snapToGrid w:val="0"/>
              <w:rPr>
                <w:rFonts w:ascii="Arial" w:hAnsi="Arial" w:eastAsia="宋体" w:cs="Arial"/>
                <w:sz w:val="21"/>
                <w:szCs w:val="21"/>
              </w:rPr>
            </w:pPr>
            <w:r>
              <w:rPr>
                <w:rFonts w:hint="eastAsia" w:ascii="Arial" w:hAnsi="Arial" w:eastAsia="宋体" w:cs="Arial"/>
                <w:sz w:val="21"/>
                <w:szCs w:val="21"/>
              </w:rPr>
              <w:t>11.项目不涉及广西生态保护禁止事项清单</w:t>
            </w:r>
            <w:r>
              <w:rPr>
                <w:rFonts w:hint="eastAsia" w:ascii="Arial" w:hAnsi="Arial" w:eastAsia="宋体" w:cs="Arial"/>
                <w:sz w:val="21"/>
                <w:szCs w:val="21"/>
                <w:lang w:eastAsia="zh-CN"/>
              </w:rPr>
              <w:t>中</w:t>
            </w:r>
            <w:r>
              <w:rPr>
                <w:rFonts w:hint="eastAsia" w:ascii="Arial" w:hAnsi="Arial" w:eastAsia="宋体" w:cs="Arial"/>
                <w:sz w:val="21"/>
                <w:szCs w:val="21"/>
              </w:rPr>
              <w:t>的负面清单事项；</w:t>
            </w:r>
          </w:p>
          <w:p>
            <w:pPr>
              <w:adjustRightInd w:val="0"/>
              <w:snapToGrid w:val="0"/>
              <w:rPr>
                <w:rFonts w:ascii="Arial" w:hAnsi="Arial" w:eastAsia="宋体" w:cs="Arial"/>
                <w:sz w:val="21"/>
                <w:szCs w:val="21"/>
              </w:rPr>
            </w:pPr>
            <w:r>
              <w:rPr>
                <w:rFonts w:hint="eastAsia" w:ascii="Arial" w:hAnsi="Arial" w:eastAsia="宋体" w:cs="Arial"/>
                <w:sz w:val="21"/>
                <w:szCs w:val="21"/>
              </w:rPr>
              <w:t>12.不涉及；</w:t>
            </w:r>
          </w:p>
          <w:p>
            <w:pPr>
              <w:adjustRightInd w:val="0"/>
              <w:snapToGrid w:val="0"/>
              <w:rPr>
                <w:rFonts w:ascii="Arial" w:hAnsi="Arial" w:eastAsia="宋体" w:cs="Arial"/>
                <w:sz w:val="21"/>
                <w:szCs w:val="21"/>
              </w:rPr>
            </w:pPr>
            <w:r>
              <w:rPr>
                <w:rFonts w:hint="eastAsia" w:ascii="Arial" w:hAnsi="Arial" w:eastAsia="宋体" w:cs="Arial"/>
                <w:sz w:val="21"/>
                <w:szCs w:val="21"/>
              </w:rPr>
              <w:t>13.不涉及；</w:t>
            </w:r>
          </w:p>
        </w:tc>
      </w:tr>
      <w:tr>
        <w:tblPrEx>
          <w:tblLayout w:type="fixed"/>
          <w:tblCellMar>
            <w:top w:w="0" w:type="dxa"/>
            <w:left w:w="108" w:type="dxa"/>
            <w:bottom w:w="0" w:type="dxa"/>
            <w:right w:w="108" w:type="dxa"/>
          </w:tblCellMar>
        </w:tblPrEx>
        <w:trPr>
          <w:trHeight w:val="340" w:hRule="atLeast"/>
          <w:jc w:val="center"/>
        </w:trPr>
        <w:tc>
          <w:tcPr>
            <w:tcW w:w="806" w:type="dxa"/>
            <w:vMerge w:val="restart"/>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cs="Arial"/>
              </w:rPr>
              <w:t>北部湾经济区</w:t>
            </w:r>
          </w:p>
          <w:p>
            <w:pPr>
              <w:pStyle w:val="250"/>
              <w:adjustRightInd w:val="0"/>
              <w:snapToGrid w:val="0"/>
              <w:spacing w:line="240" w:lineRule="auto"/>
              <w:ind w:firstLine="0" w:firstLineChars="0"/>
              <w:rPr>
                <w:rFonts w:cs="Arial"/>
              </w:rPr>
            </w:pPr>
            <w:r>
              <w:rPr>
                <w:rFonts w:cs="Arial"/>
              </w:rPr>
              <w:t>全部分区</w:t>
            </w:r>
          </w:p>
        </w:tc>
        <w:tc>
          <w:tcPr>
            <w:tcW w:w="741" w:type="dxa"/>
            <w:vMerge w:val="restart"/>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hint="eastAsia" w:cs="Arial"/>
              </w:rPr>
              <w:t>北部湾经济区（本清单适用于南宁市、北海市、钦州市、防城港市、玉林市、崇左市）</w:t>
            </w:r>
          </w:p>
        </w:tc>
        <w:tc>
          <w:tcPr>
            <w:tcW w:w="1111"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cs="Arial"/>
              </w:rPr>
              <w:t>空间布局约束</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hint="eastAsia" w:ascii="Arial" w:hAnsi="Arial" w:eastAsia="宋体" w:cs="Arial"/>
                <w:sz w:val="21"/>
                <w:szCs w:val="21"/>
              </w:rPr>
              <w:t>1．坚持高质量发展和高水平保护并重，引领广西高质量发展的重要增长极和成为具有区域影响力和带动力的重要增长极，建设宜居宜业宜游蓝色生态湾区。</w:t>
            </w:r>
          </w:p>
          <w:p>
            <w:pPr>
              <w:adjustRightInd w:val="0"/>
              <w:snapToGrid w:val="0"/>
              <w:rPr>
                <w:rFonts w:ascii="Arial" w:hAnsi="Arial" w:eastAsia="宋体" w:cs="Arial"/>
                <w:sz w:val="21"/>
                <w:szCs w:val="21"/>
              </w:rPr>
            </w:pPr>
            <w:r>
              <w:rPr>
                <w:rFonts w:hint="eastAsia" w:ascii="Arial" w:hAnsi="Arial" w:eastAsia="宋体" w:cs="Arial"/>
                <w:sz w:val="21"/>
                <w:szCs w:val="21"/>
              </w:rPr>
              <w:t>2．实行严格的资源环境生态红线管控，合理开发和节约资源，加强对水源林、防护林、湿地等生态系统的保护与修复。</w:t>
            </w:r>
          </w:p>
          <w:p>
            <w:pPr>
              <w:adjustRightInd w:val="0"/>
              <w:snapToGrid w:val="0"/>
              <w:rPr>
                <w:rFonts w:ascii="Arial" w:hAnsi="Arial" w:eastAsia="宋体" w:cs="Arial"/>
                <w:sz w:val="21"/>
                <w:szCs w:val="21"/>
              </w:rPr>
            </w:pPr>
            <w:r>
              <w:rPr>
                <w:rFonts w:hint="eastAsia" w:ascii="Arial" w:hAnsi="Arial" w:eastAsia="宋体" w:cs="Arial"/>
                <w:sz w:val="21"/>
                <w:szCs w:val="21"/>
              </w:rPr>
              <w:t>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w:t>
            </w:r>
          </w:p>
          <w:p>
            <w:pPr>
              <w:adjustRightInd w:val="0"/>
              <w:snapToGrid w:val="0"/>
              <w:rPr>
                <w:rFonts w:ascii="Arial" w:hAnsi="Arial" w:eastAsia="宋体" w:cs="Arial"/>
                <w:sz w:val="21"/>
                <w:szCs w:val="21"/>
              </w:rPr>
            </w:pPr>
            <w:r>
              <w:rPr>
                <w:rFonts w:hint="eastAsia" w:ascii="Arial" w:hAnsi="Arial" w:eastAsia="宋体" w:cs="Arial"/>
                <w:sz w:val="21"/>
                <w:szCs w:val="21"/>
              </w:rPr>
              <w:t>4．严格围填海管控，禁止在海域内实施连岛行动。保护北部湾自然岸线，严格控制岸线利用项目准入门槛。合理有序开发利用滩涂资源。</w:t>
            </w:r>
          </w:p>
          <w:p>
            <w:pPr>
              <w:adjustRightInd w:val="0"/>
              <w:snapToGrid w:val="0"/>
              <w:rPr>
                <w:rFonts w:ascii="Arial" w:hAnsi="Arial" w:eastAsia="宋体" w:cs="Arial"/>
                <w:sz w:val="21"/>
                <w:szCs w:val="21"/>
              </w:rPr>
            </w:pPr>
            <w:r>
              <w:rPr>
                <w:rFonts w:hint="eastAsia" w:ascii="Arial" w:hAnsi="Arial" w:eastAsia="宋体" w:cs="Arial"/>
                <w:sz w:val="21"/>
                <w:szCs w:val="21"/>
              </w:rPr>
              <w:t>5．南流江流域、廉州湾海域超过环境承载力的县市区严格区域主要污染物管控要求，新改扩“两高”、重点行业建设项目实行主要污染物区域削减方案。廉州湾沿岸新设排污口选址必须符合《中华人民共和国海洋环境保护法》《防治陆源污染物污染损害海洋环境管理条例》等有关规定。</w:t>
            </w:r>
          </w:p>
          <w:p>
            <w:pPr>
              <w:adjustRightInd w:val="0"/>
              <w:snapToGrid w:val="0"/>
              <w:rPr>
                <w:rFonts w:ascii="Arial" w:hAnsi="Arial" w:eastAsia="宋体" w:cs="Arial"/>
                <w:sz w:val="21"/>
                <w:szCs w:val="21"/>
              </w:rPr>
            </w:pPr>
            <w:r>
              <w:rPr>
                <w:rFonts w:hint="eastAsia" w:ascii="Arial" w:hAnsi="Arial" w:eastAsia="宋体" w:cs="Arial"/>
                <w:sz w:val="21"/>
                <w:szCs w:val="21"/>
              </w:rPr>
              <w:t>6．依法依规推动落后产能有序退出。</w:t>
            </w:r>
          </w:p>
          <w:p>
            <w:pPr>
              <w:adjustRightInd w:val="0"/>
              <w:snapToGrid w:val="0"/>
              <w:rPr>
                <w:rFonts w:ascii="Arial" w:hAnsi="Arial" w:eastAsia="宋体" w:cs="Arial"/>
                <w:sz w:val="21"/>
                <w:szCs w:val="21"/>
              </w:rPr>
            </w:pPr>
            <w:r>
              <w:rPr>
                <w:rFonts w:hint="eastAsia" w:ascii="Arial" w:hAnsi="Arial" w:eastAsia="宋体" w:cs="Arial"/>
                <w:sz w:val="21"/>
                <w:szCs w:val="21"/>
              </w:rPr>
              <w:t>7．严禁占用运河沿线两岸1公里范围内预留作为生态廊道的用地，科学规划平陆运河沿岸生态廊道空间和开发保护核心管制区。</w:t>
            </w:r>
          </w:p>
          <w:p>
            <w:pPr>
              <w:adjustRightInd w:val="0"/>
              <w:snapToGrid w:val="0"/>
              <w:rPr>
                <w:rFonts w:ascii="Arial" w:hAnsi="Arial" w:eastAsia="宋体" w:cs="Arial"/>
                <w:sz w:val="21"/>
                <w:szCs w:val="21"/>
              </w:rPr>
            </w:pPr>
            <w:r>
              <w:rPr>
                <w:rFonts w:hint="eastAsia" w:ascii="Arial" w:hAnsi="Arial" w:eastAsia="宋体" w:cs="Arial"/>
                <w:sz w:val="21"/>
                <w:szCs w:val="21"/>
              </w:rPr>
              <w:t>8．执行平陆运河绿色工程防范管控重点清单、打造特色亮点清单，平陆运河绿色工程评估指标体系。</w:t>
            </w:r>
          </w:p>
        </w:tc>
        <w:tc>
          <w:tcPr>
            <w:tcW w:w="2173"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jc w:val="both"/>
              <w:rPr>
                <w:rFonts w:cs="Arial"/>
              </w:rPr>
            </w:pPr>
            <w:r>
              <w:rPr>
                <w:rFonts w:cs="Arial"/>
                <w:b/>
              </w:rPr>
              <w:t>相符</w:t>
            </w:r>
            <w:r>
              <w:rPr>
                <w:rFonts w:cs="Arial"/>
              </w:rPr>
              <w:t>。</w:t>
            </w:r>
          </w:p>
          <w:p>
            <w:pPr>
              <w:pStyle w:val="250"/>
              <w:adjustRightInd w:val="0"/>
              <w:snapToGrid w:val="0"/>
              <w:spacing w:line="240" w:lineRule="auto"/>
              <w:ind w:firstLine="0" w:firstLineChars="0"/>
              <w:jc w:val="both"/>
              <w:rPr>
                <w:rFonts w:cs="Arial"/>
              </w:rPr>
            </w:pPr>
            <w:r>
              <w:rPr>
                <w:rFonts w:hint="eastAsia" w:cs="Arial"/>
              </w:rPr>
              <w:t>1、2、3.不适用；</w:t>
            </w:r>
          </w:p>
          <w:p>
            <w:pPr>
              <w:pStyle w:val="250"/>
              <w:adjustRightInd w:val="0"/>
              <w:snapToGrid w:val="0"/>
              <w:spacing w:line="240" w:lineRule="auto"/>
              <w:ind w:firstLine="0" w:firstLineChars="0"/>
              <w:jc w:val="both"/>
              <w:rPr>
                <w:rFonts w:cs="Arial"/>
              </w:rPr>
            </w:pPr>
            <w:r>
              <w:rPr>
                <w:rFonts w:hint="eastAsia" w:cs="Arial"/>
              </w:rPr>
              <w:t>4、7.</w:t>
            </w:r>
            <w:r>
              <w:rPr>
                <w:rFonts w:cs="Arial"/>
              </w:rPr>
              <w:t>项目同时位于钦州港大榄坪物流加工区和钦州石化产业园区内，</w:t>
            </w:r>
            <w:r>
              <w:rPr>
                <w:rFonts w:hint="eastAsia" w:cs="Arial"/>
              </w:rPr>
              <w:t>在现有厂区内建设，不涉及围填海、不占用岸线，不占用运河生态廊道用地；</w:t>
            </w:r>
          </w:p>
          <w:p>
            <w:pPr>
              <w:pStyle w:val="250"/>
              <w:adjustRightInd w:val="0"/>
              <w:snapToGrid w:val="0"/>
              <w:spacing w:line="240" w:lineRule="auto"/>
              <w:ind w:firstLine="0" w:firstLineChars="0"/>
              <w:jc w:val="both"/>
              <w:rPr>
                <w:rFonts w:cs="Arial"/>
              </w:rPr>
            </w:pPr>
            <w:r>
              <w:rPr>
                <w:rFonts w:hint="eastAsia" w:cs="Arial"/>
              </w:rPr>
              <w:t>5.不适用；</w:t>
            </w:r>
          </w:p>
          <w:p>
            <w:pPr>
              <w:pStyle w:val="250"/>
              <w:adjustRightInd w:val="0"/>
              <w:snapToGrid w:val="0"/>
              <w:spacing w:line="240" w:lineRule="auto"/>
              <w:ind w:firstLine="0" w:firstLineChars="0"/>
              <w:jc w:val="both"/>
              <w:rPr>
                <w:rFonts w:cs="Arial"/>
              </w:rPr>
            </w:pPr>
            <w:r>
              <w:rPr>
                <w:rFonts w:hint="eastAsia" w:cs="Arial"/>
              </w:rPr>
              <w:t>6.不属于落后产能项目；</w:t>
            </w:r>
          </w:p>
          <w:p>
            <w:pPr>
              <w:pStyle w:val="250"/>
              <w:adjustRightInd w:val="0"/>
              <w:snapToGrid w:val="0"/>
              <w:spacing w:line="240" w:lineRule="auto"/>
              <w:ind w:firstLine="0" w:firstLineChars="0"/>
              <w:jc w:val="both"/>
              <w:rPr>
                <w:rFonts w:cs="Arial"/>
              </w:rPr>
            </w:pPr>
            <w:r>
              <w:rPr>
                <w:rFonts w:hint="eastAsia" w:cs="Arial"/>
              </w:rPr>
              <w:t>8.不适用。</w:t>
            </w:r>
          </w:p>
        </w:tc>
      </w:tr>
      <w:tr>
        <w:tblPrEx>
          <w:tblLayout w:type="fixed"/>
          <w:tblCellMar>
            <w:top w:w="0" w:type="dxa"/>
            <w:left w:w="108" w:type="dxa"/>
            <w:bottom w:w="0" w:type="dxa"/>
            <w:right w:w="108" w:type="dxa"/>
          </w:tblCellMar>
        </w:tblPrEx>
        <w:trPr>
          <w:trHeight w:val="340" w:hRule="atLeast"/>
          <w:jc w:val="center"/>
        </w:trPr>
        <w:tc>
          <w:tcPr>
            <w:tcW w:w="8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74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1111"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cs="Arial"/>
              </w:rPr>
              <w:t>污染物排放管控</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hint="eastAsia" w:ascii="Arial" w:hAnsi="Arial" w:eastAsia="宋体" w:cs="Arial"/>
                <w:sz w:val="21"/>
                <w:szCs w:val="21"/>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w:t>
            </w:r>
          </w:p>
          <w:p>
            <w:pPr>
              <w:adjustRightInd w:val="0"/>
              <w:snapToGrid w:val="0"/>
              <w:rPr>
                <w:rFonts w:ascii="Arial" w:hAnsi="Arial" w:eastAsia="宋体" w:cs="Arial"/>
                <w:sz w:val="21"/>
                <w:szCs w:val="21"/>
              </w:rPr>
            </w:pPr>
            <w:r>
              <w:rPr>
                <w:rFonts w:hint="eastAsia" w:ascii="Arial" w:hAnsi="Arial" w:eastAsia="宋体" w:cs="Arial"/>
                <w:sz w:val="21"/>
                <w:szCs w:val="21"/>
              </w:rPr>
              <w:t>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w:t>
            </w:r>
          </w:p>
          <w:p>
            <w:pPr>
              <w:adjustRightInd w:val="0"/>
              <w:snapToGrid w:val="0"/>
              <w:rPr>
                <w:rFonts w:ascii="Arial" w:hAnsi="Arial" w:eastAsia="宋体" w:cs="Arial"/>
                <w:sz w:val="21"/>
                <w:szCs w:val="21"/>
              </w:rPr>
            </w:pPr>
            <w:r>
              <w:rPr>
                <w:rFonts w:hint="eastAsia" w:ascii="Arial" w:hAnsi="Arial" w:eastAsia="宋体" w:cs="Arial"/>
                <w:sz w:val="21"/>
                <w:szCs w:val="21"/>
              </w:rPr>
              <w:t>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w:t>
            </w:r>
          </w:p>
          <w:p>
            <w:pPr>
              <w:adjustRightInd w:val="0"/>
              <w:snapToGrid w:val="0"/>
              <w:rPr>
                <w:rFonts w:ascii="Arial" w:hAnsi="Arial" w:eastAsia="宋体" w:cs="Arial"/>
                <w:sz w:val="21"/>
                <w:szCs w:val="21"/>
              </w:rPr>
            </w:pPr>
            <w:r>
              <w:rPr>
                <w:rFonts w:hint="eastAsia" w:ascii="Arial" w:hAnsi="Arial" w:eastAsia="宋体" w:cs="Arial"/>
                <w:sz w:val="21"/>
                <w:szCs w:val="21"/>
              </w:rPr>
              <w:t>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w:t>
            </w:r>
          </w:p>
          <w:p>
            <w:pPr>
              <w:adjustRightInd w:val="0"/>
              <w:snapToGrid w:val="0"/>
              <w:rPr>
                <w:rFonts w:ascii="Arial" w:hAnsi="Arial" w:eastAsia="宋体" w:cs="Arial"/>
                <w:sz w:val="21"/>
                <w:szCs w:val="21"/>
              </w:rPr>
            </w:pPr>
            <w:r>
              <w:rPr>
                <w:rFonts w:hint="eastAsia" w:ascii="Arial" w:hAnsi="Arial" w:eastAsia="宋体" w:cs="Arial"/>
                <w:sz w:val="21"/>
                <w:szCs w:val="21"/>
              </w:rPr>
              <w:t>5．以平陆运河、北部湾港为重点，加强船舶和港口污染防治，加快淘汰老旧船舶，鼓励引导高能耗船舶技术改造升级和提前退出。推动新能源、清洁能源动力船舶应用，加快港口供电设施建设，提高船舶岸电设施使用率。</w:t>
            </w:r>
          </w:p>
          <w:p>
            <w:pPr>
              <w:adjustRightInd w:val="0"/>
              <w:snapToGrid w:val="0"/>
              <w:rPr>
                <w:rFonts w:ascii="Arial" w:hAnsi="Arial" w:eastAsia="宋体" w:cs="Arial"/>
                <w:sz w:val="21"/>
                <w:szCs w:val="21"/>
              </w:rPr>
            </w:pPr>
            <w:r>
              <w:rPr>
                <w:rFonts w:hint="eastAsia" w:ascii="Arial" w:hAnsi="Arial" w:eastAsia="宋体" w:cs="Arial"/>
                <w:sz w:val="21"/>
                <w:szCs w:val="21"/>
              </w:rPr>
              <w:t>6．平陆运河沿线城市实施生活污水集中处理设施能力提升全覆盖工程，开展城市污水处理设施差别化精准提标改造。</w:t>
            </w:r>
          </w:p>
        </w:tc>
        <w:tc>
          <w:tcPr>
            <w:tcW w:w="2173" w:type="dxa"/>
            <w:tcBorders>
              <w:top w:val="single" w:color="auto" w:sz="4" w:space="0"/>
              <w:left w:val="single" w:color="auto" w:sz="4" w:space="0"/>
              <w:bottom w:val="single" w:color="auto" w:sz="4" w:space="0"/>
              <w:right w:val="single" w:color="auto" w:sz="4" w:space="0"/>
            </w:tcBorders>
            <w:vAlign w:val="center"/>
          </w:tcPr>
          <w:p>
            <w:pPr>
              <w:pStyle w:val="250"/>
              <w:widowControl w:val="0"/>
              <w:adjustRightInd w:val="0"/>
              <w:snapToGrid w:val="0"/>
              <w:spacing w:line="240" w:lineRule="auto"/>
              <w:ind w:firstLine="0" w:firstLineChars="0"/>
              <w:jc w:val="both"/>
              <w:rPr>
                <w:rFonts w:cs="Arial"/>
              </w:rPr>
            </w:pPr>
            <w:r>
              <w:rPr>
                <w:rFonts w:cs="Arial"/>
                <w:b/>
              </w:rPr>
              <w:t>相符</w:t>
            </w:r>
            <w:r>
              <w:rPr>
                <w:rFonts w:cs="Arial"/>
              </w:rPr>
              <w:t>。</w:t>
            </w:r>
          </w:p>
          <w:p>
            <w:pPr>
              <w:pStyle w:val="250"/>
              <w:widowControl w:val="0"/>
              <w:adjustRightInd w:val="0"/>
              <w:snapToGrid w:val="0"/>
              <w:spacing w:line="240" w:lineRule="auto"/>
              <w:ind w:firstLine="0" w:firstLineChars="0"/>
              <w:jc w:val="both"/>
              <w:rPr>
                <w:rFonts w:cs="Arial"/>
              </w:rPr>
            </w:pPr>
            <w:r>
              <w:rPr>
                <w:rFonts w:hint="eastAsia" w:cs="Arial"/>
              </w:rPr>
              <w:t>1、2.不适用；</w:t>
            </w:r>
          </w:p>
          <w:p>
            <w:pPr>
              <w:pStyle w:val="250"/>
              <w:widowControl w:val="0"/>
              <w:adjustRightInd w:val="0"/>
              <w:snapToGrid w:val="0"/>
              <w:spacing w:line="240" w:lineRule="auto"/>
              <w:ind w:firstLine="0" w:firstLineChars="0"/>
              <w:jc w:val="both"/>
              <w:rPr>
                <w:rFonts w:cs="Arial"/>
              </w:rPr>
            </w:pPr>
            <w:r>
              <w:rPr>
                <w:rFonts w:hint="eastAsia" w:cs="Arial"/>
              </w:rPr>
              <w:t>3.项目不排放氮氧化物及挥发性有机物；</w:t>
            </w:r>
          </w:p>
          <w:p>
            <w:pPr>
              <w:pStyle w:val="250"/>
              <w:widowControl w:val="0"/>
              <w:adjustRightInd w:val="0"/>
              <w:snapToGrid w:val="0"/>
              <w:spacing w:line="240" w:lineRule="auto"/>
              <w:ind w:firstLine="0" w:firstLineChars="0"/>
              <w:jc w:val="both"/>
              <w:rPr>
                <w:rFonts w:cs="Arial"/>
              </w:rPr>
            </w:pPr>
            <w:r>
              <w:rPr>
                <w:rFonts w:hint="eastAsia" w:cs="Arial"/>
              </w:rPr>
              <w:t>4.项目不属于“两高”项目；</w:t>
            </w:r>
          </w:p>
          <w:p>
            <w:pPr>
              <w:pStyle w:val="250"/>
              <w:widowControl w:val="0"/>
              <w:adjustRightInd w:val="0"/>
              <w:snapToGrid w:val="0"/>
              <w:spacing w:line="240" w:lineRule="auto"/>
              <w:ind w:firstLine="0" w:firstLineChars="0"/>
              <w:jc w:val="both"/>
              <w:rPr>
                <w:rFonts w:cs="Arial"/>
              </w:rPr>
            </w:pPr>
            <w:r>
              <w:rPr>
                <w:rFonts w:hint="eastAsia" w:cs="Arial"/>
              </w:rPr>
              <w:t>5、6.不适用。</w:t>
            </w:r>
          </w:p>
        </w:tc>
      </w:tr>
      <w:tr>
        <w:tblPrEx>
          <w:tblLayout w:type="fixed"/>
          <w:tblCellMar>
            <w:top w:w="0" w:type="dxa"/>
            <w:left w:w="108" w:type="dxa"/>
            <w:bottom w:w="0" w:type="dxa"/>
            <w:right w:w="108" w:type="dxa"/>
          </w:tblCellMar>
        </w:tblPrEx>
        <w:trPr>
          <w:trHeight w:val="340" w:hRule="atLeast"/>
          <w:jc w:val="center"/>
        </w:trPr>
        <w:tc>
          <w:tcPr>
            <w:tcW w:w="8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74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1111"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cs="Arial"/>
              </w:rPr>
              <w:t>环境风险防控</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hint="eastAsia" w:ascii="Arial" w:hAnsi="Arial" w:eastAsia="宋体" w:cs="Arial"/>
                <w:sz w:val="21"/>
                <w:szCs w:val="21"/>
              </w:rPr>
              <w:t>1．强化沿海工业园区和沿海石油、石化、化工、冶炼及危化品储运等企业的环境风险防控。</w:t>
            </w:r>
          </w:p>
          <w:p>
            <w:pPr>
              <w:adjustRightInd w:val="0"/>
              <w:snapToGrid w:val="0"/>
              <w:rPr>
                <w:rFonts w:ascii="Arial" w:hAnsi="Arial" w:eastAsia="宋体" w:cs="Arial"/>
                <w:sz w:val="21"/>
                <w:szCs w:val="21"/>
              </w:rPr>
            </w:pPr>
            <w:r>
              <w:rPr>
                <w:rFonts w:hint="eastAsia" w:ascii="Arial" w:hAnsi="Arial" w:eastAsia="宋体" w:cs="Arial"/>
                <w:sz w:val="21"/>
                <w:szCs w:val="21"/>
              </w:rPr>
              <w:t>2．建立和完善海上溢油、危险化学品泄漏、赤潮应急反应预案，提升应对海洋突发环境事件能力，防范海上溢油、危险化学品泄漏等重大环境风险。加强海洋环境监测，实施海洋环境预警预报工程。</w:t>
            </w:r>
          </w:p>
          <w:p>
            <w:pPr>
              <w:adjustRightInd w:val="0"/>
              <w:snapToGrid w:val="0"/>
              <w:rPr>
                <w:rFonts w:cs="Arial"/>
              </w:rPr>
            </w:pPr>
            <w:r>
              <w:rPr>
                <w:rFonts w:hint="eastAsia" w:ascii="Arial" w:hAnsi="Arial" w:eastAsia="宋体" w:cs="Arial"/>
                <w:sz w:val="21"/>
                <w:szCs w:val="21"/>
              </w:rPr>
              <w:t>3．实行严格的核污染监控管理，提升核安全治理能力，提高核设施安全水平，降低核安全风险，推进放射性污染防治，确保辐射环境质量保持良好，强化核辐射安全监管体系，消除核安全隐患。</w:t>
            </w:r>
          </w:p>
        </w:tc>
        <w:tc>
          <w:tcPr>
            <w:tcW w:w="2173"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jc w:val="both"/>
              <w:rPr>
                <w:rFonts w:cs="Arial"/>
              </w:rPr>
            </w:pPr>
            <w:r>
              <w:rPr>
                <w:rFonts w:cs="Arial"/>
                <w:b/>
              </w:rPr>
              <w:t>相符</w:t>
            </w:r>
            <w:r>
              <w:rPr>
                <w:rFonts w:cs="Arial"/>
              </w:rPr>
              <w:t>。项目按要求设置风险防范措施</w:t>
            </w:r>
            <w:r>
              <w:rPr>
                <w:rFonts w:hint="eastAsia" w:cs="Arial"/>
              </w:rPr>
              <w:t>，编制突发环境事件应急预案；不涉及核污染。</w:t>
            </w:r>
          </w:p>
        </w:tc>
      </w:tr>
      <w:tr>
        <w:tblPrEx>
          <w:tblLayout w:type="fixed"/>
          <w:tblCellMar>
            <w:top w:w="0" w:type="dxa"/>
            <w:left w:w="108" w:type="dxa"/>
            <w:bottom w:w="0" w:type="dxa"/>
            <w:right w:w="108" w:type="dxa"/>
          </w:tblCellMar>
        </w:tblPrEx>
        <w:trPr>
          <w:trHeight w:val="340" w:hRule="atLeast"/>
          <w:jc w:val="center"/>
        </w:trPr>
        <w:tc>
          <w:tcPr>
            <w:tcW w:w="8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74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rPr>
            </w:pPr>
          </w:p>
        </w:tc>
        <w:tc>
          <w:tcPr>
            <w:tcW w:w="1111"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rPr>
                <w:rFonts w:cs="Arial"/>
              </w:rPr>
            </w:pPr>
            <w:r>
              <w:rPr>
                <w:rFonts w:cs="Arial"/>
              </w:rPr>
              <w:t>资源开发利用效率要求</w:t>
            </w:r>
          </w:p>
        </w:tc>
        <w:tc>
          <w:tcPr>
            <w:tcW w:w="864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hint="eastAsia" w:ascii="Arial" w:hAnsi="Arial" w:eastAsia="宋体" w:cs="Arial"/>
                <w:sz w:val="21"/>
                <w:szCs w:val="21"/>
              </w:rPr>
              <w:t>1．严格执行能耗“双控”，新建项目能源利用效率应达到国内先进水平。</w:t>
            </w:r>
          </w:p>
          <w:p>
            <w:pPr>
              <w:adjustRightInd w:val="0"/>
              <w:snapToGrid w:val="0"/>
              <w:rPr>
                <w:rFonts w:ascii="Arial" w:hAnsi="Arial" w:eastAsia="宋体" w:cs="Arial"/>
                <w:sz w:val="21"/>
                <w:szCs w:val="21"/>
              </w:rPr>
            </w:pPr>
            <w:r>
              <w:rPr>
                <w:rFonts w:hint="eastAsia" w:ascii="Arial" w:hAnsi="Arial" w:eastAsia="宋体" w:cs="Arial"/>
                <w:sz w:val="21"/>
                <w:szCs w:val="21"/>
              </w:rPr>
              <w:t>2．实施水资源消耗总量和强度“双控”。</w:t>
            </w:r>
          </w:p>
        </w:tc>
        <w:tc>
          <w:tcPr>
            <w:tcW w:w="2173" w:type="dxa"/>
            <w:tcBorders>
              <w:top w:val="single" w:color="auto" w:sz="4" w:space="0"/>
              <w:left w:val="single" w:color="auto" w:sz="4" w:space="0"/>
              <w:bottom w:val="single" w:color="auto" w:sz="4" w:space="0"/>
              <w:right w:val="single" w:color="auto" w:sz="4" w:space="0"/>
            </w:tcBorders>
            <w:vAlign w:val="center"/>
          </w:tcPr>
          <w:p>
            <w:pPr>
              <w:pStyle w:val="250"/>
              <w:adjustRightInd w:val="0"/>
              <w:snapToGrid w:val="0"/>
              <w:spacing w:line="240" w:lineRule="auto"/>
              <w:ind w:firstLine="0" w:firstLineChars="0"/>
              <w:jc w:val="both"/>
              <w:rPr>
                <w:rFonts w:cs="Arial"/>
              </w:rPr>
            </w:pPr>
            <w:r>
              <w:rPr>
                <w:rFonts w:cs="Arial"/>
                <w:b/>
              </w:rPr>
              <w:t>相符</w:t>
            </w:r>
            <w:r>
              <w:rPr>
                <w:rFonts w:cs="Arial"/>
              </w:rPr>
              <w:t>。</w:t>
            </w:r>
          </w:p>
          <w:p>
            <w:pPr>
              <w:pStyle w:val="250"/>
              <w:adjustRightInd w:val="0"/>
              <w:snapToGrid w:val="0"/>
              <w:spacing w:line="240" w:lineRule="auto"/>
              <w:ind w:firstLine="0" w:firstLineChars="0"/>
              <w:jc w:val="both"/>
              <w:rPr>
                <w:rFonts w:cs="Arial"/>
              </w:rPr>
            </w:pPr>
            <w:r>
              <w:rPr>
                <w:rFonts w:cs="Arial"/>
              </w:rPr>
              <w:t>项目</w:t>
            </w:r>
            <w:r>
              <w:rPr>
                <w:rFonts w:hint="eastAsia" w:cs="Arial"/>
              </w:rPr>
              <w:t>主要使用水和电能，水循环利用率高，能源利用效率可达到国内先进水平。</w:t>
            </w:r>
          </w:p>
        </w:tc>
      </w:tr>
    </w:tbl>
    <w:p>
      <w:pPr>
        <w:spacing w:line="500" w:lineRule="exact"/>
        <w:ind w:firstLine="490" w:firstLineChars="200"/>
        <w:rPr>
          <w:rFonts w:ascii="Arial" w:hAnsi="Arial" w:eastAsia="宋体" w:cs="Arial"/>
          <w:spacing w:val="10"/>
          <w:sz w:val="24"/>
          <w:szCs w:val="24"/>
          <w:highlight w:val="yellow"/>
        </w:rPr>
        <w:sectPr>
          <w:footerReference r:id="rId15" w:type="default"/>
          <w:pgSz w:w="16840" w:h="11907" w:orient="landscape"/>
          <w:pgMar w:top="1157" w:right="1678" w:bottom="1406" w:left="1899" w:header="1174" w:footer="1026" w:gutter="567"/>
          <w:cols w:space="720" w:num="1"/>
          <w:docGrid w:type="linesAndChars" w:linePitch="421" w:charSpace="-3161"/>
        </w:sectPr>
      </w:pP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w:t>
      </w:r>
      <w:r>
        <w:rPr>
          <w:rFonts w:ascii="Arial" w:hAnsi="Arial" w:eastAsia="宋体" w:cs="Arial"/>
          <w:spacing w:val="10"/>
          <w:sz w:val="24"/>
          <w:szCs w:val="24"/>
          <w:u w:val="single"/>
        </w:rPr>
        <w:t>与</w:t>
      </w:r>
      <w:r>
        <w:rPr>
          <w:rFonts w:hint="eastAsia" w:ascii="Arial" w:hAnsi="Arial" w:eastAsia="宋体" w:cs="Arial"/>
          <w:spacing w:val="10"/>
          <w:sz w:val="24"/>
          <w:szCs w:val="24"/>
          <w:u w:val="single"/>
        </w:rPr>
        <w:t>钦州市生态环境分区管控动态更新成果</w:t>
      </w:r>
      <w:r>
        <w:rPr>
          <w:rFonts w:ascii="Arial" w:hAnsi="Arial" w:eastAsia="宋体" w:cs="Arial"/>
          <w:spacing w:val="10"/>
          <w:sz w:val="24"/>
          <w:szCs w:val="24"/>
          <w:u w:val="single"/>
        </w:rPr>
        <w:t>的相符性分析</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kern w:val="0"/>
          <w:sz w:val="24"/>
          <w:szCs w:val="24"/>
          <w:u w:val="single"/>
        </w:rPr>
        <w:t>《钦州市生态环境局关于印发〈钦州市生态环境分区管控动态更新成果（2023版）〉的通知》</w:t>
      </w:r>
      <w:r>
        <w:rPr>
          <w:rFonts w:ascii="Arial" w:hAnsi="Arial" w:eastAsia="宋体" w:cs="Arial"/>
          <w:spacing w:val="10"/>
          <w:kern w:val="0"/>
          <w:sz w:val="24"/>
          <w:szCs w:val="24"/>
          <w:u w:val="single"/>
        </w:rPr>
        <w:t>，项目所在位置属</w:t>
      </w:r>
      <w:r>
        <w:rPr>
          <w:rFonts w:hint="eastAsia" w:ascii="Arial" w:hAnsi="Arial" w:eastAsia="宋体" w:cs="Arial"/>
          <w:spacing w:val="10"/>
          <w:kern w:val="0"/>
          <w:sz w:val="24"/>
          <w:szCs w:val="24"/>
          <w:u w:val="single"/>
        </w:rPr>
        <w:t>广西钦州石化产业园重点管控单元</w:t>
      </w:r>
      <w:r>
        <w:rPr>
          <w:rFonts w:ascii="Arial" w:hAnsi="Arial" w:eastAsia="宋体" w:cs="Arial"/>
          <w:spacing w:val="10"/>
          <w:kern w:val="0"/>
          <w:sz w:val="24"/>
          <w:szCs w:val="24"/>
          <w:u w:val="single"/>
        </w:rPr>
        <w:t>，</w:t>
      </w:r>
      <w:r>
        <w:rPr>
          <w:rFonts w:ascii="Arial" w:hAnsi="Arial" w:eastAsia="宋体" w:cs="Arial"/>
          <w:spacing w:val="10"/>
          <w:sz w:val="24"/>
          <w:szCs w:val="24"/>
          <w:u w:val="single"/>
        </w:rPr>
        <w:t>不涉及自然保护区、饮用水源保护区等生态保护目标，不在生态保护红线内，符合钦州市</w:t>
      </w:r>
      <w:r>
        <w:rPr>
          <w:rFonts w:hint="eastAsia" w:ascii="Arial" w:hAnsi="Arial" w:eastAsia="宋体" w:cs="Arial"/>
          <w:spacing w:val="10"/>
          <w:kern w:val="0"/>
          <w:sz w:val="24"/>
          <w:szCs w:val="24"/>
          <w:u w:val="single"/>
        </w:rPr>
        <w:t>生态环境分区管控</w:t>
      </w:r>
      <w:r>
        <w:rPr>
          <w:rFonts w:ascii="Arial" w:hAnsi="Arial" w:eastAsia="宋体" w:cs="Arial"/>
          <w:spacing w:val="10"/>
          <w:sz w:val="24"/>
          <w:szCs w:val="24"/>
          <w:u w:val="single"/>
        </w:rPr>
        <w:t>要求。</w:t>
      </w:r>
      <w:r>
        <w:rPr>
          <w:rFonts w:ascii="Arial" w:hAnsi="Arial" w:eastAsia="宋体" w:cs="Arial"/>
          <w:spacing w:val="10"/>
          <w:sz w:val="24"/>
          <w:szCs w:val="24"/>
        </w:rPr>
        <w:t>详见表1-</w:t>
      </w:r>
      <w:r>
        <w:rPr>
          <w:rFonts w:hint="eastAsia" w:ascii="Arial" w:hAnsi="Arial" w:eastAsia="宋体" w:cs="Arial"/>
          <w:spacing w:val="10"/>
          <w:sz w:val="24"/>
          <w:szCs w:val="24"/>
        </w:rPr>
        <w:t>39</w:t>
      </w:r>
      <w:r>
        <w:rPr>
          <w:rFonts w:ascii="Arial" w:hAnsi="Arial" w:eastAsia="宋体" w:cs="Arial"/>
          <w:spacing w:val="10"/>
          <w:sz w:val="24"/>
          <w:szCs w:val="24"/>
        </w:rPr>
        <w:t>、表1-</w:t>
      </w:r>
      <w:r>
        <w:rPr>
          <w:rFonts w:hint="eastAsia" w:ascii="Arial" w:hAnsi="Arial" w:eastAsia="宋体" w:cs="Arial"/>
          <w:spacing w:val="10"/>
          <w:sz w:val="24"/>
          <w:szCs w:val="24"/>
        </w:rPr>
        <w:t>40</w:t>
      </w:r>
      <w:r>
        <w:rPr>
          <w:rFonts w:ascii="Arial" w:hAnsi="Arial" w:eastAsia="宋体" w:cs="Arial"/>
          <w:spacing w:val="10"/>
          <w:sz w:val="24"/>
          <w:szCs w:val="24"/>
        </w:rPr>
        <w:t>。</w:t>
      </w:r>
    </w:p>
    <w:p>
      <w:pPr>
        <w:keepNext/>
        <w:keepLines/>
        <w:numPr>
          <w:ilvl w:val="0"/>
          <w:numId w:val="5"/>
        </w:numPr>
        <w:tabs>
          <w:tab w:val="left" w:pos="0"/>
        </w:tabs>
        <w:spacing w:line="500" w:lineRule="exact"/>
        <w:ind w:left="0" w:firstLine="0"/>
        <w:jc w:val="center"/>
        <w:outlineLvl w:val="4"/>
        <w:rPr>
          <w:rFonts w:ascii="Arial" w:hAnsi="Arial" w:eastAsia="宋体" w:cs="Arial"/>
          <w:b/>
          <w:sz w:val="24"/>
          <w:u w:val="single"/>
        </w:rPr>
      </w:pPr>
      <w:r>
        <w:rPr>
          <w:rFonts w:ascii="Arial" w:hAnsi="Arial" w:eastAsia="宋体" w:cs="Arial"/>
          <w:b/>
          <w:sz w:val="24"/>
          <w:u w:val="single"/>
        </w:rPr>
        <w:t>项目与钦州市生态环境</w:t>
      </w:r>
      <w:r>
        <w:rPr>
          <w:rFonts w:hint="eastAsia" w:ascii="Arial" w:hAnsi="Arial" w:eastAsia="宋体" w:cs="Arial"/>
          <w:b/>
          <w:sz w:val="24"/>
          <w:u w:val="single"/>
        </w:rPr>
        <w:t>分区管控动态更新成果的符合性分析</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5857"/>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管控</w:t>
            </w:r>
          </w:p>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类别</w:t>
            </w: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生态环境准入及管控要求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空间布局约束 </w:t>
            </w: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u w:val="single"/>
              </w:rPr>
            </w:pPr>
            <w:r>
              <w:rPr>
                <w:rFonts w:hint="eastAsia" w:ascii="Arial" w:hAnsi="Arial" w:eastAsia="宋体" w:cs="Arial"/>
                <w:kern w:val="0"/>
                <w:sz w:val="21"/>
                <w:szCs w:val="21"/>
                <w:u w:val="single"/>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相符。项目不涉及自然保护地、森林公园、湿地公园、水源保护区、风景名胜区、公益林、天然林等生态保护红线管理的各类自然保护地。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u w:val="single"/>
              </w:rPr>
            </w:pPr>
            <w:r>
              <w:rPr>
                <w:rFonts w:ascii="Arial" w:hAnsi="Arial" w:eastAsia="宋体" w:cs="Arial"/>
                <w:kern w:val="0"/>
                <w:sz w:val="21"/>
                <w:szCs w:val="21"/>
                <w:u w:val="single"/>
              </w:rPr>
              <w:t>2.</w:t>
            </w:r>
            <w:r>
              <w:rPr>
                <w:rFonts w:hint="eastAsia"/>
                <w:u w:val="single"/>
              </w:rPr>
              <w:t xml:space="preserve"> </w:t>
            </w:r>
            <w:r>
              <w:rPr>
                <w:rFonts w:hint="eastAsia" w:ascii="Arial" w:hAnsi="Arial" w:eastAsia="宋体" w:cs="Arial"/>
                <w:kern w:val="0"/>
                <w:sz w:val="21"/>
                <w:szCs w:val="21"/>
                <w:u w:val="single"/>
              </w:rPr>
              <w:t>红树林依据《广西壮族自治区红树林资源保护条例》进行管理。开展红树林修复要依法依规进行，并符合红树林资源保护规划等相</w:t>
            </w:r>
          </w:p>
          <w:p>
            <w:pPr>
              <w:widowControl/>
              <w:adjustRightInd w:val="0"/>
              <w:snapToGrid w:val="0"/>
              <w:jc w:val="left"/>
              <w:rPr>
                <w:rFonts w:ascii="Arial" w:hAnsi="Arial" w:eastAsia="宋体" w:cs="Arial"/>
                <w:kern w:val="0"/>
                <w:sz w:val="21"/>
                <w:szCs w:val="21"/>
                <w:u w:val="single"/>
              </w:rPr>
            </w:pPr>
            <w:r>
              <w:rPr>
                <w:rFonts w:hint="eastAsia" w:ascii="Arial" w:hAnsi="Arial" w:eastAsia="宋体" w:cs="Arial"/>
                <w:kern w:val="0"/>
                <w:sz w:val="21"/>
                <w:szCs w:val="21"/>
                <w:u w:val="single"/>
              </w:rPr>
              <w:t>关要求。</w:t>
            </w:r>
            <w:r>
              <w:rPr>
                <w:rFonts w:ascii="Arial" w:hAnsi="Arial" w:eastAsia="宋体" w:cs="Arial"/>
                <w:kern w:val="0"/>
                <w:sz w:val="21"/>
                <w:szCs w:val="21"/>
                <w:u w:val="single"/>
              </w:rPr>
              <w:t xml:space="preserve"> </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相符。项目用地范围不涉及红树林。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u w:val="single"/>
              </w:rPr>
            </w:pPr>
            <w:r>
              <w:rPr>
                <w:rFonts w:ascii="Arial" w:hAnsi="Arial" w:eastAsia="宋体" w:cs="Arial"/>
                <w:kern w:val="0"/>
                <w:sz w:val="21"/>
                <w:szCs w:val="21"/>
                <w:u w:val="single"/>
              </w:rPr>
              <w:t>3.</w:t>
            </w:r>
            <w:r>
              <w:rPr>
                <w:rFonts w:hint="eastAsia"/>
                <w:u w:val="single"/>
              </w:rPr>
              <w:t xml:space="preserve"> </w:t>
            </w:r>
            <w:r>
              <w:rPr>
                <w:rFonts w:hint="eastAsia" w:ascii="Arial" w:hAnsi="Arial" w:eastAsia="宋体" w:cs="Arial"/>
                <w:kern w:val="0"/>
                <w:sz w:val="21"/>
                <w:szCs w:val="21"/>
                <w:u w:val="single"/>
              </w:rPr>
              <w:t>重要湿地依据《中华人民共和国湿地保护法》《国家湿地公园管理办法》《广西壮族自治区湿地保护条例》进行管理。</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相符。项目不涉及重要湿地。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4.</w:t>
            </w:r>
            <w:r>
              <w:rPr>
                <w:rFonts w:hint="eastAsia"/>
                <w:u w:val="single"/>
              </w:rPr>
              <w:t xml:space="preserve"> </w:t>
            </w:r>
            <w:r>
              <w:rPr>
                <w:rFonts w:hint="eastAsia" w:ascii="Arial" w:hAnsi="Arial" w:eastAsia="宋体" w:cs="Arial"/>
                <w:sz w:val="21"/>
                <w:szCs w:val="21"/>
                <w:u w:val="single"/>
              </w:rPr>
              <w:t>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r>
              <w:rPr>
                <w:rFonts w:ascii="Arial" w:hAnsi="Arial" w:eastAsia="宋体" w:cs="Arial"/>
                <w:sz w:val="21"/>
                <w:szCs w:val="21"/>
                <w:u w:val="single"/>
              </w:rPr>
              <w:t xml:space="preserve"> </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在现有厂区内建设，用地不占用自然保护区、湿地保护区及生态环境极为敏感地区；项目选址不在水源保护区、湿地、永久基本农田、陡坡区、地质灾害高易发区等地区；项目选址不在十万大山、五皇山、六万大山、茅尾海等生物多样性保护区及水源涵养区等重点生态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5.</w:t>
            </w:r>
            <w:r>
              <w:rPr>
                <w:rFonts w:hint="eastAsia"/>
                <w:u w:val="single"/>
              </w:rPr>
              <w:t xml:space="preserve"> </w:t>
            </w:r>
            <w:r>
              <w:rPr>
                <w:rFonts w:hint="eastAsia" w:ascii="Arial" w:hAnsi="Arial" w:eastAsia="宋体" w:cs="Arial"/>
                <w:sz w:val="21"/>
                <w:szCs w:val="21"/>
                <w:u w:val="single"/>
              </w:rPr>
              <w:t>以供给侧结构性改革为导向，坚持培育新增产能与淘汰落后产能相结合，严格审批，防止新增落后产能。严格控制“两高”和产能过剩行业新上项目，遏制高耗能产业无序发展和低水平扩张。</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相符。项目不属于产能过剩行业。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6.</w:t>
            </w:r>
            <w:r>
              <w:rPr>
                <w:rFonts w:hint="eastAsia"/>
                <w:u w:val="single"/>
              </w:rPr>
              <w:t xml:space="preserve"> </w:t>
            </w:r>
            <w:r>
              <w:rPr>
                <w:rFonts w:hint="eastAsia" w:ascii="Arial" w:hAnsi="Arial" w:eastAsia="宋体" w:cs="Arial"/>
                <w:sz w:val="21"/>
                <w:szCs w:val="21"/>
                <w:u w:val="single"/>
              </w:rPr>
              <w:t>全市产业准入执行《广西壮族自治区人民政府办公厅关于印发北钦防一体化产业协同发展限制布局清单（工业类2021年版）的通知》（桂政办函〔2021〕4号）要求，限制布局炼铁、炼钢、铝冶炼、平板玻璃制造。</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相符。项目不属于其中的钦州市“全市”及“自贸区钦州港片区（钦州港经济技术开发区）”的限制产业。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7.</w:t>
            </w:r>
            <w:r>
              <w:rPr>
                <w:rFonts w:hint="eastAsia"/>
                <w:u w:val="single"/>
              </w:rPr>
              <w:t xml:space="preserve"> </w:t>
            </w:r>
            <w:r>
              <w:rPr>
                <w:rFonts w:hint="eastAsia" w:ascii="Arial" w:hAnsi="Arial" w:eastAsia="宋体" w:cs="Arial"/>
                <w:sz w:val="21"/>
                <w:szCs w:val="21"/>
                <w:u w:val="single"/>
              </w:rPr>
              <w:t>新建、扩建的石化、化工、焦化项目应按照《关于加强高耗能、高排放建设项目生态环境源头防控的指导意见》布设在依法合规设</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立并经规划环评的产业园区。</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相符。项目不属于“两高”项目。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8.</w:t>
            </w:r>
            <w:r>
              <w:rPr>
                <w:rFonts w:hint="eastAsia"/>
                <w:u w:val="single"/>
              </w:rPr>
              <w:t xml:space="preserve"> </w:t>
            </w:r>
            <w:r>
              <w:rPr>
                <w:rFonts w:hint="eastAsia" w:ascii="Arial" w:hAnsi="Arial" w:eastAsia="宋体" w:cs="Arial"/>
                <w:sz w:val="21"/>
                <w:szCs w:val="21"/>
                <w:u w:val="single"/>
              </w:rPr>
              <w:t>禁止违法占用、损害自然岸线。海洋开发和海岸开发各类活动，大陆自然岸线保有率标准不低于 35%、无居民海岛岸线长度保有</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率标准不低于 85%。</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相符。项目不涉及海洋开发和海岸开发。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9. </w:t>
            </w:r>
            <w:r>
              <w:rPr>
                <w:rFonts w:hint="eastAsia" w:ascii="Arial" w:hAnsi="Arial" w:eastAsia="宋体" w:cs="Arial"/>
                <w:sz w:val="21"/>
                <w:szCs w:val="21"/>
                <w:u w:val="single"/>
              </w:rPr>
              <w:t>推进海域资源市场化配置，严控新增围填海造地，完善围填海总量管控，除国家重大战略项目外，全面停止新增围填海项目审批，</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全面清理非法占用海洋生态保护红线区域的围填海项目。</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相符。项目在现有厂区内建设，不新增用地，不涉及围填海造地。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10. </w:t>
            </w:r>
            <w:r>
              <w:rPr>
                <w:rFonts w:hint="eastAsia" w:ascii="Arial" w:hAnsi="Arial" w:eastAsia="宋体" w:cs="Arial"/>
                <w:sz w:val="21"/>
                <w:szCs w:val="21"/>
                <w:u w:val="single"/>
              </w:rPr>
              <w:t>科学论证在三娘湾海洋保护区、茅尾海中部海洋保护区及周边区域的开发利用活动，严格落实保护区管理要求。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相符。项目不涉及三娘湾海洋保护区、茅尾海中部海洋保护区。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11.</w:t>
            </w:r>
            <w:r>
              <w:rPr>
                <w:rFonts w:hint="eastAsia"/>
                <w:u w:val="single"/>
              </w:rPr>
              <w:t xml:space="preserve"> </w:t>
            </w:r>
            <w:r>
              <w:rPr>
                <w:rFonts w:hint="eastAsia" w:ascii="Arial" w:hAnsi="Arial" w:eastAsia="宋体" w:cs="Arial"/>
                <w:sz w:val="21"/>
                <w:szCs w:val="21"/>
                <w:u w:val="single"/>
              </w:rPr>
              <w:t>严格按照相关法律法规及国土空间规划等要求，规范设置和监管入海排污口。禁止采挖海砂、设置直排排污口及其他破坏河口生</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态功能的开发活动。</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相符。项目不新增直排排污口。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12. </w:t>
            </w:r>
            <w:r>
              <w:rPr>
                <w:rFonts w:hint="eastAsia" w:ascii="Arial" w:hAnsi="Arial" w:eastAsia="宋体" w:cs="Arial"/>
                <w:sz w:val="21"/>
                <w:szCs w:val="21"/>
                <w:u w:val="single"/>
              </w:rPr>
              <w:t>严禁圈占沙滩和红树林，禁止红树林海岸带内陆采石等破坏性活动。对红树林、海草床、滨海湿地等重要海洋生态系统实行最严</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相符。项目不占用沙滩和红树林，不涉及红树林海岸带内陆采石等破坏性活动。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13. </w:t>
            </w:r>
            <w:r>
              <w:rPr>
                <w:rFonts w:hint="eastAsia" w:ascii="Arial" w:hAnsi="Arial" w:eastAsia="宋体" w:cs="Arial"/>
                <w:sz w:val="21"/>
                <w:szCs w:val="21"/>
                <w:u w:val="single"/>
              </w:rPr>
              <w:t>严格用途管制，坚持陆海统筹，严禁国家产业政策淘汰类、限制类项目在滨海湿地布局，实现山水林田湖草整体保护、系统修复、综合治理。</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相符。项目不涉及滨海湿地布局。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14．禁止在氮磷浓度严重超标的近岸海域新增或者扩大投饵、投肥海水养殖规模。</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项目不属于养殖项目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15．平陆运河沿线两岸原则上预留1公里作为生态廊道构建用地，将平陆运河沿线建设成为维护当地自然与文化特色的区域生物廊道、生境走廊、休闲绿道、风景廊道和绿色运河经济带等。</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项目部在平陆运河沿线两岸1公里范围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16．禁止平陆运河建设违规占用环评批复范围之外的红树林，严格落实红树林生态恢复和管护要求。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项目不属于平陆运河建设内容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17．除上述空间布局约束外，还应遵循国土空间规划管控要求。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相符。项目在现有厂区内建设，厂区处于工业园区范围内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 xml:space="preserve">污染物排放管控 </w:t>
            </w: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以有色金属、建材、制糖、石化化工、造纸等行业为重点，推进节能改造和污染物深度治理；新建、改建、扩建的制浆造纸、印染、</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纺织、煤化工、石化、煤电等建设项目新增主要污染物排放应控制在区域总量的要求，确保环境质量达标。</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相符。项目污染物可达标排放，</w:t>
            </w:r>
            <w:r>
              <w:rPr>
                <w:rFonts w:hint="eastAsia" w:ascii="Arial" w:hAnsi="Arial" w:eastAsia="宋体" w:cs="Arial"/>
                <w:sz w:val="21"/>
                <w:szCs w:val="21"/>
                <w:u w:val="single"/>
              </w:rPr>
              <w:t>污染物排放符合总量控制的要求</w:t>
            </w:r>
            <w:r>
              <w:rPr>
                <w:rFonts w:ascii="Arial" w:hAnsi="Arial" w:eastAsia="宋体" w:cs="Arial"/>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2. </w:t>
            </w:r>
            <w:r>
              <w:rPr>
                <w:rFonts w:hint="eastAsia" w:ascii="Arial" w:hAnsi="Arial" w:eastAsia="宋体" w:cs="Arial"/>
                <w:sz w:val="21"/>
                <w:szCs w:val="21"/>
                <w:u w:val="single"/>
              </w:rPr>
              <w:t>持续加强工业集聚区污水集中处理设施建设，提高工业企业水循环利用率、污染物预处理能力及污染集中治理能力，补齐基础设施</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短板，按照“清污分流、雨污分流”原则，实施废水分类收集、分质处理，入园企业在达到国家或地方规定的排放标准后接入园区集</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中式污水处理设施稳定达标排放；加快推进深海排放基础设施建设。</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相符。项目按照“清污分流、雨污分流”原则，实施废水分类收集、分质处理。生活污水排入大榄坪污水处理厂</w:t>
            </w:r>
            <w:r>
              <w:rPr>
                <w:rFonts w:hint="eastAsia" w:ascii="Arial" w:hAnsi="Arial" w:eastAsia="宋体" w:cs="Arial"/>
                <w:sz w:val="21"/>
                <w:szCs w:val="21"/>
                <w:u w:val="single"/>
              </w:rPr>
              <w:t>；大榄坪污水处理厂升级改造前，项目生产废水经处理达标后依托该污水处理厂深海排放管道排入A2排污区，污水厂升级改造后，废水排入污水厂处理</w:t>
            </w:r>
            <w:r>
              <w:rPr>
                <w:rFonts w:ascii="Arial" w:hAnsi="Arial" w:eastAsia="宋体" w:cs="Arial"/>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3. </w:t>
            </w:r>
            <w:r>
              <w:rPr>
                <w:rFonts w:hint="eastAsia" w:ascii="Arial" w:hAnsi="Arial" w:eastAsia="宋体" w:cs="Arial"/>
                <w:sz w:val="21"/>
                <w:szCs w:val="21"/>
                <w:u w:val="single"/>
              </w:rPr>
              <w:t>开展陆海统筹流域治理，深化钦江、大风江、茅岭江、南流江等流域水环境综合整治，钦江、南流江流域切实开展截污、拔污、清</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污、治污专项行动，以“控磷除氮”为重点，抓好养殖、生活、工业、农业面源等污染综合治理和河道生态修复，推进河流入海断面</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水质持续改善，进一步削减入海河流总氮、总磷等的排海量。全面开展茅尾海、钦州湾等重点海域综合整治。严厉打击非法用海抽砂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行为，优化茅尾海等海域养殖规划布局，整治非法养殖。完善钦州港区污水截流及雨污分流、海上水产养殖尾水整治。</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相符。项目不涉及钦江、大风江、茅岭江、南流江等流域；项目不涉及海域养殖。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4. </w:t>
            </w:r>
            <w:r>
              <w:rPr>
                <w:rFonts w:hint="eastAsia" w:ascii="Arial" w:hAnsi="Arial" w:eastAsia="宋体" w:cs="Arial"/>
                <w:sz w:val="21"/>
                <w:szCs w:val="21"/>
                <w:u w:val="single"/>
              </w:rPr>
              <w:t>完善城镇污水处理厂配套管网建设，加强乡镇级污水处理设施及配套管网建设和改造，实施雨污分流改造，持续开展入河排污口整</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治，强化城镇生活污染源治理，建立健全生活污水收集、处理体系，推进城镇污水处理设施和服务向农村延伸，提高污水收集处理率，</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污水处理设施应增加脱氮、除磷工序。持续推进市、县级城市黑臭水体整治。</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5. </w:t>
            </w:r>
            <w:r>
              <w:rPr>
                <w:rFonts w:hint="eastAsia" w:ascii="Arial" w:hAnsi="Arial" w:eastAsia="宋体" w:cs="Arial"/>
                <w:sz w:val="21"/>
                <w:szCs w:val="21"/>
                <w:u w:val="single"/>
              </w:rPr>
              <w:t>加强工业企业无组织废气排放控制，加强挥发性有机物（VOCs）排放企业综合防治，加快高效 VOCs 收集治理设施建设，大力提</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升 VOCs 排放收集率、去除率和治理设施运行率。推进工业涂装、石化、包装印刷、木材加工、汽修等行业和油品储运销的 VOCs 综</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合治理。</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项目不排放挥发性有机物。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6. </w:t>
            </w:r>
            <w:r>
              <w:rPr>
                <w:rFonts w:hint="eastAsia" w:ascii="Arial" w:hAnsi="Arial" w:eastAsia="宋体" w:cs="Arial"/>
                <w:sz w:val="21"/>
                <w:szCs w:val="21"/>
                <w:u w:val="single"/>
              </w:rPr>
              <w:t>完善园区集中供热设施，积极推广集中供热，有条件的工业聚集区建设集中喷涂工程中心，配备高效治污设施，替代企业独立喷涂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工序。</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7. </w:t>
            </w:r>
            <w:r>
              <w:rPr>
                <w:rFonts w:hint="eastAsia" w:ascii="Arial" w:hAnsi="Arial" w:eastAsia="宋体" w:cs="Arial"/>
                <w:sz w:val="21"/>
                <w:szCs w:val="21"/>
                <w:u w:val="single"/>
              </w:rPr>
              <w:t>推进城镇生活垃圾处理基础设施扩能建设，强化渗滤液处理设施运营管理，防止渗滤液积存或违规倾倒垃圾渗滤液至市政管网；加</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强农村生活垃圾收运、处理体系建设，降低农村垃圾焚烧污染。</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8. 新建、改建、扩建涉及重点重金属排放建设项目依照相关规定实行总量控制</w:t>
            </w:r>
            <w:r>
              <w:rPr>
                <w:rFonts w:hint="eastAsia" w:ascii="Arial" w:hAnsi="Arial" w:eastAsia="宋体" w:cs="Arial"/>
                <w:sz w:val="21"/>
                <w:szCs w:val="21"/>
                <w:u w:val="single"/>
              </w:rPr>
              <w:t>。</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项目不涉及重点重金属排放。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9.</w:t>
            </w:r>
            <w:r>
              <w:rPr>
                <w:rFonts w:hint="eastAsia"/>
                <w:u w:val="single"/>
              </w:rPr>
              <w:t xml:space="preserve"> </w:t>
            </w:r>
            <w:r>
              <w:rPr>
                <w:rFonts w:hint="eastAsia" w:ascii="Arial" w:hAnsi="Arial" w:eastAsia="宋体" w:cs="Arial"/>
                <w:sz w:val="21"/>
                <w:szCs w:val="21"/>
                <w:u w:val="single"/>
              </w:rPr>
              <w:t>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相符。项目不属于“两高”项目。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10. </w:t>
            </w:r>
            <w:r>
              <w:rPr>
                <w:rFonts w:hint="eastAsia" w:ascii="Arial" w:hAnsi="Arial" w:eastAsia="宋体" w:cs="Arial"/>
                <w:sz w:val="21"/>
                <w:szCs w:val="21"/>
                <w:u w:val="single"/>
              </w:rPr>
              <w:t>加强海陆联动，严格控制陆源污染物排放。规范入海排污口设置，全面清理非法或设置不合理的入海排污口。加快推进钦州港三</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墩作业区配套深海排放管道工程。</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相符。项目不新增入海排污口。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11. </w:t>
            </w:r>
            <w:r>
              <w:rPr>
                <w:rFonts w:hint="eastAsia" w:ascii="Arial" w:hAnsi="Arial" w:eastAsia="宋体" w:cs="Arial"/>
                <w:sz w:val="21"/>
                <w:szCs w:val="21"/>
                <w:u w:val="single"/>
              </w:rPr>
              <w:t>积极治理船舶污染，推进与城市公共转运及处置设施的有效衔接，全面贯彻落实《广西北部湾港船舶污染物接收、转运、处置能</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力评估及相应设施建设方案》，建设完善船舶污染物接收处理设施，提高含油污水、化学品洗舱水、船舶垃圾等接收处置能力及污染</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事故应急能力。加强钦州港码头和船舶修造厂等绿色岸电、环卫设施、污水处理设施建设使用。</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项目不涉及船舶污染。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12. </w:t>
            </w:r>
            <w:r>
              <w:rPr>
                <w:rFonts w:hint="eastAsia" w:ascii="Arial" w:hAnsi="Arial" w:eastAsia="宋体" w:cs="Arial"/>
                <w:sz w:val="21"/>
                <w:szCs w:val="21"/>
                <w:u w:val="single"/>
              </w:rPr>
              <w:t>加强港口码头环保基础设施处理和建设。完善堆场防风抑尘设施，降低扬尘污染。港区实行雨污分流和污水分质处理，防止堆场</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废水通过雨水沟直排入海，完善配套污水处理设施和管网建设，实现污水集中处理、回用或达标排放。</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项目不涉及港口码头环保基础设施。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13. </w:t>
            </w:r>
            <w:r>
              <w:rPr>
                <w:rFonts w:hint="eastAsia" w:ascii="Arial" w:hAnsi="Arial" w:eastAsia="宋体" w:cs="Arial"/>
                <w:sz w:val="21"/>
                <w:szCs w:val="21"/>
                <w:u w:val="single"/>
              </w:rPr>
              <w:t>污水离岸排放不得超过国家或者地方规定的排放标准。禁止向海域排放油类、酸液、碱液、剧毒废液和高、中水平放射性废水，</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严格控制向海域排放含有不易降解的有机物和重金属的废水，排放低水平放射性废水应当符合国家放射性污染防治标准，其他污染物</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的排放应当符合国家或者地方标准。含病原体的医疗污水、生活污水和工业废水必须经过处理，符合国家有关排放标准后，方能排入</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海域。含有机物和营养物质的工业废水、生活污水，应当严格控制向海湾、半封闭海及其他自净能力较差的海域排放。向海域排放含</w:t>
            </w:r>
          </w:p>
          <w:p>
            <w:pPr>
              <w:adjustRightInd w:val="0"/>
              <w:snapToGrid w:val="0"/>
              <w:jc w:val="left"/>
              <w:rPr>
                <w:rFonts w:ascii="Arial" w:hAnsi="Arial" w:eastAsia="宋体" w:cs="Arial"/>
                <w:sz w:val="21"/>
                <w:szCs w:val="21"/>
                <w:highlight w:val="yellow"/>
                <w:u w:val="single"/>
              </w:rPr>
            </w:pPr>
            <w:r>
              <w:rPr>
                <w:rFonts w:hint="eastAsia" w:ascii="Arial" w:hAnsi="Arial" w:eastAsia="宋体" w:cs="Arial"/>
                <w:sz w:val="21"/>
                <w:szCs w:val="21"/>
                <w:u w:val="single"/>
              </w:rPr>
              <w:t>热废水，必须采取有效措施，保证邻近渔业水域的水温符合国家海洋环境质量标准，避免热污染对水产资源的危害。</w:t>
            </w:r>
            <w:r>
              <w:rPr>
                <w:rFonts w:ascii="Arial" w:hAnsi="Arial" w:eastAsia="宋体" w:cs="Arial"/>
                <w:sz w:val="21"/>
                <w:szCs w:val="21"/>
                <w:u w:val="single"/>
              </w:rPr>
              <w:t xml:space="preserve"> </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相符。</w:t>
            </w:r>
            <w:r>
              <w:rPr>
                <w:rFonts w:hint="eastAsia" w:ascii="Arial" w:hAnsi="Arial" w:eastAsia="宋体" w:cs="Arial"/>
                <w:sz w:val="21"/>
                <w:szCs w:val="21"/>
                <w:u w:val="single"/>
              </w:rPr>
              <w:t>大榄坪污水处理厂升级改造前，项目生产废水经处理达标后依托该污水处理厂深海排放管道排入A2排污区，污水厂升级改造后，废水排入污水厂处理。根据地表水环境影响评价，地表水环境影响可接受。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14. </w:t>
            </w:r>
            <w:r>
              <w:rPr>
                <w:rFonts w:hint="eastAsia" w:ascii="Arial" w:hAnsi="Arial" w:eastAsia="宋体" w:cs="Arial"/>
                <w:sz w:val="21"/>
                <w:szCs w:val="21"/>
                <w:u w:val="single"/>
              </w:rPr>
              <w:t>按照养殖容量控制养殖规模和养殖密度，发展健康、生态养殖方式，推动海水养殖环保设施建设，规范海水养殖尾水排放，加强</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对蓝圆鲹和二长棘鲷产卵场的保护。旅游休闲娱乐区的污水和垃圾应科学处置、达标排放，禁止直接排入海域。</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15．推动造纸行业节能改造，加大有机废液、有机废物、生物质气体的回收利用，固体废物近零排放。</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项目不属于造纸行业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环境风险防控 </w:t>
            </w: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强化环境风险源精准化管理，健全企业突发环境事件风险评估制度，动态更新重点环境风险源管理目录清单，建立信息齐全、数据</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准确的风险源及敏感保护目标的数据库，准确掌握重点环境风险源分布情况，重点加强较大及以上风险等级风险源的环境风险防范和</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应急预警管理。</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bCs/>
                <w:sz w:val="21"/>
                <w:szCs w:val="21"/>
                <w:u w:val="single"/>
              </w:rPr>
              <w:t>本</w:t>
            </w:r>
            <w:r>
              <w:rPr>
                <w:rFonts w:hint="eastAsia" w:ascii="Arial" w:hAnsi="Arial" w:eastAsia="宋体" w:cs="Arial"/>
                <w:bCs/>
                <w:sz w:val="21"/>
                <w:szCs w:val="21"/>
                <w:u w:val="single"/>
              </w:rPr>
              <w:t>报告</w:t>
            </w:r>
            <w:r>
              <w:rPr>
                <w:rFonts w:ascii="Arial" w:hAnsi="Arial" w:eastAsia="宋体" w:cs="Arial"/>
                <w:bCs/>
                <w:sz w:val="21"/>
                <w:szCs w:val="21"/>
                <w:u w:val="single"/>
              </w:rPr>
              <w:t>已要求项目编制突发环境事件应急预案并在当地行政主管部门备案，并与园区环境事件应急预案进行联动。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2. 选择涉重涉危企业、化工园区、集中式饮用水水源地等重要区域开展突发环境事件风险、环境健康风险评估，实施分类分级风险管控。</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项目所在园区已经开展突发环境事件风险等风险管控措施。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3. 强化饮用水水源地环境风险排查，加强环境风险源管理，建立健 全饮用水水源地应急预案。推进县级及以上饮用水水源地自动监测 预警能力建设，实施水源地应急防护工程。加强大气污染防治协作和部门联动，建立健全大气污染联防联控机制。建立健全用地土壤 环境联动监督管理机制，实行联动监管</w:t>
            </w:r>
            <w:r>
              <w:rPr>
                <w:rFonts w:hint="eastAsia" w:ascii="Arial" w:hAnsi="Arial" w:eastAsia="宋体" w:cs="Arial"/>
                <w:sz w:val="21"/>
                <w:szCs w:val="21"/>
                <w:u w:val="single"/>
              </w:rPr>
              <w:t>。</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项目不涉及饮用水源地。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4. 严格建设项目环境准入，永久基本农田集中区域禁止规划新建可能造成土壤污染的建设项目；新（改、扩）建涉有毒有害物质可能造成防控土壤污染的建设项目，提出并落实污染防治要求。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相符。项目选址不在永久基本农田集中区域，项目建成前后对土壤定期展开现状监测、跟踪监测，采取严格的环保措施，加强土壤污染风险管控。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5. 强化全域矿产资源开发监管，建立矿石生态环境动态监测网络，禁止矿山废水、废气、废渣的无序排放。</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6. </w:t>
            </w:r>
            <w:r>
              <w:rPr>
                <w:rFonts w:hint="eastAsia" w:ascii="Arial" w:hAnsi="Arial" w:eastAsia="宋体" w:cs="Arial"/>
                <w:sz w:val="21"/>
                <w:szCs w:val="21"/>
                <w:u w:val="single"/>
              </w:rPr>
              <w:t>严格管控涉海重大工程环境风险，全面排查陆域环境风险源、海上溢油、危险化学品泄漏等环境风险隐患，健全完善海上溢油及危</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化品泄漏污染环境应急响应机制，完善分类分级的海上应急监测及处置预案，在石化基地、危化品储存区等邻近海域部署快速监测能</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力和应急处置物资设备。建立健全海洋生态补偿和生态损害赔偿制度。</w:t>
            </w:r>
            <w:r>
              <w:rPr>
                <w:rFonts w:ascii="Arial" w:hAnsi="Arial" w:eastAsia="宋体" w:cs="Arial"/>
                <w:sz w:val="21"/>
                <w:szCs w:val="21"/>
                <w:u w:val="single"/>
              </w:rPr>
              <w:t xml:space="preserve"> </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7. </w:t>
            </w:r>
            <w:r>
              <w:rPr>
                <w:rFonts w:hint="eastAsia" w:ascii="Arial" w:hAnsi="Arial" w:eastAsia="宋体" w:cs="Arial"/>
                <w:sz w:val="21"/>
                <w:szCs w:val="21"/>
                <w:u w:val="single"/>
              </w:rPr>
              <w:t>强化沿海工业园区和沿海石油、石化、化工、冶炼及危化品储运等企业的环境风险防控，加强企业和园区环境应急物资储备。</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相符。已要求建设单位在建设后期编制</w:t>
            </w:r>
            <w:r>
              <w:rPr>
                <w:rFonts w:ascii="Arial" w:hAnsi="Arial" w:eastAsia="宋体" w:cs="Arial"/>
                <w:bCs/>
                <w:sz w:val="21"/>
                <w:szCs w:val="21"/>
                <w:u w:val="single"/>
              </w:rPr>
              <w:t>应急预案</w:t>
            </w:r>
            <w:r>
              <w:rPr>
                <w:rFonts w:ascii="Arial" w:hAnsi="Arial" w:eastAsia="宋体" w:cs="Arial"/>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8. </w:t>
            </w:r>
            <w:r>
              <w:rPr>
                <w:rFonts w:hint="eastAsia" w:ascii="Arial" w:hAnsi="Arial" w:eastAsia="宋体" w:cs="Arial"/>
                <w:sz w:val="21"/>
                <w:szCs w:val="21"/>
                <w:u w:val="single"/>
              </w:rPr>
              <w:t>加强海洋生态灾害应急体系建设，强化海水浴场、电厂取排水口等海洋生态灾害高风险区域的联防联控。</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9．加强倾倒区使用状况监督管理工作，做好废弃物向海洋倾倒活动的风险管控。</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相符。项目各类固废分类妥善处置，不向外倾倒。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资源开发利用效率要求 </w:t>
            </w: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能源：强化和完善能耗双控制度，严格落实《石化化工重点行业严格能效约束推动节能降碳行动方案（2021－2025 年）》等有关</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要求。推进绿色清洁能源生产，推进重点行业和重要领域绿色化改造，打造绿色园区和绿色企业，促进工业园区、产业集聚区低碳循</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环化发展。推动能源多元清洁发展，培育发展清洁能源和可再生能源产业，锂电池制造及风电、光伏发电、生物质发电等清洁能源产</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业发展要符合相应能源规划和国土空间规划的要求；推动能源清洁低碳安全高效利用，合理控制煤炭消费。落实国家碳排放达峰行动</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方案，降低碳排放强度。海洋石油勘探开发严格执行《中华人民共和国海洋石油勘探开发环境保护管理条例》要求。</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项目不属于列入自治区“两高”项目目录范围的项目。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2. </w:t>
            </w:r>
            <w:r>
              <w:rPr>
                <w:rFonts w:hint="eastAsia" w:ascii="Arial" w:hAnsi="Arial" w:eastAsia="宋体" w:cs="Arial"/>
                <w:sz w:val="21"/>
                <w:szCs w:val="21"/>
                <w:u w:val="single"/>
              </w:rPr>
              <w:t>土地资源：严格执行自治区下达的土地资源利用总量及效率管控指标要求。突出节约集约用海原则，合理控制规模，优化空间布局，</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提高海域空间资源的整体使用效能。</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3. </w:t>
            </w:r>
            <w:r>
              <w:rPr>
                <w:rFonts w:hint="eastAsia" w:ascii="Arial" w:hAnsi="Arial" w:eastAsia="宋体" w:cs="Arial"/>
                <w:sz w:val="21"/>
                <w:szCs w:val="21"/>
                <w:u w:val="single"/>
              </w:rPr>
              <w:t>水资源：实行水资源消耗总量和强度“双控”。严格用水总量指标管理，健全市、县（区、市）行政区域的用水总量控制指标体系，</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统筹生活、生产、生态用水，大力推进农业、工业、城镇等领域节水。严格按照地下水开发利用控制目标控制地下水资源开采。</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相符。项目采取相应的节水措施，最大限度的利用循环水，符合相关要求。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4. </w:t>
            </w:r>
            <w:r>
              <w:rPr>
                <w:rFonts w:hint="eastAsia" w:ascii="Arial" w:hAnsi="Arial" w:eastAsia="宋体" w:cs="Arial"/>
                <w:sz w:val="21"/>
                <w:szCs w:val="21"/>
                <w:u w:val="single"/>
              </w:rPr>
              <w:t>矿产资源：严格执行自治区、市、县矿产资源总体规划中关于矿产资源开发管控和矿产资源高效利用的目标要求。着力提高资源开</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发利用效率和水平，加快发展绿色矿业；严格控制海岸线的开发建设、海砂开采活动，规范海砂资源开发秩序，加强海岸沙滩保护和</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矿产开发监管。</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5. </w:t>
            </w:r>
            <w:r>
              <w:rPr>
                <w:rFonts w:hint="eastAsia" w:ascii="Arial" w:hAnsi="Arial" w:eastAsia="宋体" w:cs="Arial"/>
                <w:sz w:val="21"/>
                <w:szCs w:val="21"/>
                <w:u w:val="single"/>
              </w:rPr>
              <w:t>岸线资源：涉及岸线开发的工业区和港区，应严格按照相关规划实施，控制占用岸线长度，提高岸线利用效率，加强污染防治。建</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设海岸生态隔离带；有效保护自然岸线和典型海洋生态系统，提高海洋生态服务功能，增强海洋碳汇功能。合理控制滨海旅游开发强</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度，科学有序发展海洋生态旅游。规范海岛资源开发，科学规划海岛岸线开发，保护海岛自然岸线。</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highlight w:val="yellow"/>
                <w:u w:val="single"/>
              </w:rPr>
            </w:pP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6. 高污染燃料禁燃区：禁止新建、扩建燃用高污染燃料的项目和设施，已经建成的应逐步或依法限期改用天然气、电或其他清洁能源。</w:t>
            </w:r>
          </w:p>
        </w:tc>
        <w:tc>
          <w:tcPr>
            <w:tcW w:w="2734"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项目不在高污染燃料禁燃区。</w:t>
            </w:r>
          </w:p>
        </w:tc>
      </w:tr>
    </w:tbl>
    <w:p>
      <w:pPr>
        <w:keepNext/>
        <w:keepLines/>
        <w:numPr>
          <w:ilvl w:val="0"/>
          <w:numId w:val="5"/>
        </w:numPr>
        <w:tabs>
          <w:tab w:val="left" w:pos="0"/>
        </w:tabs>
        <w:spacing w:line="500" w:lineRule="exact"/>
        <w:ind w:left="0" w:firstLine="0"/>
        <w:jc w:val="center"/>
        <w:outlineLvl w:val="4"/>
        <w:rPr>
          <w:rFonts w:ascii="Arial" w:hAnsi="Arial" w:eastAsia="宋体" w:cs="Arial"/>
          <w:b/>
          <w:sz w:val="24"/>
          <w:u w:val="single"/>
        </w:rPr>
      </w:pPr>
      <w:r>
        <w:rPr>
          <w:rFonts w:ascii="Arial" w:hAnsi="Arial" w:eastAsia="宋体" w:cs="Arial"/>
          <w:b/>
          <w:sz w:val="24"/>
          <w:u w:val="single"/>
        </w:rPr>
        <w:t>与</w:t>
      </w:r>
      <w:r>
        <w:rPr>
          <w:rFonts w:hint="eastAsia" w:ascii="Arial" w:hAnsi="Arial" w:eastAsia="宋体" w:cs="Arial"/>
          <w:b/>
          <w:sz w:val="24"/>
          <w:u w:val="single"/>
        </w:rPr>
        <w:t>石化产业园重点管控单元</w:t>
      </w:r>
      <w:r>
        <w:rPr>
          <w:rFonts w:ascii="Arial" w:hAnsi="Arial" w:eastAsia="宋体" w:cs="Arial"/>
          <w:b/>
          <w:sz w:val="24"/>
          <w:u w:val="single"/>
        </w:rPr>
        <w:t>生态环境</w:t>
      </w:r>
      <w:r>
        <w:rPr>
          <w:rFonts w:hint="eastAsia" w:ascii="Arial" w:hAnsi="Arial" w:eastAsia="宋体" w:cs="Arial"/>
          <w:b/>
          <w:sz w:val="24"/>
          <w:u w:val="single"/>
        </w:rPr>
        <w:t>分区管控</w:t>
      </w:r>
      <w:r>
        <w:rPr>
          <w:rFonts w:ascii="Arial" w:hAnsi="Arial" w:eastAsia="宋体" w:cs="Arial"/>
          <w:b/>
          <w:sz w:val="24"/>
          <w:u w:val="single"/>
        </w:rPr>
        <w:t>的相符性分析</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5565"/>
        <w:gridCol w:w="2341"/>
        <w:gridCol w:w="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管控</w:t>
            </w:r>
          </w:p>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类别</w:t>
            </w:r>
          </w:p>
        </w:tc>
        <w:tc>
          <w:tcPr>
            <w:tcW w:w="5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生态环境准入及管控要求</w:t>
            </w:r>
          </w:p>
        </w:tc>
        <w:tc>
          <w:tcPr>
            <w:tcW w:w="234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项目情况</w:t>
            </w:r>
          </w:p>
        </w:tc>
        <w:tc>
          <w:tcPr>
            <w:tcW w:w="6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空间布局约束 </w:t>
            </w:r>
          </w:p>
        </w:tc>
        <w:tc>
          <w:tcPr>
            <w:tcW w:w="5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3．优化园区规划空间布局，对丙烯腈、苯乙烯、环氧丙烷等新引进项目加强源头风险管控；丙烯腈装置原则上应配套 MMA 装置同步建设，及时消耗丙烯腈装置产生的氢氰酸和废酸，降低环境风险。</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4．严格控制炼油规模，禁止建设未列入国家批准的相关规划的新建炼油及扩建一次炼油项目；新建石化和化工生产项目应符合《广西新建石化和化工生产项目准入管理办法（试行）》</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《化工园区开发建设导则》（GB/T 42078-2022）相关要求。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5．严格“两高”建设项目环境准入，新建、改建、扩建“两高”项目须符合生态环境保护法律法规和相关法定规划，满足重点污染物总量控制、相关规划环评和相应行业建设项目环境准入条件等要求。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23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1</w:t>
            </w:r>
            <w:r>
              <w:rPr>
                <w:rFonts w:hint="eastAsia" w:ascii="Arial" w:hAnsi="Arial" w:eastAsia="宋体" w:cs="Arial"/>
                <w:sz w:val="21"/>
                <w:szCs w:val="21"/>
                <w:u w:val="single"/>
              </w:rPr>
              <w:t>.</w:t>
            </w:r>
            <w:r>
              <w:rPr>
                <w:rFonts w:ascii="Arial" w:hAnsi="Arial" w:eastAsia="宋体" w:cs="Arial"/>
                <w:sz w:val="21"/>
                <w:szCs w:val="21"/>
                <w:u w:val="single"/>
              </w:rPr>
              <w:t>项目</w:t>
            </w:r>
            <w:r>
              <w:rPr>
                <w:rFonts w:hint="eastAsia" w:ascii="Arial" w:hAnsi="Arial" w:eastAsia="宋体" w:cs="Arial"/>
                <w:sz w:val="21"/>
                <w:szCs w:val="21"/>
                <w:u w:val="single"/>
              </w:rPr>
              <w:t>不涉及围填海。</w:t>
            </w:r>
          </w:p>
          <w:p>
            <w:pPr>
              <w:adjustRightInd w:val="0"/>
              <w:snapToGrid w:val="0"/>
              <w:rPr>
                <w:rFonts w:ascii="Arial" w:hAnsi="Arial" w:eastAsia="宋体" w:cs="Arial"/>
                <w:sz w:val="21"/>
                <w:szCs w:val="21"/>
                <w:u w:val="single"/>
              </w:rPr>
            </w:pPr>
            <w:r>
              <w:rPr>
                <w:rFonts w:ascii="Arial" w:hAnsi="Arial" w:eastAsia="宋体" w:cs="Arial"/>
                <w:sz w:val="21"/>
                <w:szCs w:val="21"/>
                <w:u w:val="single"/>
              </w:rPr>
              <w:t>2</w:t>
            </w:r>
            <w:r>
              <w:rPr>
                <w:rFonts w:hint="eastAsia" w:ascii="Arial" w:hAnsi="Arial" w:eastAsia="宋体" w:cs="Arial"/>
                <w:sz w:val="21"/>
                <w:szCs w:val="21"/>
                <w:u w:val="single"/>
              </w:rPr>
              <w:t>.</w:t>
            </w:r>
            <w:r>
              <w:rPr>
                <w:rFonts w:ascii="Arial" w:hAnsi="Arial" w:eastAsia="宋体" w:cs="Arial"/>
                <w:sz w:val="21"/>
                <w:szCs w:val="21"/>
                <w:u w:val="single"/>
              </w:rPr>
              <w:t>项目</w:t>
            </w:r>
            <w:r>
              <w:rPr>
                <w:rFonts w:hint="eastAsia" w:ascii="Arial" w:hAnsi="Arial" w:eastAsia="宋体" w:cs="Arial"/>
                <w:sz w:val="21"/>
                <w:szCs w:val="21"/>
                <w:u w:val="single"/>
              </w:rPr>
              <w:t>符合石化产业园区规划及规划环评要求；清洁生产达国际先进水平；污染物均达标排放。</w:t>
            </w:r>
          </w:p>
          <w:p>
            <w:pPr>
              <w:adjustRightInd w:val="0"/>
              <w:snapToGrid w:val="0"/>
              <w:rPr>
                <w:rFonts w:ascii="Arial" w:hAnsi="Arial" w:eastAsia="宋体" w:cs="Arial"/>
                <w:sz w:val="21"/>
                <w:szCs w:val="21"/>
                <w:u w:val="single"/>
              </w:rPr>
            </w:pPr>
            <w:r>
              <w:rPr>
                <w:rFonts w:ascii="Arial" w:hAnsi="Arial" w:eastAsia="宋体" w:cs="Arial"/>
                <w:sz w:val="21"/>
                <w:szCs w:val="21"/>
                <w:u w:val="single"/>
              </w:rPr>
              <w:t>3</w:t>
            </w:r>
            <w:r>
              <w:rPr>
                <w:rFonts w:hint="eastAsia" w:ascii="Arial" w:hAnsi="Arial" w:eastAsia="宋体" w:cs="Arial"/>
                <w:sz w:val="21"/>
                <w:szCs w:val="21"/>
                <w:u w:val="single"/>
              </w:rPr>
              <w:t>.</w:t>
            </w:r>
            <w:r>
              <w:rPr>
                <w:rFonts w:ascii="Arial" w:hAnsi="Arial" w:eastAsia="宋体" w:cs="Arial"/>
                <w:sz w:val="21"/>
                <w:szCs w:val="21"/>
                <w:u w:val="single"/>
              </w:rPr>
              <w:t>项目不</w:t>
            </w:r>
            <w:r>
              <w:rPr>
                <w:rFonts w:hint="eastAsia" w:ascii="Arial" w:hAnsi="Arial" w:eastAsia="宋体" w:cs="Arial"/>
                <w:sz w:val="21"/>
                <w:szCs w:val="21"/>
                <w:u w:val="single"/>
              </w:rPr>
              <w:t>涉及</w:t>
            </w:r>
            <w:r>
              <w:rPr>
                <w:rFonts w:ascii="Arial" w:hAnsi="Arial" w:eastAsia="宋体" w:cs="Arial"/>
                <w:sz w:val="21"/>
                <w:szCs w:val="21"/>
                <w:u w:val="single"/>
              </w:rPr>
              <w:t>。</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 项目符合《广西新建石化和化工生产项目准入管理办法（试行）》《化工园区开发建设导则》（GB/T 42078-2022）相关要求。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5.项目不属于“两高”项目。</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6.项目不新增用地，对周边生态环境影响较小。</w:t>
            </w:r>
          </w:p>
        </w:tc>
        <w:tc>
          <w:tcPr>
            <w:tcW w:w="68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污染物排放管控 </w:t>
            </w:r>
          </w:p>
        </w:tc>
        <w:tc>
          <w:tcPr>
            <w:tcW w:w="5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1．大力推进低氮燃烧和烟气脱硝，有序推进园区集中供热。</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2．持续推进石化、化工等行业节能降碳改造；推动石化、化工等重点行业挥发性有机物（VOCs）污染防治。推动石化行业 VOCs 泄漏检测与修复行动、VOCs 削减和有毒有害原料替代。</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6．鼓励建设高盐废水集中处理设施，回收固体盐类，降低外排水量和含盐浓度。</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7．严格控制石油类、氨氮、总磷等污染物排放浓度及排放量，采取有效措施减少挥发性有机化合物（VOCs）、氮氧化物（NOx）等污染物排放量。</w:t>
            </w:r>
          </w:p>
        </w:tc>
        <w:tc>
          <w:tcPr>
            <w:tcW w:w="23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1</w:t>
            </w:r>
            <w:r>
              <w:rPr>
                <w:rFonts w:hint="eastAsia" w:ascii="Arial" w:hAnsi="Arial" w:eastAsia="宋体" w:cs="Arial"/>
                <w:sz w:val="21"/>
                <w:szCs w:val="21"/>
                <w:u w:val="single"/>
              </w:rPr>
              <w:t>.不涉及</w:t>
            </w:r>
            <w:r>
              <w:rPr>
                <w:rFonts w:ascii="Arial" w:hAnsi="Arial" w:eastAsia="宋体" w:cs="Arial"/>
                <w:sz w:val="21"/>
                <w:szCs w:val="21"/>
                <w:u w:val="single"/>
              </w:rPr>
              <w:t>；</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2.项目不排放挥发性有机物；</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3.项目清洁生产可达到清洁生产国际先进水平；</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4.</w:t>
            </w:r>
            <w:r>
              <w:rPr>
                <w:rFonts w:ascii="Arial" w:hAnsi="Arial" w:eastAsia="宋体" w:cs="Arial"/>
                <w:sz w:val="21"/>
                <w:szCs w:val="21"/>
                <w:u w:val="single"/>
              </w:rPr>
              <w:t>项目废水实行“清污分流、雨污分流”，实现废水分类收集、分质处理，生产废水</w:t>
            </w:r>
            <w:r>
              <w:rPr>
                <w:rFonts w:hint="eastAsia" w:ascii="Arial" w:hAnsi="Arial" w:eastAsia="宋体" w:cs="Arial"/>
                <w:sz w:val="21"/>
                <w:szCs w:val="21"/>
                <w:u w:val="single"/>
              </w:rPr>
              <w:t>依托</w:t>
            </w:r>
            <w:r>
              <w:rPr>
                <w:rFonts w:ascii="Arial" w:hAnsi="Arial" w:eastAsia="宋体" w:cs="Arial"/>
                <w:sz w:val="21"/>
                <w:szCs w:val="21"/>
                <w:u w:val="single"/>
              </w:rPr>
              <w:t>现有排污管排放，生活污水经处理后排入园区污水处理厂；</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5.项目废水污染物可达标排放，符合总量控制指标要求；</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6.项目已上高盐废水处理设施，盐排放浓度达标；</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7.项目不排放挥发性有机物、氮氧化物，石油类、氨氮、总磷可达标排放。</w:t>
            </w:r>
          </w:p>
        </w:tc>
        <w:tc>
          <w:tcPr>
            <w:tcW w:w="68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环境风险防控</w:t>
            </w:r>
          </w:p>
        </w:tc>
        <w:tc>
          <w:tcPr>
            <w:tcW w:w="5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1．建设项目应严格落实环境保护措施和环境风险防范措施，减缓对周边海域和陆域生态环境敏感区的不良环境影响。</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2．三墩片区实行封闭式管理。开展环境风险评估，制定突发环境事件应急预案并备案，配备应急能力和物资，建设环境应急队伍，并定期演练。企业、园区与地方人民政府环境应急预案应当有机衔接。</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23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bCs/>
                <w:sz w:val="21"/>
                <w:szCs w:val="21"/>
                <w:u w:val="single"/>
              </w:rPr>
            </w:pPr>
            <w:r>
              <w:rPr>
                <w:rFonts w:ascii="Arial" w:hAnsi="Arial" w:eastAsia="宋体" w:cs="Arial"/>
                <w:bCs/>
                <w:sz w:val="21"/>
                <w:szCs w:val="21"/>
                <w:u w:val="single"/>
              </w:rPr>
              <w:t>1</w:t>
            </w:r>
            <w:r>
              <w:rPr>
                <w:rFonts w:hint="eastAsia" w:ascii="Arial" w:hAnsi="Arial" w:eastAsia="宋体" w:cs="Arial"/>
                <w:bCs/>
                <w:sz w:val="21"/>
                <w:szCs w:val="21"/>
                <w:u w:val="single"/>
              </w:rPr>
              <w:t>.</w:t>
            </w:r>
            <w:r>
              <w:rPr>
                <w:rFonts w:ascii="Arial" w:hAnsi="Arial" w:eastAsia="宋体" w:cs="Arial"/>
                <w:bCs/>
                <w:sz w:val="21"/>
                <w:szCs w:val="21"/>
                <w:u w:val="single"/>
              </w:rPr>
              <w:t>本</w:t>
            </w:r>
            <w:r>
              <w:rPr>
                <w:rFonts w:hint="eastAsia" w:ascii="Arial" w:hAnsi="Arial" w:eastAsia="宋体" w:cs="Arial"/>
                <w:bCs/>
                <w:sz w:val="21"/>
                <w:szCs w:val="21"/>
                <w:u w:val="single"/>
              </w:rPr>
              <w:t>报告</w:t>
            </w:r>
            <w:r>
              <w:rPr>
                <w:rFonts w:ascii="Arial" w:hAnsi="Arial" w:eastAsia="宋体" w:cs="Arial"/>
                <w:bCs/>
                <w:sz w:val="21"/>
                <w:szCs w:val="21"/>
                <w:u w:val="single"/>
              </w:rPr>
              <w:t>已要求项目编制突发环境事件应急预案，并与园区环境事件应急预案进行联动；</w:t>
            </w:r>
          </w:p>
          <w:p>
            <w:pPr>
              <w:adjustRightInd w:val="0"/>
              <w:snapToGrid w:val="0"/>
              <w:rPr>
                <w:rFonts w:ascii="Arial" w:hAnsi="Arial" w:eastAsia="宋体" w:cs="Arial"/>
                <w:bCs/>
                <w:sz w:val="21"/>
                <w:szCs w:val="21"/>
                <w:u w:val="single"/>
              </w:rPr>
            </w:pPr>
            <w:r>
              <w:rPr>
                <w:rFonts w:ascii="Arial" w:hAnsi="Arial" w:eastAsia="宋体" w:cs="Arial"/>
                <w:bCs/>
                <w:sz w:val="21"/>
                <w:szCs w:val="21"/>
                <w:u w:val="single"/>
              </w:rPr>
              <w:t>2</w:t>
            </w:r>
            <w:r>
              <w:rPr>
                <w:rFonts w:hint="eastAsia" w:ascii="Arial" w:hAnsi="Arial" w:eastAsia="宋体" w:cs="Arial"/>
                <w:bCs/>
                <w:sz w:val="21"/>
                <w:szCs w:val="21"/>
                <w:u w:val="single"/>
              </w:rPr>
              <w:t>.</w:t>
            </w:r>
            <w:r>
              <w:rPr>
                <w:rFonts w:hint="eastAsia" w:ascii="Arial" w:hAnsi="Arial" w:eastAsia="宋体" w:cs="Arial"/>
                <w:sz w:val="21"/>
                <w:szCs w:val="21"/>
                <w:u w:val="single"/>
              </w:rPr>
              <w:t>不涉及</w:t>
            </w:r>
            <w:r>
              <w:rPr>
                <w:rFonts w:ascii="Arial" w:hAnsi="Arial" w:eastAsia="宋体" w:cs="Arial"/>
                <w:sz w:val="21"/>
                <w:szCs w:val="21"/>
                <w:u w:val="single"/>
              </w:rPr>
              <w:t>；</w:t>
            </w:r>
          </w:p>
          <w:p>
            <w:pPr>
              <w:adjustRightInd w:val="0"/>
              <w:snapToGrid w:val="0"/>
              <w:rPr>
                <w:rFonts w:ascii="Arial" w:hAnsi="Arial" w:eastAsia="宋体" w:cs="Arial"/>
                <w:bCs/>
                <w:sz w:val="21"/>
                <w:szCs w:val="21"/>
                <w:u w:val="single"/>
              </w:rPr>
            </w:pPr>
            <w:r>
              <w:rPr>
                <w:rFonts w:ascii="Arial" w:hAnsi="Arial" w:eastAsia="宋体" w:cs="Arial"/>
                <w:bCs/>
                <w:sz w:val="21"/>
                <w:szCs w:val="21"/>
                <w:u w:val="single"/>
              </w:rPr>
              <w:t>3</w:t>
            </w:r>
            <w:r>
              <w:rPr>
                <w:rFonts w:hint="eastAsia" w:ascii="Arial" w:hAnsi="Arial" w:eastAsia="宋体" w:cs="Arial"/>
                <w:bCs/>
                <w:sz w:val="21"/>
                <w:szCs w:val="21"/>
                <w:u w:val="single"/>
              </w:rPr>
              <w:t>.企业不属于</w:t>
            </w:r>
            <w:r>
              <w:rPr>
                <w:rFonts w:hint="eastAsia" w:ascii="Arial" w:hAnsi="Arial" w:eastAsia="宋体" w:cs="Arial"/>
                <w:sz w:val="21"/>
                <w:szCs w:val="21"/>
                <w:u w:val="single"/>
              </w:rPr>
              <w:t>土壤环境监管重点单位</w:t>
            </w:r>
            <w:r>
              <w:rPr>
                <w:rFonts w:ascii="Arial" w:hAnsi="Arial" w:eastAsia="宋体" w:cs="Arial"/>
                <w:sz w:val="21"/>
                <w:szCs w:val="21"/>
                <w:u w:val="single"/>
              </w:rPr>
              <w:t>。</w:t>
            </w:r>
          </w:p>
        </w:tc>
        <w:tc>
          <w:tcPr>
            <w:tcW w:w="68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9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资源开发利用效率要求 </w:t>
            </w:r>
          </w:p>
        </w:tc>
        <w:tc>
          <w:tcPr>
            <w:tcW w:w="5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2．加强水资源消耗总量与强度控制，推进节水减排，提升水资源利用效率和效益。</w:t>
            </w:r>
          </w:p>
          <w:p>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3．坚持节约集约用地，提高土地利用效率。</w:t>
            </w:r>
          </w:p>
        </w:tc>
        <w:tc>
          <w:tcPr>
            <w:tcW w:w="23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1.</w:t>
            </w:r>
            <w:r>
              <w:rPr>
                <w:rFonts w:ascii="Arial" w:hAnsi="Arial" w:eastAsia="宋体" w:cs="Arial"/>
                <w:sz w:val="21"/>
                <w:szCs w:val="21"/>
                <w:u w:val="single"/>
              </w:rPr>
              <w:t xml:space="preserve"> 项目不在高污染燃料禁燃区</w:t>
            </w:r>
            <w:r>
              <w:rPr>
                <w:rFonts w:hint="eastAsia" w:ascii="Arial" w:hAnsi="Arial" w:eastAsia="宋体" w:cs="Arial"/>
                <w:sz w:val="21"/>
                <w:szCs w:val="21"/>
                <w:u w:val="single"/>
              </w:rPr>
              <w:t>；</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2.项目用水量不大，废水经处理后，可再利用的先进行回用。</w:t>
            </w:r>
          </w:p>
          <w:p>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3.项目不新增用地。</w:t>
            </w:r>
          </w:p>
        </w:tc>
        <w:tc>
          <w:tcPr>
            <w:tcW w:w="68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bl>
    <w:p>
      <w:pPr>
        <w:pStyle w:val="5"/>
        <w:spacing w:line="500" w:lineRule="exact"/>
        <w:ind w:firstLine="475" w:firstLineChars="194"/>
        <w:rPr>
          <w:szCs w:val="24"/>
        </w:rPr>
      </w:pPr>
      <w:r>
        <w:rPr>
          <w:szCs w:val="24"/>
        </w:rPr>
        <w:t>因此，项目不属于环境准入负面清单范畴。</w:t>
      </w:r>
    </w:p>
    <w:p>
      <w:pPr>
        <w:pStyle w:val="5"/>
        <w:spacing w:line="500" w:lineRule="exact"/>
        <w:ind w:firstLine="475" w:firstLineChars="194"/>
        <w:rPr>
          <w:szCs w:val="24"/>
        </w:rPr>
      </w:pPr>
      <w:r>
        <w:rPr>
          <w:szCs w:val="24"/>
        </w:rPr>
        <w:t>5、小结</w:t>
      </w:r>
    </w:p>
    <w:p>
      <w:pPr>
        <w:pStyle w:val="5"/>
        <w:spacing w:line="500" w:lineRule="exact"/>
        <w:ind w:firstLine="475" w:firstLineChars="194"/>
        <w:rPr>
          <w:szCs w:val="24"/>
        </w:rPr>
      </w:pPr>
      <w:r>
        <w:rPr>
          <w:szCs w:val="24"/>
        </w:rPr>
        <w:t>综上所述，项目不涉及生态保护红线、未超出环境质量底线及资源利用上线、未列入环境准入负面清单内，与</w:t>
      </w:r>
      <w:r>
        <w:rPr>
          <w:rFonts w:hint="eastAsia"/>
          <w:szCs w:val="24"/>
        </w:rPr>
        <w:t>生态环境分区管控</w:t>
      </w:r>
      <w:r>
        <w:rPr>
          <w:szCs w:val="24"/>
        </w:rPr>
        <w:t>相关要求相符。</w:t>
      </w:r>
    </w:p>
    <w:p>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与《地下水管理条例》相符性分析</w:t>
      </w:r>
    </w:p>
    <w:p>
      <w:pPr>
        <w:pStyle w:val="5"/>
        <w:spacing w:line="500" w:lineRule="exact"/>
        <w:ind w:firstLine="475" w:firstLineChars="194"/>
        <w:rPr>
          <w:szCs w:val="24"/>
        </w:rPr>
      </w:pPr>
      <w:r>
        <w:rPr>
          <w:rFonts w:hint="eastAsia"/>
          <w:szCs w:val="24"/>
        </w:rPr>
        <w:t>项目不开采地下水，不使用地下水，项目符合《地下水管理条例》的相关要求，详见表1-41。</w:t>
      </w:r>
    </w:p>
    <w:p>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与《地下水管理条例》相符性分析</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5178"/>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5"/>
              <w:spacing w:line="240" w:lineRule="exact"/>
              <w:ind w:firstLine="0"/>
              <w:jc w:val="center"/>
              <w:rPr>
                <w:sz w:val="21"/>
                <w:szCs w:val="21"/>
              </w:rPr>
            </w:pPr>
            <w:r>
              <w:rPr>
                <w:rFonts w:hint="eastAsia"/>
                <w:sz w:val="21"/>
                <w:szCs w:val="21"/>
              </w:rPr>
              <w:t>序号</w:t>
            </w:r>
          </w:p>
        </w:tc>
        <w:tc>
          <w:tcPr>
            <w:tcW w:w="5178" w:type="dxa"/>
            <w:shd w:val="clear" w:color="auto" w:fill="auto"/>
            <w:vAlign w:val="center"/>
          </w:tcPr>
          <w:p>
            <w:pPr>
              <w:pStyle w:val="5"/>
              <w:spacing w:line="240" w:lineRule="exact"/>
              <w:ind w:firstLine="0"/>
              <w:jc w:val="center"/>
              <w:rPr>
                <w:sz w:val="21"/>
                <w:szCs w:val="21"/>
              </w:rPr>
            </w:pPr>
            <w:r>
              <w:rPr>
                <w:rFonts w:hint="eastAsia"/>
                <w:sz w:val="21"/>
                <w:szCs w:val="21"/>
              </w:rPr>
              <w:t>相关要求</w:t>
            </w:r>
          </w:p>
        </w:tc>
        <w:tc>
          <w:tcPr>
            <w:tcW w:w="2998" w:type="dxa"/>
            <w:shd w:val="clear" w:color="auto" w:fill="auto"/>
            <w:vAlign w:val="center"/>
          </w:tcPr>
          <w:p>
            <w:pPr>
              <w:pStyle w:val="5"/>
              <w:spacing w:line="240" w:lineRule="exact"/>
              <w:ind w:firstLine="0"/>
              <w:jc w:val="center"/>
              <w:rPr>
                <w:sz w:val="21"/>
                <w:szCs w:val="21"/>
              </w:rPr>
            </w:pPr>
            <w:r>
              <w:rPr>
                <w:rFonts w:hint="eastAsia"/>
                <w:sz w:val="21"/>
                <w:szCs w:val="21"/>
              </w:rPr>
              <w:t>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5"/>
              <w:spacing w:line="240" w:lineRule="exact"/>
              <w:ind w:firstLine="0"/>
              <w:rPr>
                <w:sz w:val="21"/>
                <w:szCs w:val="21"/>
              </w:rPr>
            </w:pPr>
            <w:r>
              <w:rPr>
                <w:rFonts w:hint="eastAsia"/>
                <w:sz w:val="21"/>
                <w:szCs w:val="21"/>
              </w:rPr>
              <w:t>第四十条</w:t>
            </w:r>
          </w:p>
        </w:tc>
        <w:tc>
          <w:tcPr>
            <w:tcW w:w="5178" w:type="dxa"/>
            <w:shd w:val="clear" w:color="auto" w:fill="auto"/>
            <w:vAlign w:val="center"/>
          </w:tcPr>
          <w:p>
            <w:pPr>
              <w:pStyle w:val="5"/>
              <w:spacing w:line="240" w:lineRule="exact"/>
              <w:ind w:firstLine="0"/>
              <w:rPr>
                <w:sz w:val="21"/>
                <w:szCs w:val="21"/>
              </w:rPr>
            </w:pPr>
            <w:r>
              <w:rPr>
                <w:rFonts w:hint="eastAsia"/>
                <w:sz w:val="21"/>
                <w:szCs w:val="21"/>
              </w:rPr>
              <w:t>禁止下列污染或者可能污染地下水的行为：</w:t>
            </w:r>
          </w:p>
          <w:p>
            <w:pPr>
              <w:pStyle w:val="5"/>
              <w:spacing w:line="240" w:lineRule="exact"/>
              <w:ind w:firstLine="0"/>
              <w:rPr>
                <w:sz w:val="21"/>
                <w:szCs w:val="21"/>
              </w:rPr>
            </w:pPr>
            <w:r>
              <w:rPr>
                <w:rFonts w:hint="eastAsia"/>
                <w:sz w:val="21"/>
                <w:szCs w:val="21"/>
              </w:rPr>
              <w:t>（一）利用渗井、渗坑、裂隙、溶洞以及私设暗管等逃避监管的方式排放水污染物；</w:t>
            </w:r>
          </w:p>
          <w:p>
            <w:pPr>
              <w:pStyle w:val="5"/>
              <w:spacing w:line="240" w:lineRule="exact"/>
              <w:ind w:firstLine="0"/>
              <w:rPr>
                <w:sz w:val="21"/>
                <w:szCs w:val="21"/>
              </w:rPr>
            </w:pPr>
            <w:r>
              <w:rPr>
                <w:rFonts w:hint="eastAsia"/>
                <w:sz w:val="21"/>
                <w:szCs w:val="21"/>
              </w:rPr>
              <w:t>（二）利用岩层孔隙、裂隙、溶洞、废弃矿坑等贮存石化原料及产品、农药、危险废物、城镇污水处理设施产生的污泥和处理后的污泥或者其他有毒有害物质；</w:t>
            </w:r>
          </w:p>
          <w:p>
            <w:pPr>
              <w:pStyle w:val="5"/>
              <w:spacing w:line="240" w:lineRule="exact"/>
              <w:ind w:firstLine="0"/>
              <w:rPr>
                <w:sz w:val="21"/>
                <w:szCs w:val="21"/>
              </w:rPr>
            </w:pPr>
            <w:r>
              <w:rPr>
                <w:rFonts w:hint="eastAsia"/>
                <w:sz w:val="21"/>
                <w:szCs w:val="21"/>
              </w:rPr>
              <w:t>（三）利用无防渗漏措施的沟渠、坑塘等输送或者贮存含有毒污染物的废水、含病原体的污水和其他废弃物；</w:t>
            </w:r>
          </w:p>
          <w:p>
            <w:pPr>
              <w:pStyle w:val="5"/>
              <w:spacing w:line="240" w:lineRule="exact"/>
              <w:ind w:firstLine="0"/>
              <w:rPr>
                <w:sz w:val="21"/>
                <w:szCs w:val="21"/>
              </w:rPr>
            </w:pPr>
            <w:r>
              <w:rPr>
                <w:rFonts w:hint="eastAsia"/>
                <w:sz w:val="21"/>
                <w:szCs w:val="21"/>
              </w:rPr>
              <w:t>（四）法律、法规禁止的其他污染或者可能污染地下水的行为。</w:t>
            </w:r>
          </w:p>
        </w:tc>
        <w:tc>
          <w:tcPr>
            <w:tcW w:w="2998" w:type="dxa"/>
            <w:shd w:val="clear" w:color="auto" w:fill="auto"/>
            <w:vAlign w:val="center"/>
          </w:tcPr>
          <w:p>
            <w:pPr>
              <w:pStyle w:val="5"/>
              <w:spacing w:line="240" w:lineRule="exact"/>
              <w:ind w:firstLine="0"/>
              <w:rPr>
                <w:sz w:val="21"/>
                <w:szCs w:val="21"/>
              </w:rPr>
            </w:pPr>
            <w:r>
              <w:rPr>
                <w:rFonts w:hint="eastAsia"/>
                <w:sz w:val="21"/>
                <w:szCs w:val="21"/>
              </w:rPr>
              <w:t>符合。</w:t>
            </w:r>
          </w:p>
          <w:p>
            <w:pPr>
              <w:pStyle w:val="5"/>
              <w:spacing w:line="240" w:lineRule="exact"/>
              <w:ind w:firstLine="0"/>
              <w:rPr>
                <w:sz w:val="21"/>
                <w:szCs w:val="21"/>
              </w:rPr>
            </w:pPr>
            <w:r>
              <w:rPr>
                <w:rFonts w:hint="eastAsia"/>
                <w:sz w:val="21"/>
                <w:szCs w:val="21"/>
              </w:rPr>
              <w:t>项目生活污水经处理达标后排入大榄坪污水处理厂，生产废水经处理达标后，依托大榄坪污水处理厂的深海排放管道排入A2排污区，不向地下排水。项目物料贮存在相应仓库，不利用岩层孔隙、裂隙、溶洞、废弃矿坑等贮存。项目污水采用管道输送，不涉及使用无防渗漏措施的沟渠、坑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5"/>
              <w:spacing w:line="240" w:lineRule="exact"/>
              <w:ind w:firstLine="0"/>
              <w:rPr>
                <w:sz w:val="21"/>
                <w:szCs w:val="21"/>
              </w:rPr>
            </w:pPr>
            <w:r>
              <w:rPr>
                <w:rFonts w:hint="eastAsia"/>
                <w:sz w:val="21"/>
                <w:szCs w:val="21"/>
              </w:rPr>
              <w:t>第四十一条</w:t>
            </w:r>
          </w:p>
        </w:tc>
        <w:tc>
          <w:tcPr>
            <w:tcW w:w="5178" w:type="dxa"/>
            <w:shd w:val="clear" w:color="auto" w:fill="auto"/>
            <w:vAlign w:val="center"/>
          </w:tcPr>
          <w:p>
            <w:pPr>
              <w:pStyle w:val="5"/>
              <w:spacing w:line="240" w:lineRule="exact"/>
              <w:ind w:firstLine="0"/>
              <w:rPr>
                <w:sz w:val="21"/>
                <w:szCs w:val="21"/>
              </w:rPr>
            </w:pPr>
            <w:r>
              <w:rPr>
                <w:rFonts w:hint="eastAsia"/>
                <w:sz w:val="21"/>
                <w:szCs w:val="21"/>
              </w:rPr>
              <w:t>企业事业单位和其他生产经营者应当采取下列措施，防止地下水污染：</w:t>
            </w:r>
          </w:p>
          <w:p>
            <w:pPr>
              <w:pStyle w:val="5"/>
              <w:spacing w:line="240" w:lineRule="exact"/>
              <w:ind w:firstLine="0"/>
              <w:rPr>
                <w:sz w:val="21"/>
                <w:szCs w:val="21"/>
              </w:rPr>
            </w:pPr>
            <w:r>
              <w:rPr>
                <w:rFonts w:hint="eastAsia"/>
                <w:sz w:val="21"/>
                <w:szCs w:val="21"/>
              </w:rPr>
              <w:t>（一）兴建地下工程设施或者进行地下勘探、采矿等活动，依法编制的环境影响评价文件中，应当包括地下水污染防治的内容，并采取防护性措施；</w:t>
            </w:r>
          </w:p>
          <w:p>
            <w:pPr>
              <w:pStyle w:val="5"/>
              <w:spacing w:line="240" w:lineRule="exact"/>
              <w:ind w:firstLine="0"/>
              <w:rPr>
                <w:sz w:val="21"/>
                <w:szCs w:val="21"/>
              </w:rPr>
            </w:pPr>
            <w:r>
              <w:rPr>
                <w:rFonts w:hint="eastAsia"/>
                <w:sz w:val="21"/>
                <w:szCs w:val="21"/>
              </w:rPr>
              <w:t>（二）化学品生产企业以及工业集聚区、矿山开采区、尾矿库、危险废物处置场、垃圾填埋场等的运营、管理单位，应当采取防渗漏等措施，并建设地下水水质监测井进行监测；</w:t>
            </w:r>
          </w:p>
          <w:p>
            <w:pPr>
              <w:pStyle w:val="5"/>
              <w:spacing w:line="240" w:lineRule="exact"/>
              <w:ind w:firstLine="0"/>
              <w:rPr>
                <w:sz w:val="21"/>
                <w:szCs w:val="21"/>
              </w:rPr>
            </w:pPr>
            <w:r>
              <w:rPr>
                <w:rFonts w:hint="eastAsia"/>
                <w:sz w:val="21"/>
                <w:szCs w:val="21"/>
              </w:rPr>
              <w:t>（三）加油站等的地下油罐应当使用双层罐或者采取建造防渗池等其他有效措施，并进行防渗漏监测；</w:t>
            </w:r>
          </w:p>
          <w:p>
            <w:pPr>
              <w:pStyle w:val="5"/>
              <w:spacing w:line="240" w:lineRule="exact"/>
              <w:ind w:firstLine="0"/>
              <w:rPr>
                <w:sz w:val="21"/>
                <w:szCs w:val="21"/>
              </w:rPr>
            </w:pPr>
            <w:r>
              <w:rPr>
                <w:rFonts w:hint="eastAsia"/>
                <w:sz w:val="21"/>
                <w:szCs w:val="21"/>
              </w:rPr>
              <w:t>（四）存放可溶性剧毒废渣的场所，应当采取防水、防渗漏、防流失的措施；</w:t>
            </w:r>
          </w:p>
          <w:p>
            <w:pPr>
              <w:pStyle w:val="5"/>
              <w:spacing w:line="240" w:lineRule="exact"/>
              <w:ind w:firstLine="0"/>
              <w:rPr>
                <w:sz w:val="21"/>
                <w:szCs w:val="21"/>
              </w:rPr>
            </w:pPr>
            <w:r>
              <w:rPr>
                <w:rFonts w:hint="eastAsia"/>
                <w:sz w:val="21"/>
                <w:szCs w:val="21"/>
              </w:rPr>
              <w:t>（五）法律、法规规定应当采取的其他防止地下水污染的措施。</w:t>
            </w:r>
          </w:p>
          <w:p>
            <w:pPr>
              <w:pStyle w:val="5"/>
              <w:spacing w:line="240" w:lineRule="exact"/>
              <w:ind w:firstLine="0"/>
              <w:rPr>
                <w:sz w:val="21"/>
                <w:szCs w:val="21"/>
              </w:rPr>
            </w:pPr>
            <w:r>
              <w:rPr>
                <w:rFonts w:hint="eastAsia"/>
                <w:sz w:val="21"/>
                <w:szCs w:val="21"/>
              </w:rPr>
              <w:t>根据前款第二项规定的企业事业单位和其他生产经营者排放有毒有害物质情况，地方人民政府生态环境主管部门应当按照国务院生态环境主管部门的规定，商有关部门确定并公布地下水污染防治重点排污单位名录。地下水污染防治重点排污单位应当依法安装水污染物排放自动监测设备，与生态环境主管部门的监控设备联网，并保证监测设备正常运行。</w:t>
            </w:r>
          </w:p>
        </w:tc>
        <w:tc>
          <w:tcPr>
            <w:tcW w:w="2998" w:type="dxa"/>
            <w:shd w:val="clear" w:color="auto" w:fill="auto"/>
            <w:vAlign w:val="center"/>
          </w:tcPr>
          <w:p>
            <w:pPr>
              <w:pStyle w:val="5"/>
              <w:spacing w:line="240" w:lineRule="exact"/>
              <w:ind w:firstLine="0"/>
              <w:rPr>
                <w:sz w:val="21"/>
                <w:szCs w:val="21"/>
              </w:rPr>
            </w:pPr>
            <w:r>
              <w:rPr>
                <w:rFonts w:hint="eastAsia"/>
                <w:sz w:val="21"/>
                <w:szCs w:val="21"/>
              </w:rPr>
              <w:t>符合。</w:t>
            </w:r>
          </w:p>
          <w:p>
            <w:pPr>
              <w:pStyle w:val="5"/>
              <w:spacing w:line="240" w:lineRule="exact"/>
              <w:ind w:firstLine="0"/>
              <w:rPr>
                <w:sz w:val="21"/>
                <w:szCs w:val="21"/>
              </w:rPr>
            </w:pPr>
            <w:r>
              <w:rPr>
                <w:rFonts w:hint="eastAsia"/>
                <w:sz w:val="21"/>
                <w:szCs w:val="21"/>
              </w:rPr>
              <w:t>项目建设内容地下设施开挖深度较浅，未见地下水；项目按分区防渗要求设置地下水污染防治措施，厂区已建立4个地下水水质监测井；企业不属于地下水污染防治重点排污单位。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5"/>
              <w:spacing w:line="240" w:lineRule="exact"/>
              <w:ind w:firstLine="0"/>
              <w:rPr>
                <w:sz w:val="21"/>
                <w:szCs w:val="21"/>
              </w:rPr>
            </w:pPr>
            <w:r>
              <w:rPr>
                <w:rFonts w:hint="eastAsia"/>
                <w:sz w:val="21"/>
                <w:szCs w:val="21"/>
              </w:rPr>
              <w:t>第四十二条</w:t>
            </w:r>
          </w:p>
        </w:tc>
        <w:tc>
          <w:tcPr>
            <w:tcW w:w="5178" w:type="dxa"/>
            <w:shd w:val="clear" w:color="auto" w:fill="auto"/>
            <w:vAlign w:val="center"/>
          </w:tcPr>
          <w:p>
            <w:pPr>
              <w:pStyle w:val="5"/>
              <w:spacing w:line="240" w:lineRule="exact"/>
              <w:ind w:firstLine="0"/>
              <w:rPr>
                <w:sz w:val="21"/>
                <w:szCs w:val="21"/>
              </w:rPr>
            </w:pPr>
            <w:r>
              <w:rPr>
                <w:rFonts w:hint="eastAsia"/>
                <w:sz w:val="21"/>
                <w:szCs w:val="21"/>
              </w:rPr>
              <w:t>在泉域保护范围以及岩溶强发育、存在较多落水洞和岩溶漏斗的区域内，不得新建、改建、扩建可能造成地下水污染的建设项目。</w:t>
            </w:r>
          </w:p>
        </w:tc>
        <w:tc>
          <w:tcPr>
            <w:tcW w:w="2998" w:type="dxa"/>
            <w:shd w:val="clear" w:color="auto" w:fill="auto"/>
            <w:vAlign w:val="center"/>
          </w:tcPr>
          <w:p>
            <w:pPr>
              <w:pStyle w:val="5"/>
              <w:spacing w:line="240" w:lineRule="exact"/>
              <w:ind w:firstLine="0"/>
              <w:rPr>
                <w:sz w:val="21"/>
                <w:szCs w:val="21"/>
              </w:rPr>
            </w:pPr>
            <w:r>
              <w:rPr>
                <w:rFonts w:hint="eastAsia"/>
                <w:sz w:val="21"/>
                <w:szCs w:val="21"/>
              </w:rPr>
              <w:t>符合。</w:t>
            </w:r>
          </w:p>
          <w:p>
            <w:pPr>
              <w:pStyle w:val="5"/>
              <w:spacing w:line="240" w:lineRule="exact"/>
              <w:ind w:firstLine="0"/>
              <w:rPr>
                <w:sz w:val="21"/>
                <w:szCs w:val="21"/>
              </w:rPr>
            </w:pPr>
            <w:r>
              <w:rPr>
                <w:rFonts w:hint="eastAsia"/>
                <w:sz w:val="21"/>
                <w:szCs w:val="21"/>
              </w:rPr>
              <w:t>项目所在地为滨海滩涂地貌为主，现状为填海区，地含水层主要为松散岩类孔隙水，岩性主要为淤泥质砂，不属于泉域保护范围以及岩溶强发育、存在较多落水洞和岩溶漏斗的区域。</w:t>
            </w:r>
          </w:p>
        </w:tc>
      </w:tr>
    </w:tbl>
    <w:p>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与《关于加强高耗能、高排放建设项目生态环境源头防控的指导意见》相符性分析</w:t>
      </w:r>
    </w:p>
    <w:p>
      <w:pPr>
        <w:pStyle w:val="5"/>
        <w:spacing w:line="500" w:lineRule="exact"/>
        <w:ind w:firstLine="475" w:firstLineChars="194"/>
        <w:rPr>
          <w:szCs w:val="24"/>
        </w:rPr>
      </w:pPr>
      <w:r>
        <w:rPr>
          <w:szCs w:val="24"/>
        </w:rPr>
        <w:t>指导意见提出：</w:t>
      </w:r>
    </w:p>
    <w:p>
      <w:pPr>
        <w:pStyle w:val="5"/>
        <w:spacing w:line="500" w:lineRule="exact"/>
        <w:ind w:firstLine="475" w:firstLineChars="194"/>
        <w:rPr>
          <w:szCs w:val="24"/>
        </w:rPr>
      </w:pPr>
      <w:r>
        <w:rPr>
          <w:szCs w:val="24"/>
        </w:rPr>
        <w:t>严把建设项目环境准入关。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新建“两高”项目应按照《关于加强重点行业建设项目区域削减措施监督管理的通知》要求，依据区域环境质量改善目标，制定配套区域污染物削减方案，采取有效的污染物区域削减措施，腾出足够的环境容量。</w:t>
      </w:r>
    </w:p>
    <w:p>
      <w:pPr>
        <w:pStyle w:val="5"/>
        <w:spacing w:line="500" w:lineRule="exact"/>
        <w:ind w:firstLine="475" w:firstLineChars="194"/>
        <w:rPr>
          <w:szCs w:val="24"/>
        </w:rPr>
      </w:pPr>
      <w:r>
        <w:rPr>
          <w:szCs w:val="24"/>
        </w:rPr>
        <w:t>项目不属于“两高”项目</w:t>
      </w:r>
      <w:r>
        <w:rPr>
          <w:rFonts w:hint="eastAsia"/>
          <w:szCs w:val="24"/>
        </w:rPr>
        <w:t>，项目不排放氮氧化物和挥发性有机物</w:t>
      </w:r>
      <w:r>
        <w:rPr>
          <w:szCs w:val="24"/>
        </w:rPr>
        <w:t>。项目位于钦州港大榄坪物流加工区，该园区已完成规划环评</w:t>
      </w:r>
      <w:r>
        <w:rPr>
          <w:rFonts w:hint="eastAsia"/>
          <w:szCs w:val="24"/>
        </w:rPr>
        <w:t>并取得审查意见</w:t>
      </w:r>
      <w:r>
        <w:rPr>
          <w:szCs w:val="24"/>
        </w:rPr>
        <w:t>，项目符合</w:t>
      </w:r>
      <w:r>
        <w:rPr>
          <w:rFonts w:hint="eastAsia"/>
          <w:szCs w:val="24"/>
        </w:rPr>
        <w:t>该园区</w:t>
      </w:r>
      <w:r>
        <w:rPr>
          <w:szCs w:val="24"/>
        </w:rPr>
        <w:t>规划环评要求；同时也处于广西钦州石化产业园，该园区已完成规划环评</w:t>
      </w:r>
      <w:r>
        <w:rPr>
          <w:rFonts w:hint="eastAsia"/>
          <w:szCs w:val="24"/>
        </w:rPr>
        <w:t>并取得审查意见</w:t>
      </w:r>
      <w:r>
        <w:rPr>
          <w:szCs w:val="24"/>
        </w:rPr>
        <w:t>，项目</w:t>
      </w:r>
      <w:r>
        <w:rPr>
          <w:rFonts w:hint="eastAsia"/>
          <w:szCs w:val="24"/>
        </w:rPr>
        <w:t>也</w:t>
      </w:r>
      <w:r>
        <w:rPr>
          <w:szCs w:val="24"/>
        </w:rPr>
        <w:t>符合</w:t>
      </w:r>
      <w:r>
        <w:rPr>
          <w:rFonts w:hint="eastAsia"/>
          <w:szCs w:val="24"/>
        </w:rPr>
        <w:t>该园区</w:t>
      </w:r>
      <w:r>
        <w:rPr>
          <w:szCs w:val="24"/>
        </w:rPr>
        <w:t>规划环评要求。因此，项目符合《关于加强高耗能、高排放建设项目生态环境源头防控的指导意见》（环环评〔2021〕45号）的要求。</w:t>
      </w:r>
    </w:p>
    <w:p>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与《关于加强重点行业建设项目区域削减措施监督管理的通知》相符性分析</w:t>
      </w:r>
    </w:p>
    <w:p>
      <w:pPr>
        <w:pStyle w:val="5"/>
        <w:spacing w:line="500" w:lineRule="exact"/>
        <w:ind w:firstLine="475" w:firstLineChars="194"/>
        <w:rPr>
          <w:szCs w:val="24"/>
        </w:rPr>
      </w:pPr>
      <w:r>
        <w:rPr>
          <w:szCs w:val="24"/>
        </w:rPr>
        <w:t>根据《关于加强重点行业建设项目区域削减措施监督管理的通知》，钦州市2022年、2023年属于达标区，项目主要污染物实行区域等量削减。项目不属于</w:t>
      </w:r>
      <w:r>
        <w:rPr>
          <w:rFonts w:hint="eastAsia"/>
          <w:szCs w:val="24"/>
        </w:rPr>
        <w:t>该通知所述的石化、煤化工、燃煤发电（含热电）、钢铁、有色金属冶炼、制浆造纸行业，项目也不属于</w:t>
      </w:r>
      <w:r>
        <w:rPr>
          <w:szCs w:val="24"/>
        </w:rPr>
        <w:t>“两高”项目，</w:t>
      </w:r>
      <w:r>
        <w:rPr>
          <w:rFonts w:hint="eastAsia"/>
          <w:szCs w:val="24"/>
        </w:rPr>
        <w:t>且不排放氮氧化物和挥发性有机物，故</w:t>
      </w:r>
      <w:r>
        <w:rPr>
          <w:szCs w:val="24"/>
        </w:rPr>
        <w:t>不</w:t>
      </w:r>
      <w:r>
        <w:rPr>
          <w:rFonts w:hint="eastAsia"/>
          <w:szCs w:val="24"/>
        </w:rPr>
        <w:t>需要</w:t>
      </w:r>
      <w:r>
        <w:rPr>
          <w:szCs w:val="24"/>
        </w:rPr>
        <w:t>进行区域</w:t>
      </w:r>
      <w:r>
        <w:rPr>
          <w:rFonts w:hint="eastAsia"/>
          <w:szCs w:val="24"/>
        </w:rPr>
        <w:t>削减</w:t>
      </w:r>
      <w:r>
        <w:rPr>
          <w:szCs w:val="24"/>
        </w:rPr>
        <w:t>。</w:t>
      </w:r>
    </w:p>
    <w:p>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与《广西壮族自治区高耗能、高排放建设项目主要污染物排放管理办法》相符性分析</w:t>
      </w:r>
    </w:p>
    <w:p>
      <w:pPr>
        <w:pStyle w:val="5"/>
        <w:spacing w:line="500" w:lineRule="exact"/>
        <w:ind w:firstLine="475" w:firstLineChars="194"/>
        <w:rPr>
          <w:szCs w:val="24"/>
        </w:rPr>
      </w:pPr>
      <w:r>
        <w:rPr>
          <w:rFonts w:hint="eastAsia"/>
          <w:szCs w:val="24"/>
        </w:rPr>
        <w:t>《广西壮族自治区高耗能、高排放建设项目主要污染物排放管理办法》适用于列入广西“两高”项目管理目录的新建、改建和扩建建设项目新增主要污染物排放管理，项目不属于列入广西“两高”项目管理目录的项目。</w:t>
      </w:r>
    </w:p>
    <w:p>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w:t>
      </w:r>
      <w:r>
        <w:rPr>
          <w:rFonts w:ascii="Arial" w:hAnsi="Arial" w:eastAsia="宋体" w:cs="Arial"/>
          <w:b/>
          <w:bCs/>
          <w:sz w:val="24"/>
          <w:szCs w:val="24"/>
        </w:rPr>
        <w:t>《广西壮族自治区建设项目重金属污染物排放指标核定暂行办法》相符性分析</w:t>
      </w:r>
    </w:p>
    <w:p>
      <w:pPr>
        <w:pStyle w:val="5"/>
        <w:spacing w:line="500" w:lineRule="exact"/>
        <w:ind w:firstLine="475" w:firstLineChars="194"/>
        <w:rPr>
          <w:szCs w:val="24"/>
          <w:highlight w:val="yellow"/>
        </w:rPr>
      </w:pPr>
      <w:r>
        <w:rPr>
          <w:szCs w:val="24"/>
        </w:rPr>
        <w:t>项目</w:t>
      </w:r>
      <w:r>
        <w:rPr>
          <w:rFonts w:hint="eastAsia"/>
          <w:szCs w:val="24"/>
        </w:rPr>
        <w:t>排放的</w:t>
      </w:r>
      <w:r>
        <w:rPr>
          <w:szCs w:val="24"/>
        </w:rPr>
        <w:t>主要大气污染物为颗粒物、</w:t>
      </w:r>
      <w:r>
        <w:rPr>
          <w:rFonts w:hint="eastAsia"/>
          <w:szCs w:val="24"/>
        </w:rPr>
        <w:t>氨、钴及其化合物</w:t>
      </w:r>
      <w:r>
        <w:rPr>
          <w:szCs w:val="24"/>
        </w:rPr>
        <w:t>，</w:t>
      </w:r>
      <w:r>
        <w:rPr>
          <w:rFonts w:hint="eastAsia"/>
          <w:szCs w:val="24"/>
        </w:rPr>
        <w:t>主要废水污染物为化学需氧量、氨氮、硫酸盐、钴，</w:t>
      </w:r>
      <w:r>
        <w:rPr>
          <w:szCs w:val="24"/>
        </w:rPr>
        <w:t>不排放重点重金属。</w:t>
      </w:r>
    </w:p>
    <w:p>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与《广西壮族自治区重金属污染防控工作方案》相符性分析</w:t>
      </w:r>
    </w:p>
    <w:p>
      <w:pPr>
        <w:pStyle w:val="5"/>
        <w:spacing w:line="500" w:lineRule="exact"/>
        <w:ind w:firstLine="475" w:firstLineChars="194"/>
        <w:rPr>
          <w:szCs w:val="24"/>
        </w:rPr>
      </w:pPr>
      <w:r>
        <w:rPr>
          <w:szCs w:val="24"/>
        </w:rPr>
        <w:t>项目符合《广西壮族自治区重金属污染防控工作方案》中的相关要求，详见表1-4</w:t>
      </w:r>
      <w:r>
        <w:rPr>
          <w:rFonts w:hint="eastAsia"/>
          <w:szCs w:val="24"/>
        </w:rPr>
        <w:t>2</w:t>
      </w:r>
      <w:r>
        <w:rPr>
          <w:szCs w:val="24"/>
        </w:rPr>
        <w:t>。</w:t>
      </w:r>
    </w:p>
    <w:p>
      <w:pPr>
        <w:pStyle w:val="5"/>
        <w:spacing w:line="500" w:lineRule="exact"/>
        <w:ind w:firstLine="475" w:firstLineChars="194"/>
        <w:rPr>
          <w:szCs w:val="24"/>
        </w:rPr>
      </w:pPr>
    </w:p>
    <w:p>
      <w:pPr>
        <w:pStyle w:val="5"/>
        <w:spacing w:line="500" w:lineRule="exact"/>
        <w:ind w:firstLine="475" w:firstLineChars="194"/>
        <w:rPr>
          <w:szCs w:val="24"/>
        </w:rPr>
      </w:pPr>
    </w:p>
    <w:p>
      <w:pPr>
        <w:keepNext/>
        <w:keepLines/>
        <w:numPr>
          <w:ilvl w:val="0"/>
          <w:numId w:val="5"/>
        </w:numPr>
        <w:tabs>
          <w:tab w:val="left" w:pos="0"/>
        </w:tabs>
        <w:spacing w:line="500" w:lineRule="exact"/>
        <w:ind w:left="0" w:firstLine="0"/>
        <w:jc w:val="center"/>
        <w:outlineLvl w:val="3"/>
        <w:rPr>
          <w:rFonts w:ascii="Arial" w:hAnsi="Arial" w:eastAsia="宋体" w:cs="Arial"/>
          <w:b/>
          <w:sz w:val="24"/>
        </w:rPr>
      </w:pPr>
      <w:r>
        <w:rPr>
          <w:rFonts w:ascii="Arial" w:hAnsi="Arial" w:eastAsia="宋体" w:cs="Arial"/>
          <w:b/>
          <w:sz w:val="24"/>
        </w:rPr>
        <w:t>与《广西壮族自治区重金属污染防控工作方案》相关要求符合性分析</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5857"/>
        <w:gridCol w:w="2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99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rPr>
            </w:pPr>
            <w:r>
              <w:rPr>
                <w:rFonts w:ascii="Arial" w:hAnsi="Arial" w:eastAsia="宋体" w:cs="Arial"/>
                <w:bCs/>
                <w:sz w:val="21"/>
                <w:szCs w:val="21"/>
              </w:rPr>
              <w:t>相关要求</w:t>
            </w:r>
          </w:p>
        </w:tc>
        <w:tc>
          <w:tcPr>
            <w:tcW w:w="585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rPr>
            </w:pPr>
            <w:r>
              <w:rPr>
                <w:rFonts w:ascii="Arial" w:hAnsi="Arial" w:eastAsia="宋体" w:cs="Arial"/>
                <w:bCs/>
                <w:sz w:val="21"/>
                <w:szCs w:val="21"/>
              </w:rPr>
              <w:t>内容</w:t>
            </w:r>
          </w:p>
        </w:tc>
        <w:tc>
          <w:tcPr>
            <w:tcW w:w="244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Cs/>
                <w:sz w:val="21"/>
                <w:szCs w:val="21"/>
              </w:rPr>
            </w:pPr>
            <w:r>
              <w:rPr>
                <w:rFonts w:ascii="Arial" w:hAnsi="Arial" w:eastAsia="宋体" w:cs="Arial"/>
                <w:bCs/>
                <w:sz w:val="21"/>
                <w:szCs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990"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ascii="Arial" w:hAnsi="Arial" w:eastAsia="宋体" w:cs="Arial"/>
                <w:sz w:val="21"/>
                <w:szCs w:val="21"/>
              </w:rPr>
              <w:t>严格环境准入管理</w:t>
            </w: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重点行业的新、改、扩建建设项目应符合产业政策、区域环评、规划环评、“三线一单”和行业环境准入管控要求。重点区域的重点行业新、改、扩建建设项目应遵循重点重金属污染物排放“减量替代”原则，减量替代比例不低于1.2:1，其他区域执行“等量替代”要求。建设单位在提交环境影响评价文件时应明确重点重金属污染物排放总量及来源；无明确具体总量来源的，各级审批部门不得批准相关环境影响评价文件；总量来源应是国家核定的全口径清单削减量，原则上优先使用同一重点行业内企业削减的重点重金属污染物排放量。</w:t>
            </w:r>
          </w:p>
        </w:tc>
        <w:tc>
          <w:tcPr>
            <w:tcW w:w="24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ascii="Arial" w:hAnsi="Arial" w:eastAsia="宋体" w:cs="Arial"/>
                <w:sz w:val="21"/>
                <w:szCs w:val="21"/>
              </w:rPr>
              <w:t>项目位于钦州市，不属于重点区域，</w:t>
            </w:r>
            <w:r>
              <w:rPr>
                <w:rFonts w:ascii="Arial" w:hAnsi="Arial" w:eastAsia="宋体" w:cs="Arial"/>
                <w:kern w:val="0"/>
                <w:sz w:val="21"/>
                <w:szCs w:val="21"/>
              </w:rPr>
              <w:t>项目不涉及排放重点重金属。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99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sz w:val="21"/>
                <w:szCs w:val="21"/>
              </w:rPr>
            </w:pPr>
            <w:r>
              <w:rPr>
                <w:rFonts w:ascii="Arial" w:hAnsi="Arial" w:eastAsia="宋体" w:cs="Arial"/>
                <w:sz w:val="21"/>
                <w:szCs w:val="21"/>
              </w:rPr>
              <w:t>优化产业结构和产业布局</w:t>
            </w: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根据《产业结构调整指导目录》《限期淘汰产生严重污染环境的工业固体废物的落后生产工艺设备名录》等要求，依法淘汰涉重金属落后产能和化解过剩产能。严格执行生态环境保护等相关法规标准，推动经整改仍达不到要求的产能依法依规关闭退出。积极推动涉重金属产业集中优化发展，推进重有色金属冶炼、电镀、制革、铅蓄电池等重点行业企业入园管理；对于长期停工停产、没有生存能力和发展潜力的“僵尸企业”，加快实施关闭退出。新、改、扩建的重有色金属冶炼、电镀、制革企业应布设在依法合规设立并经规划环评的产业园区。</w:t>
            </w:r>
          </w:p>
        </w:tc>
        <w:tc>
          <w:tcPr>
            <w:tcW w:w="24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z w:val="21"/>
                <w:szCs w:val="21"/>
              </w:rPr>
            </w:pPr>
            <w:r>
              <w:rPr>
                <w:rFonts w:ascii="Arial" w:hAnsi="Arial" w:eastAsia="宋体" w:cs="Arial"/>
                <w:sz w:val="21"/>
                <w:szCs w:val="21"/>
              </w:rPr>
              <w:t>符合。项目符合</w:t>
            </w:r>
            <w:r>
              <w:rPr>
                <w:rFonts w:ascii="Arial" w:hAnsi="Arial" w:eastAsia="宋体" w:cs="Arial"/>
                <w:kern w:val="0"/>
                <w:sz w:val="21"/>
                <w:szCs w:val="21"/>
              </w:rPr>
              <w:t>《产业结构调整指导目录》，不属于涉重金属落后产能；项目处于产业园区内，并符合园区规划。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99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推动重金属污染深度治理</w:t>
            </w: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重有色金属冶炼企业应加强生产车间低空逸散烟气收集处理，有效减少无组织排放；鼓励安装反渗透膜过滤纯化水装置替代钠离子交换树脂软水处理系统，降低水污染排放。重有色金属矿采选企业要按照规定完善废石堆场、排土场周边雨污分流设施，建设酸性废水收集与处理设施。采用洒水、旋风等简易除尘治理工艺的重有色金属矿采选企业，应加强废气收集，实施过滤除尘等颗粒物治理升级改造工程。开展电镀行业重金属污染综合整治，排查取缔非法电镀企业，开展专业电镀园区、专业电镀企业电镀废水分质分类处理和膜深度治理，提升电镀行业治污水平。</w:t>
            </w:r>
          </w:p>
        </w:tc>
        <w:tc>
          <w:tcPr>
            <w:tcW w:w="24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kern w:val="0"/>
                <w:sz w:val="21"/>
                <w:szCs w:val="21"/>
              </w:rPr>
            </w:pPr>
            <w:r>
              <w:rPr>
                <w:rFonts w:ascii="Arial" w:hAnsi="Arial" w:eastAsia="宋体" w:cs="Arial"/>
                <w:kern w:val="0"/>
                <w:sz w:val="21"/>
                <w:szCs w:val="21"/>
              </w:rPr>
              <w:t>项目</w:t>
            </w:r>
            <w:r>
              <w:rPr>
                <w:rFonts w:hint="eastAsia" w:ascii="Arial" w:hAnsi="Arial" w:eastAsia="宋体" w:cs="Arial"/>
                <w:kern w:val="0"/>
                <w:sz w:val="21"/>
                <w:szCs w:val="21"/>
              </w:rPr>
              <w:t>不属于</w:t>
            </w:r>
            <w:r>
              <w:rPr>
                <w:rFonts w:ascii="Arial" w:hAnsi="Arial" w:eastAsia="宋体" w:cs="Arial"/>
                <w:kern w:val="0"/>
                <w:sz w:val="21"/>
                <w:szCs w:val="21"/>
              </w:rPr>
              <w:t>重有色金属冶炼</w:t>
            </w:r>
            <w:r>
              <w:rPr>
                <w:rFonts w:hint="eastAsia" w:ascii="Arial" w:hAnsi="Arial" w:eastAsia="宋体" w:cs="Arial"/>
                <w:kern w:val="0"/>
                <w:sz w:val="21"/>
                <w:szCs w:val="21"/>
              </w:rPr>
              <w:t>及</w:t>
            </w:r>
            <w:r>
              <w:rPr>
                <w:rFonts w:ascii="Arial" w:hAnsi="Arial" w:eastAsia="宋体" w:cs="Arial"/>
                <w:kern w:val="0"/>
                <w:sz w:val="21"/>
                <w:szCs w:val="21"/>
              </w:rPr>
              <w:t>不属于重有色金属矿采选</w:t>
            </w:r>
            <w:r>
              <w:rPr>
                <w:rFonts w:hint="eastAsia" w:ascii="Arial" w:hAnsi="Arial" w:eastAsia="宋体" w:cs="Arial"/>
                <w:kern w:val="0"/>
                <w:sz w:val="21"/>
                <w:szCs w:val="21"/>
              </w:rPr>
              <w:t>项目，也不属于电镀行业</w:t>
            </w:r>
            <w:r>
              <w:rPr>
                <w:rFonts w:ascii="Arial" w:hAnsi="Arial" w:eastAsia="宋体" w:cs="Arial"/>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99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加强涉重金属固体废物环境管理</w:t>
            </w:r>
          </w:p>
        </w:tc>
        <w:tc>
          <w:tcPr>
            <w:tcW w:w="585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加强涉重金属重点行业企业物料堆放场、废石场、废渣场和尾矿库等环境管理，完善防渗漏、防流失、防扬散等措施。严格废铅蓄电池、钢厂烟灰、冶炼灰渣等含重金属固体废物收集、贮存、转移、利用处置过程的环境管理，防范二次污染。</w:t>
            </w:r>
          </w:p>
        </w:tc>
        <w:tc>
          <w:tcPr>
            <w:tcW w:w="2441"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kern w:val="0"/>
                <w:sz w:val="21"/>
                <w:szCs w:val="21"/>
              </w:rPr>
            </w:pPr>
            <w:r>
              <w:rPr>
                <w:rFonts w:ascii="Arial" w:hAnsi="Arial" w:eastAsia="宋体" w:cs="Arial"/>
                <w:kern w:val="0"/>
                <w:sz w:val="21"/>
                <w:szCs w:val="21"/>
              </w:rPr>
              <w:t>项目</w:t>
            </w:r>
            <w:r>
              <w:rPr>
                <w:rFonts w:hint="eastAsia" w:ascii="Arial" w:hAnsi="Arial" w:eastAsia="宋体" w:cs="Arial"/>
                <w:kern w:val="0"/>
                <w:sz w:val="21"/>
                <w:szCs w:val="21"/>
              </w:rPr>
              <w:t>物料主要为液态，</w:t>
            </w:r>
            <w:r>
              <w:rPr>
                <w:rFonts w:ascii="Arial" w:hAnsi="Arial" w:eastAsia="宋体" w:cs="Arial"/>
                <w:kern w:val="0"/>
                <w:sz w:val="21"/>
                <w:szCs w:val="21"/>
              </w:rPr>
              <w:t>不涉及相关物料堆放场、废石场、废渣场和尾矿库，也不产生冶炼灰渣。</w:t>
            </w:r>
          </w:p>
        </w:tc>
      </w:tr>
    </w:tbl>
    <w:p>
      <w:pPr>
        <w:keepNext/>
        <w:keepLines/>
        <w:numPr>
          <w:ilvl w:val="0"/>
          <w:numId w:val="2"/>
        </w:numPr>
        <w:tabs>
          <w:tab w:val="left" w:pos="567"/>
        </w:tabs>
        <w:spacing w:before="120" w:after="120" w:line="500" w:lineRule="exact"/>
        <w:ind w:left="398" w:hanging="398" w:hangingChars="150"/>
        <w:outlineLvl w:val="1"/>
        <w:rPr>
          <w:rFonts w:ascii="Arial" w:hAnsi="Arial" w:eastAsia="宋体" w:cs="Arial"/>
          <w:b/>
        </w:rPr>
      </w:pPr>
      <w:bookmarkStart w:id="248" w:name="_Toc182491375"/>
      <w:bookmarkStart w:id="249" w:name="_Toc154599059"/>
      <w:bookmarkStart w:id="250" w:name="_Toc185950212"/>
      <w:bookmarkStart w:id="251" w:name="_Toc166675356"/>
      <w:r>
        <w:rPr>
          <w:rFonts w:ascii="Arial" w:hAnsi="Arial" w:eastAsia="宋体" w:cs="Arial"/>
          <w:b/>
        </w:rPr>
        <w:t>选址合理性分析</w:t>
      </w:r>
      <w:bookmarkEnd w:id="248"/>
      <w:bookmarkEnd w:id="249"/>
      <w:bookmarkEnd w:id="250"/>
      <w:bookmarkEnd w:id="251"/>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在中伟公司现有厂区内建设，不涉及自然保护区、生态功能保护区、风景名胜区、森林公园、饮用水水源保护区，不占用基本农田。项目处于大榄坪物流加工区，符合加工区修编后的规划环评及其审查意见的相关要求，同时也位于石化产业园区的鹿耳片区，也符合该园区规划环评及其审查意见的相关要求。</w:t>
      </w:r>
    </w:p>
    <w:p>
      <w:pPr>
        <w:spacing w:line="500" w:lineRule="exact"/>
        <w:ind w:firstLine="476"/>
        <w:rPr>
          <w:rFonts w:ascii="Arial" w:hAnsi="Arial" w:cs="Arial"/>
          <w:spacing w:val="10"/>
        </w:rPr>
      </w:pPr>
      <w:r>
        <w:rPr>
          <w:rFonts w:ascii="Arial" w:hAnsi="Arial" w:eastAsia="宋体" w:cs="Arial"/>
          <w:spacing w:val="10"/>
          <w:sz w:val="24"/>
          <w:szCs w:val="24"/>
        </w:rPr>
        <w:t>因此，项目选址合理。</w:t>
      </w:r>
      <w:bookmarkEnd w:id="216"/>
      <w:bookmarkEnd w:id="217"/>
      <w:bookmarkEnd w:id="218"/>
      <w:bookmarkEnd w:id="219"/>
      <w:bookmarkEnd w:id="220"/>
      <w:bookmarkEnd w:id="221"/>
    </w:p>
    <w:p>
      <w:pPr>
        <w:pStyle w:val="3"/>
        <w:numPr>
          <w:ilvl w:val="0"/>
          <w:numId w:val="1"/>
        </w:numPr>
        <w:tabs>
          <w:tab w:val="left" w:pos="1931"/>
          <w:tab w:val="clear" w:pos="3065"/>
        </w:tabs>
        <w:ind w:left="1276"/>
        <w:rPr>
          <w:rFonts w:ascii="Arial" w:hAnsi="Arial" w:cs="Arial"/>
          <w:spacing w:val="10"/>
        </w:rPr>
      </w:pPr>
      <w:bookmarkStart w:id="252" w:name="_Toc185950213"/>
      <w:r>
        <w:rPr>
          <w:rFonts w:ascii="Arial" w:hAnsi="Arial" w:cs="Arial"/>
          <w:spacing w:val="10"/>
        </w:rPr>
        <w:t>建设项目工程分析</w:t>
      </w:r>
      <w:bookmarkEnd w:id="222"/>
      <w:bookmarkEnd w:id="223"/>
      <w:bookmarkEnd w:id="252"/>
    </w:p>
    <w:p>
      <w:pPr>
        <w:pStyle w:val="4"/>
        <w:numPr>
          <w:ilvl w:val="1"/>
          <w:numId w:val="11"/>
        </w:numPr>
        <w:tabs>
          <w:tab w:val="left" w:pos="3217"/>
        </w:tabs>
        <w:spacing w:before="214" w:beforeLines="50" w:after="214" w:afterLines="50" w:line="500" w:lineRule="exact"/>
        <w:ind w:left="567"/>
        <w:rPr>
          <w:rFonts w:ascii="Arial" w:eastAsia="宋体" w:cs="Arial"/>
          <w:b/>
          <w:u w:val="single"/>
        </w:rPr>
      </w:pPr>
      <w:bookmarkStart w:id="253" w:name="_Toc185950214"/>
      <w:bookmarkStart w:id="254" w:name="_Toc182491377"/>
      <w:bookmarkStart w:id="255" w:name="_Toc104677242"/>
      <w:bookmarkStart w:id="256" w:name="_Toc1742954"/>
      <w:bookmarkStart w:id="257" w:name="_Toc166675358"/>
      <w:bookmarkStart w:id="258" w:name="_Toc311551330"/>
      <w:bookmarkStart w:id="259" w:name="_Toc104677253"/>
      <w:r>
        <w:rPr>
          <w:rFonts w:hint="eastAsia" w:ascii="Arial" w:eastAsia="宋体" w:cs="Arial"/>
          <w:b/>
          <w:u w:val="single"/>
        </w:rPr>
        <w:t>企业概况</w:t>
      </w:r>
      <w:bookmarkEnd w:id="253"/>
    </w:p>
    <w:p>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u w:val="single"/>
        </w:rPr>
        <w:t>由概述可知，</w:t>
      </w:r>
      <w:r>
        <w:rPr>
          <w:rFonts w:hint="eastAsia" w:ascii="Arial" w:hAnsi="Arial" w:eastAsia="宋体" w:cs="Arial"/>
          <w:spacing w:val="10"/>
          <w:sz w:val="24"/>
          <w:szCs w:val="24"/>
          <w:u w:val="single"/>
        </w:rPr>
        <w:t>从2021年至2024年12月，广西中伟新能源科技有限公司相继完成10个项目的环评工作，审批情况见表2-1。企业各项目经过变更或技改之后，现今项目及其主要生产线的建设及验收情况见表2-2。</w:t>
      </w:r>
    </w:p>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企业环评项目审批情况</w:t>
      </w:r>
    </w:p>
    <w:tbl>
      <w:tblPr>
        <w:tblStyle w:val="89"/>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5"/>
        <w:gridCol w:w="3368"/>
        <w:gridCol w:w="1833"/>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015" w:type="dxa"/>
            <w:vMerge w:val="restart"/>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项目名称</w:t>
            </w:r>
          </w:p>
        </w:tc>
        <w:tc>
          <w:tcPr>
            <w:tcW w:w="7273" w:type="dxa"/>
            <w:gridSpan w:val="3"/>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环境影响评价情况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015" w:type="dxa"/>
            <w:vMerge w:val="continue"/>
            <w:vAlign w:val="center"/>
          </w:tcPr>
          <w:p>
            <w:pPr>
              <w:adjustRightInd w:val="0"/>
              <w:snapToGrid w:val="0"/>
              <w:jc w:val="center"/>
              <w:rPr>
                <w:rFonts w:ascii="Arial" w:hAnsi="Arial" w:eastAsia="宋体" w:cs="Arial"/>
                <w:spacing w:val="10"/>
                <w:sz w:val="21"/>
                <w:szCs w:val="21"/>
                <w:u w:val="single"/>
              </w:rPr>
            </w:pP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批准文号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批准时间</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审批单位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一阶段项目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钦港环管字〔2021〕19号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2021.7.22</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二阶段项目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钦港环管字〔2021〕20号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三阶段项目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钦港环管字〔2021〕21号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一体化项目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自贸钦审批环〔2022〕25号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2022.7.26</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广西壮族自治区生态环境厅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燃气锅炉房项目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自贸钦审批环〔2023〕2号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2023.1.11</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变电站项目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自贸钦港审批环〔2021〕12号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2021.11.26</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MSP变更项目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2024.1.10</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氨水项目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w:t>
            </w:r>
            <w:r>
              <w:rPr>
                <w:rFonts w:hint="eastAsia" w:ascii="Arial" w:hAnsi="Arial" w:eastAsia="宋体" w:cs="Arial"/>
                <w:spacing w:val="10"/>
                <w:sz w:val="21"/>
                <w:szCs w:val="21"/>
                <w:u w:val="single"/>
              </w:rPr>
              <w:t>0</w:t>
            </w:r>
            <w:r>
              <w:rPr>
                <w:rFonts w:ascii="Arial" w:hAnsi="Arial" w:eastAsia="宋体" w:cs="Arial"/>
                <w:spacing w:val="10"/>
                <w:sz w:val="21"/>
                <w:szCs w:val="21"/>
                <w:u w:val="single"/>
              </w:rPr>
              <w:t>号</w:t>
            </w:r>
          </w:p>
        </w:tc>
        <w:tc>
          <w:tcPr>
            <w:tcW w:w="1833"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w:t>
            </w:r>
            <w:r>
              <w:rPr>
                <w:rFonts w:hint="eastAsia" w:ascii="Arial" w:hAnsi="Arial" w:eastAsia="宋体" w:cs="Arial"/>
                <w:spacing w:val="10"/>
                <w:sz w:val="21"/>
                <w:szCs w:val="21"/>
                <w:u w:val="single"/>
              </w:rPr>
              <w:t>5.15</w:t>
            </w:r>
          </w:p>
        </w:tc>
        <w:tc>
          <w:tcPr>
            <w:tcW w:w="2072"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氢氧化钴技改项目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35</w:t>
            </w:r>
            <w:r>
              <w:rPr>
                <w:rFonts w:ascii="Arial" w:hAnsi="Arial" w:eastAsia="宋体" w:cs="Arial"/>
                <w:spacing w:val="10"/>
                <w:sz w:val="21"/>
                <w:szCs w:val="21"/>
                <w:u w:val="single"/>
              </w:rPr>
              <w:t>号</w:t>
            </w:r>
          </w:p>
        </w:tc>
        <w:tc>
          <w:tcPr>
            <w:tcW w:w="1833"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2024.7.23</w:t>
            </w:r>
          </w:p>
        </w:tc>
        <w:tc>
          <w:tcPr>
            <w:tcW w:w="2072" w:type="dxa"/>
            <w:vMerge w:val="restart"/>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中国（广西）自由贸易试验区钦州港片区行政审批局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15"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一体化变更项目</w:t>
            </w:r>
          </w:p>
        </w:tc>
        <w:tc>
          <w:tcPr>
            <w:tcW w:w="3368"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54</w:t>
            </w:r>
            <w:r>
              <w:rPr>
                <w:rFonts w:ascii="Arial" w:hAnsi="Arial" w:eastAsia="宋体" w:cs="Arial"/>
                <w:spacing w:val="10"/>
                <w:sz w:val="21"/>
                <w:szCs w:val="21"/>
                <w:u w:val="single"/>
              </w:rPr>
              <w:t>号</w:t>
            </w:r>
          </w:p>
        </w:tc>
        <w:tc>
          <w:tcPr>
            <w:tcW w:w="1833"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2024.11.22</w:t>
            </w:r>
          </w:p>
        </w:tc>
        <w:tc>
          <w:tcPr>
            <w:tcW w:w="2072" w:type="dxa"/>
            <w:vMerge w:val="continue"/>
            <w:vAlign w:val="center"/>
          </w:tcPr>
          <w:p>
            <w:pPr>
              <w:adjustRightInd w:val="0"/>
              <w:snapToGrid w:val="0"/>
              <w:jc w:val="center"/>
              <w:rPr>
                <w:rFonts w:ascii="Arial" w:hAnsi="Arial" w:eastAsia="宋体" w:cs="Arial"/>
                <w:spacing w:val="10"/>
                <w:sz w:val="21"/>
                <w:szCs w:val="21"/>
                <w:u w:val="single"/>
              </w:rPr>
            </w:pPr>
          </w:p>
        </w:tc>
      </w:tr>
    </w:tbl>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ascii="Arial" w:hAnsi="Arial" w:eastAsia="宋体" w:cs="Arial"/>
          <w:b/>
          <w:spacing w:val="10"/>
          <w:sz w:val="24"/>
          <w:u w:val="single"/>
        </w:rPr>
        <w:t>企业</w:t>
      </w:r>
      <w:r>
        <w:rPr>
          <w:rFonts w:hint="eastAsia" w:ascii="Arial" w:hAnsi="Arial" w:eastAsia="宋体" w:cs="Arial"/>
          <w:b/>
          <w:spacing w:val="10"/>
          <w:sz w:val="24"/>
          <w:u w:val="single"/>
        </w:rPr>
        <w:t>目前</w:t>
      </w:r>
      <w:r>
        <w:rPr>
          <w:rFonts w:ascii="Arial" w:hAnsi="Arial" w:eastAsia="宋体" w:cs="Arial"/>
          <w:b/>
          <w:spacing w:val="10"/>
          <w:sz w:val="24"/>
          <w:u w:val="single"/>
        </w:rPr>
        <w:t>各项目建设</w:t>
      </w:r>
      <w:r>
        <w:rPr>
          <w:rFonts w:hint="eastAsia" w:ascii="Arial" w:hAnsi="Arial" w:eastAsia="宋体" w:cs="Arial"/>
          <w:b/>
          <w:spacing w:val="10"/>
          <w:sz w:val="24"/>
          <w:u w:val="single"/>
        </w:rPr>
        <w:t>及验收情况表</w:t>
      </w:r>
    </w:p>
    <w:tbl>
      <w:tblPr>
        <w:tblStyle w:val="88"/>
        <w:tblW w:w="9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2"/>
        <w:gridCol w:w="1804"/>
        <w:gridCol w:w="1902"/>
        <w:gridCol w:w="2049"/>
        <w:gridCol w:w="1466"/>
        <w:gridCol w:w="14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blHeader/>
        </w:trPr>
        <w:tc>
          <w:tcPr>
            <w:tcW w:w="652" w:type="dxa"/>
            <w:vMerge w:val="restart"/>
            <w:vAlign w:val="center"/>
          </w:tcPr>
          <w:p>
            <w:pPr>
              <w:pStyle w:val="5"/>
              <w:adjustRightInd w:val="0"/>
              <w:snapToGrid w:val="0"/>
              <w:spacing w:line="240" w:lineRule="auto"/>
              <w:ind w:firstLine="0"/>
              <w:jc w:val="center"/>
              <w:rPr>
                <w:b/>
                <w:sz w:val="18"/>
                <w:szCs w:val="18"/>
              </w:rPr>
            </w:pPr>
            <w:r>
              <w:rPr>
                <w:b/>
                <w:sz w:val="18"/>
                <w:szCs w:val="18"/>
              </w:rPr>
              <w:t>项目名称</w:t>
            </w:r>
          </w:p>
        </w:tc>
        <w:tc>
          <w:tcPr>
            <w:tcW w:w="3706" w:type="dxa"/>
            <w:gridSpan w:val="2"/>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环评批复建设内容</w:t>
            </w:r>
          </w:p>
        </w:tc>
        <w:tc>
          <w:tcPr>
            <w:tcW w:w="2049" w:type="dxa"/>
            <w:vMerge w:val="restart"/>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已建已验收</w:t>
            </w:r>
          </w:p>
        </w:tc>
        <w:tc>
          <w:tcPr>
            <w:tcW w:w="1466" w:type="dxa"/>
            <w:vMerge w:val="restart"/>
            <w:vAlign w:val="center"/>
          </w:tcPr>
          <w:p>
            <w:pPr>
              <w:pStyle w:val="5"/>
              <w:adjustRightInd w:val="0"/>
              <w:snapToGrid w:val="0"/>
              <w:spacing w:line="240" w:lineRule="auto"/>
              <w:ind w:firstLine="0"/>
              <w:jc w:val="center"/>
              <w:rPr>
                <w:b/>
                <w:sz w:val="18"/>
                <w:szCs w:val="18"/>
              </w:rPr>
            </w:pPr>
            <w:r>
              <w:rPr>
                <w:b/>
                <w:sz w:val="18"/>
                <w:szCs w:val="18"/>
              </w:rPr>
              <w:t>已建未验收</w:t>
            </w:r>
          </w:p>
        </w:tc>
        <w:tc>
          <w:tcPr>
            <w:tcW w:w="1415" w:type="dxa"/>
            <w:vMerge w:val="restart"/>
            <w:vAlign w:val="center"/>
          </w:tcPr>
          <w:p>
            <w:pPr>
              <w:pStyle w:val="5"/>
              <w:adjustRightInd w:val="0"/>
              <w:snapToGrid w:val="0"/>
              <w:spacing w:line="240" w:lineRule="auto"/>
              <w:ind w:firstLine="0"/>
              <w:jc w:val="center"/>
              <w:rPr>
                <w:b/>
                <w:sz w:val="18"/>
                <w:szCs w:val="18"/>
              </w:rPr>
            </w:pPr>
            <w:r>
              <w:rPr>
                <w:b/>
                <w:sz w:val="18"/>
                <w:szCs w:val="18"/>
              </w:rPr>
              <w:t>未建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blHeader/>
        </w:trPr>
        <w:tc>
          <w:tcPr>
            <w:tcW w:w="652" w:type="dxa"/>
            <w:vMerge w:val="continue"/>
            <w:vAlign w:val="center"/>
          </w:tcPr>
          <w:p>
            <w:pPr>
              <w:pStyle w:val="5"/>
              <w:adjustRightInd w:val="0"/>
              <w:snapToGrid w:val="0"/>
              <w:spacing w:line="240" w:lineRule="auto"/>
              <w:ind w:firstLine="0"/>
              <w:jc w:val="center"/>
              <w:rPr>
                <w:b/>
                <w:sz w:val="18"/>
                <w:szCs w:val="18"/>
              </w:rPr>
            </w:pPr>
          </w:p>
        </w:tc>
        <w:tc>
          <w:tcPr>
            <w:tcW w:w="1804" w:type="dxa"/>
            <w:vAlign w:val="center"/>
          </w:tcPr>
          <w:p>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主要生产线</w:t>
            </w:r>
          </w:p>
        </w:tc>
        <w:tc>
          <w:tcPr>
            <w:tcW w:w="1902" w:type="dxa"/>
            <w:vAlign w:val="center"/>
          </w:tcPr>
          <w:p>
            <w:pPr>
              <w:pStyle w:val="942"/>
              <w:adjustRightInd w:val="0"/>
              <w:snapToGrid w:val="0"/>
              <w:jc w:val="center"/>
              <w:rPr>
                <w:rFonts w:ascii="Arial" w:hAnsi="Arial" w:cs="Arial"/>
                <w:b/>
                <w:sz w:val="18"/>
                <w:szCs w:val="18"/>
                <w:lang w:eastAsia="zh-CN"/>
              </w:rPr>
            </w:pPr>
            <w:r>
              <w:rPr>
                <w:rFonts w:hint="eastAsia" w:ascii="Arial" w:hAnsi="Arial" w:cs="Arial"/>
                <w:b/>
                <w:sz w:val="18"/>
                <w:szCs w:val="18"/>
                <w:lang w:eastAsia="zh-CN"/>
              </w:rPr>
              <w:t>主要产品产能</w:t>
            </w:r>
          </w:p>
        </w:tc>
        <w:tc>
          <w:tcPr>
            <w:tcW w:w="2049" w:type="dxa"/>
            <w:vMerge w:val="continue"/>
            <w:vAlign w:val="center"/>
          </w:tcPr>
          <w:p>
            <w:pPr>
              <w:pStyle w:val="942"/>
              <w:adjustRightInd w:val="0"/>
              <w:snapToGrid w:val="0"/>
              <w:ind w:firstLine="361"/>
              <w:jc w:val="center"/>
              <w:rPr>
                <w:rFonts w:ascii="Arial" w:hAnsi="Arial" w:cs="Arial"/>
                <w:b/>
                <w:sz w:val="18"/>
                <w:szCs w:val="18"/>
                <w:lang w:eastAsia="zh-CN"/>
              </w:rPr>
            </w:pPr>
          </w:p>
        </w:tc>
        <w:tc>
          <w:tcPr>
            <w:tcW w:w="1466" w:type="dxa"/>
            <w:vMerge w:val="continue"/>
            <w:vAlign w:val="center"/>
          </w:tcPr>
          <w:p>
            <w:pPr>
              <w:pStyle w:val="5"/>
              <w:adjustRightInd w:val="0"/>
              <w:snapToGrid w:val="0"/>
              <w:spacing w:line="240" w:lineRule="auto"/>
              <w:ind w:firstLine="0"/>
              <w:jc w:val="center"/>
              <w:rPr>
                <w:b/>
                <w:sz w:val="18"/>
                <w:szCs w:val="18"/>
              </w:rPr>
            </w:pPr>
          </w:p>
        </w:tc>
        <w:tc>
          <w:tcPr>
            <w:tcW w:w="1415" w:type="dxa"/>
            <w:vMerge w:val="continue"/>
            <w:vAlign w:val="center"/>
          </w:tcPr>
          <w:p>
            <w:pPr>
              <w:pStyle w:val="5"/>
              <w:adjustRightInd w:val="0"/>
              <w:snapToGrid w:val="0"/>
              <w:spacing w:line="240" w:lineRule="auto"/>
              <w:ind w:firstLine="0"/>
              <w:jc w:val="center"/>
              <w:rPr>
                <w:b/>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restart"/>
            <w:vAlign w:val="center"/>
          </w:tcPr>
          <w:p>
            <w:pPr>
              <w:pStyle w:val="5"/>
              <w:adjustRightInd w:val="0"/>
              <w:snapToGrid w:val="0"/>
              <w:spacing w:line="240" w:lineRule="auto"/>
              <w:ind w:firstLine="0"/>
              <w:jc w:val="center"/>
              <w:rPr>
                <w:sz w:val="18"/>
                <w:szCs w:val="18"/>
              </w:rPr>
            </w:pPr>
            <w:r>
              <w:rPr>
                <w:sz w:val="18"/>
                <w:szCs w:val="18"/>
              </w:rPr>
              <w:t>一阶段项目</w:t>
            </w:r>
          </w:p>
        </w:tc>
        <w:tc>
          <w:tcPr>
            <w:tcW w:w="1804"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体生产线</w:t>
            </w:r>
          </w:p>
        </w:tc>
        <w:tc>
          <w:tcPr>
            <w:tcW w:w="190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p>
        </w:tc>
        <w:tc>
          <w:tcPr>
            <w:tcW w:w="1466" w:type="dxa"/>
            <w:vAlign w:val="center"/>
          </w:tcPr>
          <w:p>
            <w:pPr>
              <w:pStyle w:val="5"/>
              <w:adjustRightInd w:val="0"/>
              <w:snapToGrid w:val="0"/>
              <w:spacing w:line="240" w:lineRule="auto"/>
              <w:ind w:firstLine="0"/>
              <w:jc w:val="center"/>
              <w:rPr>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continue"/>
            <w:vAlign w:val="center"/>
          </w:tcPr>
          <w:p>
            <w:pPr>
              <w:pStyle w:val="5"/>
              <w:adjustRightInd w:val="0"/>
              <w:snapToGrid w:val="0"/>
              <w:spacing w:line="240" w:lineRule="auto"/>
              <w:ind w:firstLine="0"/>
              <w:jc w:val="center"/>
              <w:rPr>
                <w:sz w:val="18"/>
                <w:szCs w:val="18"/>
              </w:rPr>
            </w:pPr>
          </w:p>
        </w:tc>
        <w:tc>
          <w:tcPr>
            <w:tcW w:w="1804"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466" w:type="dxa"/>
            <w:vAlign w:val="center"/>
          </w:tcPr>
          <w:p>
            <w:pPr>
              <w:pStyle w:val="5"/>
              <w:adjustRightInd w:val="0"/>
              <w:snapToGrid w:val="0"/>
              <w:spacing w:line="240" w:lineRule="auto"/>
              <w:ind w:firstLine="0"/>
              <w:jc w:val="center"/>
              <w:rPr>
                <w:spacing w:val="-3"/>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restart"/>
            <w:vAlign w:val="center"/>
          </w:tcPr>
          <w:p>
            <w:pPr>
              <w:pStyle w:val="5"/>
              <w:adjustRightInd w:val="0"/>
              <w:snapToGrid w:val="0"/>
              <w:spacing w:line="240" w:lineRule="auto"/>
              <w:ind w:firstLine="0"/>
              <w:jc w:val="center"/>
              <w:rPr>
                <w:sz w:val="18"/>
                <w:szCs w:val="18"/>
              </w:rPr>
            </w:pPr>
            <w:r>
              <w:rPr>
                <w:sz w:val="18"/>
                <w:szCs w:val="18"/>
              </w:rPr>
              <w:t>二阶段项目</w:t>
            </w: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90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466" w:type="dxa"/>
            <w:vAlign w:val="center"/>
          </w:tcPr>
          <w:p>
            <w:pPr>
              <w:pStyle w:val="5"/>
              <w:adjustRightInd w:val="0"/>
              <w:snapToGrid w:val="0"/>
              <w:spacing w:line="240" w:lineRule="auto"/>
              <w:ind w:firstLine="0"/>
              <w:jc w:val="center"/>
              <w:rPr>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continue"/>
            <w:vAlign w:val="center"/>
          </w:tcPr>
          <w:p>
            <w:pPr>
              <w:pStyle w:val="5"/>
              <w:adjustRightInd w:val="0"/>
              <w:snapToGrid w:val="0"/>
              <w:spacing w:line="240" w:lineRule="auto"/>
              <w:ind w:firstLine="0"/>
              <w:jc w:val="center"/>
              <w:rPr>
                <w:sz w:val="18"/>
                <w:szCs w:val="18"/>
              </w:rPr>
            </w:pP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902"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w:t>
            </w:r>
            <w:r>
              <w:rPr>
                <w:rFonts w:hint="eastAsia" w:ascii="Arial" w:hAnsi="Arial" w:cs="Arial"/>
                <w:sz w:val="18"/>
                <w:szCs w:val="18"/>
                <w:lang w:eastAsia="zh-CN"/>
              </w:rPr>
              <w:t>.</w:t>
            </w:r>
            <w:r>
              <w:rPr>
                <w:rFonts w:ascii="Arial" w:hAnsi="Arial" w:cs="Arial"/>
                <w:sz w:val="18"/>
                <w:szCs w:val="18"/>
                <w:lang w:eastAsia="zh-CN"/>
              </w:rPr>
              <w:t>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rPr>
              <w:t>/</w:t>
            </w:r>
          </w:p>
        </w:tc>
        <w:tc>
          <w:tcPr>
            <w:tcW w:w="1466" w:type="dxa"/>
            <w:vAlign w:val="center"/>
          </w:tcPr>
          <w:p>
            <w:pPr>
              <w:pStyle w:val="5"/>
              <w:adjustRightInd w:val="0"/>
              <w:snapToGrid w:val="0"/>
              <w:spacing w:line="240" w:lineRule="auto"/>
              <w:ind w:firstLine="0"/>
              <w:jc w:val="center"/>
              <w:rPr>
                <w:sz w:val="18"/>
                <w:szCs w:val="18"/>
              </w:rPr>
            </w:pPr>
            <w:r>
              <w:rPr>
                <w:spacing w:val="-3"/>
                <w:sz w:val="18"/>
                <w:szCs w:val="18"/>
              </w:rPr>
              <w:t>1×</w:t>
            </w:r>
            <w:r>
              <w:rPr>
                <w:sz w:val="18"/>
                <w:szCs w:val="18"/>
              </w:rPr>
              <w:t>2</w:t>
            </w:r>
            <w:r>
              <w:rPr>
                <w:spacing w:val="-3"/>
                <w:sz w:val="18"/>
                <w:szCs w:val="18"/>
              </w:rPr>
              <w:t>.</w:t>
            </w:r>
            <w:r>
              <w:rPr>
                <w:spacing w:val="-1"/>
                <w:sz w:val="18"/>
                <w:szCs w:val="18"/>
              </w:rPr>
              <w:t>5</w:t>
            </w:r>
            <w:r>
              <w:rPr>
                <w:sz w:val="18"/>
                <w:szCs w:val="18"/>
              </w:rPr>
              <w:t>万吨</w:t>
            </w:r>
            <w:r>
              <w:rPr>
                <w:spacing w:val="-2"/>
                <w:sz w:val="18"/>
                <w:szCs w:val="18"/>
              </w:rPr>
              <w:t>/</w:t>
            </w:r>
            <w:r>
              <w:rPr>
                <w:spacing w:val="-3"/>
                <w:sz w:val="18"/>
                <w:szCs w:val="18"/>
              </w:rPr>
              <w:t>年</w:t>
            </w:r>
            <w:r>
              <w:rPr>
                <w:sz w:val="18"/>
                <w:szCs w:val="18"/>
              </w:rPr>
              <w:t>镍</w:t>
            </w:r>
            <w:r>
              <w:rPr>
                <w:spacing w:val="-3"/>
                <w:sz w:val="18"/>
                <w:szCs w:val="18"/>
              </w:rPr>
              <w:t>豆</w:t>
            </w:r>
            <w:r>
              <w:rPr>
                <w:sz w:val="18"/>
                <w:szCs w:val="18"/>
              </w:rPr>
              <w:t>镍</w:t>
            </w:r>
            <w:r>
              <w:rPr>
                <w:spacing w:val="-3"/>
                <w:sz w:val="18"/>
                <w:szCs w:val="18"/>
              </w:rPr>
              <w:t>粉</w:t>
            </w:r>
            <w:r>
              <w:rPr>
                <w:sz w:val="18"/>
                <w:szCs w:val="18"/>
              </w:rPr>
              <w:t>处</w:t>
            </w:r>
            <w:r>
              <w:rPr>
                <w:spacing w:val="-3"/>
                <w:sz w:val="18"/>
                <w:szCs w:val="18"/>
              </w:rPr>
              <w:t>置线</w:t>
            </w:r>
            <w:r>
              <w:rPr>
                <w:rFonts w:hint="eastAsia"/>
                <w:b/>
                <w:spacing w:val="-3"/>
                <w:sz w:val="18"/>
                <w:szCs w:val="18"/>
              </w:rPr>
              <w:t>（发生变动）</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Align w:val="center"/>
          </w:tcPr>
          <w:p>
            <w:pPr>
              <w:pStyle w:val="5"/>
              <w:adjustRightInd w:val="0"/>
              <w:snapToGrid w:val="0"/>
              <w:spacing w:line="240" w:lineRule="auto"/>
              <w:ind w:firstLine="0"/>
              <w:jc w:val="center"/>
              <w:rPr>
                <w:sz w:val="18"/>
                <w:szCs w:val="18"/>
              </w:rPr>
            </w:pPr>
            <w:r>
              <w:rPr>
                <w:sz w:val="18"/>
                <w:szCs w:val="18"/>
              </w:rPr>
              <w:t>三阶段项目</w:t>
            </w: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902"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c>
          <w:tcPr>
            <w:tcW w:w="1415" w:type="dxa"/>
            <w:vAlign w:val="center"/>
          </w:tcPr>
          <w:p>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Align w:val="center"/>
          </w:tcPr>
          <w:p>
            <w:pPr>
              <w:pStyle w:val="5"/>
              <w:adjustRightInd w:val="0"/>
              <w:snapToGrid w:val="0"/>
              <w:spacing w:line="240" w:lineRule="auto"/>
              <w:ind w:firstLine="0"/>
              <w:jc w:val="center"/>
              <w:rPr>
                <w:sz w:val="18"/>
                <w:szCs w:val="18"/>
              </w:rPr>
            </w:pPr>
            <w:r>
              <w:rPr>
                <w:sz w:val="18"/>
                <w:szCs w:val="18"/>
              </w:rPr>
              <w:t>燃气锅炉房项目</w:t>
            </w:r>
          </w:p>
        </w:tc>
        <w:tc>
          <w:tcPr>
            <w:tcW w:w="3706" w:type="dxa"/>
            <w:gridSpan w:val="2"/>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val="en-GB" w:eastAsia="zh-CN"/>
              </w:rPr>
              <w:t>2</w:t>
            </w:r>
            <w:r>
              <w:rPr>
                <w:rFonts w:ascii="Arial" w:hAnsi="Arial" w:cs="Arial"/>
                <w:spacing w:val="-3"/>
                <w:sz w:val="18"/>
                <w:szCs w:val="18"/>
                <w:lang w:eastAsia="zh-CN"/>
              </w:rPr>
              <w:t>×</w:t>
            </w:r>
            <w:r>
              <w:rPr>
                <w:rFonts w:ascii="Arial" w:hAnsi="Arial" w:cs="Arial"/>
                <w:sz w:val="18"/>
                <w:szCs w:val="18"/>
                <w:lang w:val="en-GB" w:eastAsia="zh-CN"/>
              </w:rPr>
              <w:t>20t/h燃气锅炉</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c>
          <w:tcPr>
            <w:tcW w:w="1415" w:type="dxa"/>
            <w:vAlign w:val="center"/>
          </w:tcPr>
          <w:p>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Align w:val="center"/>
          </w:tcPr>
          <w:p>
            <w:pPr>
              <w:pStyle w:val="5"/>
              <w:adjustRightInd w:val="0"/>
              <w:snapToGrid w:val="0"/>
              <w:spacing w:line="240" w:lineRule="auto"/>
              <w:ind w:firstLine="0"/>
              <w:jc w:val="center"/>
              <w:rPr>
                <w:sz w:val="18"/>
                <w:szCs w:val="18"/>
              </w:rPr>
            </w:pPr>
            <w:r>
              <w:rPr>
                <w:sz w:val="18"/>
                <w:szCs w:val="18"/>
              </w:rPr>
              <w:t>变电站项目</w:t>
            </w:r>
          </w:p>
        </w:tc>
        <w:tc>
          <w:tcPr>
            <w:tcW w:w="3706" w:type="dxa"/>
            <w:gridSpan w:val="2"/>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1466" w:type="dxa"/>
            <w:vAlign w:val="center"/>
          </w:tcPr>
          <w:p>
            <w:pPr>
              <w:pStyle w:val="5"/>
              <w:adjustRightInd w:val="0"/>
              <w:snapToGrid w:val="0"/>
              <w:spacing w:line="240" w:lineRule="auto"/>
              <w:ind w:firstLine="0"/>
              <w:jc w:val="center"/>
              <w:rPr>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Align w:val="center"/>
          </w:tcPr>
          <w:p>
            <w:pPr>
              <w:pStyle w:val="5"/>
              <w:adjustRightInd w:val="0"/>
              <w:snapToGrid w:val="0"/>
              <w:spacing w:line="240" w:lineRule="auto"/>
              <w:ind w:firstLine="0"/>
              <w:jc w:val="center"/>
              <w:rPr>
                <w:sz w:val="18"/>
                <w:szCs w:val="18"/>
              </w:rPr>
            </w:pPr>
            <w:r>
              <w:rPr>
                <w:sz w:val="18"/>
                <w:szCs w:val="18"/>
              </w:rPr>
              <w:t>氨水项目</w:t>
            </w:r>
          </w:p>
        </w:tc>
        <w:tc>
          <w:tcPr>
            <w:tcW w:w="3706" w:type="dxa"/>
            <w:gridSpan w:val="2"/>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1条氨水制备生产线，设计年产21%氨水15万吨/年；1座柴油加油站</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1×15万t/a氨水制备线、1座柴油加油站</w:t>
            </w:r>
          </w:p>
        </w:tc>
        <w:tc>
          <w:tcPr>
            <w:tcW w:w="1466" w:type="dxa"/>
            <w:vAlign w:val="center"/>
          </w:tcPr>
          <w:p>
            <w:pPr>
              <w:pStyle w:val="5"/>
              <w:adjustRightInd w:val="0"/>
              <w:snapToGrid w:val="0"/>
              <w:spacing w:line="240" w:lineRule="auto"/>
              <w:ind w:firstLine="0"/>
              <w:jc w:val="center"/>
              <w:rPr>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Align w:val="center"/>
          </w:tcPr>
          <w:p>
            <w:pPr>
              <w:pStyle w:val="5"/>
              <w:adjustRightInd w:val="0"/>
              <w:snapToGrid w:val="0"/>
              <w:spacing w:line="240" w:lineRule="auto"/>
              <w:ind w:firstLine="0"/>
              <w:jc w:val="center"/>
              <w:rPr>
                <w:sz w:val="18"/>
                <w:szCs w:val="18"/>
              </w:rPr>
            </w:pPr>
            <w:r>
              <w:rPr>
                <w:rFonts w:hint="eastAsia"/>
                <w:sz w:val="18"/>
                <w:szCs w:val="18"/>
              </w:rPr>
              <w:t>氢氧化钴技改项目</w:t>
            </w:r>
          </w:p>
        </w:tc>
        <w:tc>
          <w:tcPr>
            <w:tcW w:w="1804"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硫酸钴：</w:t>
            </w:r>
            <w:r>
              <w:rPr>
                <w:rFonts w:hint="eastAsia" w:ascii="Arial" w:hAnsi="Arial" w:cs="Arial"/>
                <w:spacing w:val="-3"/>
                <w:sz w:val="18"/>
                <w:szCs w:val="18"/>
                <w:lang w:eastAsia="zh-CN"/>
              </w:rPr>
              <w:t>0.5</w:t>
            </w:r>
            <w:r>
              <w:rPr>
                <w:rFonts w:ascii="Arial" w:hAnsi="Arial" w:cs="Arial"/>
                <w:sz w:val="18"/>
                <w:szCs w:val="18"/>
                <w:lang w:eastAsia="zh-CN"/>
              </w:rPr>
              <w:t>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钴板：0.2万</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硫酸镍溶液：1.7万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2049"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466" w:type="dxa"/>
            <w:vAlign w:val="center"/>
          </w:tcPr>
          <w:p>
            <w:pPr>
              <w:pStyle w:val="5"/>
              <w:adjustRightInd w:val="0"/>
              <w:snapToGrid w:val="0"/>
              <w:spacing w:line="240" w:lineRule="auto"/>
              <w:ind w:firstLine="0"/>
              <w:jc w:val="center"/>
              <w:rPr>
                <w:spacing w:val="-3"/>
                <w:sz w:val="18"/>
                <w:szCs w:val="18"/>
              </w:rPr>
            </w:pPr>
            <w:r>
              <w:rPr>
                <w:sz w:val="18"/>
                <w:szCs w:val="18"/>
              </w:rPr>
              <w:t>/</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restart"/>
            <w:vAlign w:val="center"/>
          </w:tcPr>
          <w:p>
            <w:pPr>
              <w:pStyle w:val="5"/>
              <w:adjustRightInd w:val="0"/>
              <w:snapToGrid w:val="0"/>
              <w:spacing w:line="240" w:lineRule="auto"/>
              <w:ind w:firstLine="0"/>
              <w:jc w:val="center"/>
              <w:rPr>
                <w:sz w:val="18"/>
                <w:szCs w:val="18"/>
              </w:rPr>
            </w:pPr>
            <w:r>
              <w:rPr>
                <w:sz w:val="18"/>
                <w:szCs w:val="18"/>
              </w:rPr>
              <w:t>一体化</w:t>
            </w:r>
            <w:r>
              <w:rPr>
                <w:rFonts w:hint="eastAsia"/>
                <w:sz w:val="18"/>
                <w:szCs w:val="18"/>
              </w:rPr>
              <w:t>变更</w:t>
            </w:r>
            <w:r>
              <w:rPr>
                <w:sz w:val="18"/>
                <w:szCs w:val="18"/>
              </w:rPr>
              <w:t>项目</w:t>
            </w: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w:t>
            </w:r>
            <w:r>
              <w:rPr>
                <w:rFonts w:hint="eastAsia" w:ascii="Arial" w:hAnsi="Arial" w:cs="Arial"/>
                <w:sz w:val="18"/>
                <w:szCs w:val="18"/>
                <w:lang w:eastAsia="zh-CN"/>
              </w:rPr>
              <w:t>/年火法</w:t>
            </w:r>
            <w:r>
              <w:rPr>
                <w:rFonts w:ascii="Arial" w:hAnsi="Arial" w:cs="Arial"/>
                <w:sz w:val="18"/>
                <w:szCs w:val="18"/>
                <w:lang w:eastAsia="zh-CN"/>
              </w:rPr>
              <w:t>生产线</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rPr>
              <w:t>高冰镍</w:t>
            </w:r>
            <w:r>
              <w:rPr>
                <w:rFonts w:ascii="Arial" w:hAnsi="Arial" w:cs="Arial"/>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sz w:val="18"/>
                <w:szCs w:val="18"/>
              </w:rPr>
              <w:t>1</w:t>
            </w:r>
            <w:r>
              <w:rPr>
                <w:spacing w:val="-3"/>
                <w:sz w:val="18"/>
                <w:szCs w:val="18"/>
              </w:rPr>
              <w:t>×</w:t>
            </w:r>
            <w:r>
              <w:rPr>
                <w:rFonts w:hint="eastAsia"/>
                <w:sz w:val="18"/>
                <w:szCs w:val="18"/>
              </w:rPr>
              <w:t>8.2</w:t>
            </w:r>
            <w:r>
              <w:rPr>
                <w:sz w:val="18"/>
                <w:szCs w:val="18"/>
              </w:rPr>
              <w:t>万金吨高冰镍生产线</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continue"/>
            <w:vAlign w:val="center"/>
          </w:tcPr>
          <w:p>
            <w:pPr>
              <w:pStyle w:val="5"/>
              <w:adjustRightInd w:val="0"/>
              <w:snapToGrid w:val="0"/>
              <w:spacing w:line="240" w:lineRule="auto"/>
              <w:ind w:firstLine="0"/>
              <w:jc w:val="center"/>
              <w:rPr>
                <w:sz w:val="18"/>
                <w:szCs w:val="18"/>
              </w:rPr>
            </w:pP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hint="eastAsia" w:ascii="Arial" w:hAnsi="Arial" w:cs="Arial"/>
                <w:sz w:val="18"/>
                <w:szCs w:val="18"/>
                <w:lang w:eastAsia="zh-CN"/>
              </w:rPr>
              <w:t>条</w:t>
            </w:r>
            <w:r>
              <w:rPr>
                <w:rFonts w:ascii="Arial" w:hAnsi="Arial" w:cs="Arial"/>
                <w:sz w:val="18"/>
                <w:szCs w:val="18"/>
                <w:lang w:eastAsia="zh-CN"/>
              </w:rPr>
              <w:t>吹炼渣生产线</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hint="eastAsia" w:ascii="Arial" w:hAnsi="Arial" w:cs="Arial"/>
                <w:sz w:val="18"/>
                <w:szCs w:val="18"/>
                <w:lang w:eastAsia="zh-CN"/>
              </w:rPr>
              <w:t>富</w:t>
            </w:r>
            <w:r>
              <w:rPr>
                <w:rFonts w:ascii="Arial" w:hAnsi="Arial" w:cs="Arial"/>
                <w:sz w:val="18"/>
                <w:szCs w:val="18"/>
                <w:lang w:eastAsia="zh-CN"/>
              </w:rPr>
              <w:t>钴</w:t>
            </w:r>
            <w:r>
              <w:rPr>
                <w:rFonts w:hint="eastAsia" w:ascii="Arial" w:hAnsi="Arial" w:cs="Arial"/>
                <w:sz w:val="18"/>
                <w:szCs w:val="18"/>
                <w:lang w:eastAsia="zh-CN"/>
              </w:rPr>
              <w:t>中</w:t>
            </w:r>
            <w:r>
              <w:rPr>
                <w:rFonts w:ascii="Arial" w:hAnsi="Arial" w:cs="Arial"/>
                <w:sz w:val="18"/>
                <w:szCs w:val="18"/>
                <w:lang w:eastAsia="zh-CN"/>
              </w:rPr>
              <w:t>冰镍：0.</w:t>
            </w:r>
            <w:r>
              <w:rPr>
                <w:rFonts w:hint="eastAsia" w:ascii="Arial" w:hAnsi="Arial" w:cs="Arial"/>
                <w:sz w:val="18"/>
                <w:szCs w:val="18"/>
                <w:lang w:eastAsia="zh-CN"/>
              </w:rPr>
              <w:t>49</w:t>
            </w:r>
            <w:r>
              <w:rPr>
                <w:rFonts w:ascii="Arial" w:hAnsi="Arial" w:cs="Arial"/>
                <w:sz w:val="18"/>
                <w:szCs w:val="18"/>
                <w:lang w:eastAsia="zh-CN"/>
              </w:rPr>
              <w:t>万金吨/年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sz w:val="18"/>
                <w:szCs w:val="18"/>
              </w:rPr>
              <w:t>1</w:t>
            </w:r>
            <w:r>
              <w:rPr>
                <w:rFonts w:hint="eastAsia"/>
                <w:spacing w:val="-3"/>
                <w:sz w:val="18"/>
                <w:szCs w:val="18"/>
              </w:rPr>
              <w:t>条</w:t>
            </w:r>
            <w:r>
              <w:rPr>
                <w:sz w:val="18"/>
                <w:szCs w:val="18"/>
              </w:rPr>
              <w:t>吹炼渣生产线</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continue"/>
            <w:vAlign w:val="center"/>
          </w:tcPr>
          <w:p>
            <w:pPr>
              <w:pStyle w:val="5"/>
              <w:adjustRightInd w:val="0"/>
              <w:snapToGrid w:val="0"/>
              <w:spacing w:line="240" w:lineRule="auto"/>
              <w:ind w:firstLine="0"/>
              <w:jc w:val="center"/>
              <w:rPr>
                <w:sz w:val="18"/>
                <w:szCs w:val="18"/>
              </w:rPr>
            </w:pPr>
          </w:p>
        </w:tc>
        <w:tc>
          <w:tcPr>
            <w:tcW w:w="1804"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ascii="Arial" w:hAnsi="Arial" w:cs="Arial"/>
                <w:sz w:val="18"/>
                <w:szCs w:val="18"/>
                <w:lang w:eastAsia="zh-CN"/>
              </w:rPr>
              <w:t>15万t/a烟气制酸生产线</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硫酸：15万t/a</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sz w:val="18"/>
                <w:szCs w:val="18"/>
              </w:rPr>
              <w:t>1</w:t>
            </w:r>
            <w:r>
              <w:rPr>
                <w:spacing w:val="-3"/>
                <w:sz w:val="18"/>
                <w:szCs w:val="18"/>
              </w:rPr>
              <w:t>×</w:t>
            </w:r>
            <w:r>
              <w:rPr>
                <w:sz w:val="18"/>
                <w:szCs w:val="18"/>
              </w:rPr>
              <w:t>15万t/a烟气制酸生产线</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52" w:type="dxa"/>
            <w:vMerge w:val="continue"/>
            <w:vAlign w:val="center"/>
          </w:tcPr>
          <w:p>
            <w:pPr>
              <w:pStyle w:val="5"/>
              <w:adjustRightInd w:val="0"/>
              <w:snapToGrid w:val="0"/>
              <w:spacing w:line="240" w:lineRule="auto"/>
              <w:ind w:firstLine="0"/>
              <w:jc w:val="center"/>
              <w:rPr>
                <w:sz w:val="18"/>
                <w:szCs w:val="18"/>
              </w:rPr>
            </w:pPr>
          </w:p>
        </w:tc>
        <w:tc>
          <w:tcPr>
            <w:tcW w:w="1804" w:type="dxa"/>
            <w:vAlign w:val="center"/>
          </w:tcPr>
          <w:p>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2×4万金吨/年MSP生产线（含1段电积铜工序、2段电积镍工序）</w:t>
            </w:r>
          </w:p>
        </w:tc>
        <w:tc>
          <w:tcPr>
            <w:tcW w:w="1902" w:type="dxa"/>
            <w:vAlign w:val="center"/>
          </w:tcPr>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晶体</w:t>
            </w:r>
            <w:r>
              <w:rPr>
                <w:rFonts w:ascii="Arial" w:hAnsi="Arial" w:cs="Arial"/>
                <w:spacing w:val="-3"/>
                <w:sz w:val="18"/>
                <w:szCs w:val="18"/>
                <w:lang w:eastAsia="zh-CN"/>
              </w:rPr>
              <w:t>：</w:t>
            </w:r>
            <w:r>
              <w:rPr>
                <w:rFonts w:hint="eastAsia" w:ascii="Arial" w:hAnsi="Arial" w:cs="Arial"/>
                <w:spacing w:val="-3"/>
                <w:sz w:val="18"/>
                <w:szCs w:val="18"/>
                <w:lang w:eastAsia="zh-CN"/>
              </w:rPr>
              <w:t>8</w:t>
            </w:r>
            <w:r>
              <w:rPr>
                <w:rFonts w:ascii="Arial" w:hAnsi="Arial" w:cs="Arial"/>
                <w:spacing w:val="-3"/>
                <w:sz w:val="18"/>
                <w:szCs w:val="18"/>
                <w:lang w:eastAsia="zh-CN"/>
              </w:rPr>
              <w:t>万金吨/年；</w:t>
            </w:r>
          </w:p>
          <w:p>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1号标准铜：1万吨/年；</w:t>
            </w:r>
          </w:p>
          <w:p>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镍板：2.5万吨/年；</w:t>
            </w:r>
          </w:p>
        </w:tc>
        <w:tc>
          <w:tcPr>
            <w:tcW w:w="2049" w:type="dxa"/>
            <w:vAlign w:val="center"/>
          </w:tcPr>
          <w:p>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1466" w:type="dxa"/>
            <w:vAlign w:val="center"/>
          </w:tcPr>
          <w:p>
            <w:pPr>
              <w:pStyle w:val="5"/>
              <w:adjustRightInd w:val="0"/>
              <w:snapToGrid w:val="0"/>
              <w:spacing w:line="240" w:lineRule="auto"/>
              <w:ind w:firstLine="0"/>
              <w:jc w:val="center"/>
              <w:rPr>
                <w:sz w:val="18"/>
                <w:szCs w:val="18"/>
              </w:rPr>
            </w:pPr>
            <w:r>
              <w:rPr>
                <w:rFonts w:hint="eastAsia"/>
                <w:sz w:val="18"/>
                <w:szCs w:val="18"/>
              </w:rPr>
              <w:t>2×4万金吨/年MSP生产线（含1段电积铜工序、2段电积镍工序）</w:t>
            </w:r>
          </w:p>
        </w:tc>
        <w:tc>
          <w:tcPr>
            <w:tcW w:w="1415" w:type="dxa"/>
            <w:vAlign w:val="center"/>
          </w:tcPr>
          <w:p>
            <w:pPr>
              <w:pStyle w:val="5"/>
              <w:adjustRightInd w:val="0"/>
              <w:snapToGrid w:val="0"/>
              <w:spacing w:line="240" w:lineRule="auto"/>
              <w:ind w:firstLine="0"/>
              <w:jc w:val="center"/>
              <w:rPr>
                <w:sz w:val="18"/>
                <w:szCs w:val="18"/>
              </w:rPr>
            </w:pPr>
            <w:r>
              <w:rPr>
                <w:sz w:val="18"/>
                <w:szCs w:val="18"/>
              </w:rPr>
              <w:t>/</w:t>
            </w:r>
          </w:p>
        </w:tc>
      </w:tr>
    </w:tbl>
    <w:p>
      <w:pPr>
        <w:keepNext/>
        <w:keepLines/>
        <w:numPr>
          <w:ilvl w:val="2"/>
          <w:numId w:val="1"/>
        </w:numPr>
        <w:tabs>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企业污染物排放情况</w:t>
      </w:r>
    </w:p>
    <w:p>
      <w:pPr>
        <w:pStyle w:val="5"/>
        <w:ind w:firstLine="0"/>
        <w:outlineLvl w:val="4"/>
        <w:rPr>
          <w:b/>
          <w:u w:val="single"/>
        </w:rPr>
      </w:pPr>
      <w:r>
        <w:rPr>
          <w:rFonts w:hint="eastAsia"/>
          <w:b/>
          <w:u w:val="single"/>
        </w:rPr>
        <w:t>2.1.1.1环保措施落实情况及污染物达标排放情况</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已验收项目相应的验收报告，并结合现场调查，已验收的建设内容基本落实了相应的环评及其批复要求的环保措施；厂区的危废暂存间已按《危险废物贮存污染控制标准》（GB18597-2023）的相关要求建设，并设有1套活性炭吸附装置处理暂存间废气。危废暂存间采用2.0mm的HDPE土工膜做人工防渗。</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已验收项目各有组织废气、厂界无组织废气均满足相应的排放标准要求；生产废水在车间设施排放口可达标排放，企业废水总排放口处废水各监测因子符合GB31573-2015表1污染排放限值；厂界噪声符合《工业企业厂界环境噪声排放标准》（GB12348-2008）要求。</w:t>
      </w:r>
    </w:p>
    <w:p>
      <w:pPr>
        <w:pStyle w:val="5"/>
        <w:ind w:firstLine="0"/>
        <w:outlineLvl w:val="4"/>
        <w:rPr>
          <w:b/>
          <w:u w:val="single"/>
        </w:rPr>
      </w:pPr>
      <w:r>
        <w:rPr>
          <w:rFonts w:hint="eastAsia"/>
          <w:b/>
          <w:u w:val="single"/>
        </w:rPr>
        <w:t>2.1.1.2污染物排放情况</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2024.11.22批复的一体化变更项目，一体化变更项目建成后，企业污染物排放情况见表2-3（包括原二阶段镍豆镍粉污染物排放量），企业废水总排口污染物排放情况见表2-4。其中，企业已验收建设内容的污染物排放量以验收监测数据统计，未验收建设内容的污染物排放量以相应环评报告中的数据统计。</w:t>
      </w:r>
    </w:p>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企业现有污染物排放情况</w:t>
      </w:r>
    </w:p>
    <w:tbl>
      <w:tblPr>
        <w:tblStyle w:val="89"/>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887"/>
        <w:gridCol w:w="3308"/>
        <w:gridCol w:w="2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3189" w:type="dxa"/>
            <w:gridSpan w:val="2"/>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类别</w:t>
            </w:r>
          </w:p>
        </w:tc>
        <w:tc>
          <w:tcPr>
            <w:tcW w:w="3308"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项目</w:t>
            </w:r>
          </w:p>
        </w:tc>
        <w:tc>
          <w:tcPr>
            <w:tcW w:w="2791" w:type="dxa"/>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排放量</w:t>
            </w:r>
            <w:r>
              <w:rPr>
                <w:rFonts w:hint="eastAsia" w:ascii="Arial" w:hAnsi="Arial" w:eastAsia="宋体" w:cs="Arial"/>
                <w:sz w:val="21"/>
                <w:szCs w:val="21"/>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restart"/>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废气</w:t>
            </w: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SO</w:t>
            </w:r>
            <w:r>
              <w:rPr>
                <w:rFonts w:ascii="Arial" w:hAnsi="Arial" w:cs="Arial" w:eastAsiaTheme="minorEastAsia"/>
                <w:sz w:val="21"/>
                <w:szCs w:val="21"/>
                <w:u w:val="single"/>
                <w:vertAlign w:val="subscript"/>
              </w:rPr>
              <w:t>2</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127.2658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NO</w:t>
            </w:r>
            <w:r>
              <w:rPr>
                <w:rFonts w:ascii="Arial" w:hAnsi="Arial" w:cs="Arial" w:eastAsiaTheme="minorEastAsia"/>
                <w:sz w:val="21"/>
                <w:szCs w:val="21"/>
                <w:u w:val="single"/>
                <w:vertAlign w:val="subscript"/>
              </w:rPr>
              <w:t>X</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139.7473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颗粒物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188.1816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锰及其化合物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镍及其化合物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14.0797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铅及其化合物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铬及其化合物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镉及其化合物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汞及其化合物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砷及其化合物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氟化物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1.3606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硫化氢</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硫酸雾</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142.5801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氯化氢</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3.9466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非甲烷总烃</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2.4760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氨</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45.8952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restart"/>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废水</w:t>
            </w:r>
          </w:p>
        </w:tc>
        <w:tc>
          <w:tcPr>
            <w:tcW w:w="1887" w:type="dxa"/>
            <w:vMerge w:val="restart"/>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生产废水</w:t>
            </w: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2120900.34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15873.0080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2791" w:type="dxa"/>
            <w:noWrap/>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10014.7886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2791" w:type="dxa"/>
            <w:noWrap/>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5858.2194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58.6509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镍</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0.2502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钴</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锰</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铜</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石油类</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2.3282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restart"/>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生活污水</w:t>
            </w: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废水量</w:t>
            </w:r>
          </w:p>
        </w:tc>
        <w:tc>
          <w:tcPr>
            <w:tcW w:w="2791" w:type="dxa"/>
            <w:noWrap/>
            <w:vAlign w:val="center"/>
          </w:tcPr>
          <w:p>
            <w:pPr>
              <w:pStyle w:val="5"/>
              <w:adjustRightInd w:val="0"/>
              <w:snapToGrid w:val="0"/>
              <w:spacing w:line="240" w:lineRule="auto"/>
              <w:ind w:firstLine="0"/>
              <w:jc w:val="center"/>
              <w:rPr>
                <w:sz w:val="21"/>
                <w:u w:val="single"/>
              </w:rPr>
            </w:pPr>
            <w:r>
              <w:rPr>
                <w:rFonts w:hint="eastAsia"/>
                <w:sz w:val="21"/>
                <w:u w:val="single"/>
              </w:rPr>
              <w:t>112045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COD</w:t>
            </w:r>
          </w:p>
        </w:tc>
        <w:tc>
          <w:tcPr>
            <w:tcW w:w="2791" w:type="dxa"/>
            <w:noWrap/>
            <w:vAlign w:val="center"/>
          </w:tcPr>
          <w:p>
            <w:pPr>
              <w:pStyle w:val="5"/>
              <w:adjustRightInd w:val="0"/>
              <w:snapToGrid w:val="0"/>
              <w:spacing w:line="240" w:lineRule="auto"/>
              <w:ind w:firstLine="0"/>
              <w:jc w:val="center"/>
              <w:rPr>
                <w:sz w:val="21"/>
                <w:u w:val="single"/>
              </w:rPr>
            </w:pPr>
            <w:r>
              <w:rPr>
                <w:rFonts w:hint="eastAsia"/>
                <w:sz w:val="21"/>
                <w:u w:val="single"/>
              </w:rPr>
              <w:t>28.2869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2"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1887" w:type="dxa"/>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NH</w:t>
            </w:r>
            <w:r>
              <w:rPr>
                <w:rFonts w:ascii="Arial" w:hAnsi="Arial" w:cs="Arial" w:eastAsiaTheme="minorEastAsia"/>
                <w:sz w:val="21"/>
                <w:szCs w:val="21"/>
                <w:u w:val="single"/>
                <w:vertAlign w:val="subscript"/>
              </w:rPr>
              <w:t>3</w:t>
            </w:r>
            <w:r>
              <w:rPr>
                <w:rFonts w:ascii="Arial" w:hAnsi="Arial" w:cs="Arial" w:eastAsiaTheme="minorEastAsia"/>
                <w:sz w:val="21"/>
                <w:szCs w:val="21"/>
                <w:u w:val="single"/>
              </w:rPr>
              <w:t>-N</w:t>
            </w:r>
          </w:p>
        </w:tc>
        <w:tc>
          <w:tcPr>
            <w:tcW w:w="2791" w:type="dxa"/>
            <w:noWrap/>
            <w:vAlign w:val="center"/>
          </w:tcPr>
          <w:p>
            <w:pPr>
              <w:pStyle w:val="5"/>
              <w:adjustRightInd w:val="0"/>
              <w:snapToGrid w:val="0"/>
              <w:spacing w:line="240" w:lineRule="auto"/>
              <w:ind w:firstLine="0"/>
              <w:jc w:val="center"/>
              <w:rPr>
                <w:sz w:val="21"/>
                <w:u w:val="single"/>
              </w:rPr>
            </w:pPr>
            <w:r>
              <w:rPr>
                <w:rFonts w:hint="eastAsia"/>
                <w:sz w:val="21"/>
                <w:u w:val="single"/>
              </w:rPr>
              <w:t>2.7114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restart"/>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固废</w:t>
            </w:r>
          </w:p>
        </w:tc>
        <w:tc>
          <w:tcPr>
            <w:tcW w:w="3308" w:type="dxa"/>
            <w:vAlign w:val="center"/>
          </w:tcPr>
          <w:p>
            <w:pPr>
              <w:pStyle w:val="5"/>
              <w:adjustRightInd w:val="0"/>
              <w:snapToGrid w:val="0"/>
              <w:spacing w:line="240" w:lineRule="auto"/>
              <w:ind w:firstLine="0"/>
              <w:jc w:val="center"/>
              <w:rPr>
                <w:rFonts w:eastAsiaTheme="minorEastAsia"/>
                <w:sz w:val="21"/>
                <w:szCs w:val="21"/>
                <w:u w:val="single"/>
              </w:rPr>
            </w:pPr>
            <w:r>
              <w:rPr>
                <w:sz w:val="21"/>
                <w:szCs w:val="21"/>
                <w:u w:val="single"/>
              </w:rPr>
              <w:t>一般工业固废</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445603.24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pStyle w:val="5"/>
              <w:adjustRightInd w:val="0"/>
              <w:snapToGrid w:val="0"/>
              <w:spacing w:line="240" w:lineRule="auto"/>
              <w:ind w:firstLine="0"/>
              <w:jc w:val="center"/>
              <w:rPr>
                <w:rFonts w:eastAsiaTheme="minorEastAsia"/>
                <w:sz w:val="21"/>
                <w:szCs w:val="21"/>
                <w:u w:val="single"/>
              </w:rPr>
            </w:pPr>
            <w:r>
              <w:rPr>
                <w:sz w:val="21"/>
                <w:szCs w:val="21"/>
                <w:u w:val="single"/>
              </w:rPr>
              <w:t>危险废物</w:t>
            </w:r>
          </w:p>
        </w:tc>
        <w:tc>
          <w:tcPr>
            <w:tcW w:w="2791" w:type="dxa"/>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2270.372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189" w:type="dxa"/>
            <w:gridSpan w:val="2"/>
            <w:vMerge w:val="continue"/>
            <w:vAlign w:val="center"/>
          </w:tcPr>
          <w:p>
            <w:pPr>
              <w:pStyle w:val="5"/>
              <w:adjustRightInd w:val="0"/>
              <w:snapToGrid w:val="0"/>
              <w:spacing w:line="240" w:lineRule="auto"/>
              <w:ind w:firstLine="0"/>
              <w:jc w:val="center"/>
              <w:rPr>
                <w:rFonts w:eastAsiaTheme="minorEastAsia"/>
                <w:sz w:val="21"/>
                <w:szCs w:val="21"/>
                <w:u w:val="single"/>
              </w:rPr>
            </w:pPr>
          </w:p>
        </w:tc>
        <w:tc>
          <w:tcPr>
            <w:tcW w:w="3308" w:type="dxa"/>
            <w:vAlign w:val="center"/>
          </w:tcPr>
          <w:p>
            <w:pPr>
              <w:pStyle w:val="5"/>
              <w:adjustRightInd w:val="0"/>
              <w:snapToGrid w:val="0"/>
              <w:spacing w:line="240" w:lineRule="auto"/>
              <w:ind w:firstLine="0"/>
              <w:jc w:val="center"/>
              <w:rPr>
                <w:rFonts w:eastAsiaTheme="minorEastAsia"/>
                <w:sz w:val="21"/>
                <w:szCs w:val="21"/>
                <w:u w:val="single"/>
              </w:rPr>
            </w:pPr>
            <w:r>
              <w:rPr>
                <w:sz w:val="21"/>
                <w:szCs w:val="21"/>
                <w:u w:val="single"/>
              </w:rPr>
              <w:t>生活垃圾</w:t>
            </w:r>
          </w:p>
        </w:tc>
        <w:tc>
          <w:tcPr>
            <w:tcW w:w="2791" w:type="dxa"/>
            <w:noWrap/>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1721.87</w:t>
            </w:r>
          </w:p>
        </w:tc>
      </w:tr>
    </w:tbl>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企业废水总排口污染物排放情况</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2"/>
        <w:gridCol w:w="1984"/>
        <w:gridCol w:w="2120"/>
        <w:gridCol w:w="2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污染物</w:t>
            </w:r>
          </w:p>
        </w:tc>
        <w:tc>
          <w:tcPr>
            <w:tcW w:w="1984"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排放标准</w:t>
            </w:r>
            <w:r>
              <w:rPr>
                <w:rFonts w:hint="eastAsia" w:ascii="Arial" w:hAnsi="Arial" w:eastAsia="宋体" w:cs="Arial"/>
                <w:spacing w:val="10"/>
                <w:sz w:val="21"/>
                <w:szCs w:val="21"/>
                <w:u w:val="single"/>
              </w:rPr>
              <w:t>（</w:t>
            </w:r>
            <w:r>
              <w:rPr>
                <w:rFonts w:ascii="Arial" w:hAnsi="Arial" w:eastAsia="宋体" w:cs="Arial"/>
                <w:spacing w:val="10"/>
                <w:sz w:val="21"/>
                <w:szCs w:val="21"/>
                <w:u w:val="single"/>
              </w:rPr>
              <w:t>mg/L</w:t>
            </w:r>
            <w:r>
              <w:rPr>
                <w:rFonts w:hint="eastAsia" w:ascii="Arial" w:hAnsi="Arial" w:eastAsia="宋体" w:cs="Arial"/>
                <w:spacing w:val="10"/>
                <w:sz w:val="21"/>
                <w:szCs w:val="21"/>
                <w:u w:val="single"/>
              </w:rPr>
              <w:t>）</w:t>
            </w:r>
          </w:p>
        </w:tc>
        <w:tc>
          <w:tcPr>
            <w:tcW w:w="2120"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排放浓度</w:t>
            </w:r>
            <w:r>
              <w:rPr>
                <w:rFonts w:hint="eastAsia" w:ascii="Arial" w:hAnsi="Arial" w:eastAsia="宋体" w:cs="Arial"/>
                <w:spacing w:val="10"/>
                <w:sz w:val="21"/>
                <w:szCs w:val="21"/>
                <w:u w:val="single"/>
              </w:rPr>
              <w:t>（</w:t>
            </w:r>
            <w:r>
              <w:rPr>
                <w:rFonts w:ascii="Arial" w:hAnsi="Arial" w:eastAsia="宋体" w:cs="Arial"/>
                <w:spacing w:val="10"/>
                <w:sz w:val="21"/>
                <w:szCs w:val="21"/>
                <w:u w:val="single"/>
              </w:rPr>
              <w:t>mg/L</w:t>
            </w:r>
            <w:r>
              <w:rPr>
                <w:rFonts w:hint="eastAsia" w:ascii="Arial" w:hAnsi="Arial" w:eastAsia="宋体" w:cs="Arial"/>
                <w:spacing w:val="10"/>
                <w:sz w:val="21"/>
                <w:szCs w:val="21"/>
                <w:u w:val="single"/>
              </w:rPr>
              <w:t>）</w:t>
            </w:r>
          </w:p>
        </w:tc>
        <w:tc>
          <w:tcPr>
            <w:tcW w:w="2942" w:type="dxa"/>
            <w:shd w:val="clear" w:color="auto" w:fill="auto"/>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排放量</w:t>
            </w:r>
            <w:r>
              <w:rPr>
                <w:rFonts w:hint="eastAsia" w:ascii="Arial" w:hAnsi="Arial" w:eastAsia="宋体" w:cs="Arial"/>
                <w:kern w:val="0"/>
                <w:sz w:val="21"/>
                <w:szCs w:val="21"/>
                <w:u w:val="single"/>
              </w:rPr>
              <w:t>（</w:t>
            </w:r>
            <w:r>
              <w:rPr>
                <w:rFonts w:ascii="Arial" w:hAnsi="Arial" w:eastAsia="宋体" w:cs="Arial"/>
                <w:kern w:val="0"/>
                <w:sz w:val="21"/>
                <w:szCs w:val="21"/>
                <w:u w:val="single"/>
              </w:rPr>
              <w:t>t/a</w:t>
            </w:r>
            <w:r>
              <w:rPr>
                <w:rFonts w:hint="eastAsia" w:ascii="Arial" w:hAnsi="Arial" w:eastAsia="宋体" w:cs="Arial"/>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废水量</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2120900.34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50</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58.6509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氨氮</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w:t>
            </w:r>
            <w:r>
              <w:rPr>
                <w:rFonts w:hint="eastAsia" w:ascii="Arial" w:hAnsi="Arial" w:eastAsia="宋体" w:cs="Arial"/>
                <w:kern w:val="0"/>
                <w:sz w:val="21"/>
                <w:szCs w:val="21"/>
                <w:u w:val="single"/>
              </w:rPr>
              <w:t>6</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6.0564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4722</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10014.7886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2762</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5858.2194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全盐量</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16700</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w:t>
            </w:r>
            <w:r>
              <w:rPr>
                <w:rFonts w:hint="eastAsia" w:ascii="Arial" w:hAnsi="Arial" w:eastAsia="宋体" w:cs="Arial"/>
                <w:kern w:val="0"/>
                <w:sz w:val="21"/>
                <w:szCs w:val="21"/>
                <w:u w:val="single"/>
              </w:rPr>
              <w:t>484</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15873.0080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镍</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0.5</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0.12</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0.2502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钴</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w:t>
            </w:r>
            <w:r>
              <w:rPr>
                <w:rFonts w:hint="eastAsia" w:ascii="Arial" w:hAnsi="Arial" w:eastAsia="宋体" w:cs="Arial"/>
                <w:kern w:val="0"/>
                <w:sz w:val="21"/>
                <w:szCs w:val="21"/>
                <w:u w:val="single"/>
              </w:rPr>
              <w:t>4</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0.3061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锰</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0.15</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0.3215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铜</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0.5</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42"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石油类</w:t>
            </w:r>
          </w:p>
        </w:tc>
        <w:tc>
          <w:tcPr>
            <w:tcW w:w="1984"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w:t>
            </w:r>
          </w:p>
        </w:tc>
        <w:tc>
          <w:tcPr>
            <w:tcW w:w="2120" w:type="dxa"/>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1.10</w:t>
            </w:r>
          </w:p>
        </w:tc>
        <w:tc>
          <w:tcPr>
            <w:tcW w:w="2942"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2.3282</w:t>
            </w:r>
          </w:p>
        </w:tc>
      </w:tr>
    </w:tbl>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排污许可制度执行情况</w:t>
      </w:r>
    </w:p>
    <w:p>
      <w:pPr>
        <w:pStyle w:val="5"/>
        <w:spacing w:line="500" w:lineRule="exact"/>
        <w:ind w:firstLine="490" w:firstLineChars="200"/>
        <w:rPr>
          <w:u w:val="single"/>
        </w:rPr>
      </w:pPr>
      <w:r>
        <w:rPr>
          <w:rFonts w:hint="eastAsia"/>
          <w:u w:val="single"/>
        </w:rPr>
        <w:t>2022年1月14日，钦州市生态环境局为中伟公司核发了排污许可证，编号91450706MA5QABFE4T001V。近两年，企业根据相关规定对排污许可证办理了变更申请，2024年8月，钦州市生态环境局核发了最新的排污许可证。</w:t>
      </w:r>
      <w:r>
        <w:rPr>
          <w:u w:val="single"/>
        </w:rPr>
        <w:t>大气排放总许可量：颗粒物</w:t>
      </w:r>
      <w:r>
        <w:rPr>
          <w:rFonts w:hint="eastAsia"/>
          <w:u w:val="single"/>
        </w:rPr>
        <w:t>38.4651</w:t>
      </w:r>
      <w:r>
        <w:rPr>
          <w:u w:val="single"/>
        </w:rPr>
        <w:t>t/a</w:t>
      </w:r>
      <w:r>
        <w:rPr>
          <w:rFonts w:hint="eastAsia"/>
          <w:u w:val="single"/>
        </w:rPr>
        <w:t>、</w:t>
      </w:r>
      <w:r>
        <w:rPr>
          <w:u w:val="single"/>
        </w:rPr>
        <w:t>二氧化硫</w:t>
      </w:r>
      <w:r>
        <w:rPr>
          <w:rFonts w:hint="eastAsia"/>
          <w:u w:val="single"/>
        </w:rPr>
        <w:t>624</w:t>
      </w:r>
      <w:r>
        <w:rPr>
          <w:u w:val="single"/>
        </w:rPr>
        <w:t>t/a</w:t>
      </w:r>
      <w:r>
        <w:rPr>
          <w:rFonts w:hint="eastAsia"/>
          <w:u w:val="single"/>
        </w:rPr>
        <w:t>、</w:t>
      </w:r>
      <w:r>
        <w:rPr>
          <w:u w:val="single"/>
        </w:rPr>
        <w:t>氮氧化物22</w:t>
      </w:r>
      <w:r>
        <w:rPr>
          <w:rFonts w:hint="eastAsia"/>
          <w:u w:val="single"/>
        </w:rPr>
        <w:t>4.1455</w:t>
      </w:r>
      <w:r>
        <w:rPr>
          <w:u w:val="single"/>
        </w:rPr>
        <w:t>t/a</w:t>
      </w:r>
      <w:r>
        <w:rPr>
          <w:rFonts w:hint="eastAsia"/>
          <w:u w:val="single"/>
        </w:rPr>
        <w:t>、</w:t>
      </w:r>
      <w:r>
        <w:rPr>
          <w:u w:val="single"/>
        </w:rPr>
        <w:t>砷及其化合物0.0546t/a</w:t>
      </w:r>
      <w:r>
        <w:rPr>
          <w:rFonts w:hint="eastAsia"/>
          <w:u w:val="single"/>
        </w:rPr>
        <w:t>、</w:t>
      </w:r>
      <w:r>
        <w:rPr>
          <w:u w:val="single"/>
        </w:rPr>
        <w:t>铅及其化合物0.2522t/a</w:t>
      </w:r>
      <w:r>
        <w:rPr>
          <w:rFonts w:hint="eastAsia"/>
          <w:u w:val="single"/>
        </w:rPr>
        <w:t>、</w:t>
      </w:r>
      <w:r>
        <w:rPr>
          <w:u w:val="single"/>
        </w:rPr>
        <w:t>汞及其化合物0.0066t/a</w:t>
      </w:r>
      <w:r>
        <w:rPr>
          <w:rFonts w:hint="eastAsia"/>
          <w:u w:val="single"/>
        </w:rPr>
        <w:t>、</w:t>
      </w:r>
      <w:r>
        <w:rPr>
          <w:rFonts w:hint="eastAsia"/>
          <w:u w:val="single"/>
          <w:lang w:val="en-US" w:eastAsia="zh-CN"/>
        </w:rPr>
        <w:t>镉</w:t>
      </w:r>
      <w:r>
        <w:rPr>
          <w:rFonts w:hint="eastAsia"/>
          <w:u w:val="single"/>
        </w:rPr>
        <w:t>及其化合物0.0065t/a、铬及其化合物0.2674t/a</w:t>
      </w:r>
      <w:r>
        <w:rPr>
          <w:u w:val="single"/>
        </w:rPr>
        <w:t>；废水污染物排放总量：COD</w:t>
      </w:r>
      <w:r>
        <w:rPr>
          <w:u w:val="single"/>
          <w:vertAlign w:val="subscript"/>
        </w:rPr>
        <w:t>Cr</w:t>
      </w:r>
      <w:r>
        <w:rPr>
          <w:u w:val="single"/>
        </w:rPr>
        <w:t>104.1200t/a；氨氮29.9490t/a。</w:t>
      </w:r>
    </w:p>
    <w:p>
      <w:pPr>
        <w:pStyle w:val="5"/>
        <w:spacing w:line="500" w:lineRule="exact"/>
        <w:ind w:firstLine="490" w:firstLineChars="200"/>
        <w:rPr>
          <w:u w:val="single"/>
        </w:rPr>
      </w:pPr>
      <w:r>
        <w:rPr>
          <w:rFonts w:hint="eastAsia"/>
          <w:u w:val="single"/>
        </w:rPr>
        <w:t>企业按照排污许可证要求落实管理台账，按时上传执行报告，按排污许可要求开展自行监测并上传系统。</w:t>
      </w:r>
    </w:p>
    <w:p>
      <w:pPr>
        <w:pStyle w:val="5"/>
        <w:spacing w:line="500" w:lineRule="exact"/>
        <w:ind w:firstLine="490" w:firstLineChars="200"/>
        <w:rPr>
          <w:u w:val="single"/>
        </w:rPr>
      </w:pPr>
      <w:r>
        <w:rPr>
          <w:rFonts w:hint="eastAsia"/>
          <w:u w:val="single"/>
        </w:rPr>
        <w:t>目前的排污许可证载明的工程内容包括一阶段及二阶段项目（含变更前的MSP生产线）、一体化项目、燃气锅炉项目、氢氧化钴技改项目。许可证中的大气排放总许可量仅包括主要排放口，即一体化的制酸烟气排放口及贫化炉排放口、3台燃气锅炉排放口（仅许可氮氧化物许排放量），一般排放口均没有污染物许可量。</w:t>
      </w:r>
    </w:p>
    <w:p>
      <w:pPr>
        <w:pStyle w:val="5"/>
        <w:spacing w:line="500" w:lineRule="exact"/>
        <w:ind w:firstLine="490" w:firstLineChars="200"/>
        <w:rPr>
          <w:u w:val="single"/>
        </w:rPr>
      </w:pPr>
      <w:r>
        <w:rPr>
          <w:rFonts w:hint="eastAsia"/>
          <w:u w:val="single"/>
        </w:rPr>
        <w:t>一体化项目发生重大变动，已重新编制环评报告并取得了批复，目前未进行环保验收，燃气锅炉项目也未验收。因此，本报告难以将已核发许可量的工程内容污染物实际排放量与许可量进行对比分析。</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环保投诉</w:t>
      </w:r>
    </w:p>
    <w:p>
      <w:pPr>
        <w:pStyle w:val="5"/>
        <w:spacing w:line="500" w:lineRule="exact"/>
        <w:ind w:firstLine="490" w:firstLineChars="200"/>
        <w:rPr>
          <w:u w:val="single"/>
        </w:rPr>
      </w:pPr>
      <w:r>
        <w:rPr>
          <w:rFonts w:hint="eastAsia"/>
          <w:u w:val="single"/>
        </w:rPr>
        <w:t>据调查了解，二阶段项目未接到环保投诉。</w:t>
      </w:r>
    </w:p>
    <w:p>
      <w:pPr>
        <w:spacing w:line="500" w:lineRule="exact"/>
        <w:ind w:firstLine="476"/>
        <w:rPr>
          <w:rFonts w:ascii="Arial" w:hAnsi="Arial" w:eastAsia="宋体" w:cs="Arial"/>
          <w:spacing w:val="10"/>
          <w:sz w:val="24"/>
          <w:u w:val="single"/>
        </w:rPr>
      </w:pPr>
      <w:r>
        <w:rPr>
          <w:rFonts w:ascii="Arial" w:hAnsi="Arial" w:eastAsia="宋体" w:cs="Arial"/>
          <w:spacing w:val="10"/>
          <w:sz w:val="24"/>
          <w:u w:val="single"/>
        </w:rPr>
        <w:t>通过现场踏勘、资料收集和走访了解，2023年以来中伟公司接到的环保投诉及钦州市生态环境保护综合行政执法支队（以下简称“执法支队”）现场监察核实情况如下：</w:t>
      </w:r>
    </w:p>
    <w:p>
      <w:pPr>
        <w:spacing w:line="500" w:lineRule="exact"/>
        <w:ind w:firstLine="476"/>
        <w:rPr>
          <w:rFonts w:ascii="Arial" w:hAnsi="Arial" w:eastAsia="宋体" w:cs="Arial"/>
          <w:spacing w:val="10"/>
          <w:sz w:val="24"/>
          <w:u w:val="single"/>
        </w:rPr>
      </w:pPr>
      <w:r>
        <w:rPr>
          <w:rFonts w:ascii="Arial" w:hAnsi="Arial" w:eastAsia="宋体" w:cs="Arial"/>
          <w:spacing w:val="10"/>
          <w:sz w:val="24"/>
          <w:u w:val="single"/>
        </w:rPr>
        <w:t>2023年7月，中伟公司接钦州港经济技术开发区生态环境局通知《关于钦州港鸡丁头中伟新能源科技有限公司每天释放二氧化硫的投诉》情况，中伟公司经现场排查，异味主要来源于新建一期（新能源一体化项目）厂区，经查明，导致本次厂区范围内出现间歇性异味现象的原因是电除尘防爆口腐蚀穿孔漏气，试生产期间负荷不稳定、不连续，烟气量波动变化较大。整改措施：处理富氧吹炼炉电除尘防爆口腐蚀穿孔漏气问题，更换不锈钢材质重新密封，该问题已于7月13日完成整改，共计更换5处；进一步调整与优化生产工艺，包括生产工艺设</w:t>
      </w:r>
      <w:r>
        <w:rPr>
          <w:rFonts w:hint="eastAsia" w:ascii="Arial" w:hAnsi="Arial" w:eastAsia="宋体" w:cs="Arial"/>
          <w:spacing w:val="10"/>
          <w:sz w:val="24"/>
          <w:u w:val="single"/>
          <w:lang w:val="en-US" w:eastAsia="zh-CN"/>
        </w:rPr>
        <w:t>备</w:t>
      </w:r>
      <w:r>
        <w:rPr>
          <w:rFonts w:ascii="Arial" w:hAnsi="Arial" w:eastAsia="宋体" w:cs="Arial"/>
          <w:spacing w:val="10"/>
          <w:sz w:val="24"/>
          <w:u w:val="single"/>
        </w:rPr>
        <w:t>隐患消除与技改、原辅料配比、工艺参数的控制、环保设施的控制等，确保生产的稳定性与连续性；全面排查梳理环保设备可能存在的问题，收集各运行参数，为后续设施升级改造提供依据，同时，试生产期间保障二氧化硫制酸的回收利用率，保障环保设各稳定运行及烟气指标稳定达标排放，已完成。</w:t>
      </w:r>
    </w:p>
    <w:p>
      <w:pPr>
        <w:spacing w:line="264" w:lineRule="auto"/>
        <w:ind w:firstLine="476"/>
        <w:jc w:val="center"/>
        <w:rPr>
          <w:rFonts w:ascii="Arial" w:hAnsi="Arial" w:eastAsia="宋体" w:cs="Arial"/>
          <w:spacing w:val="10"/>
          <w:sz w:val="24"/>
          <w:u w:val="single"/>
        </w:rPr>
      </w:pPr>
      <w:r>
        <w:rPr>
          <w:rFonts w:ascii="Arial" w:hAnsi="Arial" w:cs="Arial"/>
          <w:u w:val="single"/>
        </w:rPr>
        <w:drawing>
          <wp:inline distT="0" distB="0" distL="0" distR="0">
            <wp:extent cx="4307205" cy="5806440"/>
            <wp:effectExtent l="19050" t="19050" r="17145" b="228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0"/>
                    <a:stretch>
                      <a:fillRect/>
                    </a:stretch>
                  </pic:blipFill>
                  <pic:spPr>
                    <a:xfrm>
                      <a:off x="0" y="0"/>
                      <a:ext cx="4307205" cy="5806440"/>
                    </a:xfrm>
                    <a:prstGeom prst="rect">
                      <a:avLst/>
                    </a:prstGeom>
                    <a:ln w="9525">
                      <a:solidFill>
                        <a:sysClr val="windowText" lastClr="000000"/>
                      </a:solidFill>
                    </a:ln>
                  </pic:spPr>
                </pic:pic>
              </a:graphicData>
            </a:graphic>
          </wp:inline>
        </w:drawing>
      </w:r>
    </w:p>
    <w:p>
      <w:pPr>
        <w:spacing w:line="264" w:lineRule="auto"/>
        <w:ind w:firstLine="476"/>
        <w:jc w:val="center"/>
        <w:rPr>
          <w:rFonts w:ascii="Arial" w:hAnsi="Arial" w:eastAsia="宋体" w:cs="Arial"/>
          <w:spacing w:val="10"/>
          <w:sz w:val="24"/>
          <w:u w:val="single"/>
        </w:rPr>
      </w:pPr>
      <w:r>
        <w:rPr>
          <w:rFonts w:ascii="Arial" w:hAnsi="Arial" w:cs="Arial"/>
          <w:u w:val="single"/>
        </w:rPr>
        <w:drawing>
          <wp:inline distT="0" distB="0" distL="0" distR="0">
            <wp:extent cx="4213860" cy="6515100"/>
            <wp:effectExtent l="19050" t="19050" r="15240" b="190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1"/>
                    <a:stretch>
                      <a:fillRect/>
                    </a:stretch>
                  </pic:blipFill>
                  <pic:spPr>
                    <a:xfrm>
                      <a:off x="0" y="0"/>
                      <a:ext cx="4214225" cy="6515665"/>
                    </a:xfrm>
                    <a:prstGeom prst="rect">
                      <a:avLst/>
                    </a:prstGeom>
                    <a:ln w="9525">
                      <a:solidFill>
                        <a:sysClr val="windowText" lastClr="000000"/>
                      </a:solidFill>
                    </a:ln>
                  </pic:spPr>
                </pic:pic>
              </a:graphicData>
            </a:graphic>
          </wp:inline>
        </w:drawing>
      </w:r>
    </w:p>
    <w:p>
      <w:pPr>
        <w:spacing w:line="264" w:lineRule="auto"/>
        <w:ind w:firstLine="476"/>
        <w:rPr>
          <w:rFonts w:ascii="Arial" w:hAnsi="Arial" w:eastAsia="宋体" w:cs="Arial"/>
          <w:spacing w:val="10"/>
          <w:sz w:val="24"/>
          <w:u w:val="single"/>
        </w:rPr>
      </w:pPr>
      <w:r>
        <w:rPr>
          <w:rFonts w:ascii="Arial" w:hAnsi="Arial" w:eastAsia="宋体" w:cs="Arial"/>
          <w:spacing w:val="10"/>
          <w:sz w:val="24"/>
          <w:u w:val="single"/>
        </w:rPr>
        <w:t>2023年8月1日，执法支队根据群众投诉的刺激气味及烟雾缭绕问题对中伟公司进行现场检查。检查时：企业正常生产，环保设施及设备正常工作，自动在线数据符合相关限值要求；对群众信访诉求对应点位实地检查，所标注的点位距离企业二氧化硫回用制酸车间约300米，现场未发现诉求中反映的强烈二氧化硫的刺激气味，企业出示的监督性监测报告为达标；信访诉求提供的建筑物（车间）及生产厂区大道烟雾缭绕的相片经现场比对核实，一方面是拍摄地点的建筑物（车间）正好遮挡了正在正常有组织排放的烟囱，和厂区内大量分布的厂内蒸汽管道疏水阀（既热蒸汽泄压阀）点位正常排放蒸汽冷凝水（</w:t>
      </w:r>
      <w:r>
        <w:rPr>
          <w:rFonts w:hint="eastAsia" w:ascii="Arial" w:hAnsi="Arial" w:eastAsia="宋体" w:cs="Arial"/>
          <w:spacing w:val="10"/>
          <w:sz w:val="24"/>
          <w:u w:val="single"/>
          <w:lang w:eastAsia="zh-CN"/>
        </w:rPr>
        <w:t>截至目前</w:t>
      </w:r>
      <w:r>
        <w:rPr>
          <w:rFonts w:ascii="Arial" w:hAnsi="Arial" w:eastAsia="宋体" w:cs="Arial"/>
          <w:spacing w:val="10"/>
          <w:sz w:val="24"/>
          <w:u w:val="single"/>
        </w:rPr>
        <w:t>投入使用有75处），热蒸汽泄压阀泄压排出的热蒸汽，现场湿度较大，易在符合的天气条件下，出现诉求中的建筑物（车间）烟雾缭绕的情况。处理意见或要求：强化环境保护设施设备的运维管理，确保污染物稳定达标排放；企业对群众信访诉求反映的情况进行排查，消除环境安全隐患；严格落实环境保护法律法规。</w:t>
      </w:r>
    </w:p>
    <w:p>
      <w:pPr>
        <w:spacing w:line="264" w:lineRule="auto"/>
        <w:ind w:firstLine="476"/>
        <w:rPr>
          <w:rFonts w:ascii="Arial" w:hAnsi="Arial" w:eastAsia="宋体" w:cs="Arial"/>
          <w:spacing w:val="10"/>
          <w:sz w:val="24"/>
          <w:u w:val="single"/>
        </w:rPr>
      </w:pPr>
      <w:r>
        <w:rPr>
          <w:rFonts w:ascii="Arial" w:hAnsi="Arial" w:eastAsia="宋体" w:cs="Arial"/>
          <w:spacing w:val="10"/>
          <w:sz w:val="24"/>
          <w:u w:val="single"/>
        </w:rPr>
        <w:t>2023年11月20日，中伟公司接到钦州港经济技术开发区生态环境局通知，因臭味问题收到群众投诉。中伟公司随即组织相关人员开展自查自纠工作，经现场排查，出现的臭味主要来源于MSP预浸车间二氧化硫废气逸散导致。主要原因是：MSP线产品原料端更换，由外购的硫化镍更换为公司一体化项目自产的硫化镍，因生产工艺参数正在调整和优化，生产负荷及工况不稳定，烟气量波动变化较大；原有的一级“液碱喷淋吸收塔”已技改为二级“水喷淋+液碱喷淋吸收塔”系统，目前正处于试运行阶段，设施处理参数正在调试优化。整改情况：调整优化生产工艺，包括生产工艺参数、环保设施的控制等，确保生产的稳定性；排查梳理尾气吸收装置可能存在的问题，收集运行参数，为后续设施升级改造提供依据；加大厂界无组织废气的监管，通过快速检测仪不定期对厂界废气进行抽检，出现异位问题及时排查、处理。已于2023年11月29日完成整改。</w:t>
      </w:r>
    </w:p>
    <w:p>
      <w:pPr>
        <w:spacing w:line="264" w:lineRule="auto"/>
        <w:jc w:val="center"/>
        <w:rPr>
          <w:rFonts w:ascii="Arial" w:hAnsi="Arial" w:eastAsia="宋体" w:cs="Arial"/>
          <w:spacing w:val="10"/>
          <w:sz w:val="24"/>
          <w:u w:val="single"/>
        </w:rPr>
      </w:pPr>
      <w:r>
        <w:rPr>
          <w:rFonts w:ascii="Arial" w:hAnsi="Arial" w:cs="Arial"/>
          <w:u w:val="single"/>
        </w:rPr>
        <w:drawing>
          <wp:inline distT="0" distB="0" distL="0" distR="0">
            <wp:extent cx="5486400" cy="5419725"/>
            <wp:effectExtent l="19050" t="19050" r="19050" b="285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2"/>
                    <a:stretch>
                      <a:fillRect/>
                    </a:stretch>
                  </pic:blipFill>
                  <pic:spPr>
                    <a:xfrm>
                      <a:off x="0" y="0"/>
                      <a:ext cx="5486400" cy="5419725"/>
                    </a:xfrm>
                    <a:prstGeom prst="rect">
                      <a:avLst/>
                    </a:prstGeom>
                    <a:ln w="9525">
                      <a:solidFill>
                        <a:sysClr val="windowText" lastClr="000000"/>
                      </a:solidFill>
                    </a:ln>
                  </pic:spPr>
                </pic:pic>
              </a:graphicData>
            </a:graphic>
          </wp:inline>
        </w:drawing>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60" w:name="_Toc185950215"/>
      <w:r>
        <w:rPr>
          <w:rFonts w:hint="eastAsia" w:ascii="Arial" w:eastAsia="宋体" w:cs="Arial"/>
          <w:b/>
        </w:rPr>
        <w:t>变更前项目</w:t>
      </w:r>
      <w:r>
        <w:rPr>
          <w:rFonts w:ascii="Arial" w:eastAsia="宋体" w:cs="Arial"/>
          <w:b/>
        </w:rPr>
        <w:t>概况</w:t>
      </w:r>
      <w:bookmarkEnd w:id="254"/>
      <w:bookmarkEnd w:id="260"/>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二阶段项目于2021年7月28日取得环评批复（钦港环管字〔2021〕20号），原二阶段项目属于新建项目，主要新建4条1.5万吨/年三元前驱体生产线、1条2万金吨/年MSP生产线、1条2.5万吨/年镍豆镍粉处置线，配套建设相应的辅助工程、储运工程、公用工程、环保工程，年产6万金吨三元前驱体、2万金吨硫酸镍晶体、2.5万金吨硫酸镍溶液。2024年1月，针对一阶段、二阶段、三阶段项目的MSP生产线重新编制了广西中伟新能源项目一期一、二、三阶段MSP生产线变更项目环评报告，并已取得环评批复（自贸钦审批环〔2024〕2号）。2024年11月，针对一体化项目和MSP变更项目又重新编制了</w:t>
      </w:r>
      <w:r>
        <w:rPr>
          <w:rFonts w:hint="eastAsia" w:ascii="Arial" w:hAnsi="Arial" w:eastAsia="宋体" w:cs="Arial"/>
          <w:spacing w:val="10"/>
          <w:sz w:val="24"/>
          <w:szCs w:val="24"/>
          <w:u w:val="single"/>
        </w:rPr>
        <w:t>广西中伟新能源项目一期新能源材料一体化项目（重大变动），并已取得</w:t>
      </w:r>
      <w:r>
        <w:rPr>
          <w:rFonts w:hint="eastAsia" w:ascii="Arial" w:hAnsi="Arial" w:eastAsia="宋体" w:cs="Arial"/>
          <w:spacing w:val="10"/>
          <w:sz w:val="24"/>
          <w:u w:val="single"/>
        </w:rPr>
        <w:t>环评批复（自贸钦审批环〔2024〕54号）。因此，本报告不再把MSP生产线纳入变更前二阶段项目中。</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u w:val="single"/>
        </w:rPr>
        <w:t>二阶段项目的三元前驱体生产线及相关配套工程于2023年12月开展验收监测，于2024年3月完成环保验收，企业排污许可证已包括该部分内容，其环保手续均已履行。</w:t>
      </w:r>
      <w:r>
        <w:rPr>
          <w:rFonts w:hint="eastAsia" w:ascii="Arial" w:hAnsi="Arial" w:eastAsia="宋体" w:cs="Arial"/>
          <w:spacing w:val="10"/>
          <w:sz w:val="24"/>
          <w:szCs w:val="24"/>
          <w:u w:val="single"/>
        </w:rPr>
        <w:t>镍豆镍粉处置线曾于2023年建成，但因企业订单量少，较少开机调试，未进行环保验收。</w:t>
      </w:r>
    </w:p>
    <w:p>
      <w:pPr>
        <w:keepNext/>
        <w:keepLines/>
        <w:numPr>
          <w:ilvl w:val="2"/>
          <w:numId w:val="1"/>
        </w:numPr>
        <w:tabs>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已验收的三元前驱体生产线概况</w:t>
      </w:r>
    </w:p>
    <w:p>
      <w:pPr>
        <w:pStyle w:val="5"/>
        <w:ind w:firstLine="0"/>
        <w:outlineLvl w:val="4"/>
        <w:rPr>
          <w:b/>
        </w:rPr>
      </w:pPr>
      <w:r>
        <w:rPr>
          <w:rFonts w:hint="eastAsia"/>
          <w:b/>
        </w:rPr>
        <w:t>2.2.1.1三元前驱体生产线生产工艺</w:t>
      </w:r>
    </w:p>
    <w:p>
      <w:pPr>
        <w:pStyle w:val="5"/>
        <w:adjustRightInd w:val="0"/>
        <w:snapToGrid w:val="0"/>
        <w:spacing w:line="500" w:lineRule="exact"/>
      </w:pPr>
      <w:r>
        <w:rPr>
          <w:rFonts w:hint="eastAsia"/>
        </w:rPr>
        <w:t>二阶段三元前驱体共4条生产线，每条生产线在洁净车间内生产，采取车间内进出需换一次性鞋套，设置风淋门、换衣间、私物储藏柜等措施，防止携带污染物和异物进入车间。</w:t>
      </w:r>
    </w:p>
    <w:p>
      <w:pPr>
        <w:pStyle w:val="5"/>
        <w:adjustRightInd w:val="0"/>
        <w:snapToGrid w:val="0"/>
        <w:spacing w:line="500" w:lineRule="exact"/>
      </w:pPr>
      <w:r>
        <w:rPr>
          <w:rFonts w:hint="eastAsia"/>
        </w:rPr>
        <w:t>1、配料调配</w:t>
      </w:r>
    </w:p>
    <w:p>
      <w:pPr>
        <w:pStyle w:val="5"/>
        <w:adjustRightInd w:val="0"/>
        <w:snapToGrid w:val="0"/>
        <w:spacing w:line="500" w:lineRule="exact"/>
      </w:pPr>
      <w:r>
        <w:rPr>
          <w:rFonts w:hint="eastAsia"/>
        </w:rPr>
        <w:t>依托一阶段溶解车间，在常温下称取一定量外购的硫酸锰晶体投入溶解槽中溶解，同时泵入适量的纯水搅拌溶解。经溶解后的硫酸锰溶液与来自罐组</w:t>
      </w:r>
      <w:r>
        <w:t>一——</w:t>
      </w:r>
      <w:r>
        <w:rPr>
          <w:rFonts w:hint="eastAsia"/>
        </w:rPr>
        <w:t>本厂自产的硫酸镍溶液、硫酸钴溶液按比例（根据市场情况分为5、6、8系等，如8系中镍钴锰比例为8:1:1）通过管道泵入配液槽内调制成镍钴锰三元溶液。</w:t>
      </w:r>
    </w:p>
    <w:p>
      <w:pPr>
        <w:pStyle w:val="5"/>
        <w:adjustRightInd w:val="0"/>
        <w:snapToGrid w:val="0"/>
        <w:spacing w:line="500" w:lineRule="exact"/>
      </w:pPr>
      <w:r>
        <w:rPr>
          <w:rFonts w:hint="eastAsia"/>
        </w:rPr>
        <w:t>2、合成反应</w:t>
      </w:r>
    </w:p>
    <w:p>
      <w:pPr>
        <w:pStyle w:val="5"/>
      </w:pPr>
      <w:r>
        <w:rPr>
          <w:rFonts w:hint="eastAsia"/>
        </w:rPr>
        <w:t>三元前驱体合成反应方程式为：</w:t>
      </w:r>
    </w:p>
    <w:p>
      <w:pPr>
        <w:pStyle w:val="5"/>
        <w:adjustRightInd w:val="0"/>
        <w:snapToGrid w:val="0"/>
        <w:spacing w:line="500" w:lineRule="exact"/>
      </w:pPr>
      <m:oMathPara>
        <m:oMath>
          <m:r>
            <m:rPr>
              <m:sty m:val="p"/>
            </m:rPr>
            <w:rPr>
              <w:rFonts w:ascii="Cambria Math" w:hAnsi="Cambria Math"/>
            </w:rPr>
            <m:t>xNiS</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4</m:t>
              </m:r>
              <m:ctrlPr>
                <w:rPr>
                  <w:rFonts w:ascii="Cambria Math" w:hAnsi="Cambria Math"/>
                </w:rPr>
              </m:ctrlPr>
            </m:sub>
          </m:sSub>
          <m:r>
            <m:rPr>
              <m:sty m:val="p"/>
            </m:rPr>
            <w:rPr>
              <w:rFonts w:ascii="Cambria Math" w:hAnsi="Cambria Math"/>
            </w:rPr>
            <m:t>+yCoS</m:t>
          </m:r>
          <m:sSub>
            <m:sSubPr>
              <m:ctrlPr>
                <w:rPr>
                  <w:rFonts w:ascii="Cambria Math" w:hAnsi="Cambria Math"/>
                </w:rPr>
              </m:ctrlPr>
            </m:sSubPr>
            <m:e>
              <m:r>
                <m:rPr>
                  <m:sty m:val="p"/>
                </m:rPr>
                <w:rPr>
                  <w:rFonts w:ascii="Cambria Math" w:hAnsi="Cambria Math"/>
                </w:rPr>
                <m:t>O</m:t>
              </m:r>
              <m:ctrlPr>
                <w:rPr>
                  <w:rFonts w:ascii="Cambria Math" w:hAnsi="Cambria Math"/>
                </w:rPr>
              </m:ctrlPr>
            </m:e>
            <m:sub>
              <m:r>
                <w:rPr>
                  <w:rFonts w:ascii="Cambria Math" w:hAnsi="Cambria Math"/>
                </w:rPr>
                <m:t>4</m:t>
              </m:r>
              <m:ctrlPr>
                <w:rPr>
                  <w:rFonts w:ascii="Cambria Math" w:hAnsi="Cambria Math"/>
                </w:rPr>
              </m:ctrlPr>
            </m:sub>
          </m:sSub>
          <m:r>
            <m:rPr>
              <m:sty m:val="p"/>
            </m:rPr>
            <w:rPr>
              <w:rFonts w:ascii="Cambria Math" w:hAnsi="Cambria Math"/>
            </w:rPr>
            <m:t>+</m:t>
          </m:r>
          <m:d>
            <m:dPr>
              <m:ctrlPr>
                <w:rPr>
                  <w:rFonts w:ascii="Cambria Math" w:hAnsi="Cambria Math"/>
                </w:rPr>
              </m:ctrlPr>
            </m:dPr>
            <m:e>
              <m:r>
                <m:rPr>
                  <m:sty m:val="p"/>
                </m:rPr>
                <w:rPr>
                  <w:rFonts w:ascii="Cambria Math" w:hAnsi="Cambria Math"/>
                </w:rPr>
                <m:t>1−x−y</m:t>
              </m:r>
              <m:ctrlPr>
                <w:rPr>
                  <w:rFonts w:ascii="Cambria Math" w:hAnsi="Cambria Math"/>
                </w:rPr>
              </m:ctrlPr>
            </m:e>
          </m:d>
          <m:r>
            <m:rPr>
              <m:sty m:val="p"/>
            </m:rPr>
            <w:rPr>
              <w:rFonts w:ascii="Cambria Math" w:hAnsi="Cambria Math"/>
            </w:rPr>
            <m:t>MnS</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4</m:t>
              </m:r>
              <m:ctrlPr>
                <w:rPr>
                  <w:rFonts w:ascii="Cambria Math" w:hAnsi="Cambria Math"/>
                </w:rPr>
              </m:ctrlPr>
            </m:sub>
          </m:sSub>
          <m:r>
            <m:rPr>
              <m:sty m:val="p"/>
            </m:rPr>
            <w:rPr>
              <w:rFonts w:ascii="Cambria Math" w:hAnsi="Cambria Math"/>
            </w:rPr>
            <m:t>+2NaOH</m:t>
          </m:r>
          <m:box>
            <m:boxPr>
              <m:opEmu m:val="1"/>
              <m:ctrlPr>
                <w:rPr>
                  <w:rFonts w:ascii="Cambria Math" w:hAnsi="Cambria Math"/>
                </w:rPr>
              </m:ctrlPr>
            </m:boxPr>
            <m:e>
              <m:groupChr>
                <m:groupChrPr>
                  <m:chr m:val="→"/>
                  <m:vertJc m:val="bot"/>
                  <m:ctrlPr>
                    <w:rPr>
                      <w:rFonts w:ascii="Cambria Math" w:hAnsi="Cambria Math"/>
                    </w:rPr>
                  </m:ctrlPr>
                </m:groupChrPr>
                <m:e>
                  <m:r>
                    <m:rPr>
                      <m:sty m:val="p"/>
                    </m:rPr>
                    <w:rPr>
                      <w:rFonts w:ascii="Cambria Math" w:hAnsi="Cambria Math"/>
                    </w:rPr>
                    <m:t>氨水</m:t>
                  </m:r>
                  <m:ctrlPr>
                    <w:rPr>
                      <w:rFonts w:ascii="Cambria Math" w:hAnsi="Cambria Math"/>
                    </w:rPr>
                  </m:ctrlPr>
                </m:e>
              </m:groupChr>
              <m:r>
                <m:rPr>
                  <m:sty m:val="p"/>
                </m:rPr>
                <w:rPr>
                  <w:rFonts w:ascii="Cambria Math" w:hAnsi="Cambria Math"/>
                </w:rPr>
                <m:t>N</m:t>
              </m:r>
              <m:sSub>
                <m:sSubPr>
                  <m:ctrlPr>
                    <w:rPr>
                      <w:rFonts w:ascii="Cambria Math" w:hAnsi="Cambria Math"/>
                    </w:rPr>
                  </m:ctrlPr>
                </m:sSubPr>
                <m:e>
                  <m:r>
                    <m:rPr>
                      <m:sty m:val="p"/>
                    </m:rPr>
                    <w:rPr>
                      <w:rFonts w:ascii="Cambria Math" w:hAnsi="Cambria Math"/>
                    </w:rPr>
                    <m:t>i</m:t>
                  </m:r>
                  <m:ctrlPr>
                    <w:rPr>
                      <w:rFonts w:ascii="Cambria Math" w:hAnsi="Cambria Math"/>
                    </w:rPr>
                  </m:ctrlPr>
                </m:e>
                <m:sub>
                  <m:r>
                    <w:rPr>
                      <w:rFonts w:ascii="Cambria Math" w:hAnsi="Cambria Math"/>
                    </w:rPr>
                    <m:t>x</m:t>
                  </m:r>
                  <m:ctrlPr>
                    <w:rPr>
                      <w:rFonts w:ascii="Cambria Math" w:hAnsi="Cambria Math"/>
                    </w:rPr>
                  </m:ctrlPr>
                </m:sub>
              </m:sSub>
              <m:r>
                <m:rPr>
                  <m:sty m:val="p"/>
                </m:rPr>
                <w:rPr>
                  <w:rFonts w:ascii="Cambria Math" w:hAnsi="Cambria Math"/>
                </w:rPr>
                <m:t>C</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y</m:t>
                  </m:r>
                  <m:ctrlPr>
                    <w:rPr>
                      <w:rFonts w:ascii="Cambria Math" w:hAnsi="Cambria Math"/>
                    </w:rPr>
                  </m:ctrlPr>
                </m:sub>
              </m:sSub>
              <m:r>
                <m:rPr>
                  <m:sty m:val="p"/>
                </m:rPr>
                <w:rPr>
                  <w:rFonts w:ascii="Cambria Math" w:hAnsi="Cambria Math"/>
                </w:rPr>
                <m:t>M</m:t>
              </m:r>
              <m:sSub>
                <m:sSubPr>
                  <m:ctrlPr>
                    <w:rPr>
                      <w:rFonts w:ascii="Cambria Math" w:hAnsi="Cambria Math"/>
                    </w:rPr>
                  </m:ctrlPr>
                </m:sSubPr>
                <m:e>
                  <m:r>
                    <m:rPr>
                      <m:sty m:val="p"/>
                    </m:rPr>
                    <w:rPr>
                      <w:rFonts w:ascii="Cambria Math" w:hAnsi="Cambria Math"/>
                    </w:rPr>
                    <m:t>n</m:t>
                  </m:r>
                  <m:ctrlPr>
                    <w:rPr>
                      <w:rFonts w:ascii="Cambria Math" w:hAnsi="Cambria Math"/>
                    </w:rPr>
                  </m:ctrlPr>
                </m:e>
                <m:sub>
                  <m:r>
                    <m:rPr>
                      <m:sty m:val="p"/>
                    </m:rPr>
                    <w:rPr>
                      <w:rFonts w:ascii="Cambria Math" w:hAnsi="Cambria Math"/>
                    </w:rPr>
                    <m:t>（1−x−y）</m:t>
                  </m:r>
                  <m:ctrlPr>
                    <w:rPr>
                      <w:rFonts w:ascii="Cambria Math" w:hAnsi="Cambria Math"/>
                    </w:rPr>
                  </m:ctrlPr>
                </m:sub>
              </m:sSub>
              <m:sSub>
                <m:sSubPr>
                  <m:ctrlPr>
                    <w:rPr>
                      <w:rFonts w:ascii="Cambria Math" w:hAnsi="Cambria Math"/>
                    </w:rPr>
                  </m:ctrlPr>
                </m:sSubPr>
                <m:e>
                  <m:r>
                    <m:rPr>
                      <m:sty m:val="p"/>
                    </m:rPr>
                    <w:rPr>
                      <w:rFonts w:ascii="Cambria Math" w:hAnsi="Cambria Math"/>
                    </w:rPr>
                    <m:t>（OH）</m:t>
                  </m:r>
                  <m:ctrlPr>
                    <w:rPr>
                      <w:rFonts w:ascii="Cambria Math" w:hAnsi="Cambria Math"/>
                    </w:rPr>
                  </m:ctrlPr>
                </m:e>
                <m:sub>
                  <m:r>
                    <m:rPr>
                      <m:sty m:val="p"/>
                    </m:rPr>
                    <w:rPr>
                      <w:rFonts w:ascii="Cambria Math" w:hAnsi="Cambria Math"/>
                    </w:rPr>
                    <m:t>2</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Na</m:t>
                  </m:r>
                  <m:ctrlPr>
                    <w:rPr>
                      <w:rFonts w:ascii="Cambria Math" w:hAnsi="Cambria Math"/>
                    </w:rPr>
                  </m:ctrlPr>
                </m:e>
                <m:sub>
                  <m:r>
                    <m:rPr>
                      <m:sty m:val="p"/>
                    </m:rPr>
                    <w:rPr>
                      <w:rFonts w:ascii="Cambria Math" w:hAnsi="Cambria Math"/>
                    </w:rPr>
                    <m:t>2</m:t>
                  </m:r>
                  <m:ctrlPr>
                    <w:rPr>
                      <w:rFonts w:ascii="Cambria Math" w:hAnsi="Cambria Math"/>
                    </w:rPr>
                  </m:ctrlPr>
                </m:sub>
              </m:sSub>
              <m:sSub>
                <m:sSubPr>
                  <m:ctrlPr>
                    <w:rPr>
                      <w:rFonts w:ascii="Cambria Math" w:hAnsi="Cambria Math"/>
                    </w:rPr>
                  </m:ctrlPr>
                </m:sSubPr>
                <m:e>
                  <m:r>
                    <m:rPr>
                      <m:sty m:val="p"/>
                    </m:rPr>
                    <w:rPr>
                      <w:rFonts w:ascii="Cambria Math" w:hAnsi="Cambria Math"/>
                    </w:rPr>
                    <m:t>SO</m:t>
                  </m:r>
                  <m:ctrlPr>
                    <w:rPr>
                      <w:rFonts w:ascii="Cambria Math" w:hAnsi="Cambria Math"/>
                    </w:rPr>
                  </m:ctrlPr>
                </m:e>
                <m:sub>
                  <m:r>
                    <m:rPr>
                      <m:sty m:val="p"/>
                    </m:rPr>
                    <w:rPr>
                      <w:rFonts w:ascii="Cambria Math" w:hAnsi="Cambria Math"/>
                    </w:rPr>
                    <m:t>4</m:t>
                  </m:r>
                  <m:ctrlPr>
                    <w:rPr>
                      <w:rFonts w:ascii="Cambria Math" w:hAnsi="Cambria Math"/>
                    </w:rPr>
                  </m:ctrlPr>
                </m:sub>
              </m:sSub>
              <m:ctrlPr>
                <w:rPr>
                  <w:rFonts w:ascii="Cambria Math" w:hAnsi="Cambria Math"/>
                </w:rPr>
              </m:ctrlPr>
            </m:e>
          </m:box>
        </m:oMath>
      </m:oMathPara>
    </w:p>
    <w:p>
      <w:pPr>
        <w:pStyle w:val="5"/>
        <w:adjustRightInd w:val="0"/>
        <w:snapToGrid w:val="0"/>
        <w:spacing w:line="500" w:lineRule="exact"/>
      </w:pPr>
      <w:r>
        <w:t>产品为</w:t>
      </w:r>
      <w:r>
        <w:rPr>
          <w:rFonts w:hint="eastAsia"/>
        </w:rPr>
        <w:t>5、6、8系，如8系的NCM811中</w:t>
      </w:r>
      <m:oMath>
        <m:r>
          <m:rPr>
            <m:sty m:val="p"/>
          </m:rPr>
          <w:rPr>
            <w:rFonts w:ascii="Cambria Math" w:hAnsi="Cambria Math"/>
          </w:rPr>
          <m:t>x:y:</m:t>
        </m:r>
        <m:d>
          <m:dPr>
            <m:ctrlPr>
              <w:rPr>
                <w:rFonts w:ascii="Cambria Math" w:hAnsi="Cambria Math"/>
              </w:rPr>
            </m:ctrlPr>
          </m:dPr>
          <m:e>
            <m:r>
              <m:rPr>
                <m:sty m:val="p"/>
              </m:rPr>
              <w:rPr>
                <w:rFonts w:ascii="Cambria Math" w:hAnsi="Cambria Math"/>
              </w:rPr>
              <m:t>1−x−y</m:t>
            </m:r>
            <m:ctrlPr>
              <w:rPr>
                <w:rFonts w:ascii="Cambria Math" w:hAnsi="Cambria Math"/>
              </w:rPr>
            </m:ctrlPr>
          </m:e>
        </m:d>
        <m:r>
          <w:rPr>
            <w:rFonts w:ascii="Cambria Math" w:hAnsi="Cambria Math"/>
          </w:rPr>
          <m:t>=</m:t>
        </m:r>
        <m:r>
          <m:rPr>
            <m:sty m:val="p"/>
          </m:rPr>
          <w:rPr>
            <w:rFonts w:ascii="Cambria Math" w:hAnsi="Cambria Math"/>
          </w:rPr>
          <m:t>8:1:1</m:t>
        </m:r>
      </m:oMath>
      <w:r>
        <w:rPr>
          <w:rFonts w:hint="eastAsia"/>
        </w:rPr>
        <w:t>即Ni:Co:Mn=8:1:1。</w:t>
      </w:r>
    </w:p>
    <w:p>
      <w:pPr>
        <w:pStyle w:val="5"/>
        <w:adjustRightInd w:val="0"/>
        <w:snapToGrid w:val="0"/>
        <w:spacing w:line="500" w:lineRule="exact"/>
      </w:pPr>
      <w:r>
        <w:rPr>
          <w:rFonts w:hint="eastAsia"/>
        </w:rPr>
        <w:t>在反应釜中加入硫酸钴溶液和32%液碱，同时加入21%氨水（络合剂）进行反应，生成氢氧化镍钴锰沉淀和含硫酸钠、氨的水溶液。先采用蒸汽夹套升温反应釜，温度控制在</w:t>
      </w:r>
      <w:r>
        <w:t>50</w:t>
      </w:r>
      <w:r>
        <w:rPr>
          <w:rFonts w:hint="eastAsia"/>
        </w:rPr>
        <w:t>℃～</w:t>
      </w:r>
      <w:r>
        <w:t>90</w:t>
      </w:r>
      <w:r>
        <w:rPr>
          <w:rFonts w:hint="eastAsia"/>
        </w:rPr>
        <w:t>℃之间，再将各原辅料按设定的流量泵至反应釜，按照比例控制原料的供给速度。在碱稍过量的情况下，反应得率接近</w:t>
      </w:r>
      <w:r>
        <w:t>100%</w:t>
      </w:r>
      <w:r>
        <w:rPr>
          <w:rFonts w:hint="eastAsia"/>
        </w:rPr>
        <w:t>，各金属离子与</w:t>
      </w:r>
      <w:r>
        <w:t>OH</w:t>
      </w:r>
      <w:r>
        <w:rPr>
          <w:rFonts w:hint="eastAsia"/>
          <w:vertAlign w:val="superscript"/>
        </w:rPr>
        <w:t>-</w:t>
      </w:r>
      <w:r>
        <w:rPr>
          <w:rFonts w:hint="eastAsia"/>
        </w:rPr>
        <w:t>反应生成各金属氢氧化物，反应过程中不断通入氮气进行防护，由于各氢氧化物溶解度较低，各金属析出生成三元复合材料。</w:t>
      </w:r>
    </w:p>
    <w:p>
      <w:pPr>
        <w:pStyle w:val="5"/>
        <w:adjustRightInd w:val="0"/>
        <w:snapToGrid w:val="0"/>
        <w:spacing w:line="500" w:lineRule="exact"/>
      </w:pPr>
      <w:r>
        <w:t>反应好的浆料输送至陈化槽进行陈化，目的是可以使得反应进行的比较完全，而且有利于溶液继续沉积在相当一部分的小颗粒表面，使晶体进一步长大，而已经长大的晶体也可以被溶液中还存在的NH</w:t>
      </w:r>
      <w:r>
        <w:rPr>
          <w:vertAlign w:val="subscript"/>
        </w:rPr>
        <w:t>3</w:t>
      </w:r>
      <w:r>
        <w:t>·H</w:t>
      </w:r>
      <w:r>
        <w:rPr>
          <w:vertAlign w:val="subscript"/>
        </w:rPr>
        <w:t>2</w:t>
      </w:r>
      <w:r>
        <w:t>O磨掉边角，使晶体变得圆整、光滑，陈化到一定时间，沉淀产物会按照其固有的晶格规律进行定向重排，表现出较好的结晶性能。</w:t>
      </w:r>
    </w:p>
    <w:p>
      <w:pPr>
        <w:pStyle w:val="5"/>
        <w:adjustRightInd w:val="0"/>
        <w:snapToGrid w:val="0"/>
        <w:spacing w:line="500" w:lineRule="exact"/>
      </w:pPr>
      <w:r>
        <w:rPr>
          <w:rFonts w:hint="eastAsia"/>
        </w:rPr>
        <w:t>合成工序的主要污染物为合成反应过程中挥发的含氨废气（G1-1）。单条三元前驱体生产线的一半的反应釜、</w:t>
      </w:r>
      <w:r>
        <w:t>陈化槽、</w:t>
      </w:r>
      <w:r>
        <w:rPr>
          <w:rFonts w:hint="eastAsia"/>
        </w:rPr>
        <w:t>压滤机、过滤机等含氨水槽罐产生的氨气进入氨喷淋吸收塔处理后经过1根30高排气筒排放；单条生产线反应-压滤工序设置2个氨喷淋吸收塔2根30m高排气筒；本项目三元前驱体生产线反应-压滤工序共设置8个氨喷淋吸收塔8根30m高排气筒。</w:t>
      </w:r>
    </w:p>
    <w:p>
      <w:pPr>
        <w:pStyle w:val="5"/>
        <w:adjustRightInd w:val="0"/>
        <w:snapToGrid w:val="0"/>
        <w:spacing w:line="500" w:lineRule="exact"/>
      </w:pPr>
      <w:r>
        <w:rPr>
          <w:rFonts w:hint="eastAsia"/>
        </w:rPr>
        <w:t>3、沉淀处理</w:t>
      </w:r>
    </w:p>
    <w:p>
      <w:pPr>
        <w:pStyle w:val="5"/>
        <w:adjustRightInd w:val="0"/>
        <w:snapToGrid w:val="0"/>
        <w:spacing w:line="500" w:lineRule="exact"/>
      </w:pPr>
      <w:r>
        <w:rPr>
          <w:rFonts w:hint="eastAsia"/>
        </w:rPr>
        <w:t>陈化反应后的物料通过压滤机进行压滤，三元母液（W1-1）收集至母液槽暂存，再汇至水处理车间进行处理，滤渣转入离心机进行洗涤。压滤和洗涤过滤设备产生的氨气（G1-2）与合成反应废气（G1-1）一同处理。每条生产线配备1个20%硫酸储罐，定期使用硫酸对过滤设备进行清洗，每个硫酸储罐呼吸废气（G1-8）密闭收集后经吸收塔处理后各通过1根30m高排气筒排放。</w:t>
      </w:r>
    </w:p>
    <w:p>
      <w:pPr>
        <w:pStyle w:val="5"/>
        <w:adjustRightInd w:val="0"/>
        <w:snapToGrid w:val="0"/>
        <w:spacing w:line="500" w:lineRule="exact"/>
      </w:pPr>
      <w:r>
        <w:rPr>
          <w:rFonts w:hint="eastAsia"/>
        </w:rPr>
        <w:t>离心机洗涤为一次洗涤方式，即连续补充水、脱水在离心机内同时进行。洗涤使用纯水洗涤，洗涤后的物料经离心和微孔过滤器过滤，洗涤产生的三元废水（W1-2）经超滤膜、RO反渗透制纯水。超滤膜、RO反渗透产生的纯水通过管道泵入纯水站进一步处理，产生的浓水汇入母液罐与三元母液（W1-1）一同处理。洗涤后的物料经离心和微孔过滤器过滤得到的滤料送至烘箱干燥。</w:t>
      </w:r>
    </w:p>
    <w:p>
      <w:pPr>
        <w:pStyle w:val="5"/>
        <w:adjustRightInd w:val="0"/>
        <w:snapToGrid w:val="0"/>
        <w:spacing w:line="500" w:lineRule="exact"/>
      </w:pPr>
      <w:r>
        <w:rPr>
          <w:rFonts w:hint="eastAsia"/>
        </w:rPr>
        <w:t>4、烘干</w:t>
      </w:r>
    </w:p>
    <w:p>
      <w:pPr>
        <w:pStyle w:val="5"/>
        <w:adjustRightInd w:val="0"/>
        <w:snapToGrid w:val="0"/>
        <w:spacing w:line="500" w:lineRule="exact"/>
      </w:pPr>
      <w:r>
        <w:rPr>
          <w:rFonts w:hint="eastAsia"/>
        </w:rPr>
        <w:t>洗涤后的滤料进入自动化烘干机进行烘干，烘干机采用电源作为能源供热，烘干过程中产生的粉尘（G1-3）经密闭收集，单条三元前驱体生产线的一半的烘箱产生的废气进入吸收塔处理后经过1根30高排气筒排放；单条生产线烘干工序设置2个吸收塔2根30m高排气筒；本项目三元前驱体生产线烘干工序共设置8个吸收塔8根30m高排气筒。</w:t>
      </w:r>
    </w:p>
    <w:p>
      <w:pPr>
        <w:pStyle w:val="5"/>
        <w:adjustRightInd w:val="0"/>
        <w:snapToGrid w:val="0"/>
        <w:spacing w:line="500" w:lineRule="exact"/>
      </w:pPr>
      <w:r>
        <w:rPr>
          <w:rFonts w:hint="eastAsia"/>
        </w:rPr>
        <w:t>已烘干的物料进入混批工序，少量未烘干的物料进入混批工序，少量未烘干的物料进入单独烘箱进一步烘干。项目设置3台单体烘箱（一线、二线、三线各配备1台），单体烘箱规模为1t，采用电源作为能源供热，烘干过程中产生的粉尘（G1-4）经密闭收集，废气进入吸收塔处理后经过1根35高排气筒排放；本项目三元前驱体生产线单体烘箱共设置3个吸收塔3根35m高排气筒。</w:t>
      </w:r>
    </w:p>
    <w:p>
      <w:pPr>
        <w:pStyle w:val="5"/>
        <w:adjustRightInd w:val="0"/>
        <w:snapToGrid w:val="0"/>
        <w:spacing w:line="500" w:lineRule="exact"/>
      </w:pPr>
      <w:r>
        <w:rPr>
          <w:rFonts w:hint="eastAsia"/>
        </w:rPr>
        <w:t>5、混批、除铁</w:t>
      </w:r>
    </w:p>
    <w:p>
      <w:pPr>
        <w:pStyle w:val="5"/>
        <w:spacing w:line="500" w:lineRule="exact"/>
        <w:ind w:firstLine="490" w:firstLineChars="200"/>
      </w:pPr>
      <w:r>
        <w:rPr>
          <w:rFonts w:hint="eastAsia"/>
        </w:rPr>
        <w:t>干燥后得到固体氢氧化镍钴锰（三元前驱体），再由气流输送至混合机混合后，进一步混合筛分并经电磁除铁机除铁，自动包装即可入库外售。混批、过筛除铁、包装过程产生粉尘，混合机、除铁机、包装机均为密闭结构，且在封闭操作间内作业，单条三元前驱体生产线的一半的混合机混批产生的粉尘（G1-5）、除铁机过筛除铁产生的粉尘（G1-6）和包装机包装产生的粉尘（G1-7）经密闭收集后，一同通过1台布袋除尘器处理，经布袋除尘器处理后的废气与烘干机烘干废气（G1-3）一同经吸收塔处理。单条生产线混批、过筛除铁、包装工序设置2个布袋除尘器；本项目三元前驱体生产线混批、过筛除铁、包装工序共设置8个布袋除尘器。过筛除铁产生的除铁渣（S1-1）主要成为镍、钴、锰，经收集后返回厂区内一体化项目吹炼炉进一步回收镍、钴、锰等金属，不按固废管理；布袋除尘器产生的收集粉尘（S1-2）经收集后返回混批工序回用。</w:t>
      </w:r>
    </w:p>
    <w:p>
      <w:pPr>
        <w:pStyle w:val="5"/>
        <w:spacing w:line="500" w:lineRule="exact"/>
        <w:ind w:firstLine="490" w:firstLineChars="200"/>
      </w:pPr>
    </w:p>
    <w:p>
      <w:pPr>
        <w:pStyle w:val="5"/>
        <w:adjustRightInd w:val="0"/>
        <w:snapToGrid w:val="0"/>
        <w:spacing w:line="240" w:lineRule="auto"/>
        <w:ind w:firstLine="0"/>
        <w:jc w:val="center"/>
        <w:rPr>
          <w:b/>
        </w:rPr>
      </w:pPr>
      <w:r>
        <w:object>
          <v:shape id="_x0000_i1026" o:spt="75" type="#_x0000_t75" style="height:554.85pt;width:450.05pt;" o:ole="t" filled="f" o:preferrelative="t" stroked="f" coordsize="21600,21600">
            <v:path/>
            <v:fill on="f" focussize="0,0"/>
            <v:stroke on="f" joinstyle="miter"/>
            <v:imagedata r:id="rId34" o:title=""/>
            <o:lock v:ext="edit" aspectratio="t"/>
            <w10:wrap type="none"/>
            <w10:anchorlock/>
          </v:shape>
          <o:OLEObject Type="Embed" ProgID="Visio.Drawing.11" ShapeID="_x0000_i1026" DrawAspect="Content" ObjectID="_1468075726" r:id="rId33">
            <o:LockedField>false</o:LockedField>
          </o:OLEObject>
        </w:object>
      </w:r>
    </w:p>
    <w:p>
      <w:pPr>
        <w:pStyle w:val="5"/>
        <w:adjustRightInd w:val="0"/>
        <w:snapToGrid w:val="0"/>
        <w:spacing w:line="240" w:lineRule="auto"/>
        <w:ind w:firstLine="0"/>
        <w:jc w:val="center"/>
        <w:rPr>
          <w:b/>
        </w:rPr>
      </w:pPr>
      <w:r>
        <w:rPr>
          <w:b/>
        </w:rPr>
        <w:t>图2.1-</w:t>
      </w:r>
      <w:r>
        <w:rPr>
          <w:rFonts w:hint="eastAsia"/>
          <w:b/>
        </w:rPr>
        <w:t>1</w:t>
      </w:r>
      <w:r>
        <w:rPr>
          <w:b/>
        </w:rPr>
        <w:t xml:space="preserve">  三元前驱体生产线工艺流程图</w:t>
      </w:r>
    </w:p>
    <w:p>
      <w:pPr>
        <w:pStyle w:val="5"/>
        <w:ind w:firstLine="0"/>
        <w:outlineLvl w:val="4"/>
        <w:rPr>
          <w:b/>
        </w:rPr>
      </w:pPr>
      <w:r>
        <w:rPr>
          <w:rFonts w:hint="eastAsia"/>
          <w:b/>
        </w:rPr>
        <w:t>2.2.1.2三元前驱体生产线主要污染防治措施及污染源源强</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三元前驱体生产线已于2024年3月完成竣工环保验收（2023年12月开展监测），根据验收报告并结合现场踏勘，三元前驱体生产线已基本落实环评及其批复要求的环保措施。</w:t>
      </w:r>
      <w:r>
        <w:rPr>
          <w:rFonts w:ascii="Arial" w:hAnsi="Arial" w:eastAsia="宋体" w:cs="Arial"/>
          <w:spacing w:val="10"/>
          <w:sz w:val="24"/>
          <w:u w:val="single"/>
        </w:rPr>
        <w:t>根据《广西中伟新能源项目一期二阶段环境保护设施竣工验收监测报告》：</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（1）</w:t>
      </w:r>
      <w:r>
        <w:rPr>
          <w:rFonts w:ascii="Arial" w:hAnsi="Arial" w:eastAsia="宋体" w:cs="Arial"/>
          <w:spacing w:val="10"/>
          <w:sz w:val="24"/>
          <w:u w:val="single"/>
        </w:rPr>
        <w:t>4条1.5万t/a三元前驱体生产线，反应-压滤工序废气共8根排气筒，处理后的废气满足《无机化学工业污染物排放标准》（GB31573-2015）及修改单表3大气污染物排放限值要求；混批、过筛除铁、包装工序废气共8根排气筒，处理后的废气排放满足GB31573-2015及其修改单表3大气污染物排放限值要求；烘箱干燥废气共3根排气筒，处理后的废气满足GB31573-2015及其修改单表3大气污染物排放限值要求；配酸过程产生废气共4根35m高排气筒，处理后的废气满足GB31573-2015及其修改单表3大气污染物排放限值要求；母液罐、脱氨塔后的氨水罐等产生的氨气经处理后由经2根20m高排气筒排放，排放的污染物满足GB31573-2015及其修改单表3大气污染物排放限值要求；循环水处理车间挥发性气体的废水罐产生的废气经处理后由1根20m高排气筒排放，废气排放满足GB31573-2015及其修改单表3大气污染物排放限值要求；危废暂存间废气经处理后由1根20m高排气筒排放，非甲烷总烃满足《大气污染物综合排放标准》（GB16297-1996）表2二级标准要求。厂界上风向1个点、下风向3个点无组织废气颗粒物、硫酸雾、非甲烷总烃、氯化氢、氨、镍、钴、锰监测结果符合《无机化学工业污染物排放标准》（GB31573-2015）及修改单表5排放限值；臭气浓度监测结果符合《恶臭污染物排放标准》（GB14554-93）表1二级新改扩建企业浓度限值。</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（2）</w:t>
      </w:r>
      <w:r>
        <w:rPr>
          <w:rFonts w:ascii="Arial" w:hAnsi="Arial" w:eastAsia="宋体" w:cs="Arial"/>
          <w:spacing w:val="10"/>
          <w:sz w:val="24"/>
          <w:u w:val="single"/>
        </w:rPr>
        <w:t>三元前驱生产车间设施排放口的总镍、总钴及总锰的监测结果符合GB31573-2015表1污染排放限值要求，企业废水总排放口处废水各监测因子符合GB31573-2015表1污染排放限值。</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（3）厂界噪声符合《工业企业厂界环境噪声排放标准》（GB12348-2008）要求。各类固体废物得以妥善处置。</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根据验收报告并折算满负荷，核算了三元前驱体生产线主要污染源源强，详见表2-5。</w:t>
      </w:r>
    </w:p>
    <w:p>
      <w:pPr>
        <w:spacing w:line="500" w:lineRule="exact"/>
        <w:ind w:firstLine="490" w:firstLineChars="200"/>
        <w:rPr>
          <w:rFonts w:ascii="Arial" w:hAnsi="Arial" w:eastAsia="宋体" w:cs="Arial"/>
          <w:spacing w:val="10"/>
          <w:sz w:val="24"/>
          <w:u w:val="single"/>
        </w:rPr>
      </w:pPr>
    </w:p>
    <w:p>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三元前驱体主要污染防治措施及污染源强汇总表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
        <w:gridCol w:w="825"/>
        <w:gridCol w:w="1133"/>
        <w:gridCol w:w="1560"/>
        <w:gridCol w:w="4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843" w:type="dxa"/>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958" w:type="dxa"/>
            <w:gridSpan w:val="2"/>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1560" w:type="dxa"/>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排放量</w:t>
            </w:r>
            <w:r>
              <w:rPr>
                <w:rFonts w:hint="eastAsia" w:ascii="Arial" w:hAnsi="Arial" w:eastAsia="宋体" w:cs="Arial"/>
                <w:b/>
                <w:sz w:val="21"/>
                <w:szCs w:val="21"/>
              </w:rPr>
              <w:t>（</w:t>
            </w:r>
            <w:r>
              <w:rPr>
                <w:rFonts w:ascii="Arial" w:hAnsi="Arial" w:eastAsia="宋体" w:cs="Arial"/>
                <w:sz w:val="21"/>
                <w:szCs w:val="21"/>
              </w:rPr>
              <w:t>t/a</w:t>
            </w:r>
            <w:r>
              <w:rPr>
                <w:rFonts w:hint="eastAsia" w:ascii="Arial" w:hAnsi="Arial" w:eastAsia="宋体" w:cs="Arial"/>
                <w:b/>
                <w:sz w:val="21"/>
                <w:szCs w:val="21"/>
              </w:rPr>
              <w:t>）</w:t>
            </w:r>
          </w:p>
        </w:tc>
        <w:tc>
          <w:tcPr>
            <w:tcW w:w="4927" w:type="dxa"/>
            <w:shd w:val="clear" w:color="auto" w:fill="auto"/>
            <w:vAlign w:val="center"/>
          </w:tcPr>
          <w:p>
            <w:pPr>
              <w:adjustRightInd w:val="0"/>
              <w:snapToGrid w:val="0"/>
              <w:jc w:val="center"/>
              <w:rPr>
                <w:rFonts w:ascii="Arial" w:hAnsi="Arial" w:eastAsia="宋体" w:cs="Arial"/>
                <w:b/>
                <w:sz w:val="21"/>
                <w:szCs w:val="21"/>
              </w:rPr>
            </w:pPr>
            <w:r>
              <w:rPr>
                <w:rFonts w:hint="eastAsia" w:ascii="Arial" w:hAnsi="Arial" w:eastAsia="宋体" w:cs="Arial"/>
                <w:b/>
                <w:sz w:val="21"/>
                <w:szCs w:val="21"/>
              </w:rPr>
              <w:t>落实的主要污染防治措施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restart"/>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氨气</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25.883</w:t>
            </w:r>
          </w:p>
        </w:tc>
        <w:tc>
          <w:tcPr>
            <w:tcW w:w="4927" w:type="dxa"/>
            <w:vMerge w:val="restart"/>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①反应压滤工序产生的氨采用8套氨喷淋吸收塔处理后，分别由8根30m高排气筒排放；</w:t>
            </w:r>
          </w:p>
          <w:p>
            <w:pPr>
              <w:adjustRightInd w:val="0"/>
              <w:snapToGrid w:val="0"/>
              <w:jc w:val="left"/>
              <w:rPr>
                <w:rFonts w:ascii="Arial" w:hAnsi="Arial" w:eastAsia="宋体" w:cs="Arial"/>
                <w:sz w:val="21"/>
                <w:szCs w:val="21"/>
              </w:rPr>
            </w:pPr>
            <w:r>
              <w:rPr>
                <w:rFonts w:hint="eastAsia" w:ascii="Arial" w:hAnsi="Arial" w:eastAsia="宋体" w:cs="Arial"/>
                <w:sz w:val="21"/>
                <w:szCs w:val="21"/>
              </w:rPr>
              <w:t>②干燥包装工序产生的颗粒物、钴及其化合物、锰及其化合物、镍及其化合物采用8套布袋除尘器+水喷淋洗涤塔处理装置处理后，分别由8根30m高排气筒排放；</w:t>
            </w:r>
          </w:p>
          <w:p>
            <w:pPr>
              <w:adjustRightInd w:val="0"/>
              <w:snapToGrid w:val="0"/>
              <w:jc w:val="left"/>
              <w:rPr>
                <w:rFonts w:ascii="Arial" w:hAnsi="Arial" w:eastAsia="宋体" w:cs="Arial"/>
                <w:sz w:val="21"/>
                <w:szCs w:val="21"/>
              </w:rPr>
            </w:pPr>
            <w:r>
              <w:rPr>
                <w:rFonts w:hint="eastAsia" w:ascii="Arial" w:hAnsi="Arial" w:eastAsia="宋体" w:cs="Arial"/>
                <w:sz w:val="21"/>
                <w:szCs w:val="21"/>
              </w:rPr>
              <w:t>③单体烘箱产生的颗粒物、钴及其化合物、锰及其化合物、镍及其化合物采用3套水喷淋洗涤塔处理装置处理后，分别由3根30m高排气筒排放；</w:t>
            </w:r>
          </w:p>
          <w:p>
            <w:pPr>
              <w:adjustRightInd w:val="0"/>
              <w:snapToGrid w:val="0"/>
              <w:jc w:val="left"/>
              <w:rPr>
                <w:rFonts w:ascii="Arial" w:hAnsi="Arial" w:eastAsia="宋体" w:cs="Arial"/>
                <w:sz w:val="21"/>
                <w:szCs w:val="21"/>
              </w:rPr>
            </w:pPr>
            <w:r>
              <w:rPr>
                <w:rFonts w:hint="eastAsia" w:ascii="Arial" w:hAnsi="Arial" w:eastAsia="宋体" w:cs="Arial"/>
                <w:sz w:val="21"/>
                <w:szCs w:val="21"/>
              </w:rPr>
              <w:t>④</w:t>
            </w:r>
            <w:r>
              <w:rPr>
                <w:rFonts w:hint="eastAsia" w:ascii="宋体" w:hAnsi="宋体" w:eastAsia="宋体" w:cs="宋体"/>
                <w:sz w:val="21"/>
                <w:szCs w:val="21"/>
              </w:rPr>
              <w:t>水处理车间母液罐产生的氨采用</w:t>
            </w:r>
            <w:r>
              <w:rPr>
                <w:rFonts w:hint="eastAsia" w:ascii="Arial" w:hAnsi="Arial" w:eastAsia="宋体" w:cs="Arial"/>
                <w:sz w:val="21"/>
                <w:szCs w:val="21"/>
              </w:rPr>
              <w:t>氨喷淋吸收塔处理后，由1根20m高排气筒排放</w:t>
            </w:r>
            <w:r>
              <w:rPr>
                <w:rFonts w:ascii="Arial" w:hAnsi="Arial" w:eastAsia="宋体" w:cs="Arial"/>
                <w:sz w:val="21"/>
                <w:szCs w:val="21"/>
              </w:rPr>
              <w:t>；</w:t>
            </w:r>
          </w:p>
          <w:p>
            <w:pPr>
              <w:adjustRightInd w:val="0"/>
              <w:snapToGrid w:val="0"/>
              <w:jc w:val="left"/>
              <w:rPr>
                <w:rFonts w:ascii="宋体" w:hAnsi="宋体" w:eastAsia="宋体" w:cs="宋体"/>
                <w:sz w:val="21"/>
                <w:szCs w:val="21"/>
              </w:rPr>
            </w:pPr>
            <w:r>
              <w:rPr>
                <w:rFonts w:hint="eastAsia" w:ascii="Arial" w:hAnsi="Arial" w:eastAsia="宋体" w:cs="Arial"/>
                <w:sz w:val="21"/>
                <w:szCs w:val="21"/>
              </w:rPr>
              <w:t>⑤</w:t>
            </w:r>
            <w:r>
              <w:rPr>
                <w:rFonts w:hint="eastAsia" w:ascii="宋体" w:hAnsi="宋体" w:eastAsia="宋体" w:cs="宋体"/>
                <w:sz w:val="21"/>
                <w:szCs w:val="21"/>
              </w:rPr>
              <w:t>危废</w:t>
            </w:r>
            <w:r>
              <w:rPr>
                <w:rFonts w:ascii="Arial" w:hAnsi="Arial" w:eastAsia="宋体" w:cs="Arial"/>
                <w:sz w:val="21"/>
                <w:szCs w:val="21"/>
              </w:rPr>
              <w:t>暂存间产生的非甲烷总烃采用活性炭吸附装置处理后，由1根20m排气筒排放</w:t>
            </w: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hint="eastAsia" w:ascii="Arial" w:hAnsi="Arial" w:cs="Arial"/>
                <w:sz w:val="21"/>
                <w:szCs w:val="21"/>
              </w:rPr>
              <w:t>颗粒物</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4.529</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镍及其化合物</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0.0369</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钴及其化合物</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0.0009</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锰及其化合物</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0.2116</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硫酸雾</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6.015</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pStyle w:val="470"/>
              <w:rPr>
                <w:rFonts w:ascii="Arial" w:hAnsi="Arial" w:cs="Arial"/>
                <w:sz w:val="21"/>
                <w:szCs w:val="21"/>
              </w:rPr>
            </w:pPr>
            <w:r>
              <w:rPr>
                <w:rFonts w:ascii="Arial" w:hAnsi="Arial" w:cs="Arial"/>
                <w:sz w:val="21"/>
                <w:szCs w:val="21"/>
              </w:rPr>
              <w:t>VOCs</w:t>
            </w:r>
          </w:p>
        </w:tc>
        <w:tc>
          <w:tcPr>
            <w:tcW w:w="1560"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0.729</w:t>
            </w:r>
          </w:p>
        </w:tc>
        <w:tc>
          <w:tcPr>
            <w:tcW w:w="4927" w:type="dxa"/>
            <w:vMerge w:val="continue"/>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废水</w:t>
            </w:r>
          </w:p>
        </w:tc>
        <w:tc>
          <w:tcPr>
            <w:tcW w:w="825"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生活污水</w:t>
            </w:r>
          </w:p>
        </w:tc>
        <w:tc>
          <w:tcPr>
            <w:tcW w:w="1133"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1560" w:type="dxa"/>
            <w:shd w:val="clear" w:color="auto" w:fill="auto"/>
            <w:vAlign w:val="center"/>
          </w:tcPr>
          <w:p>
            <w:pPr>
              <w:adjustRightInd w:val="0"/>
              <w:snapToGrid w:val="0"/>
              <w:jc w:val="center"/>
              <w:rPr>
                <w:rFonts w:ascii="Arial" w:hAnsi="Arial" w:eastAsia="宋体" w:cs="Arial"/>
                <w:spacing w:val="10"/>
                <w:sz w:val="21"/>
              </w:rPr>
            </w:pPr>
            <w:r>
              <w:rPr>
                <w:rFonts w:hint="eastAsia" w:ascii="Arial" w:hAnsi="Arial" w:eastAsia="宋体" w:cs="Arial"/>
                <w:spacing w:val="10"/>
                <w:sz w:val="21"/>
              </w:rPr>
              <w:t>35244</w:t>
            </w:r>
          </w:p>
        </w:tc>
        <w:tc>
          <w:tcPr>
            <w:tcW w:w="4927" w:type="dxa"/>
            <w:vMerge w:val="restart"/>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采用地埋式三级化粪池处理后，通过污水管道排入大榄坪污水处理厂处理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pStyle w:val="5"/>
              <w:adjustRightInd w:val="0"/>
              <w:snapToGrid w:val="0"/>
              <w:spacing w:line="240" w:lineRule="auto"/>
              <w:ind w:firstLine="0"/>
              <w:jc w:val="center"/>
              <w:rPr>
                <w:sz w:val="21"/>
              </w:rPr>
            </w:pPr>
            <w:r>
              <w:rPr>
                <w:sz w:val="21"/>
              </w:rPr>
              <w:t>COD</w:t>
            </w:r>
          </w:p>
        </w:tc>
        <w:tc>
          <w:tcPr>
            <w:tcW w:w="1560" w:type="dxa"/>
            <w:shd w:val="clear" w:color="auto" w:fill="auto"/>
            <w:vAlign w:val="center"/>
          </w:tcPr>
          <w:p>
            <w:pPr>
              <w:adjustRightInd w:val="0"/>
              <w:snapToGrid w:val="0"/>
              <w:jc w:val="center"/>
              <w:rPr>
                <w:rFonts w:ascii="Arial" w:hAnsi="Arial" w:eastAsia="宋体" w:cs="Arial"/>
                <w:spacing w:val="10"/>
                <w:sz w:val="21"/>
              </w:rPr>
            </w:pPr>
            <w:r>
              <w:rPr>
                <w:rFonts w:hint="eastAsia" w:ascii="Arial" w:hAnsi="Arial" w:eastAsia="宋体" w:cs="Arial"/>
                <w:spacing w:val="10"/>
                <w:sz w:val="21"/>
              </w:rPr>
              <w:t>7.0488</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pStyle w:val="5"/>
              <w:adjustRightInd w:val="0"/>
              <w:snapToGrid w:val="0"/>
              <w:spacing w:line="240" w:lineRule="auto"/>
              <w:ind w:firstLine="0"/>
              <w:jc w:val="center"/>
              <w:rPr>
                <w:sz w:val="21"/>
                <w:vertAlign w:val="subscript"/>
              </w:rPr>
            </w:pPr>
            <w:r>
              <w:rPr>
                <w:sz w:val="21"/>
              </w:rPr>
              <w:t>BOD</w:t>
            </w:r>
            <w:r>
              <w:rPr>
                <w:rFonts w:hint="eastAsia"/>
                <w:sz w:val="21"/>
                <w:vertAlign w:val="subscript"/>
              </w:rPr>
              <w:t>5</w:t>
            </w:r>
          </w:p>
        </w:tc>
        <w:tc>
          <w:tcPr>
            <w:tcW w:w="1560" w:type="dxa"/>
            <w:shd w:val="clear" w:color="auto" w:fill="auto"/>
            <w:vAlign w:val="center"/>
          </w:tcPr>
          <w:p>
            <w:pPr>
              <w:adjustRightInd w:val="0"/>
              <w:snapToGrid w:val="0"/>
              <w:jc w:val="center"/>
              <w:rPr>
                <w:rFonts w:ascii="Arial" w:hAnsi="Arial" w:eastAsia="宋体" w:cs="Arial"/>
                <w:spacing w:val="10"/>
                <w:sz w:val="21"/>
              </w:rPr>
            </w:pPr>
            <w:r>
              <w:rPr>
                <w:rFonts w:hint="eastAsia" w:ascii="Arial" w:hAnsi="Arial" w:eastAsia="宋体" w:cs="Arial"/>
                <w:spacing w:val="10"/>
                <w:sz w:val="21"/>
              </w:rPr>
              <w:t>2.8195</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1560" w:type="dxa"/>
            <w:shd w:val="clear" w:color="auto" w:fill="auto"/>
            <w:vAlign w:val="center"/>
          </w:tcPr>
          <w:p>
            <w:pPr>
              <w:adjustRightInd w:val="0"/>
              <w:snapToGrid w:val="0"/>
              <w:jc w:val="center"/>
              <w:rPr>
                <w:rFonts w:ascii="Arial" w:hAnsi="Arial" w:eastAsia="宋体" w:cs="Arial"/>
                <w:spacing w:val="10"/>
                <w:sz w:val="21"/>
              </w:rPr>
            </w:pPr>
            <w:r>
              <w:rPr>
                <w:rFonts w:hint="eastAsia" w:ascii="Arial" w:hAnsi="Arial" w:eastAsia="宋体" w:cs="Arial"/>
                <w:spacing w:val="10"/>
                <w:sz w:val="21"/>
              </w:rPr>
              <w:t>0.9974</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生产废水</w:t>
            </w: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59268</w:t>
            </w:r>
          </w:p>
        </w:tc>
        <w:tc>
          <w:tcPr>
            <w:tcW w:w="4927" w:type="dxa"/>
            <w:vMerge w:val="restart"/>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三元前驱体生产线三元洗水经超滤膜、RO反渗透处理后，三元洗水纯水通过管道送至纯水站进一步制纯水回用生产，三元洗水浓水与三元母液一同暂存母液罐，通过管道泵入S7污水处理车间；在S7污水处理车间经脱氨、陶瓷膜过滤处理后，通过管道泵入S8、S9污水处理车间；在S8、S9污水处理车间经4#~12#MVR处理，冷凝水通过管道送至纯水站进一步制纯水回用生产，MVR开路母液通过管道泵入厂区综合污水处理站，在综合污水处理站经臭氧催化氧化处理后排入废水总排口，满足</w:t>
            </w:r>
            <w:r>
              <w:rPr>
                <w:rFonts w:ascii="Arial" w:hAnsi="Arial" w:eastAsia="宋体" w:cs="Arial"/>
                <w:sz w:val="21"/>
                <w:szCs w:val="21"/>
              </w:rPr>
              <w:t>《无机化学工业污染物排放标准》（GB31573-2015）直接排放标准后外排</w:t>
            </w: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2.2825</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0.3144</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3021.1622</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镍</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0.0279</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0.0023</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825" w:type="dxa"/>
            <w:vMerge w:val="continue"/>
            <w:shd w:val="clear" w:color="auto" w:fill="auto"/>
            <w:vAlign w:val="center"/>
          </w:tcPr>
          <w:p>
            <w:pPr>
              <w:adjustRightInd w:val="0"/>
              <w:snapToGrid w:val="0"/>
              <w:jc w:val="center"/>
              <w:rPr>
                <w:rFonts w:ascii="Arial" w:hAnsi="Arial" w:eastAsia="宋体" w:cs="Arial"/>
                <w:sz w:val="21"/>
                <w:szCs w:val="21"/>
              </w:rPr>
            </w:pPr>
          </w:p>
        </w:tc>
        <w:tc>
          <w:tcPr>
            <w:tcW w:w="113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锰</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0.0024</w:t>
            </w:r>
          </w:p>
        </w:tc>
        <w:tc>
          <w:tcPr>
            <w:tcW w:w="4927" w:type="dxa"/>
            <w:vMerge w:val="continue"/>
            <w:shd w:val="clear" w:color="auto" w:fill="auto"/>
            <w:vAlign w:val="center"/>
          </w:tcPr>
          <w:p>
            <w:pPr>
              <w:adjustRightInd w:val="0"/>
              <w:snapToGrid w:val="0"/>
              <w:jc w:val="left"/>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固体废物</w:t>
            </w:r>
          </w:p>
        </w:tc>
        <w:tc>
          <w:tcPr>
            <w:tcW w:w="1958"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危险废物</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4927" w:type="dxa"/>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已按照GB18597-2023建设了800m</w:t>
            </w:r>
            <w:r>
              <w:rPr>
                <w:rFonts w:hint="eastAsia" w:ascii="Arial" w:hAnsi="Arial" w:eastAsia="宋体" w:cs="Arial"/>
                <w:sz w:val="21"/>
                <w:szCs w:val="21"/>
                <w:vertAlign w:val="superscript"/>
              </w:rPr>
              <w:t>2</w:t>
            </w:r>
            <w:r>
              <w:rPr>
                <w:rFonts w:hint="eastAsia" w:ascii="Arial" w:hAnsi="Arial" w:eastAsia="宋体" w:cs="Arial"/>
                <w:sz w:val="21"/>
                <w:szCs w:val="21"/>
              </w:rPr>
              <w:t>危险废物暂存间，设有1套活性炭吸附装置处理暂存间废气。废润滑油危废间暂存，定期委托具有相应资质单位回收处理。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一般固体废物</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10.5</w:t>
            </w:r>
          </w:p>
        </w:tc>
        <w:tc>
          <w:tcPr>
            <w:tcW w:w="4927" w:type="dxa"/>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废纳滤膜、反渗透膜、未沾染危险化学品或危险废物废包装袋等外售综合利用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43" w:type="dxa"/>
            <w:vMerge w:val="continue"/>
            <w:shd w:val="clear" w:color="auto" w:fill="auto"/>
            <w:vAlign w:val="center"/>
          </w:tcPr>
          <w:p>
            <w:pPr>
              <w:adjustRightInd w:val="0"/>
              <w:snapToGrid w:val="0"/>
              <w:jc w:val="center"/>
              <w:rPr>
                <w:rFonts w:ascii="Arial" w:hAnsi="Arial" w:eastAsia="宋体" w:cs="Arial"/>
                <w:sz w:val="21"/>
                <w:szCs w:val="21"/>
              </w:rPr>
            </w:pPr>
          </w:p>
        </w:tc>
        <w:tc>
          <w:tcPr>
            <w:tcW w:w="1958"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生活垃圾</w:t>
            </w:r>
          </w:p>
        </w:tc>
        <w:tc>
          <w:tcPr>
            <w:tcW w:w="156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165</w:t>
            </w:r>
          </w:p>
        </w:tc>
        <w:tc>
          <w:tcPr>
            <w:tcW w:w="4927" w:type="dxa"/>
            <w:shd w:val="clear" w:color="auto" w:fill="auto"/>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委托环卫部门处置</w:t>
            </w:r>
          </w:p>
        </w:tc>
      </w:tr>
    </w:tbl>
    <w:p>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三元前驱体主要设备噪声源强</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2846"/>
        <w:gridCol w:w="1150"/>
        <w:gridCol w:w="1887"/>
        <w:gridCol w:w="2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noWrap/>
            <w:vAlign w:val="center"/>
          </w:tcPr>
          <w:p>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序号</w:t>
            </w:r>
          </w:p>
        </w:tc>
        <w:tc>
          <w:tcPr>
            <w:tcW w:w="2846" w:type="dxa"/>
            <w:noWrap/>
            <w:vAlign w:val="center"/>
          </w:tcPr>
          <w:p>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设备名称</w:t>
            </w:r>
          </w:p>
        </w:tc>
        <w:tc>
          <w:tcPr>
            <w:tcW w:w="1150" w:type="dxa"/>
            <w:noWrap/>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数量</w:t>
            </w:r>
          </w:p>
        </w:tc>
        <w:tc>
          <w:tcPr>
            <w:tcW w:w="1887" w:type="dxa"/>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治理措施</w:t>
            </w:r>
          </w:p>
        </w:tc>
        <w:tc>
          <w:tcPr>
            <w:tcW w:w="2255" w:type="dxa"/>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sz w:val="21"/>
                <w:szCs w:val="24"/>
              </w:rPr>
              <w:t>降噪后噪声值</w:t>
            </w:r>
            <w:r>
              <w:rPr>
                <w:rFonts w:ascii="Arial" w:hAnsi="Arial" w:eastAsia="宋体" w:cs="Arial"/>
                <w:sz w:val="21"/>
                <w:szCs w:val="24"/>
                <w:lang w:val="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284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1150"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900</w:t>
            </w:r>
          </w:p>
        </w:tc>
        <w:tc>
          <w:tcPr>
            <w:tcW w:w="1887" w:type="dxa"/>
            <w:vMerge w:val="restart"/>
            <w:vAlign w:val="center"/>
          </w:tcPr>
          <w:p>
            <w:pPr>
              <w:topLinePunct/>
              <w:autoSpaceDE w:val="0"/>
              <w:autoSpaceDN w:val="0"/>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基础减振</w:t>
            </w:r>
            <w:r>
              <w:rPr>
                <w:rFonts w:hint="eastAsia" w:ascii="Arial" w:hAnsi="Arial" w:eastAsia="宋体" w:cs="Arial"/>
                <w:kern w:val="0"/>
                <w:sz w:val="21"/>
                <w:szCs w:val="21"/>
                <w:lang w:bidi="ar"/>
              </w:rPr>
              <w:t>、</w:t>
            </w:r>
          </w:p>
          <w:p>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厂房隔声</w:t>
            </w: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284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压滤机</w:t>
            </w:r>
          </w:p>
        </w:tc>
        <w:tc>
          <w:tcPr>
            <w:tcW w:w="1150"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8</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lang w:val="zh-CN"/>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2846" w:type="dxa"/>
            <w:vAlign w:val="center"/>
          </w:tcPr>
          <w:p>
            <w:pPr>
              <w:pStyle w:val="5"/>
              <w:adjustRightInd w:val="0"/>
              <w:snapToGrid w:val="0"/>
              <w:spacing w:line="240" w:lineRule="auto"/>
              <w:ind w:firstLine="0"/>
              <w:jc w:val="center"/>
              <w:rPr>
                <w:sz w:val="21"/>
                <w:szCs w:val="21"/>
              </w:rPr>
            </w:pPr>
            <w:r>
              <w:rPr>
                <w:sz w:val="21"/>
                <w:szCs w:val="21"/>
              </w:rPr>
              <w:t>超声波振动筛</w:t>
            </w:r>
          </w:p>
        </w:tc>
        <w:tc>
          <w:tcPr>
            <w:tcW w:w="1150" w:type="dxa"/>
            <w:vAlign w:val="center"/>
          </w:tcPr>
          <w:p>
            <w:pPr>
              <w:pStyle w:val="5"/>
              <w:adjustRightInd w:val="0"/>
              <w:snapToGrid w:val="0"/>
              <w:spacing w:line="240" w:lineRule="auto"/>
              <w:ind w:firstLine="0"/>
              <w:jc w:val="center"/>
              <w:rPr>
                <w:sz w:val="21"/>
                <w:szCs w:val="21"/>
              </w:rPr>
            </w:pPr>
            <w:r>
              <w:rPr>
                <w:rFonts w:hint="eastAsia"/>
                <w:sz w:val="21"/>
                <w:szCs w:val="21"/>
              </w:rPr>
              <w:t>32</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4</w:t>
            </w:r>
          </w:p>
        </w:tc>
        <w:tc>
          <w:tcPr>
            <w:tcW w:w="2846" w:type="dxa"/>
            <w:vAlign w:val="center"/>
          </w:tcPr>
          <w:p>
            <w:pPr>
              <w:pStyle w:val="5"/>
              <w:adjustRightInd w:val="0"/>
              <w:snapToGrid w:val="0"/>
              <w:spacing w:line="240" w:lineRule="auto"/>
              <w:ind w:firstLine="0"/>
              <w:jc w:val="center"/>
              <w:rPr>
                <w:sz w:val="21"/>
                <w:szCs w:val="21"/>
              </w:rPr>
            </w:pPr>
            <w:r>
              <w:rPr>
                <w:sz w:val="21"/>
                <w:szCs w:val="21"/>
              </w:rPr>
              <w:t>浓缩机</w:t>
            </w:r>
          </w:p>
        </w:tc>
        <w:tc>
          <w:tcPr>
            <w:tcW w:w="1150" w:type="dxa"/>
            <w:vAlign w:val="center"/>
          </w:tcPr>
          <w:p>
            <w:pPr>
              <w:pStyle w:val="5"/>
              <w:adjustRightInd w:val="0"/>
              <w:snapToGrid w:val="0"/>
              <w:spacing w:line="240" w:lineRule="auto"/>
              <w:ind w:firstLine="0"/>
              <w:jc w:val="center"/>
              <w:rPr>
                <w:sz w:val="21"/>
                <w:szCs w:val="21"/>
              </w:rPr>
            </w:pPr>
            <w:r>
              <w:rPr>
                <w:rFonts w:hint="eastAsia"/>
                <w:sz w:val="21"/>
                <w:szCs w:val="21"/>
              </w:rPr>
              <w:t>128</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5</w:t>
            </w:r>
          </w:p>
        </w:tc>
        <w:tc>
          <w:tcPr>
            <w:tcW w:w="2846" w:type="dxa"/>
            <w:vAlign w:val="center"/>
          </w:tcPr>
          <w:p>
            <w:pPr>
              <w:pStyle w:val="5"/>
              <w:adjustRightInd w:val="0"/>
              <w:snapToGrid w:val="0"/>
              <w:spacing w:line="240" w:lineRule="auto"/>
              <w:ind w:firstLine="0"/>
              <w:jc w:val="center"/>
              <w:rPr>
                <w:sz w:val="21"/>
                <w:szCs w:val="21"/>
              </w:rPr>
            </w:pPr>
            <w:r>
              <w:rPr>
                <w:sz w:val="21"/>
                <w:szCs w:val="21"/>
              </w:rPr>
              <w:t>连续式烘箱</w:t>
            </w:r>
          </w:p>
        </w:tc>
        <w:tc>
          <w:tcPr>
            <w:tcW w:w="1150" w:type="dxa"/>
            <w:vAlign w:val="center"/>
          </w:tcPr>
          <w:p>
            <w:pPr>
              <w:pStyle w:val="5"/>
              <w:adjustRightInd w:val="0"/>
              <w:snapToGrid w:val="0"/>
              <w:spacing w:line="240" w:lineRule="auto"/>
              <w:ind w:firstLine="0"/>
              <w:jc w:val="center"/>
              <w:rPr>
                <w:sz w:val="21"/>
                <w:szCs w:val="21"/>
              </w:rPr>
            </w:pPr>
            <w:r>
              <w:rPr>
                <w:rFonts w:hint="eastAsia"/>
                <w:sz w:val="21"/>
                <w:szCs w:val="21"/>
              </w:rPr>
              <w:t>32</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w:t>
            </w:r>
          </w:p>
        </w:tc>
        <w:tc>
          <w:tcPr>
            <w:tcW w:w="2846" w:type="dxa"/>
            <w:vAlign w:val="center"/>
          </w:tcPr>
          <w:p>
            <w:pPr>
              <w:pStyle w:val="5"/>
              <w:adjustRightInd w:val="0"/>
              <w:snapToGrid w:val="0"/>
              <w:spacing w:line="240" w:lineRule="auto"/>
              <w:ind w:firstLine="0"/>
              <w:jc w:val="center"/>
              <w:rPr>
                <w:sz w:val="21"/>
                <w:szCs w:val="21"/>
              </w:rPr>
            </w:pPr>
            <w:r>
              <w:rPr>
                <w:sz w:val="21"/>
                <w:szCs w:val="21"/>
              </w:rPr>
              <w:t>离心机</w:t>
            </w:r>
          </w:p>
        </w:tc>
        <w:tc>
          <w:tcPr>
            <w:tcW w:w="1150" w:type="dxa"/>
            <w:vAlign w:val="center"/>
          </w:tcPr>
          <w:p>
            <w:pPr>
              <w:pStyle w:val="5"/>
              <w:adjustRightInd w:val="0"/>
              <w:snapToGrid w:val="0"/>
              <w:spacing w:line="240" w:lineRule="auto"/>
              <w:ind w:firstLine="0"/>
              <w:jc w:val="center"/>
              <w:rPr>
                <w:sz w:val="21"/>
                <w:szCs w:val="21"/>
              </w:rPr>
            </w:pPr>
            <w:r>
              <w:rPr>
                <w:rFonts w:hint="eastAsia"/>
                <w:sz w:val="21"/>
                <w:szCs w:val="21"/>
              </w:rPr>
              <w:t>160</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w:t>
            </w:r>
          </w:p>
        </w:tc>
        <w:tc>
          <w:tcPr>
            <w:tcW w:w="2846" w:type="dxa"/>
            <w:vAlign w:val="center"/>
          </w:tcPr>
          <w:p>
            <w:pPr>
              <w:pStyle w:val="5"/>
              <w:adjustRightInd w:val="0"/>
              <w:snapToGrid w:val="0"/>
              <w:spacing w:line="240" w:lineRule="auto"/>
              <w:ind w:firstLine="0"/>
              <w:jc w:val="center"/>
              <w:rPr>
                <w:sz w:val="21"/>
                <w:szCs w:val="21"/>
              </w:rPr>
            </w:pPr>
            <w:r>
              <w:rPr>
                <w:sz w:val="21"/>
                <w:szCs w:val="21"/>
              </w:rPr>
              <w:t>冷却塔</w:t>
            </w:r>
          </w:p>
        </w:tc>
        <w:tc>
          <w:tcPr>
            <w:tcW w:w="1150" w:type="dxa"/>
            <w:vAlign w:val="center"/>
          </w:tcPr>
          <w:p>
            <w:pPr>
              <w:pStyle w:val="5"/>
              <w:adjustRightInd w:val="0"/>
              <w:snapToGrid w:val="0"/>
              <w:spacing w:line="240" w:lineRule="auto"/>
              <w:ind w:firstLine="0"/>
              <w:jc w:val="center"/>
              <w:rPr>
                <w:sz w:val="21"/>
                <w:szCs w:val="21"/>
              </w:rPr>
            </w:pPr>
            <w:r>
              <w:rPr>
                <w:rFonts w:hint="eastAsia"/>
                <w:sz w:val="21"/>
                <w:szCs w:val="21"/>
              </w:rPr>
              <w:t>8</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bl>
    <w:p>
      <w:pPr>
        <w:keepNext/>
        <w:keepLines/>
        <w:numPr>
          <w:ilvl w:val="2"/>
          <w:numId w:val="1"/>
        </w:numPr>
        <w:tabs>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未验收的镍豆镍粉处置线概况</w:t>
      </w:r>
    </w:p>
    <w:p>
      <w:pPr>
        <w:pStyle w:val="5"/>
        <w:ind w:firstLine="0"/>
        <w:outlineLvl w:val="4"/>
        <w:rPr>
          <w:b/>
        </w:rPr>
      </w:pPr>
      <w:r>
        <w:rPr>
          <w:rFonts w:hint="eastAsia"/>
          <w:b/>
        </w:rPr>
        <w:t>2.2.2.1镍豆镍粉处置线工艺</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镍豆镍粉为1条2.5万吨/年镍豆镍粉处置线，年处置镍豆（粉）50000吨，年产硫酸镍2.5万金吨，</w:t>
      </w:r>
      <w:r>
        <w:rPr>
          <w:rFonts w:ascii="Arial" w:hAnsi="Arial" w:eastAsia="宋体" w:cs="Arial"/>
          <w:spacing w:val="10"/>
          <w:sz w:val="24"/>
        </w:rPr>
        <w:t>其生产工艺流程</w:t>
      </w:r>
      <w:r>
        <w:rPr>
          <w:rFonts w:hint="eastAsia" w:ascii="Arial" w:hAnsi="Arial" w:eastAsia="宋体" w:cs="Arial"/>
          <w:spacing w:val="10"/>
          <w:sz w:val="24"/>
        </w:rPr>
        <w:t>如下</w:t>
      </w:r>
      <w:r>
        <w:rPr>
          <w:rFonts w:ascii="Arial" w:hAnsi="Arial" w:eastAsia="宋体" w:cs="Arial"/>
          <w:spacing w:val="10"/>
          <w:sz w:val="24"/>
        </w:rPr>
        <w:t>。</w:t>
      </w:r>
    </w:p>
    <w:p>
      <w:pPr>
        <w:pStyle w:val="5"/>
        <w:spacing w:line="500" w:lineRule="exact"/>
        <w:ind w:firstLine="490" w:firstLineChars="200"/>
      </w:pPr>
      <w:r>
        <w:t>（1）浸出（酸浸）</w:t>
      </w:r>
    </w:p>
    <w:p>
      <w:pPr>
        <w:pStyle w:val="5"/>
        <w:spacing w:line="500" w:lineRule="exact"/>
        <w:ind w:firstLine="490" w:firstLineChars="200"/>
      </w:pPr>
      <w:r>
        <w:t>吨袋金属镍豆，使用行车将吨袋镍豆运输至金属溶解槽投料口，吨袋下方开口从投料口投入金属溶解槽的中，镍豆粒径较大（长约2~5cm），金属溶解槽负压收集，投料后立即关闭投料口，基本无粉尘产生。将98%的浓硫酸、27.5%的双氧水、纯水按照一定比例通过管道加入金属溶解槽，此时有氢气和硫酸雾产生，反应时金属溶解槽全封闭，槽上端设置排气管，负压收集金属溶解槽废气，通过密闭管道输送至酸雾喷淋吸收塔进行吸收处理。待金属镍浸出到一定浓度后，一般溶解12-18h，控制浸出液终点pH值为2.0左右，然后进行过滤，浸出液经压滤机进行固液分离。过滤液进入浸出液中转槽，滤渣返回浸出工序。</w:t>
      </w:r>
    </w:p>
    <w:p>
      <w:pPr>
        <w:pStyle w:val="5"/>
        <w:spacing w:line="500" w:lineRule="exact"/>
        <w:ind w:firstLine="490" w:firstLineChars="200"/>
      </w:pPr>
      <w:r>
        <w:t>含有硫酸挥发性物料使用暗流压滤机，暗流压滤机适用于挥发性液体过滤，即通过密闭的管道将滤液与外界密闭隔离，没有无组织废气排放，废气全部通过密闭管道收集并至浸出工序尾气系统处理，压滤的滤液通过密闭管道输送至下一工序，明流压滤机是各板框无法封闭以及压滤的水通过水龙头直接排出设备外。暗流压滤机（隔膜压滤机）工作原理：滤液由泵打入滤板进液口，滤液充满过滤式，液体透过滤布，滤渣被滤布截留，进料停止后，通入压缩空气，将滤饼中水分进一步降低。隔膜压滤机最大特点是可以进行二次干燥压榨滤饼，即压缩空气通过滤饼，将滤饼中的水分离，吹风干燥法。压缩空气等进入接液罐，接液罐的废气并入酸雾喷淋吸收塔处理。</w:t>
      </w:r>
    </w:p>
    <w:p>
      <w:pPr>
        <w:pStyle w:val="5"/>
        <w:spacing w:line="500" w:lineRule="exact"/>
        <w:ind w:firstLine="490" w:firstLineChars="200"/>
      </w:pPr>
      <w:r>
        <w:t>镍豆粉酸浸反应方程式如下：</w:t>
      </w:r>
    </w:p>
    <w:p>
      <w:pPr>
        <w:pStyle w:val="5"/>
        <w:spacing w:line="500" w:lineRule="exact"/>
        <w:ind w:firstLine="490" w:firstLineChars="200"/>
      </w:pPr>
      <w:r>
        <w:t>Ni+H</w:t>
      </w:r>
      <w:r>
        <w:rPr>
          <w:vertAlign w:val="subscript"/>
        </w:rPr>
        <w:t>2</w:t>
      </w:r>
      <w:r>
        <w:t>SO</w:t>
      </w:r>
      <w:r>
        <w:rPr>
          <w:vertAlign w:val="subscript"/>
        </w:rPr>
        <w:t>4</w:t>
      </w:r>
      <w:r>
        <w:t>—NiSO</w:t>
      </w:r>
      <w:r>
        <w:rPr>
          <w:vertAlign w:val="subscript"/>
        </w:rPr>
        <w:t>4</w:t>
      </w:r>
      <w:r>
        <w:t>+H</w:t>
      </w:r>
      <w:r>
        <w:rPr>
          <w:vertAlign w:val="subscript"/>
        </w:rPr>
        <w:t>2</w:t>
      </w:r>
      <w:r>
        <w:t>↑</w:t>
      </w:r>
    </w:p>
    <w:p>
      <w:pPr>
        <w:pStyle w:val="5"/>
        <w:spacing w:line="500" w:lineRule="exact"/>
        <w:ind w:firstLine="490" w:firstLineChars="200"/>
      </w:pPr>
      <w:r>
        <w:t>（2）除铁除铜</w:t>
      </w:r>
    </w:p>
    <w:p>
      <w:pPr>
        <w:pStyle w:val="5"/>
        <w:spacing w:line="500" w:lineRule="exact"/>
        <w:ind w:firstLine="490" w:firstLineChars="200"/>
      </w:pPr>
      <w:r>
        <w:t>中转槽溶液泵入净化槽进行除铁除铜，首先进行除铁，蒸汽加热温85</w:t>
      </w:r>
      <w:r>
        <w:rPr>
          <w:rFonts w:hint="eastAsia" w:ascii="宋体" w:hAnsi="宋体" w:cs="宋体"/>
        </w:rPr>
        <w:t>℃</w:t>
      </w:r>
      <w:r>
        <w:t>，加入27.5%双氧水将溶液中二价铁氧化成三价，再调整pH值至3.5，即加入32%液碱和水，水解沉淀去除铁离子，氢氧化铁Fe(OH)</w:t>
      </w:r>
      <w:r>
        <w:rPr>
          <w:vertAlign w:val="subscript"/>
        </w:rPr>
        <w:t>3</w:t>
      </w:r>
      <w:r>
        <w:t>开始沉淀的 pH 为2.2，完全沉淀时pH为3.5，此时氢氧化铁完全沉淀，除铁产生除铁渣。溶液再通过镍粉置换进行除铜，此时pH为3.5，除铜产生沉淀，除铜产生除铜渣，除铁除铜渣进行检测，高镍的除铁除铜渣直接至本生产线回用，低镍的除铁除铜渣（镍≤3.25%）委托有资质单位处置。净化除杂（除铁除铜）时镍粉投入量为 248.8t/a（0.75t/d），投入量较少，为人工投料，净化槽为负压收集废气，几乎不产生粉尘，净化除杂工序产生硫酸雾，净化槽投料镍粉后，全封闭，槽上端设置排气管，负压收集各槽废气，通过密闭管道输送至酸雾喷淋吸收塔进行吸收处理。含有硫酸挥发性物料的压滤机均为暗流压滤机，即通过密闭的管道将滤液与外界密闭隔离，没有无组织废气排放，全部通过密闭管道收集至并至净化除杂（除铁除铜）尾气系统处理。</w:t>
      </w:r>
    </w:p>
    <w:p>
      <w:pPr>
        <w:pStyle w:val="5"/>
        <w:spacing w:line="500" w:lineRule="exact"/>
        <w:ind w:firstLine="490" w:firstLineChars="200"/>
      </w:pPr>
      <w:r>
        <w:t>除铁、除铜合格后，溶液经压滤机过滤和微孔过滤器精滤，制备出硫酸镍溶液产品，用泵将硫酸镍溶液泵入车间中间罐，然后再泵入厂区储罐。电池级硫酸镍溶液产品供前驱体合成使用。</w:t>
      </w:r>
    </w:p>
    <w:p>
      <w:pPr>
        <w:pStyle w:val="5"/>
        <w:spacing w:line="500" w:lineRule="exact"/>
        <w:ind w:firstLine="490" w:firstLineChars="200"/>
      </w:pPr>
      <w:r>
        <w:t>原料镍豆镍粉无相应国家和行业标准，原料供应的多家企业标准为镍豆≥99.8%，镍粉≥99.7%，贵州中伟公司多年运行情况，其原料采购标准为镍豆≥99.8%，镍粉≥99.7%，多年采购镍豆镍粉实际平均值约为99.945%，杂质含量较少，除铁除铜渣产生量约为60t/a，少量的铁进入硫酸镍溶液中，在三元前驱体生产线进一步除铁。除铁除铜反应方程式如下：</w:t>
      </w:r>
    </w:p>
    <w:p>
      <w:pPr>
        <w:pStyle w:val="5"/>
        <w:spacing w:line="500" w:lineRule="exact"/>
        <w:ind w:firstLine="490" w:firstLineChars="200"/>
      </w:pPr>
      <w:r>
        <w:rPr>
          <w:rFonts w:hint="eastAsia" w:ascii="宋体" w:hAnsi="宋体" w:cs="宋体"/>
        </w:rPr>
        <w:t>①</w:t>
      </w:r>
      <w:r>
        <w:t>氧化除铁</w:t>
      </w:r>
    </w:p>
    <w:p>
      <w:pPr>
        <w:pStyle w:val="5"/>
        <w:spacing w:line="500" w:lineRule="exact"/>
        <w:ind w:firstLine="490" w:firstLineChars="200"/>
      </w:pPr>
      <w:r>
        <w:t>2Fe</w:t>
      </w:r>
      <w:r>
        <w:rPr>
          <w:vertAlign w:val="superscript"/>
        </w:rPr>
        <w:t>2+</w:t>
      </w:r>
      <w:r>
        <w:t>+H</w:t>
      </w:r>
      <w:r>
        <w:rPr>
          <w:vertAlign w:val="subscript"/>
        </w:rPr>
        <w:t>2</w:t>
      </w:r>
      <w:r>
        <w:t>O</w:t>
      </w:r>
      <w:r>
        <w:rPr>
          <w:vertAlign w:val="subscript"/>
        </w:rPr>
        <w:t>2</w:t>
      </w:r>
      <w:r>
        <w:t>+2H</w:t>
      </w:r>
      <w:r>
        <w:rPr>
          <w:vertAlign w:val="superscript"/>
        </w:rPr>
        <w:t>+</w:t>
      </w:r>
      <w:r>
        <w:t>=2Fe</w:t>
      </w:r>
      <w:r>
        <w:rPr>
          <w:vertAlign w:val="superscript"/>
        </w:rPr>
        <w:t>3+</w:t>
      </w:r>
      <w:r>
        <w:t>+2H</w:t>
      </w:r>
      <w:r>
        <w:rPr>
          <w:vertAlign w:val="subscript"/>
        </w:rPr>
        <w:t>2</w:t>
      </w:r>
      <w:r>
        <w:t>O     氧化反应</w:t>
      </w:r>
    </w:p>
    <w:p>
      <w:pPr>
        <w:pStyle w:val="5"/>
        <w:spacing w:line="500" w:lineRule="exact"/>
        <w:ind w:firstLine="490" w:firstLineChars="200"/>
      </w:pPr>
      <w:r>
        <w:t>Fe</w:t>
      </w:r>
      <w:r>
        <w:rPr>
          <w:vertAlign w:val="superscript"/>
        </w:rPr>
        <w:t>3+</w:t>
      </w:r>
      <w:r>
        <w:t>+3NaOH=Fe(OH)</w:t>
      </w:r>
      <w:r>
        <w:rPr>
          <w:vertAlign w:val="subscript"/>
        </w:rPr>
        <w:t>3</w:t>
      </w:r>
      <w:r>
        <w:t>↓+3Na</w:t>
      </w:r>
      <w:r>
        <w:rPr>
          <w:vertAlign w:val="superscript"/>
        </w:rPr>
        <w:t>+</w:t>
      </w:r>
      <w:r>
        <w:t xml:space="preserve">    沉淀除铁</w:t>
      </w:r>
    </w:p>
    <w:p>
      <w:pPr>
        <w:pStyle w:val="5"/>
        <w:spacing w:line="500" w:lineRule="exact"/>
        <w:ind w:firstLine="490" w:firstLineChars="200"/>
      </w:pPr>
      <w:r>
        <w:t>Ni</w:t>
      </w:r>
      <w:r>
        <w:rPr>
          <w:vertAlign w:val="superscript"/>
        </w:rPr>
        <w:t>2+</w:t>
      </w:r>
      <w:r>
        <w:t>+NaOH=Ni(OH)</w:t>
      </w:r>
      <w:r>
        <w:rPr>
          <w:vertAlign w:val="subscript"/>
        </w:rPr>
        <w:t>2</w:t>
      </w:r>
      <w:r>
        <w:t>↓+2Na</w:t>
      </w:r>
      <w:r>
        <w:rPr>
          <w:vertAlign w:val="superscript"/>
        </w:rPr>
        <w:t>+</w:t>
      </w:r>
      <w:r>
        <w:tab/>
      </w:r>
      <w:r>
        <w:t xml:space="preserve">     沉淀除铁产生</w:t>
      </w:r>
    </w:p>
    <w:p>
      <w:pPr>
        <w:pStyle w:val="5"/>
        <w:spacing w:line="500" w:lineRule="exact"/>
        <w:ind w:firstLine="490" w:firstLineChars="200"/>
        <w:rPr>
          <w:szCs w:val="24"/>
        </w:rPr>
      </w:pPr>
      <w:r>
        <w:rPr>
          <w:rFonts w:hint="eastAsia" w:ascii="宋体" w:hAnsi="宋体" w:cs="宋体"/>
          <w:szCs w:val="24"/>
        </w:rPr>
        <w:t>②</w:t>
      </w:r>
      <w:r>
        <w:rPr>
          <w:szCs w:val="24"/>
        </w:rPr>
        <w:t>置换除铜</w:t>
      </w:r>
    </w:p>
    <w:p>
      <w:pPr>
        <w:spacing w:line="500" w:lineRule="exact"/>
        <w:ind w:firstLine="450" w:firstLineChars="200"/>
        <w:rPr>
          <w:rFonts w:ascii="Arial" w:hAnsi="Arial" w:eastAsia="宋体" w:cs="Arial"/>
          <w:spacing w:val="10"/>
          <w:sz w:val="24"/>
          <w:szCs w:val="24"/>
        </w:rPr>
      </w:pPr>
      <w:r>
        <w:rPr>
          <w:rFonts w:ascii="Arial" w:hAnsi="Arial" w:eastAsia="宋体" w:cs="Arial"/>
          <w:sz w:val="24"/>
          <w:szCs w:val="24"/>
        </w:rPr>
        <w:t>Cu</w:t>
      </w:r>
      <w:r>
        <w:rPr>
          <w:rFonts w:ascii="Arial" w:hAnsi="Arial" w:eastAsia="宋体" w:cs="Arial"/>
          <w:sz w:val="24"/>
          <w:szCs w:val="24"/>
          <w:vertAlign w:val="superscript"/>
        </w:rPr>
        <w:t>2+</w:t>
      </w:r>
      <w:r>
        <w:rPr>
          <w:rFonts w:ascii="Arial" w:hAnsi="Arial" w:eastAsia="宋体" w:cs="Arial"/>
          <w:sz w:val="24"/>
          <w:szCs w:val="24"/>
        </w:rPr>
        <w:t>+Ni=Ni</w:t>
      </w:r>
      <w:r>
        <w:rPr>
          <w:rFonts w:ascii="Arial" w:hAnsi="Arial" w:eastAsia="宋体" w:cs="Arial"/>
          <w:sz w:val="24"/>
          <w:szCs w:val="24"/>
          <w:vertAlign w:val="superscript"/>
        </w:rPr>
        <w:t>2+</w:t>
      </w:r>
      <w:r>
        <w:rPr>
          <w:rFonts w:ascii="Arial" w:hAnsi="Arial" w:eastAsia="宋体" w:cs="Arial"/>
          <w:sz w:val="24"/>
          <w:szCs w:val="24"/>
        </w:rPr>
        <w:t>+Cu↓             还原除铜</w:t>
      </w:r>
    </w:p>
    <w:p>
      <w:pPr>
        <w:pStyle w:val="5"/>
        <w:adjustRightInd w:val="0"/>
        <w:snapToGrid w:val="0"/>
        <w:spacing w:line="240" w:lineRule="auto"/>
        <w:ind w:firstLine="0"/>
      </w:pPr>
      <w:r>
        <w:drawing>
          <wp:inline distT="0" distB="0" distL="0" distR="0">
            <wp:extent cx="5760720" cy="4881880"/>
            <wp:effectExtent l="0" t="0" r="0" b="0"/>
            <wp:docPr id="5" name="图片 5" descr="E:\微信聊天文件\WeChat Files\byghdea\FileStorage\Temp\ff32d396cade1b8d35636e45b398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微信聊天文件\WeChat Files\byghdea\FileStorage\Temp\ff32d396cade1b8d35636e45b398f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60720" cy="4881974"/>
                    </a:xfrm>
                    <a:prstGeom prst="rect">
                      <a:avLst/>
                    </a:prstGeom>
                    <a:noFill/>
                    <a:ln>
                      <a:noFill/>
                    </a:ln>
                  </pic:spPr>
                </pic:pic>
              </a:graphicData>
            </a:graphic>
          </wp:inline>
        </w:drawing>
      </w:r>
    </w:p>
    <w:p>
      <w:pPr>
        <w:pStyle w:val="5"/>
        <w:spacing w:line="500" w:lineRule="exact"/>
        <w:ind w:firstLine="0"/>
        <w:jc w:val="center"/>
        <w:rPr>
          <w:b/>
        </w:rPr>
      </w:pPr>
      <w:r>
        <w:rPr>
          <w:b/>
        </w:rPr>
        <w:t>图2.1-</w:t>
      </w:r>
      <w:r>
        <w:rPr>
          <w:rFonts w:hint="eastAsia"/>
          <w:b/>
        </w:rPr>
        <w:t>2</w:t>
      </w:r>
      <w:r>
        <w:rPr>
          <w:b/>
        </w:rPr>
        <w:t xml:space="preserve">  镍豆镍粉处置线工艺流程图</w:t>
      </w:r>
    </w:p>
    <w:p>
      <w:pPr>
        <w:pStyle w:val="5"/>
        <w:ind w:firstLine="0"/>
        <w:outlineLvl w:val="4"/>
        <w:rPr>
          <w:b/>
          <w:u w:val="single"/>
        </w:rPr>
      </w:pPr>
      <w:r>
        <w:rPr>
          <w:rFonts w:hint="eastAsia"/>
          <w:b/>
          <w:u w:val="single"/>
        </w:rPr>
        <w:t>2.2.2.2主要生产设备</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原镍豆镍粉处置线主要生产设备见表2-7。</w:t>
      </w:r>
    </w:p>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镍豆镍粉处置线主要设备表</w:t>
      </w:r>
    </w:p>
    <w:tbl>
      <w:tblPr>
        <w:tblStyle w:val="88"/>
        <w:tblW w:w="9288" w:type="dxa"/>
        <w:tblInd w:w="0" w:type="dxa"/>
        <w:tblLayout w:type="fixed"/>
        <w:tblCellMar>
          <w:top w:w="0" w:type="dxa"/>
          <w:left w:w="108" w:type="dxa"/>
          <w:bottom w:w="0" w:type="dxa"/>
          <w:right w:w="108" w:type="dxa"/>
        </w:tblCellMar>
      </w:tblPr>
      <w:tblGrid>
        <w:gridCol w:w="1155"/>
        <w:gridCol w:w="3455"/>
        <w:gridCol w:w="3100"/>
        <w:gridCol w:w="1578"/>
      </w:tblGrid>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3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3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7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bl>
    <w:p>
      <w:pPr>
        <w:pStyle w:val="5"/>
        <w:ind w:firstLine="0"/>
        <w:outlineLvl w:val="4"/>
        <w:rPr>
          <w:b/>
        </w:rPr>
      </w:pPr>
      <w:r>
        <w:rPr>
          <w:rFonts w:hint="eastAsia"/>
          <w:b/>
        </w:rPr>
        <w:t>2.2.2.3镍豆镍粉处置线主要污染防治措施及污染源源强</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1、主要污染防治措施</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镍豆镍粉处置线废气、废水及固态废物污染防治措施见表2-8。</w:t>
      </w:r>
    </w:p>
    <w:p>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镍豆镍粉处置线主要污染防治措施</w:t>
      </w:r>
    </w:p>
    <w:tbl>
      <w:tblPr>
        <w:tblStyle w:val="88"/>
        <w:tblW w:w="9288" w:type="dxa"/>
        <w:tblInd w:w="0" w:type="dxa"/>
        <w:tblLayout w:type="fixed"/>
        <w:tblCellMar>
          <w:top w:w="0" w:type="dxa"/>
          <w:left w:w="108" w:type="dxa"/>
          <w:bottom w:w="0" w:type="dxa"/>
          <w:right w:w="108" w:type="dxa"/>
        </w:tblCellMar>
      </w:tblPr>
      <w:tblGrid>
        <w:gridCol w:w="674"/>
        <w:gridCol w:w="4254"/>
        <w:gridCol w:w="4360"/>
      </w:tblGrid>
      <w:tr>
        <w:tblPrEx>
          <w:tblLayout w:type="fixed"/>
          <w:tblCellMar>
            <w:top w:w="0" w:type="dxa"/>
            <w:left w:w="108" w:type="dxa"/>
            <w:bottom w:w="0" w:type="dxa"/>
            <w:right w:w="108" w:type="dxa"/>
          </w:tblCellMar>
        </w:tblPrEx>
        <w:trPr>
          <w:trHeight w:val="340"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类别</w:t>
            </w:r>
          </w:p>
        </w:tc>
        <w:tc>
          <w:tcPr>
            <w:tcW w:w="4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污染防治措施</w:t>
            </w:r>
          </w:p>
        </w:tc>
        <w:tc>
          <w:tcPr>
            <w:tcW w:w="4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说明</w:t>
            </w:r>
          </w:p>
        </w:tc>
      </w:tr>
      <w:tr>
        <w:tblPrEx>
          <w:tblLayout w:type="fixed"/>
          <w:tblCellMar>
            <w:top w:w="0" w:type="dxa"/>
            <w:left w:w="108" w:type="dxa"/>
            <w:bottom w:w="0" w:type="dxa"/>
            <w:right w:w="108" w:type="dxa"/>
          </w:tblCellMar>
        </w:tblPrEx>
        <w:trPr>
          <w:trHeight w:val="340"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废气</w:t>
            </w:r>
          </w:p>
        </w:tc>
        <w:tc>
          <w:tcPr>
            <w:tcW w:w="4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镍溶解废气经1套吸收塔处理后通过1根20m高排气筒排放；镍净化废气经1套吸收塔处理后通过1根20m高排气筒排放。</w:t>
            </w:r>
          </w:p>
        </w:tc>
        <w:tc>
          <w:tcPr>
            <w:tcW w:w="4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原环评镍溶解废气拟设4套吸收塔及4根20m高排气筒，实际仅建设了1套吸收塔及1根20m高排气筒；镍净化废气拟设2套吸收塔及2根20m高排气筒，实际仅建设了1套吸收塔及1根20m高排气筒</w:t>
            </w:r>
          </w:p>
        </w:tc>
      </w:tr>
      <w:tr>
        <w:tblPrEx>
          <w:tblLayout w:type="fixed"/>
          <w:tblCellMar>
            <w:top w:w="0" w:type="dxa"/>
            <w:left w:w="108" w:type="dxa"/>
            <w:bottom w:w="0" w:type="dxa"/>
            <w:right w:w="108" w:type="dxa"/>
          </w:tblCellMar>
        </w:tblPrEx>
        <w:trPr>
          <w:trHeight w:val="340"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废水</w:t>
            </w:r>
          </w:p>
        </w:tc>
        <w:tc>
          <w:tcPr>
            <w:tcW w:w="4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镍豆镍粉处置线无生产废水排放；生活污水采用地埋式三级化粪池处理后，通过污水管道排入大榄坪污水处理厂处理；纯水站浓水与综合污水处理站处理后的废水一同排往厂区生产废水总排口。</w:t>
            </w:r>
          </w:p>
        </w:tc>
        <w:tc>
          <w:tcPr>
            <w:tcW w:w="4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w:t>
            </w:r>
          </w:p>
        </w:tc>
      </w:tr>
      <w:tr>
        <w:tblPrEx>
          <w:tblLayout w:type="fixed"/>
          <w:tblCellMar>
            <w:top w:w="0" w:type="dxa"/>
            <w:left w:w="108" w:type="dxa"/>
            <w:bottom w:w="0" w:type="dxa"/>
            <w:right w:w="108" w:type="dxa"/>
          </w:tblCellMar>
        </w:tblPrEx>
        <w:trPr>
          <w:trHeight w:val="340"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固体废物</w:t>
            </w:r>
          </w:p>
        </w:tc>
        <w:tc>
          <w:tcPr>
            <w:tcW w:w="4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低镍除铁除铜渣暂存于危废暂存间，委托有资质的单位处置；生活垃圾委托环卫部门处理。</w:t>
            </w:r>
          </w:p>
        </w:tc>
        <w:tc>
          <w:tcPr>
            <w:tcW w:w="4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w:t>
            </w:r>
          </w:p>
        </w:tc>
      </w:tr>
    </w:tbl>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2、污染源强</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根据二阶段项目环评报告，镍豆镍粉处置线无工艺废水排放，主要的废水为纯水站浓水和生活污水；主要废气为镍溶解和镍净化工序产生的硫酸雾；产生的固体废物为除铁除铜渣及生活垃圾。镍豆镍粉处置线污染源源强见表2-9、表2-10。</w:t>
      </w:r>
    </w:p>
    <w:p>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镍豆镍粉处置线主要污染防治措施及污染源强汇总表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702"/>
        <w:gridCol w:w="2552"/>
        <w:gridCol w:w="3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384" w:type="dxa"/>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4254" w:type="dxa"/>
            <w:gridSpan w:val="2"/>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3650" w:type="dxa"/>
            <w:shd w:val="clear" w:color="auto" w:fill="auto"/>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排放量</w:t>
            </w:r>
            <w:r>
              <w:rPr>
                <w:rFonts w:hint="eastAsia" w:ascii="Arial" w:hAnsi="Arial" w:eastAsia="宋体" w:cs="Arial"/>
                <w:b/>
                <w:sz w:val="21"/>
                <w:szCs w:val="21"/>
              </w:rPr>
              <w:t>（</w:t>
            </w:r>
            <w:r>
              <w:rPr>
                <w:rFonts w:ascii="Arial" w:hAnsi="Arial" w:eastAsia="宋体" w:cs="Arial"/>
                <w:sz w:val="21"/>
                <w:szCs w:val="21"/>
              </w:rPr>
              <w:t>t/a</w:t>
            </w:r>
            <w:r>
              <w:rPr>
                <w:rFonts w:hint="eastAsia" w:ascii="Arial" w:hAnsi="Arial" w:eastAsia="宋体" w:cs="Arial"/>
                <w:b/>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4254" w:type="dxa"/>
            <w:gridSpan w:val="2"/>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废水</w:t>
            </w:r>
          </w:p>
        </w:tc>
        <w:tc>
          <w:tcPr>
            <w:tcW w:w="1702"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生活污水</w:t>
            </w:r>
          </w:p>
        </w:tc>
        <w:tc>
          <w:tcPr>
            <w:tcW w:w="255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1702" w:type="dxa"/>
            <w:vMerge w:val="continue"/>
            <w:shd w:val="clear" w:color="auto" w:fill="auto"/>
            <w:vAlign w:val="center"/>
          </w:tcPr>
          <w:p>
            <w:pPr>
              <w:adjustRightInd w:val="0"/>
              <w:snapToGrid w:val="0"/>
              <w:jc w:val="center"/>
              <w:rPr>
                <w:rFonts w:ascii="Arial" w:hAnsi="Arial" w:eastAsia="宋体" w:cs="Arial"/>
                <w:sz w:val="21"/>
                <w:szCs w:val="21"/>
              </w:rPr>
            </w:pPr>
          </w:p>
        </w:tc>
        <w:tc>
          <w:tcPr>
            <w:tcW w:w="2552" w:type="dxa"/>
            <w:shd w:val="clear" w:color="auto" w:fill="auto"/>
            <w:vAlign w:val="center"/>
          </w:tcPr>
          <w:p>
            <w:pPr>
              <w:pStyle w:val="5"/>
              <w:adjustRightInd w:val="0"/>
              <w:snapToGrid w:val="0"/>
              <w:spacing w:line="240" w:lineRule="auto"/>
              <w:ind w:firstLine="0"/>
              <w:jc w:val="center"/>
              <w:rPr>
                <w:sz w:val="21"/>
              </w:rPr>
            </w:pPr>
            <w:r>
              <w:rPr>
                <w:sz w:val="21"/>
              </w:rPr>
              <w:t>COD</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1702" w:type="dxa"/>
            <w:vMerge w:val="continue"/>
            <w:shd w:val="clear" w:color="auto" w:fill="auto"/>
            <w:vAlign w:val="center"/>
          </w:tcPr>
          <w:p>
            <w:pPr>
              <w:adjustRightInd w:val="0"/>
              <w:snapToGrid w:val="0"/>
              <w:jc w:val="center"/>
              <w:rPr>
                <w:rFonts w:ascii="Arial" w:hAnsi="Arial" w:eastAsia="宋体" w:cs="Arial"/>
                <w:sz w:val="21"/>
                <w:szCs w:val="21"/>
              </w:rPr>
            </w:pPr>
          </w:p>
        </w:tc>
        <w:tc>
          <w:tcPr>
            <w:tcW w:w="2552" w:type="dxa"/>
            <w:shd w:val="clear" w:color="auto" w:fill="auto"/>
            <w:vAlign w:val="center"/>
          </w:tcPr>
          <w:p>
            <w:pPr>
              <w:pStyle w:val="5"/>
              <w:adjustRightInd w:val="0"/>
              <w:snapToGrid w:val="0"/>
              <w:spacing w:line="240" w:lineRule="auto"/>
              <w:ind w:firstLine="0"/>
              <w:jc w:val="center"/>
              <w:rPr>
                <w:sz w:val="21"/>
                <w:vertAlign w:val="subscript"/>
              </w:rPr>
            </w:pPr>
            <w:r>
              <w:rPr>
                <w:sz w:val="21"/>
              </w:rPr>
              <w:t>BOD</w:t>
            </w:r>
            <w:r>
              <w:rPr>
                <w:rFonts w:hint="eastAsia"/>
                <w:sz w:val="21"/>
                <w:vertAlign w:val="subscript"/>
              </w:rPr>
              <w:t>5</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1702" w:type="dxa"/>
            <w:vMerge w:val="continue"/>
            <w:shd w:val="clear" w:color="auto" w:fill="auto"/>
            <w:vAlign w:val="center"/>
          </w:tcPr>
          <w:p>
            <w:pPr>
              <w:adjustRightInd w:val="0"/>
              <w:snapToGrid w:val="0"/>
              <w:jc w:val="center"/>
              <w:rPr>
                <w:rFonts w:ascii="Arial" w:hAnsi="Arial" w:eastAsia="宋体" w:cs="Arial"/>
                <w:sz w:val="21"/>
                <w:szCs w:val="21"/>
              </w:rPr>
            </w:pPr>
          </w:p>
        </w:tc>
        <w:tc>
          <w:tcPr>
            <w:tcW w:w="2552" w:type="dxa"/>
            <w:shd w:val="clear" w:color="auto" w:fill="auto"/>
            <w:vAlign w:val="center"/>
          </w:tcPr>
          <w:p>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1702"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纯水站浓水</w:t>
            </w:r>
          </w:p>
        </w:tc>
        <w:tc>
          <w:tcPr>
            <w:tcW w:w="255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144767.7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1702" w:type="dxa"/>
            <w:vMerge w:val="continue"/>
            <w:shd w:val="clear" w:color="auto" w:fill="auto"/>
            <w:vAlign w:val="center"/>
          </w:tcPr>
          <w:p>
            <w:pPr>
              <w:adjustRightInd w:val="0"/>
              <w:snapToGrid w:val="0"/>
              <w:jc w:val="center"/>
              <w:rPr>
                <w:rFonts w:ascii="Arial" w:hAnsi="Arial" w:eastAsia="宋体" w:cs="Arial"/>
                <w:sz w:val="21"/>
                <w:szCs w:val="21"/>
              </w:rPr>
            </w:pPr>
          </w:p>
        </w:tc>
        <w:tc>
          <w:tcPr>
            <w:tcW w:w="255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含盐量</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37.6396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restart"/>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固体废物</w:t>
            </w:r>
          </w:p>
        </w:tc>
        <w:tc>
          <w:tcPr>
            <w:tcW w:w="170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危险废物</w:t>
            </w:r>
          </w:p>
        </w:tc>
        <w:tc>
          <w:tcPr>
            <w:tcW w:w="255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低镍除铁除铜渣</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4254"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一般固体废物</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4" w:type="dxa"/>
            <w:vMerge w:val="continue"/>
            <w:shd w:val="clear" w:color="auto" w:fill="auto"/>
            <w:vAlign w:val="center"/>
          </w:tcPr>
          <w:p>
            <w:pPr>
              <w:adjustRightInd w:val="0"/>
              <w:snapToGrid w:val="0"/>
              <w:jc w:val="center"/>
              <w:rPr>
                <w:rFonts w:ascii="Arial" w:hAnsi="Arial" w:eastAsia="宋体" w:cs="Arial"/>
                <w:sz w:val="21"/>
                <w:szCs w:val="21"/>
              </w:rPr>
            </w:pPr>
          </w:p>
        </w:tc>
        <w:tc>
          <w:tcPr>
            <w:tcW w:w="4254" w:type="dxa"/>
            <w:gridSpan w:val="2"/>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生活垃圾</w:t>
            </w:r>
          </w:p>
        </w:tc>
        <w:tc>
          <w:tcPr>
            <w:tcW w:w="365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r>
    </w:tbl>
    <w:p>
      <w:pPr>
        <w:keepNext/>
        <w:numPr>
          <w:ilvl w:val="0"/>
          <w:numId w:val="12"/>
        </w:numPr>
        <w:spacing w:line="480" w:lineRule="exact"/>
        <w:ind w:left="0" w:firstLine="0"/>
        <w:jc w:val="center"/>
        <w:outlineLvl w:val="5"/>
        <w:rPr>
          <w:rFonts w:ascii="Arial" w:hAnsi="Arial" w:eastAsia="宋体" w:cs="Arial"/>
          <w:b/>
          <w:spacing w:val="10"/>
          <w:sz w:val="24"/>
        </w:rPr>
      </w:pPr>
      <w:bookmarkStart w:id="261" w:name="_Toc104677251"/>
      <w:r>
        <w:rPr>
          <w:rFonts w:hint="eastAsia" w:ascii="Arial" w:hAnsi="Arial" w:eastAsia="宋体" w:cs="Arial"/>
          <w:b/>
          <w:spacing w:val="10"/>
          <w:sz w:val="24"/>
        </w:rPr>
        <w:t>镍豆镍粉处置线主要设备噪声源强</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2846"/>
        <w:gridCol w:w="1150"/>
        <w:gridCol w:w="1887"/>
        <w:gridCol w:w="2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noWrap/>
            <w:vAlign w:val="center"/>
          </w:tcPr>
          <w:p>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序号</w:t>
            </w:r>
          </w:p>
        </w:tc>
        <w:tc>
          <w:tcPr>
            <w:tcW w:w="2846" w:type="dxa"/>
            <w:noWrap/>
            <w:vAlign w:val="center"/>
          </w:tcPr>
          <w:p>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设备名称</w:t>
            </w:r>
          </w:p>
        </w:tc>
        <w:tc>
          <w:tcPr>
            <w:tcW w:w="1150" w:type="dxa"/>
            <w:noWrap/>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数量</w:t>
            </w:r>
          </w:p>
        </w:tc>
        <w:tc>
          <w:tcPr>
            <w:tcW w:w="1887" w:type="dxa"/>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治理措施</w:t>
            </w:r>
          </w:p>
        </w:tc>
        <w:tc>
          <w:tcPr>
            <w:tcW w:w="2255" w:type="dxa"/>
            <w:vAlign w:val="center"/>
          </w:tcPr>
          <w:p>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sz w:val="21"/>
                <w:szCs w:val="24"/>
              </w:rPr>
              <w:t>降噪后噪声值</w:t>
            </w:r>
            <w:r>
              <w:rPr>
                <w:rFonts w:ascii="Arial" w:hAnsi="Arial" w:eastAsia="宋体" w:cs="Arial"/>
                <w:sz w:val="21"/>
                <w:szCs w:val="24"/>
                <w:lang w:val="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284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1150"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54</w:t>
            </w:r>
          </w:p>
        </w:tc>
        <w:tc>
          <w:tcPr>
            <w:tcW w:w="1887" w:type="dxa"/>
            <w:vMerge w:val="restart"/>
            <w:vAlign w:val="center"/>
          </w:tcPr>
          <w:p>
            <w:pPr>
              <w:topLinePunct/>
              <w:autoSpaceDE w:val="0"/>
              <w:autoSpaceDN w:val="0"/>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基础减振</w:t>
            </w:r>
            <w:r>
              <w:rPr>
                <w:rFonts w:hint="eastAsia" w:ascii="Arial" w:hAnsi="Arial" w:eastAsia="宋体" w:cs="Arial"/>
                <w:kern w:val="0"/>
                <w:sz w:val="21"/>
                <w:szCs w:val="21"/>
                <w:lang w:bidi="ar"/>
              </w:rPr>
              <w:t>、</w:t>
            </w:r>
          </w:p>
          <w:p>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厂房隔声</w:t>
            </w: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284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压滤机</w:t>
            </w:r>
          </w:p>
        </w:tc>
        <w:tc>
          <w:tcPr>
            <w:tcW w:w="1150"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3</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lang w:val="zh-CN"/>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0"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284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风机</w:t>
            </w:r>
          </w:p>
        </w:tc>
        <w:tc>
          <w:tcPr>
            <w:tcW w:w="1150"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6</w:t>
            </w:r>
          </w:p>
        </w:tc>
        <w:tc>
          <w:tcPr>
            <w:tcW w:w="1887"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255"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bl>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变更前项目大气防护距离</w:t>
      </w:r>
    </w:p>
    <w:p>
      <w:pPr>
        <w:spacing w:line="264" w:lineRule="auto"/>
        <w:ind w:firstLine="476"/>
        <w:rPr>
          <w:rFonts w:ascii="Arial" w:hAnsi="Arial" w:eastAsia="宋体" w:cs="Arial"/>
          <w:spacing w:val="10"/>
          <w:sz w:val="24"/>
        </w:rPr>
      </w:pPr>
      <w:r>
        <w:rPr>
          <w:rFonts w:hint="eastAsia" w:ascii="Arial" w:hAnsi="Arial" w:eastAsia="宋体" w:cs="Arial"/>
          <w:spacing w:val="10"/>
          <w:sz w:val="24"/>
        </w:rPr>
        <w:t>根据二阶段项目的环评报告及其批复，变更前无大气防护距离要求。</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存在的环境问题及整改措施</w:t>
      </w:r>
    </w:p>
    <w:p>
      <w:pPr>
        <w:pStyle w:val="5"/>
        <w:spacing w:line="500" w:lineRule="exact"/>
        <w:ind w:firstLine="490" w:firstLineChars="200"/>
        <w:rPr>
          <w:u w:val="single"/>
        </w:rPr>
      </w:pPr>
      <w:r>
        <w:rPr>
          <w:rFonts w:hint="eastAsia"/>
          <w:u w:val="single"/>
        </w:rPr>
        <w:t>目前，企业已将原镍豆镍粉处置线改造成羟基钴生产线并在调试，根据现场踏勘情况，存在主要环境问题：破碎工段投料粉尘未能有效收集、包装粉尘未能有效收集，导致无组织粉尘逸散较明显，车间内沉降粉尘较多，未及时清理。</w:t>
      </w:r>
    </w:p>
    <w:p>
      <w:pPr>
        <w:pStyle w:val="5"/>
        <w:spacing w:line="500" w:lineRule="exact"/>
        <w:ind w:firstLine="490" w:firstLineChars="200"/>
        <w:rPr>
          <w:u w:val="single"/>
        </w:rPr>
      </w:pPr>
      <w:r>
        <w:rPr>
          <w:rFonts w:hint="eastAsia"/>
          <w:u w:val="single"/>
        </w:rPr>
        <w:t>加强管理，投料作业时关门操作，人工投料时降低投料高度，以减小粉尘产生量；包装工段设置集气罩并接入已有的除尘设施；每天每班采用洗地机对破碎间、包装间及走廊地面进行拖洗，确保车间清洁。</w:t>
      </w:r>
    </w:p>
    <w:bookmarkEnd w:id="255"/>
    <w:bookmarkEnd w:id="256"/>
    <w:bookmarkEnd w:id="257"/>
    <w:bookmarkEnd w:id="258"/>
    <w:bookmarkEnd w:id="261"/>
    <w:p>
      <w:pPr>
        <w:pStyle w:val="4"/>
        <w:numPr>
          <w:ilvl w:val="1"/>
          <w:numId w:val="11"/>
        </w:numPr>
        <w:tabs>
          <w:tab w:val="left" w:pos="3217"/>
        </w:tabs>
        <w:spacing w:before="214" w:beforeLines="50" w:after="214" w:afterLines="50" w:line="500" w:lineRule="exact"/>
        <w:ind w:left="567"/>
        <w:rPr>
          <w:rFonts w:ascii="Arial" w:eastAsia="宋体" w:cs="Arial"/>
          <w:b/>
        </w:rPr>
      </w:pPr>
      <w:bookmarkStart w:id="262" w:name="_Toc185950216"/>
      <w:r>
        <w:rPr>
          <w:rFonts w:ascii="Arial" w:eastAsia="宋体" w:cs="Arial"/>
          <w:b/>
        </w:rPr>
        <w:t>变更工程概况</w:t>
      </w:r>
      <w:bookmarkEnd w:id="259"/>
      <w:bookmarkEnd w:id="262"/>
    </w:p>
    <w:p>
      <w:pPr>
        <w:pStyle w:val="6"/>
        <w:numPr>
          <w:ilvl w:val="2"/>
          <w:numId w:val="11"/>
        </w:numPr>
        <w:tabs>
          <w:tab w:val="left" w:pos="1080"/>
        </w:tabs>
        <w:spacing w:line="400" w:lineRule="exact"/>
        <w:rPr>
          <w:rFonts w:ascii="Arial" w:hAnsi="Arial" w:eastAsia="宋体" w:cs="Arial"/>
        </w:rPr>
      </w:pPr>
      <w:r>
        <w:rPr>
          <w:rFonts w:ascii="Arial" w:hAnsi="Arial" w:eastAsia="宋体" w:cs="Arial"/>
        </w:rPr>
        <w:t>变更基本情况</w:t>
      </w:r>
    </w:p>
    <w:p>
      <w:pPr>
        <w:pStyle w:val="5"/>
        <w:spacing w:line="500" w:lineRule="exact"/>
        <w:ind w:firstLine="490" w:firstLineChars="200"/>
        <w:rPr>
          <w:highlight w:val="yellow"/>
        </w:rPr>
      </w:pPr>
      <w:r>
        <w:t>1、项目名称：</w:t>
      </w:r>
      <w:r>
        <w:rPr>
          <w:rFonts w:hint="eastAsia"/>
        </w:rPr>
        <w:t>广西中伟新能源项目一期二阶段（重大变动）</w:t>
      </w:r>
    </w:p>
    <w:p>
      <w:pPr>
        <w:pStyle w:val="5"/>
        <w:spacing w:line="500" w:lineRule="exact"/>
        <w:ind w:firstLine="490" w:firstLineChars="200"/>
      </w:pPr>
      <w:r>
        <w:t>2、建设单位：广西中伟新能源科技有限公司</w:t>
      </w:r>
    </w:p>
    <w:p>
      <w:pPr>
        <w:pStyle w:val="5"/>
        <w:spacing w:line="500" w:lineRule="exact"/>
        <w:ind w:firstLine="490" w:firstLineChars="200"/>
      </w:pPr>
      <w:r>
        <w:t>3、项目性质：</w:t>
      </w:r>
      <w:r>
        <w:rPr>
          <w:rFonts w:hint="eastAsia"/>
        </w:rPr>
        <w:t>新建</w:t>
      </w:r>
      <w:r>
        <w:t>（重大变动）</w:t>
      </w:r>
    </w:p>
    <w:p>
      <w:pPr>
        <w:pStyle w:val="5"/>
        <w:spacing w:line="500" w:lineRule="exact"/>
        <w:ind w:firstLine="490" w:firstLineChars="200"/>
      </w:pPr>
      <w:r>
        <w:t>4、建设地点：钦州市钦州港区陆海大道以东、淡水湾大街以北，中伟南部基地内，中心坐标东经108.671592，北纬21.704016。</w:t>
      </w:r>
    </w:p>
    <w:p>
      <w:pPr>
        <w:pStyle w:val="5"/>
        <w:spacing w:line="500" w:lineRule="exact"/>
        <w:ind w:firstLine="490" w:firstLineChars="200"/>
      </w:pPr>
      <w:r>
        <w:t>5、主要变更内容：</w:t>
      </w:r>
      <w:r>
        <w:rPr>
          <w:rFonts w:hint="eastAsia"/>
        </w:rPr>
        <w:t>将现有广西中伟新能源项目一期二阶段1条2.5万吨/年镍豆镍粉处置线</w:t>
      </w:r>
      <w:r>
        <w:t>变更为</w:t>
      </w:r>
      <w:r>
        <w:rPr>
          <w:rFonts w:hint="eastAsia"/>
        </w:rPr>
        <w:t>1条1200吨/年</w:t>
      </w:r>
      <w:r>
        <w:t>羟基钴生产线。已验收的</w:t>
      </w:r>
      <w:r>
        <w:rPr>
          <w:rFonts w:hint="eastAsia"/>
        </w:rPr>
        <w:t>4条1.5万吨/年三元前驱体生产线及其他配套辅助设施不变</w:t>
      </w:r>
      <w:r>
        <w:t>。</w:t>
      </w:r>
    </w:p>
    <w:p>
      <w:pPr>
        <w:pStyle w:val="5"/>
        <w:spacing w:line="500" w:lineRule="exact"/>
        <w:ind w:firstLine="490" w:firstLineChars="200"/>
      </w:pPr>
      <w:r>
        <w:t>6、用地面积：项目在现有中伟南部基地内建设，在现有X</w:t>
      </w:r>
      <w:r>
        <w:rPr>
          <w:rFonts w:hint="eastAsia"/>
        </w:rPr>
        <w:t>19车间</w:t>
      </w:r>
      <w:r>
        <w:t>内变更，不新增用地</w:t>
      </w:r>
      <w:r>
        <w:rPr>
          <w:rFonts w:hint="eastAsia"/>
        </w:rPr>
        <w:t>，</w:t>
      </w:r>
      <w:r>
        <w:t>X</w:t>
      </w:r>
      <w:r>
        <w:rPr>
          <w:rFonts w:hint="eastAsia"/>
        </w:rPr>
        <w:t>19车间占地面积1912.45m</w:t>
      </w:r>
      <w:r>
        <w:rPr>
          <w:rFonts w:hint="eastAsia"/>
          <w:vertAlign w:val="superscript"/>
        </w:rPr>
        <w:t>2</w:t>
      </w:r>
      <w:r>
        <w:rPr>
          <w:rFonts w:hint="eastAsia"/>
        </w:rPr>
        <w:t>。</w:t>
      </w:r>
    </w:p>
    <w:p>
      <w:pPr>
        <w:pStyle w:val="5"/>
        <w:spacing w:line="500" w:lineRule="exact"/>
        <w:ind w:firstLine="490" w:firstLineChars="200"/>
      </w:pPr>
      <w:r>
        <w:t>7、工程投资：一期二阶段总投资</w:t>
      </w:r>
      <w:r>
        <w:rPr>
          <w:rFonts w:hint="eastAsia"/>
        </w:rPr>
        <w:t>260800万元，其中本</w:t>
      </w:r>
      <w:r>
        <w:t>项目（</w:t>
      </w:r>
      <w:r>
        <w:rPr>
          <w:rFonts w:hint="eastAsia"/>
        </w:rPr>
        <w:t>将镍豆镍粉处置线变更为羟基钴生产线</w:t>
      </w:r>
      <w:r>
        <w:t>）</w:t>
      </w:r>
      <w:r>
        <w:rPr>
          <w:rFonts w:hint="eastAsia"/>
        </w:rPr>
        <w:t>共</w:t>
      </w:r>
      <w:r>
        <w:t>投资</w:t>
      </w:r>
      <w:r>
        <w:rPr>
          <w:rFonts w:hint="eastAsia"/>
        </w:rPr>
        <w:t>1</w:t>
      </w:r>
      <w:r>
        <w:t>000</w:t>
      </w:r>
      <w:r>
        <w:rPr>
          <w:szCs w:val="24"/>
        </w:rPr>
        <w:t>万</w:t>
      </w:r>
      <w:r>
        <w:t>元，环保投资</w:t>
      </w:r>
      <w:r>
        <w:rPr>
          <w:rFonts w:hint="eastAsia"/>
        </w:rPr>
        <w:t>20</w:t>
      </w:r>
      <w:r>
        <w:t>0万元，占项目总投资的</w:t>
      </w:r>
      <w:r>
        <w:rPr>
          <w:rFonts w:hint="eastAsia"/>
        </w:rPr>
        <w:t>20</w:t>
      </w:r>
      <w:r>
        <w:t>%。</w:t>
      </w:r>
    </w:p>
    <w:p>
      <w:pPr>
        <w:pStyle w:val="5"/>
        <w:spacing w:line="500" w:lineRule="exact"/>
        <w:ind w:firstLine="490" w:firstLineChars="200"/>
      </w:pPr>
      <w:r>
        <w:t>8、项目定员：项目变更前车间工作人员约</w:t>
      </w:r>
      <w:r>
        <w:rPr>
          <w:rFonts w:hint="eastAsia"/>
        </w:rPr>
        <w:t>30人，</w:t>
      </w:r>
      <w:r>
        <w:t>本次变更不新增员工。</w:t>
      </w:r>
    </w:p>
    <w:p>
      <w:pPr>
        <w:pStyle w:val="5"/>
        <w:spacing w:line="500" w:lineRule="exact"/>
        <w:rPr>
          <w:u w:val="single"/>
        </w:rPr>
      </w:pPr>
      <w:r>
        <w:rPr>
          <w:u w:val="single"/>
        </w:rPr>
        <w:t>9、生产制度：生产运行体制按三班制连续生产，年生产天数330天，年工作日时间7920小时。</w:t>
      </w:r>
    </w:p>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10、施工期：建设期</w:t>
      </w:r>
      <w:r>
        <w:rPr>
          <w:rFonts w:hint="eastAsia" w:ascii="Arial" w:hAnsi="Arial" w:eastAsia="宋体" w:cs="Arial"/>
          <w:spacing w:val="10"/>
          <w:sz w:val="24"/>
          <w:u w:val="single"/>
        </w:rPr>
        <w:t>6</w:t>
      </w:r>
      <w:r>
        <w:rPr>
          <w:rFonts w:ascii="Arial" w:hAnsi="Arial" w:eastAsia="宋体" w:cs="Arial"/>
          <w:spacing w:val="10"/>
          <w:sz w:val="24"/>
          <w:u w:val="single"/>
        </w:rPr>
        <w:t>个月，</w:t>
      </w:r>
      <w:r>
        <w:rPr>
          <w:rFonts w:hint="eastAsia" w:ascii="Arial" w:hAnsi="Arial" w:eastAsia="宋体" w:cs="Arial"/>
          <w:spacing w:val="10"/>
          <w:sz w:val="24"/>
          <w:u w:val="single"/>
        </w:rPr>
        <w:t>X19车间现阶段</w:t>
      </w:r>
      <w:r>
        <w:rPr>
          <w:rFonts w:ascii="Arial" w:hAnsi="Arial" w:eastAsia="宋体" w:cs="Arial"/>
          <w:spacing w:val="10"/>
          <w:sz w:val="24"/>
          <w:u w:val="single"/>
        </w:rPr>
        <w:t>现已</w:t>
      </w:r>
      <w:r>
        <w:rPr>
          <w:rFonts w:hint="eastAsia" w:ascii="Arial" w:hAnsi="Arial" w:eastAsia="宋体" w:cs="Arial"/>
          <w:spacing w:val="10"/>
          <w:sz w:val="24"/>
          <w:u w:val="single"/>
        </w:rPr>
        <w:t>按</w:t>
      </w:r>
      <w:r>
        <w:rPr>
          <w:rFonts w:ascii="Arial" w:hAnsi="Arial" w:eastAsia="宋体" w:cs="Arial"/>
          <w:spacing w:val="10"/>
          <w:sz w:val="24"/>
          <w:u w:val="single"/>
        </w:rPr>
        <w:t>变更后的羟基钴生产线安装设备，目前处于</w:t>
      </w:r>
      <w:r>
        <w:rPr>
          <w:rFonts w:hint="eastAsia" w:ascii="Arial" w:hAnsi="Arial" w:eastAsia="宋体" w:cs="Arial"/>
          <w:spacing w:val="10"/>
          <w:sz w:val="24"/>
          <w:u w:val="single"/>
        </w:rPr>
        <w:t>调试</w:t>
      </w:r>
      <w:r>
        <w:rPr>
          <w:rFonts w:ascii="Arial" w:hAnsi="Arial" w:eastAsia="宋体" w:cs="Arial"/>
          <w:spacing w:val="10"/>
          <w:sz w:val="24"/>
          <w:u w:val="single"/>
        </w:rPr>
        <w:t>阶段。</w:t>
      </w:r>
    </w:p>
    <w:p>
      <w:pPr>
        <w:pStyle w:val="5"/>
        <w:spacing w:line="500" w:lineRule="exact"/>
        <w:ind w:firstLine="490" w:firstLineChars="200"/>
      </w:pPr>
      <w:r>
        <w:t>11、产品方案：变更前镍豆镍粉处置线产品为硫酸镍溶液，设计产能为</w:t>
      </w:r>
      <w:r>
        <w:rPr>
          <w:rFonts w:hint="eastAsia"/>
        </w:rPr>
        <w:t>2.5万金t/a（按镍计）；变更后羟基钴生产线产品为羟基钴，设计产能为1200t/a。</w:t>
      </w:r>
    </w:p>
    <w:p>
      <w:pPr>
        <w:pStyle w:val="6"/>
        <w:numPr>
          <w:ilvl w:val="2"/>
          <w:numId w:val="11"/>
        </w:numPr>
        <w:tabs>
          <w:tab w:val="left" w:pos="1080"/>
        </w:tabs>
        <w:spacing w:before="214" w:beforeLines="50" w:after="0" w:line="400" w:lineRule="exact"/>
        <w:ind w:left="571" w:hanging="570" w:hangingChars="253"/>
        <w:rPr>
          <w:rFonts w:ascii="Arial" w:hAnsi="Arial" w:eastAsia="宋体" w:cs="Arial"/>
        </w:rPr>
      </w:pPr>
      <w:r>
        <w:rPr>
          <w:rFonts w:ascii="Arial" w:hAnsi="Arial" w:eastAsia="宋体" w:cs="Arial"/>
        </w:rPr>
        <w:t>工程组成</w:t>
      </w:r>
    </w:p>
    <w:p>
      <w:pPr>
        <w:pStyle w:val="5"/>
      </w:pPr>
      <w:r>
        <w:t>项目变更前后工程组成见表2-</w:t>
      </w:r>
      <w:r>
        <w:rPr>
          <w:rFonts w:hint="eastAsia"/>
        </w:rPr>
        <w:t>11</w:t>
      </w:r>
      <w:r>
        <w:t>。</w:t>
      </w:r>
    </w:p>
    <w:p>
      <w:pPr>
        <w:pStyle w:val="5"/>
        <w:keepNext/>
        <w:numPr>
          <w:ilvl w:val="0"/>
          <w:numId w:val="12"/>
        </w:numPr>
        <w:adjustRightInd w:val="0"/>
        <w:snapToGrid w:val="0"/>
        <w:spacing w:line="500" w:lineRule="exact"/>
        <w:ind w:left="0" w:firstLine="0"/>
        <w:jc w:val="center"/>
        <w:outlineLvl w:val="4"/>
        <w:rPr>
          <w:b/>
        </w:rPr>
      </w:pPr>
      <w:r>
        <w:rPr>
          <w:b/>
        </w:rPr>
        <w:t>变更前后工程组成</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
        <w:gridCol w:w="485"/>
        <w:gridCol w:w="3189"/>
        <w:gridCol w:w="3262"/>
        <w:gridCol w:w="1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b/>
                <w:sz w:val="21"/>
                <w:szCs w:val="21"/>
              </w:rPr>
            </w:pPr>
            <w:r>
              <w:rPr>
                <w:b/>
                <w:sz w:val="21"/>
                <w:szCs w:val="21"/>
              </w:rPr>
              <w:t>类型</w:t>
            </w:r>
          </w:p>
        </w:tc>
        <w:tc>
          <w:tcPr>
            <w:tcW w:w="3189" w:type="dxa"/>
            <w:shd w:val="clear" w:color="auto" w:fill="auto"/>
            <w:vAlign w:val="center"/>
          </w:tcPr>
          <w:p>
            <w:pPr>
              <w:pStyle w:val="5"/>
              <w:adjustRightInd w:val="0"/>
              <w:snapToGrid w:val="0"/>
              <w:spacing w:line="240" w:lineRule="auto"/>
              <w:ind w:firstLine="0"/>
              <w:jc w:val="center"/>
              <w:rPr>
                <w:b/>
                <w:sz w:val="21"/>
                <w:szCs w:val="21"/>
              </w:rPr>
            </w:pPr>
            <w:r>
              <w:rPr>
                <w:b/>
                <w:sz w:val="21"/>
                <w:szCs w:val="21"/>
              </w:rPr>
              <w:t>原有工程</w:t>
            </w:r>
          </w:p>
        </w:tc>
        <w:tc>
          <w:tcPr>
            <w:tcW w:w="3262" w:type="dxa"/>
            <w:shd w:val="clear" w:color="auto" w:fill="auto"/>
            <w:vAlign w:val="center"/>
          </w:tcPr>
          <w:p>
            <w:pPr>
              <w:pStyle w:val="5"/>
              <w:adjustRightInd w:val="0"/>
              <w:snapToGrid w:val="0"/>
              <w:spacing w:line="240" w:lineRule="auto"/>
              <w:ind w:firstLine="0"/>
              <w:jc w:val="center"/>
              <w:rPr>
                <w:b/>
                <w:sz w:val="21"/>
                <w:szCs w:val="21"/>
              </w:rPr>
            </w:pPr>
            <w:r>
              <w:rPr>
                <w:b/>
                <w:sz w:val="21"/>
                <w:szCs w:val="21"/>
              </w:rPr>
              <w:t>变更工程</w:t>
            </w:r>
          </w:p>
        </w:tc>
        <w:tc>
          <w:tcPr>
            <w:tcW w:w="1871" w:type="dxa"/>
            <w:shd w:val="clear" w:color="auto" w:fill="auto"/>
            <w:vAlign w:val="center"/>
          </w:tcPr>
          <w:p>
            <w:pPr>
              <w:pStyle w:val="5"/>
              <w:adjustRightInd w:val="0"/>
              <w:snapToGrid w:val="0"/>
              <w:spacing w:line="240" w:lineRule="auto"/>
              <w:ind w:firstLine="0"/>
              <w:jc w:val="center"/>
              <w:rPr>
                <w:b/>
                <w:sz w:val="21"/>
                <w:szCs w:val="21"/>
              </w:rPr>
            </w:pPr>
            <w:r>
              <w:rPr>
                <w:b/>
                <w:sz w:val="21"/>
                <w:szCs w:val="21"/>
              </w:rPr>
              <w:t>变更前后对比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主体工程</w:t>
            </w:r>
          </w:p>
        </w:tc>
        <w:tc>
          <w:tcPr>
            <w:tcW w:w="3189" w:type="dxa"/>
            <w:shd w:val="clear" w:color="auto" w:fill="auto"/>
            <w:vAlign w:val="center"/>
          </w:tcPr>
          <w:p>
            <w:pPr>
              <w:pStyle w:val="5"/>
              <w:adjustRightInd w:val="0"/>
              <w:snapToGrid w:val="0"/>
              <w:ind w:firstLine="0"/>
              <w:jc w:val="left"/>
              <w:rPr>
                <w:sz w:val="21"/>
                <w:szCs w:val="21"/>
              </w:rPr>
            </w:pPr>
            <w:r>
              <w:rPr>
                <w:sz w:val="21"/>
                <w:szCs w:val="21"/>
              </w:rPr>
              <w:t>X</w:t>
            </w:r>
            <w:r>
              <w:rPr>
                <w:rFonts w:hint="eastAsia"/>
                <w:sz w:val="21"/>
                <w:szCs w:val="21"/>
              </w:rPr>
              <w:t>19车间占地2683.35m</w:t>
            </w:r>
            <w:r>
              <w:rPr>
                <w:rFonts w:hint="eastAsia"/>
                <w:sz w:val="21"/>
                <w:szCs w:val="21"/>
                <w:vertAlign w:val="superscript"/>
              </w:rPr>
              <w:t>2</w:t>
            </w:r>
            <w:r>
              <w:rPr>
                <w:rFonts w:hint="eastAsia"/>
                <w:sz w:val="21"/>
                <w:szCs w:val="21"/>
              </w:rPr>
              <w:t>；</w:t>
            </w:r>
            <w:r>
              <w:rPr>
                <w:sz w:val="21"/>
                <w:szCs w:val="21"/>
              </w:rPr>
              <w:t>X</w:t>
            </w:r>
            <w:r>
              <w:rPr>
                <w:rFonts w:hint="eastAsia"/>
                <w:sz w:val="21"/>
                <w:szCs w:val="21"/>
              </w:rPr>
              <w:t>19车间内</w:t>
            </w:r>
            <w:r>
              <w:rPr>
                <w:sz w:val="21"/>
                <w:szCs w:val="21"/>
              </w:rPr>
              <w:t>新建</w:t>
            </w:r>
            <w:r>
              <w:rPr>
                <w:rFonts w:hint="eastAsia"/>
                <w:sz w:val="21"/>
                <w:szCs w:val="21"/>
              </w:rPr>
              <w:t>1条2.5万吨/年镍豆镍粉处置线，</w:t>
            </w:r>
            <w:r>
              <w:rPr>
                <w:sz w:val="21"/>
                <w:szCs w:val="21"/>
              </w:rPr>
              <w:t>设计</w:t>
            </w:r>
            <w:r>
              <w:rPr>
                <w:rFonts w:hint="eastAsia"/>
                <w:sz w:val="21"/>
                <w:szCs w:val="21"/>
              </w:rPr>
              <w:t>年产</w:t>
            </w:r>
            <w:r>
              <w:rPr>
                <w:sz w:val="21"/>
                <w:szCs w:val="21"/>
              </w:rPr>
              <w:t>硫酸镍溶液</w:t>
            </w:r>
            <w:r>
              <w:rPr>
                <w:rFonts w:hint="eastAsia"/>
                <w:sz w:val="21"/>
                <w:szCs w:val="21"/>
              </w:rPr>
              <w:t>2.5万金t（按镍计）。</w:t>
            </w:r>
          </w:p>
        </w:tc>
        <w:tc>
          <w:tcPr>
            <w:tcW w:w="3262" w:type="dxa"/>
            <w:shd w:val="clear" w:color="auto" w:fill="auto"/>
            <w:vAlign w:val="center"/>
          </w:tcPr>
          <w:p>
            <w:pPr>
              <w:pStyle w:val="5"/>
              <w:adjustRightInd w:val="0"/>
              <w:snapToGrid w:val="0"/>
              <w:spacing w:line="240" w:lineRule="auto"/>
              <w:ind w:firstLine="0"/>
              <w:jc w:val="left"/>
              <w:rPr>
                <w:sz w:val="21"/>
                <w:szCs w:val="21"/>
              </w:rPr>
            </w:pPr>
            <w:r>
              <w:rPr>
                <w:sz w:val="21"/>
                <w:szCs w:val="21"/>
              </w:rPr>
              <w:t>X</w:t>
            </w:r>
            <w:r>
              <w:rPr>
                <w:rFonts w:hint="eastAsia"/>
                <w:sz w:val="21"/>
                <w:szCs w:val="21"/>
              </w:rPr>
              <w:t>19车间占地2683.35m</w:t>
            </w:r>
            <w:r>
              <w:rPr>
                <w:rFonts w:hint="eastAsia"/>
                <w:sz w:val="21"/>
                <w:szCs w:val="21"/>
                <w:vertAlign w:val="superscript"/>
              </w:rPr>
              <w:t>2</w:t>
            </w:r>
            <w:r>
              <w:rPr>
                <w:rFonts w:hint="eastAsia"/>
                <w:sz w:val="21"/>
                <w:szCs w:val="21"/>
              </w:rPr>
              <w:t>；</w:t>
            </w:r>
            <w:r>
              <w:rPr>
                <w:sz w:val="21"/>
                <w:szCs w:val="21"/>
              </w:rPr>
              <w:t>X</w:t>
            </w:r>
            <w:r>
              <w:rPr>
                <w:rFonts w:hint="eastAsia"/>
                <w:sz w:val="21"/>
                <w:szCs w:val="21"/>
              </w:rPr>
              <w:t>19车间内新建1条1200顿/年</w:t>
            </w:r>
            <w:r>
              <w:rPr>
                <w:sz w:val="21"/>
                <w:szCs w:val="21"/>
              </w:rPr>
              <w:t>羟基钴生产线，设计年产羟基钴</w:t>
            </w:r>
            <w:r>
              <w:rPr>
                <w:rFonts w:hint="eastAsia"/>
                <w:sz w:val="21"/>
                <w:szCs w:val="21"/>
              </w:rPr>
              <w:t>1200t。</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利用</w:t>
            </w:r>
            <w:r>
              <w:rPr>
                <w:rFonts w:hint="eastAsia"/>
                <w:sz w:val="21"/>
                <w:szCs w:val="21"/>
              </w:rPr>
              <w:t>镍豆镍粉处置线现有设备进行改造，产品由硫酸镍溶液变更为羟基钴。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辅助工程</w:t>
            </w:r>
          </w:p>
        </w:tc>
        <w:tc>
          <w:tcPr>
            <w:tcW w:w="3189"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依托</w:t>
            </w:r>
            <w:r>
              <w:rPr>
                <w:sz w:val="21"/>
                <w:szCs w:val="21"/>
              </w:rPr>
              <w:t>厂区纯水站提供纯水。</w:t>
            </w:r>
          </w:p>
        </w:tc>
        <w:tc>
          <w:tcPr>
            <w:tcW w:w="3262"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依托</w:t>
            </w:r>
            <w:r>
              <w:rPr>
                <w:sz w:val="21"/>
                <w:szCs w:val="21"/>
              </w:rPr>
              <w:t>厂区纯水站提供纯水。</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储运工程</w:t>
            </w:r>
          </w:p>
        </w:tc>
        <w:tc>
          <w:tcPr>
            <w:tcW w:w="3189" w:type="dxa"/>
            <w:shd w:val="clear" w:color="auto" w:fill="auto"/>
            <w:vAlign w:val="center"/>
          </w:tcPr>
          <w:p>
            <w:pPr>
              <w:pStyle w:val="5"/>
              <w:adjustRightInd w:val="0"/>
              <w:snapToGrid w:val="0"/>
              <w:spacing w:line="240" w:lineRule="auto"/>
              <w:ind w:firstLine="0"/>
              <w:jc w:val="left"/>
              <w:rPr>
                <w:b/>
                <w:sz w:val="21"/>
                <w:szCs w:val="21"/>
              </w:rPr>
            </w:pPr>
            <w:r>
              <w:rPr>
                <w:rFonts w:hint="eastAsia"/>
                <w:b/>
                <w:sz w:val="21"/>
                <w:szCs w:val="21"/>
              </w:rPr>
              <w:t>车间中转槽：</w:t>
            </w:r>
          </w:p>
          <w:p>
            <w:pPr>
              <w:pStyle w:val="5"/>
              <w:adjustRightInd w:val="0"/>
              <w:snapToGrid w:val="0"/>
              <w:spacing w:line="240" w:lineRule="auto"/>
              <w:ind w:firstLine="0"/>
              <w:jc w:val="left"/>
              <w:rPr>
                <w:sz w:val="21"/>
                <w:szCs w:val="21"/>
              </w:rPr>
            </w:pPr>
            <w:r>
              <w:rPr>
                <w:rFonts w:hint="eastAsia"/>
                <w:sz w:val="21"/>
                <w:szCs w:val="21"/>
              </w:rPr>
              <w:t>X19车间南面：3个75m</w:t>
            </w:r>
            <w:r>
              <w:rPr>
                <w:rFonts w:hint="eastAsia"/>
                <w:sz w:val="21"/>
                <w:szCs w:val="21"/>
                <w:vertAlign w:val="superscript"/>
              </w:rPr>
              <w:t>3</w:t>
            </w:r>
            <w:r>
              <w:rPr>
                <w:rFonts w:hint="eastAsia"/>
                <w:sz w:val="21"/>
                <w:szCs w:val="21"/>
              </w:rPr>
              <w:t>纯水储罐。</w:t>
            </w:r>
          </w:p>
          <w:p>
            <w:pPr>
              <w:pStyle w:val="5"/>
              <w:adjustRightInd w:val="0"/>
              <w:snapToGrid w:val="0"/>
              <w:spacing w:line="240" w:lineRule="auto"/>
              <w:ind w:firstLine="0"/>
              <w:jc w:val="left"/>
              <w:rPr>
                <w:b/>
                <w:sz w:val="21"/>
                <w:szCs w:val="21"/>
              </w:rPr>
            </w:pPr>
            <w:r>
              <w:rPr>
                <w:rFonts w:hint="eastAsia"/>
                <w:b/>
                <w:sz w:val="21"/>
                <w:szCs w:val="21"/>
              </w:rPr>
              <w:t>厂区罐区：</w:t>
            </w:r>
          </w:p>
          <w:p>
            <w:pPr>
              <w:pStyle w:val="5"/>
              <w:adjustRightInd w:val="0"/>
              <w:snapToGrid w:val="0"/>
              <w:spacing w:line="240" w:lineRule="auto"/>
              <w:ind w:firstLine="0"/>
              <w:jc w:val="left"/>
              <w:rPr>
                <w:b/>
                <w:sz w:val="21"/>
                <w:szCs w:val="21"/>
              </w:rPr>
            </w:pPr>
            <w:r>
              <w:rPr>
                <w:rFonts w:hint="eastAsia"/>
                <w:sz w:val="21"/>
                <w:szCs w:val="21"/>
              </w:rPr>
              <w:t>依托</w:t>
            </w:r>
            <w:r>
              <w:rPr>
                <w:sz w:val="21"/>
                <w:szCs w:val="21"/>
              </w:rPr>
              <w:t>厂区罐组十——</w:t>
            </w:r>
            <w:r>
              <w:rPr>
                <w:rFonts w:hint="eastAsia"/>
                <w:sz w:val="21"/>
                <w:szCs w:val="21"/>
              </w:rPr>
              <w:t>3个1000m</w:t>
            </w:r>
            <w:r>
              <w:rPr>
                <w:rFonts w:hint="eastAsia"/>
                <w:sz w:val="21"/>
                <w:szCs w:val="21"/>
                <w:vertAlign w:val="superscript"/>
              </w:rPr>
              <w:t>3</w:t>
            </w:r>
            <w:r>
              <w:rPr>
                <w:rFonts w:hint="eastAsia"/>
                <w:sz w:val="21"/>
                <w:szCs w:val="21"/>
              </w:rPr>
              <w:t>98%</w:t>
            </w:r>
            <w:r>
              <w:rPr>
                <w:sz w:val="21"/>
                <w:szCs w:val="21"/>
              </w:rPr>
              <w:t>硫酸储罐</w:t>
            </w:r>
            <w:r>
              <w:rPr>
                <w:rFonts w:hint="eastAsia"/>
                <w:sz w:val="21"/>
                <w:szCs w:val="21"/>
              </w:rPr>
              <w:t>；依托</w:t>
            </w:r>
            <w:r>
              <w:rPr>
                <w:sz w:val="21"/>
                <w:szCs w:val="21"/>
              </w:rPr>
              <w:t>厂区罐组九——</w:t>
            </w:r>
            <w:r>
              <w:rPr>
                <w:rFonts w:hint="eastAsia"/>
                <w:sz w:val="21"/>
                <w:szCs w:val="21"/>
              </w:rPr>
              <w:t>2个250m</w:t>
            </w:r>
            <w:r>
              <w:rPr>
                <w:rFonts w:hint="eastAsia"/>
                <w:sz w:val="21"/>
                <w:szCs w:val="21"/>
                <w:vertAlign w:val="superscript"/>
              </w:rPr>
              <w:t>3</w:t>
            </w:r>
            <w:r>
              <w:rPr>
                <w:rFonts w:hint="eastAsia"/>
                <w:sz w:val="21"/>
                <w:szCs w:val="21"/>
              </w:rPr>
              <w:t>27.5%</w:t>
            </w:r>
            <w:r>
              <w:rPr>
                <w:sz w:val="21"/>
                <w:szCs w:val="21"/>
              </w:rPr>
              <w:t>双氧水储罐</w:t>
            </w:r>
            <w:r>
              <w:rPr>
                <w:rFonts w:hint="eastAsia"/>
                <w:sz w:val="21"/>
                <w:szCs w:val="21"/>
              </w:rPr>
              <w:t>；依托</w:t>
            </w:r>
            <w:r>
              <w:rPr>
                <w:sz w:val="21"/>
                <w:szCs w:val="21"/>
              </w:rPr>
              <w:t>厂区罐组六——</w:t>
            </w:r>
            <w:r>
              <w:rPr>
                <w:rFonts w:hint="eastAsia"/>
                <w:sz w:val="21"/>
                <w:szCs w:val="21"/>
              </w:rPr>
              <w:t>8个2000m</w:t>
            </w:r>
            <w:r>
              <w:rPr>
                <w:rFonts w:hint="eastAsia"/>
                <w:sz w:val="21"/>
                <w:szCs w:val="21"/>
                <w:vertAlign w:val="superscript"/>
              </w:rPr>
              <w:t>3</w:t>
            </w:r>
            <w:r>
              <w:rPr>
                <w:rFonts w:hint="eastAsia"/>
                <w:sz w:val="21"/>
                <w:szCs w:val="21"/>
              </w:rPr>
              <w:t>32%</w:t>
            </w:r>
            <w:r>
              <w:rPr>
                <w:sz w:val="21"/>
                <w:szCs w:val="21"/>
              </w:rPr>
              <w:t>液碱储罐。</w:t>
            </w:r>
          </w:p>
        </w:tc>
        <w:tc>
          <w:tcPr>
            <w:tcW w:w="3262" w:type="dxa"/>
            <w:shd w:val="clear" w:color="auto" w:fill="auto"/>
            <w:vAlign w:val="center"/>
          </w:tcPr>
          <w:p>
            <w:pPr>
              <w:pStyle w:val="5"/>
              <w:adjustRightInd w:val="0"/>
              <w:snapToGrid w:val="0"/>
              <w:spacing w:line="240" w:lineRule="auto"/>
              <w:ind w:firstLine="0"/>
              <w:jc w:val="left"/>
              <w:rPr>
                <w:b/>
                <w:sz w:val="21"/>
                <w:szCs w:val="21"/>
              </w:rPr>
            </w:pPr>
            <w:r>
              <w:rPr>
                <w:rFonts w:hint="eastAsia"/>
                <w:b/>
                <w:sz w:val="21"/>
                <w:szCs w:val="21"/>
              </w:rPr>
              <w:t>车间中转槽：</w:t>
            </w:r>
          </w:p>
          <w:p>
            <w:pPr>
              <w:pStyle w:val="5"/>
              <w:adjustRightInd w:val="0"/>
              <w:snapToGrid w:val="0"/>
              <w:spacing w:line="240" w:lineRule="auto"/>
              <w:ind w:firstLine="0"/>
              <w:jc w:val="left"/>
              <w:rPr>
                <w:sz w:val="21"/>
                <w:szCs w:val="21"/>
              </w:rPr>
            </w:pPr>
            <w:r>
              <w:rPr>
                <w:rFonts w:hint="eastAsia"/>
                <w:sz w:val="21"/>
                <w:szCs w:val="21"/>
              </w:rPr>
              <w:t>X19车间南面：2个75m</w:t>
            </w:r>
            <w:r>
              <w:rPr>
                <w:rFonts w:hint="eastAsia"/>
                <w:sz w:val="21"/>
                <w:szCs w:val="21"/>
                <w:vertAlign w:val="superscript"/>
              </w:rPr>
              <w:t>3</w:t>
            </w:r>
            <w:r>
              <w:rPr>
                <w:rFonts w:hint="eastAsia"/>
                <w:sz w:val="21"/>
                <w:szCs w:val="21"/>
              </w:rPr>
              <w:t>纯水储罐，1个75m</w:t>
            </w:r>
            <w:r>
              <w:rPr>
                <w:rFonts w:hint="eastAsia"/>
                <w:sz w:val="21"/>
                <w:szCs w:val="21"/>
                <w:vertAlign w:val="superscript"/>
              </w:rPr>
              <w:t>3</w:t>
            </w:r>
            <w:r>
              <w:rPr>
                <w:rFonts w:hint="eastAsia"/>
                <w:sz w:val="21"/>
                <w:szCs w:val="21"/>
              </w:rPr>
              <w:t>洗水外排槽。</w:t>
            </w:r>
          </w:p>
          <w:p>
            <w:pPr>
              <w:pStyle w:val="5"/>
              <w:adjustRightInd w:val="0"/>
              <w:snapToGrid w:val="0"/>
              <w:spacing w:line="240" w:lineRule="auto"/>
              <w:ind w:firstLine="0"/>
              <w:jc w:val="left"/>
              <w:rPr>
                <w:b/>
                <w:sz w:val="21"/>
                <w:szCs w:val="21"/>
              </w:rPr>
            </w:pPr>
            <w:r>
              <w:rPr>
                <w:rFonts w:hint="eastAsia"/>
                <w:sz w:val="21"/>
                <w:szCs w:val="21"/>
              </w:rPr>
              <w:t>X19车间北面：2个35m</w:t>
            </w:r>
            <w:r>
              <w:rPr>
                <w:rFonts w:hint="eastAsia"/>
                <w:sz w:val="21"/>
                <w:szCs w:val="21"/>
                <w:vertAlign w:val="superscript"/>
              </w:rPr>
              <w:t>3</w:t>
            </w:r>
            <w:r>
              <w:rPr>
                <w:rFonts w:hint="eastAsia"/>
                <w:sz w:val="21"/>
                <w:szCs w:val="21"/>
              </w:rPr>
              <w:t>热水储罐；1个35m</w:t>
            </w:r>
            <w:r>
              <w:rPr>
                <w:rFonts w:hint="eastAsia"/>
                <w:sz w:val="21"/>
                <w:szCs w:val="21"/>
                <w:vertAlign w:val="superscript"/>
              </w:rPr>
              <w:t>3</w:t>
            </w:r>
            <w:r>
              <w:rPr>
                <w:rFonts w:hint="eastAsia"/>
                <w:sz w:val="21"/>
                <w:szCs w:val="21"/>
              </w:rPr>
              <w:t>32%液碱中间罐；2个35m</w:t>
            </w:r>
            <w:r>
              <w:rPr>
                <w:rFonts w:hint="eastAsia"/>
                <w:sz w:val="21"/>
                <w:szCs w:val="21"/>
                <w:vertAlign w:val="superscript"/>
              </w:rPr>
              <w:t>3</w:t>
            </w:r>
            <w:r>
              <w:rPr>
                <w:rFonts w:hint="eastAsia"/>
                <w:sz w:val="21"/>
                <w:szCs w:val="21"/>
              </w:rPr>
              <w:t>洗水中间罐；1个25m</w:t>
            </w:r>
            <w:r>
              <w:rPr>
                <w:rFonts w:hint="eastAsia"/>
                <w:sz w:val="21"/>
                <w:szCs w:val="21"/>
                <w:vertAlign w:val="superscript"/>
              </w:rPr>
              <w:t>3</w:t>
            </w:r>
            <w:r>
              <w:rPr>
                <w:rFonts w:hint="eastAsia"/>
                <w:sz w:val="21"/>
                <w:szCs w:val="21"/>
              </w:rPr>
              <w:t>配酸槽；1个15m</w:t>
            </w:r>
            <w:r>
              <w:rPr>
                <w:rFonts w:hint="eastAsia"/>
                <w:sz w:val="21"/>
                <w:szCs w:val="21"/>
                <w:vertAlign w:val="superscript"/>
              </w:rPr>
              <w:t>3</w:t>
            </w:r>
            <w:r>
              <w:rPr>
                <w:rFonts w:hint="eastAsia"/>
                <w:sz w:val="21"/>
                <w:szCs w:val="21"/>
              </w:rPr>
              <w:t>27.5%双氧水中间罐；1个13 m</w:t>
            </w:r>
            <w:r>
              <w:rPr>
                <w:rFonts w:hint="eastAsia"/>
                <w:sz w:val="21"/>
                <w:szCs w:val="21"/>
                <w:vertAlign w:val="superscript"/>
              </w:rPr>
              <w:t>3</w:t>
            </w:r>
            <w:r>
              <w:rPr>
                <w:rFonts w:hint="eastAsia"/>
                <w:sz w:val="21"/>
                <w:szCs w:val="21"/>
              </w:rPr>
              <w:t>21%氨水中间罐。</w:t>
            </w:r>
          </w:p>
          <w:p>
            <w:pPr>
              <w:pStyle w:val="5"/>
              <w:adjustRightInd w:val="0"/>
              <w:snapToGrid w:val="0"/>
              <w:spacing w:line="240" w:lineRule="auto"/>
              <w:ind w:firstLine="0"/>
              <w:jc w:val="left"/>
              <w:rPr>
                <w:b/>
                <w:sz w:val="21"/>
                <w:szCs w:val="21"/>
              </w:rPr>
            </w:pPr>
            <w:r>
              <w:rPr>
                <w:rFonts w:hint="eastAsia"/>
                <w:b/>
                <w:sz w:val="21"/>
                <w:szCs w:val="21"/>
              </w:rPr>
              <w:t>厂区罐区：</w:t>
            </w:r>
          </w:p>
          <w:p>
            <w:pPr>
              <w:pStyle w:val="5"/>
              <w:adjustRightInd w:val="0"/>
              <w:snapToGrid w:val="0"/>
              <w:spacing w:line="240" w:lineRule="auto"/>
              <w:ind w:firstLine="0"/>
              <w:jc w:val="left"/>
              <w:rPr>
                <w:b/>
                <w:sz w:val="21"/>
                <w:szCs w:val="21"/>
              </w:rPr>
            </w:pPr>
            <w:r>
              <w:rPr>
                <w:rFonts w:hint="eastAsia"/>
                <w:sz w:val="21"/>
                <w:szCs w:val="21"/>
              </w:rPr>
              <w:t>依托</w:t>
            </w:r>
            <w:r>
              <w:rPr>
                <w:sz w:val="21"/>
                <w:szCs w:val="21"/>
              </w:rPr>
              <w:t>厂区罐组九——</w:t>
            </w:r>
            <w:r>
              <w:rPr>
                <w:rFonts w:hint="eastAsia"/>
                <w:sz w:val="21"/>
                <w:szCs w:val="21"/>
              </w:rPr>
              <w:t>2个250m</w:t>
            </w:r>
            <w:r>
              <w:rPr>
                <w:rFonts w:hint="eastAsia"/>
                <w:sz w:val="21"/>
                <w:szCs w:val="21"/>
                <w:vertAlign w:val="superscript"/>
              </w:rPr>
              <w:t>3</w:t>
            </w:r>
            <w:r>
              <w:rPr>
                <w:rFonts w:hint="eastAsia"/>
                <w:sz w:val="21"/>
                <w:szCs w:val="21"/>
              </w:rPr>
              <w:t>27.5%</w:t>
            </w:r>
            <w:r>
              <w:rPr>
                <w:sz w:val="21"/>
                <w:szCs w:val="21"/>
              </w:rPr>
              <w:t>双氧水储罐</w:t>
            </w:r>
            <w:r>
              <w:rPr>
                <w:rFonts w:hint="eastAsia"/>
                <w:sz w:val="21"/>
                <w:szCs w:val="21"/>
              </w:rPr>
              <w:t>；依托</w:t>
            </w:r>
            <w:r>
              <w:rPr>
                <w:sz w:val="21"/>
                <w:szCs w:val="21"/>
              </w:rPr>
              <w:t>厂区罐组六——</w:t>
            </w:r>
            <w:r>
              <w:rPr>
                <w:rFonts w:hint="eastAsia"/>
                <w:sz w:val="21"/>
                <w:szCs w:val="21"/>
              </w:rPr>
              <w:t>8个2000m</w:t>
            </w:r>
            <w:r>
              <w:rPr>
                <w:rFonts w:hint="eastAsia"/>
                <w:sz w:val="21"/>
                <w:szCs w:val="21"/>
                <w:vertAlign w:val="superscript"/>
              </w:rPr>
              <w:t>3</w:t>
            </w:r>
            <w:r>
              <w:rPr>
                <w:rFonts w:hint="eastAsia"/>
                <w:sz w:val="21"/>
                <w:szCs w:val="21"/>
              </w:rPr>
              <w:t>32%</w:t>
            </w:r>
            <w:r>
              <w:rPr>
                <w:sz w:val="21"/>
                <w:szCs w:val="21"/>
              </w:rPr>
              <w:t>液碱储罐</w:t>
            </w:r>
            <w:r>
              <w:rPr>
                <w:rFonts w:hint="eastAsia"/>
                <w:sz w:val="21"/>
                <w:szCs w:val="21"/>
              </w:rPr>
              <w:t>；依托</w:t>
            </w:r>
            <w:r>
              <w:rPr>
                <w:sz w:val="21"/>
                <w:szCs w:val="21"/>
              </w:rPr>
              <w:t>厂区</w:t>
            </w:r>
            <w:r>
              <w:rPr>
                <w:rFonts w:hint="eastAsia"/>
                <w:sz w:val="21"/>
                <w:szCs w:val="21"/>
              </w:rPr>
              <w:t>罐组七——3个2000m</w:t>
            </w:r>
            <w:r>
              <w:rPr>
                <w:rFonts w:hint="eastAsia"/>
                <w:sz w:val="21"/>
                <w:szCs w:val="21"/>
                <w:vertAlign w:val="superscript"/>
              </w:rPr>
              <w:t>3</w:t>
            </w:r>
            <w:r>
              <w:rPr>
                <w:rFonts w:hint="eastAsia"/>
                <w:sz w:val="21"/>
                <w:szCs w:val="21"/>
              </w:rPr>
              <w:t>21%氨水储罐。</w:t>
            </w:r>
          </w:p>
        </w:tc>
        <w:tc>
          <w:tcPr>
            <w:tcW w:w="187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X19车间北面新增2个35m</w:t>
            </w:r>
            <w:r>
              <w:rPr>
                <w:rFonts w:hint="eastAsia"/>
                <w:sz w:val="21"/>
                <w:szCs w:val="21"/>
                <w:vertAlign w:val="superscript"/>
              </w:rPr>
              <w:t>3</w:t>
            </w:r>
            <w:r>
              <w:rPr>
                <w:rFonts w:hint="eastAsia"/>
                <w:sz w:val="21"/>
                <w:szCs w:val="21"/>
              </w:rPr>
              <w:t>热水储罐，1个35m</w:t>
            </w:r>
            <w:r>
              <w:rPr>
                <w:rFonts w:hint="eastAsia"/>
                <w:sz w:val="21"/>
                <w:szCs w:val="21"/>
                <w:vertAlign w:val="superscript"/>
              </w:rPr>
              <w:t>3</w:t>
            </w:r>
            <w:r>
              <w:rPr>
                <w:rFonts w:hint="eastAsia"/>
                <w:sz w:val="21"/>
                <w:szCs w:val="21"/>
              </w:rPr>
              <w:t>32%液碱中间罐，2个35m</w:t>
            </w:r>
            <w:r>
              <w:rPr>
                <w:rFonts w:hint="eastAsia"/>
                <w:sz w:val="21"/>
                <w:szCs w:val="21"/>
                <w:vertAlign w:val="superscript"/>
              </w:rPr>
              <w:t>3</w:t>
            </w:r>
            <w:r>
              <w:rPr>
                <w:rFonts w:hint="eastAsia"/>
                <w:sz w:val="21"/>
                <w:szCs w:val="21"/>
              </w:rPr>
              <w:t>洗水中间罐，1个25m</w:t>
            </w:r>
            <w:r>
              <w:rPr>
                <w:rFonts w:hint="eastAsia"/>
                <w:sz w:val="21"/>
                <w:szCs w:val="21"/>
                <w:vertAlign w:val="superscript"/>
              </w:rPr>
              <w:t>3</w:t>
            </w:r>
            <w:r>
              <w:rPr>
                <w:rFonts w:hint="eastAsia"/>
                <w:sz w:val="21"/>
                <w:szCs w:val="21"/>
              </w:rPr>
              <w:t>配酸槽，1个15m</w:t>
            </w:r>
            <w:r>
              <w:rPr>
                <w:rFonts w:hint="eastAsia"/>
                <w:sz w:val="21"/>
                <w:szCs w:val="21"/>
                <w:vertAlign w:val="superscript"/>
              </w:rPr>
              <w:t>3</w:t>
            </w:r>
            <w:r>
              <w:rPr>
                <w:rFonts w:hint="eastAsia"/>
                <w:sz w:val="21"/>
                <w:szCs w:val="21"/>
              </w:rPr>
              <w:t>27.5%双氧水中间罐，1个13 m</w:t>
            </w:r>
            <w:r>
              <w:rPr>
                <w:rFonts w:hint="eastAsia"/>
                <w:sz w:val="21"/>
                <w:szCs w:val="21"/>
                <w:vertAlign w:val="superscript"/>
              </w:rPr>
              <w:t>3</w:t>
            </w:r>
            <w:r>
              <w:rPr>
                <w:rFonts w:hint="eastAsia"/>
                <w:sz w:val="21"/>
                <w:szCs w:val="21"/>
              </w:rPr>
              <w:t>21%氨水中间罐。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公用工程</w:t>
            </w:r>
          </w:p>
        </w:tc>
        <w:tc>
          <w:tcPr>
            <w:tcW w:w="3189" w:type="dxa"/>
            <w:shd w:val="clear" w:color="auto" w:fill="auto"/>
            <w:vAlign w:val="center"/>
          </w:tcPr>
          <w:p>
            <w:pPr>
              <w:pStyle w:val="5"/>
              <w:adjustRightInd w:val="0"/>
              <w:snapToGrid w:val="0"/>
              <w:spacing w:line="240" w:lineRule="auto"/>
              <w:ind w:firstLine="0"/>
              <w:jc w:val="left"/>
              <w:rPr>
                <w:sz w:val="21"/>
                <w:szCs w:val="21"/>
              </w:rPr>
            </w:pPr>
            <w:r>
              <w:rPr>
                <w:sz w:val="21"/>
                <w:szCs w:val="21"/>
              </w:rPr>
              <w:t>园区供应自来水；园区供电。</w:t>
            </w:r>
          </w:p>
        </w:tc>
        <w:tc>
          <w:tcPr>
            <w:tcW w:w="3262" w:type="dxa"/>
            <w:shd w:val="clear" w:color="auto" w:fill="auto"/>
            <w:vAlign w:val="center"/>
          </w:tcPr>
          <w:p>
            <w:pPr>
              <w:pStyle w:val="5"/>
              <w:adjustRightInd w:val="0"/>
              <w:snapToGrid w:val="0"/>
              <w:spacing w:line="240" w:lineRule="auto"/>
              <w:ind w:firstLine="0"/>
              <w:jc w:val="left"/>
              <w:rPr>
                <w:sz w:val="21"/>
                <w:szCs w:val="21"/>
              </w:rPr>
            </w:pPr>
            <w:r>
              <w:rPr>
                <w:sz w:val="21"/>
                <w:szCs w:val="21"/>
              </w:rPr>
              <w:t>园区供应自来水；园区供电；蒸汽近期依托现有工程燃气锅炉供给，远期依托园区蒸汽管网供给。</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环保工程</w:t>
            </w:r>
          </w:p>
        </w:tc>
        <w:tc>
          <w:tcPr>
            <w:tcW w:w="485" w:type="dxa"/>
            <w:shd w:val="clear" w:color="auto" w:fill="auto"/>
            <w:vAlign w:val="center"/>
          </w:tcPr>
          <w:p>
            <w:pPr>
              <w:pStyle w:val="5"/>
              <w:adjustRightInd w:val="0"/>
              <w:snapToGrid w:val="0"/>
              <w:spacing w:line="240" w:lineRule="auto"/>
              <w:ind w:firstLine="0"/>
              <w:jc w:val="center"/>
              <w:rPr>
                <w:sz w:val="21"/>
                <w:szCs w:val="21"/>
              </w:rPr>
            </w:pPr>
            <w:r>
              <w:rPr>
                <w:sz w:val="21"/>
                <w:szCs w:val="21"/>
              </w:rPr>
              <w:t>废气</w:t>
            </w:r>
          </w:p>
        </w:tc>
        <w:tc>
          <w:tcPr>
            <w:tcW w:w="3189" w:type="dxa"/>
            <w:shd w:val="clear" w:color="auto" w:fill="auto"/>
            <w:vAlign w:val="center"/>
          </w:tcPr>
          <w:p>
            <w:pPr>
              <w:pStyle w:val="5"/>
              <w:adjustRightInd w:val="0"/>
              <w:snapToGrid w:val="0"/>
              <w:ind w:firstLine="0"/>
              <w:jc w:val="left"/>
              <w:rPr>
                <w:b/>
                <w:sz w:val="21"/>
                <w:szCs w:val="21"/>
              </w:rPr>
            </w:pPr>
            <w:r>
              <w:rPr>
                <w:rFonts w:hint="eastAsia"/>
                <w:sz w:val="21"/>
                <w:szCs w:val="21"/>
              </w:rPr>
              <w:t>镍溶解车间废气经4套吸收塔处理后通过4根20m高排气筒排放；镍净化车间废气经2套吸收塔处理后通过2根20m高排气筒排放。</w:t>
            </w:r>
          </w:p>
        </w:tc>
        <w:tc>
          <w:tcPr>
            <w:tcW w:w="3262" w:type="dxa"/>
            <w:shd w:val="clear" w:color="auto" w:fill="auto"/>
            <w:vAlign w:val="center"/>
          </w:tcPr>
          <w:p>
            <w:pPr>
              <w:pStyle w:val="5"/>
              <w:adjustRightInd w:val="0"/>
              <w:snapToGrid w:val="0"/>
              <w:spacing w:line="240" w:lineRule="auto"/>
              <w:ind w:firstLine="0"/>
              <w:jc w:val="left"/>
              <w:rPr>
                <w:sz w:val="21"/>
                <w:szCs w:val="21"/>
              </w:rPr>
            </w:pPr>
            <w:r>
              <w:rPr>
                <w:sz w:val="21"/>
                <w:szCs w:val="21"/>
              </w:rPr>
              <w:t>湿区反应、洗涤废气收集后经</w:t>
            </w:r>
            <w:r>
              <w:rPr>
                <w:rFonts w:hint="eastAsia"/>
                <w:sz w:val="21"/>
                <w:szCs w:val="21"/>
              </w:rPr>
              <w:t>1套吸收塔处理后通过现有1根20m高排气筒排放；干区破碎、包装粉尘收集后经布袋除尘器后，与干燥粉尘一同经水喷淋吸收塔处理后通过现有1根20m高排气筒排放。</w:t>
            </w:r>
          </w:p>
        </w:tc>
        <w:tc>
          <w:tcPr>
            <w:tcW w:w="1871" w:type="dxa"/>
            <w:shd w:val="clear" w:color="auto" w:fill="auto"/>
            <w:vAlign w:val="center"/>
          </w:tcPr>
          <w:p>
            <w:pPr>
              <w:pStyle w:val="5"/>
              <w:adjustRightInd w:val="0"/>
              <w:snapToGrid w:val="0"/>
              <w:spacing w:line="240" w:lineRule="auto"/>
              <w:ind w:firstLine="0"/>
              <w:jc w:val="left"/>
              <w:rPr>
                <w:sz w:val="21"/>
                <w:szCs w:val="21"/>
              </w:rPr>
            </w:pPr>
            <w:r>
              <w:rPr>
                <w:sz w:val="21"/>
                <w:szCs w:val="21"/>
              </w:rPr>
              <w:t>变更后减少</w:t>
            </w:r>
            <w:r>
              <w:rPr>
                <w:rFonts w:hint="eastAsia"/>
                <w:sz w:val="21"/>
                <w:szCs w:val="21"/>
              </w:rPr>
              <w:t>4套吸收塔和4根20m高排气筒（实际未建），新增1套布袋除尘器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485"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废水</w:t>
            </w:r>
          </w:p>
        </w:tc>
        <w:tc>
          <w:tcPr>
            <w:tcW w:w="3189"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u w:val="single"/>
              </w:rPr>
              <w:t>镍豆镍粉处置线无</w:t>
            </w:r>
            <w:r>
              <w:rPr>
                <w:sz w:val="21"/>
                <w:szCs w:val="21"/>
                <w:u w:val="single"/>
              </w:rPr>
              <w:t>生产废水排放。</w:t>
            </w:r>
          </w:p>
        </w:tc>
        <w:tc>
          <w:tcPr>
            <w:tcW w:w="3262"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u w:val="single"/>
              </w:rPr>
              <w:t>X19车间羟基钴生产线生产</w:t>
            </w:r>
            <w:r>
              <w:rPr>
                <w:sz w:val="21"/>
                <w:szCs w:val="21"/>
                <w:u w:val="single"/>
              </w:rPr>
              <w:t>废水和地面清洗废水经板框</w:t>
            </w:r>
            <w:r>
              <w:rPr>
                <w:rFonts w:hint="eastAsia"/>
                <w:sz w:val="21"/>
                <w:szCs w:val="21"/>
                <w:u w:val="single"/>
              </w:rPr>
              <w:t>压滤</w:t>
            </w:r>
            <w:r>
              <w:rPr>
                <w:sz w:val="21"/>
                <w:szCs w:val="21"/>
                <w:u w:val="single"/>
              </w:rPr>
              <w:t>、精密过滤器预处理后，</w:t>
            </w:r>
            <w:r>
              <w:rPr>
                <w:sz w:val="21"/>
                <w:szCs w:val="21"/>
              </w:rPr>
              <w:t>依托S</w:t>
            </w:r>
            <w:r>
              <w:rPr>
                <w:rFonts w:hint="eastAsia"/>
                <w:sz w:val="21"/>
                <w:szCs w:val="21"/>
              </w:rPr>
              <w:t>7污水处理车间脱氨、陶瓷膜过滤处理，</w:t>
            </w:r>
            <w:r>
              <w:rPr>
                <w:sz w:val="21"/>
                <w:szCs w:val="21"/>
              </w:rPr>
              <w:t>依托厂区S</w:t>
            </w:r>
            <w:r>
              <w:rPr>
                <w:rFonts w:hint="eastAsia"/>
                <w:sz w:val="21"/>
                <w:szCs w:val="21"/>
              </w:rPr>
              <w:t>8、S9污水处理车间的</w:t>
            </w:r>
            <w:r>
              <w:rPr>
                <w:sz w:val="21"/>
                <w:szCs w:val="21"/>
              </w:rPr>
              <w:t>9台60t/hMVR（4#~12#）</w:t>
            </w:r>
            <w:r>
              <w:rPr>
                <w:rFonts w:hint="eastAsia"/>
                <w:sz w:val="21"/>
                <w:szCs w:val="21"/>
              </w:rPr>
              <w:t>处理</w:t>
            </w:r>
            <w:r>
              <w:rPr>
                <w:sz w:val="21"/>
                <w:szCs w:val="21"/>
              </w:rPr>
              <w:t>，开路母液经厂区综合污水处理站臭氧催化氧化处理，通过A2排放口排放。</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新增生产废水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485"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3189" w:type="dxa"/>
            <w:shd w:val="clear" w:color="auto" w:fill="auto"/>
            <w:vAlign w:val="center"/>
          </w:tcPr>
          <w:p>
            <w:pPr>
              <w:pStyle w:val="5"/>
              <w:adjustRightInd w:val="0"/>
              <w:snapToGrid w:val="0"/>
              <w:spacing w:line="240" w:lineRule="auto"/>
              <w:ind w:firstLine="0"/>
              <w:jc w:val="left"/>
              <w:rPr>
                <w:sz w:val="21"/>
                <w:szCs w:val="21"/>
                <w:u w:val="single"/>
              </w:rPr>
            </w:pPr>
            <w:r>
              <w:rPr>
                <w:rFonts w:hint="eastAsia"/>
                <w:sz w:val="21"/>
                <w:szCs w:val="21"/>
                <w:u w:val="single"/>
              </w:rPr>
              <w:t xml:space="preserve">生活污水采用地埋式三级化粪池处理后，通过污水管道排入大榄坪污水处理厂处理。 </w:t>
            </w:r>
          </w:p>
        </w:tc>
        <w:tc>
          <w:tcPr>
            <w:tcW w:w="3262" w:type="dxa"/>
            <w:shd w:val="clear" w:color="auto" w:fill="auto"/>
            <w:vAlign w:val="center"/>
          </w:tcPr>
          <w:p>
            <w:pPr>
              <w:pStyle w:val="5"/>
              <w:adjustRightInd w:val="0"/>
              <w:snapToGrid w:val="0"/>
              <w:spacing w:line="240" w:lineRule="auto"/>
              <w:ind w:firstLine="0"/>
              <w:jc w:val="left"/>
              <w:rPr>
                <w:sz w:val="21"/>
                <w:szCs w:val="21"/>
                <w:u w:val="single"/>
              </w:rPr>
            </w:pPr>
            <w:r>
              <w:rPr>
                <w:rFonts w:hint="eastAsia"/>
                <w:sz w:val="21"/>
                <w:szCs w:val="21"/>
                <w:u w:val="single"/>
              </w:rPr>
              <w:t xml:space="preserve">生活污水采用地埋式三级化粪池处理后，通过污水管道排入大榄坪污水处理厂处理。 </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485"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3189" w:type="dxa"/>
            <w:shd w:val="clear" w:color="auto" w:fill="auto"/>
            <w:vAlign w:val="center"/>
          </w:tcPr>
          <w:p>
            <w:pPr>
              <w:pStyle w:val="5"/>
              <w:adjustRightInd w:val="0"/>
              <w:snapToGrid w:val="0"/>
              <w:spacing w:line="240" w:lineRule="auto"/>
              <w:ind w:firstLine="0"/>
              <w:jc w:val="left"/>
              <w:rPr>
                <w:sz w:val="21"/>
                <w:szCs w:val="21"/>
                <w:u w:val="single"/>
              </w:rPr>
            </w:pPr>
            <w:r>
              <w:rPr>
                <w:rFonts w:hint="eastAsia"/>
                <w:sz w:val="21"/>
                <w:szCs w:val="21"/>
                <w:u w:val="single"/>
              </w:rPr>
              <w:t>纯水站浓水与综合污水处理站处理后的废水一同排往厂区生产废水总排口。</w:t>
            </w:r>
          </w:p>
        </w:tc>
        <w:tc>
          <w:tcPr>
            <w:tcW w:w="3262" w:type="dxa"/>
            <w:shd w:val="clear" w:color="auto" w:fill="auto"/>
            <w:vAlign w:val="center"/>
          </w:tcPr>
          <w:p>
            <w:pPr>
              <w:pStyle w:val="5"/>
              <w:adjustRightInd w:val="0"/>
              <w:snapToGrid w:val="0"/>
              <w:spacing w:line="240" w:lineRule="auto"/>
              <w:ind w:firstLine="0"/>
              <w:jc w:val="left"/>
              <w:rPr>
                <w:sz w:val="21"/>
                <w:szCs w:val="21"/>
                <w:u w:val="single"/>
              </w:rPr>
            </w:pPr>
            <w:r>
              <w:rPr>
                <w:rFonts w:hint="eastAsia"/>
                <w:sz w:val="21"/>
                <w:szCs w:val="21"/>
                <w:u w:val="single"/>
              </w:rPr>
              <w:t>纯水站浓水与综合污水处理站处理后的废水一同排往厂区生产废水总排口。</w:t>
            </w:r>
          </w:p>
        </w:tc>
        <w:tc>
          <w:tcPr>
            <w:tcW w:w="1871" w:type="dxa"/>
            <w:shd w:val="clear" w:color="auto" w:fill="auto"/>
            <w:vAlign w:val="center"/>
          </w:tcPr>
          <w:p>
            <w:pPr>
              <w:pStyle w:val="5"/>
              <w:adjustRightInd w:val="0"/>
              <w:snapToGrid w:val="0"/>
              <w:spacing w:line="240" w:lineRule="auto"/>
              <w:ind w:firstLine="0"/>
              <w:jc w:val="center"/>
              <w:rPr>
                <w:sz w:val="21"/>
                <w:szCs w:val="21"/>
              </w:rPr>
            </w:pPr>
            <w:r>
              <w:rPr>
                <w:sz w:val="21"/>
                <w:szCs w:val="21"/>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485" w:type="dxa"/>
            <w:shd w:val="clear" w:color="auto" w:fill="auto"/>
            <w:vAlign w:val="center"/>
          </w:tcPr>
          <w:p>
            <w:pPr>
              <w:pStyle w:val="5"/>
              <w:adjustRightInd w:val="0"/>
              <w:snapToGrid w:val="0"/>
              <w:spacing w:line="240" w:lineRule="auto"/>
              <w:ind w:firstLine="0"/>
              <w:jc w:val="center"/>
              <w:rPr>
                <w:sz w:val="21"/>
                <w:szCs w:val="21"/>
              </w:rPr>
            </w:pPr>
            <w:r>
              <w:rPr>
                <w:sz w:val="21"/>
                <w:szCs w:val="21"/>
              </w:rPr>
              <w:t>固废</w:t>
            </w:r>
          </w:p>
        </w:tc>
        <w:tc>
          <w:tcPr>
            <w:tcW w:w="3189"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低镍除铁除铜渣</w:t>
            </w:r>
            <w:r>
              <w:rPr>
                <w:sz w:val="21"/>
                <w:szCs w:val="21"/>
              </w:rPr>
              <w:t>依托厂区现有800m</w:t>
            </w:r>
            <w:r>
              <w:rPr>
                <w:sz w:val="21"/>
                <w:szCs w:val="21"/>
                <w:vertAlign w:val="superscript"/>
              </w:rPr>
              <w:t>2</w:t>
            </w:r>
            <w:r>
              <w:rPr>
                <w:sz w:val="21"/>
                <w:szCs w:val="21"/>
              </w:rPr>
              <w:t>危废暂存间临时存放，委托处理。</w:t>
            </w:r>
          </w:p>
        </w:tc>
        <w:tc>
          <w:tcPr>
            <w:tcW w:w="3262"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机械维修废润滑油</w:t>
            </w:r>
            <w:r>
              <w:rPr>
                <w:sz w:val="21"/>
                <w:szCs w:val="21"/>
              </w:rPr>
              <w:t>依托厂区现有800m</w:t>
            </w:r>
            <w:r>
              <w:rPr>
                <w:sz w:val="21"/>
                <w:szCs w:val="21"/>
                <w:vertAlign w:val="superscript"/>
              </w:rPr>
              <w:t>2</w:t>
            </w:r>
            <w:r>
              <w:rPr>
                <w:sz w:val="21"/>
                <w:szCs w:val="21"/>
              </w:rPr>
              <w:t>危废暂存间临时存放，委托处理。</w:t>
            </w:r>
          </w:p>
        </w:tc>
        <w:tc>
          <w:tcPr>
            <w:tcW w:w="187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减少低镍除铁除铜渣产生，新增废润滑油。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8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485" w:type="dxa"/>
            <w:shd w:val="clear" w:color="auto" w:fill="auto"/>
            <w:vAlign w:val="center"/>
          </w:tcPr>
          <w:p>
            <w:pPr>
              <w:pStyle w:val="5"/>
              <w:adjustRightInd w:val="0"/>
              <w:snapToGrid w:val="0"/>
              <w:spacing w:line="240" w:lineRule="auto"/>
              <w:ind w:firstLine="0"/>
              <w:jc w:val="center"/>
              <w:rPr>
                <w:sz w:val="21"/>
                <w:szCs w:val="21"/>
              </w:rPr>
            </w:pPr>
            <w:r>
              <w:rPr>
                <w:sz w:val="21"/>
                <w:szCs w:val="21"/>
              </w:rPr>
              <w:t>风险防范</w:t>
            </w:r>
          </w:p>
        </w:tc>
        <w:tc>
          <w:tcPr>
            <w:tcW w:w="3189" w:type="dxa"/>
            <w:shd w:val="clear" w:color="auto" w:fill="auto"/>
            <w:vAlign w:val="center"/>
          </w:tcPr>
          <w:p>
            <w:pPr>
              <w:pStyle w:val="5"/>
              <w:adjustRightInd w:val="0"/>
              <w:snapToGrid w:val="0"/>
              <w:spacing w:line="240" w:lineRule="auto"/>
              <w:ind w:firstLine="0"/>
              <w:jc w:val="left"/>
              <w:rPr>
                <w:sz w:val="21"/>
                <w:szCs w:val="21"/>
              </w:rPr>
            </w:pPr>
            <w:r>
              <w:rPr>
                <w:sz w:val="21"/>
                <w:szCs w:val="21"/>
              </w:rPr>
              <w:t>1、装置区围堰、罐区防火堤及其配套设施；</w:t>
            </w:r>
          </w:p>
          <w:p>
            <w:pPr>
              <w:pStyle w:val="5"/>
              <w:adjustRightInd w:val="0"/>
              <w:snapToGrid w:val="0"/>
              <w:spacing w:line="240" w:lineRule="auto"/>
              <w:ind w:firstLine="0"/>
              <w:jc w:val="left"/>
              <w:rPr>
                <w:sz w:val="21"/>
                <w:szCs w:val="21"/>
              </w:rPr>
            </w:pPr>
            <w:r>
              <w:rPr>
                <w:rFonts w:hint="eastAsia"/>
                <w:sz w:val="21"/>
                <w:szCs w:val="21"/>
              </w:rPr>
              <w:t>2</w:t>
            </w:r>
            <w:r>
              <w:rPr>
                <w:sz w:val="21"/>
                <w:szCs w:val="21"/>
              </w:rPr>
              <w:t>、厂区设有3个事故应急池，总容积1500m</w:t>
            </w:r>
            <w:r>
              <w:rPr>
                <w:sz w:val="21"/>
                <w:szCs w:val="21"/>
                <w:vertAlign w:val="superscript"/>
              </w:rPr>
              <w:t>3</w:t>
            </w:r>
            <w:r>
              <w:rPr>
                <w:sz w:val="21"/>
                <w:szCs w:val="21"/>
              </w:rPr>
              <w:t>，其中地块一的200m</w:t>
            </w:r>
            <w:r>
              <w:rPr>
                <w:sz w:val="21"/>
                <w:szCs w:val="21"/>
                <w:vertAlign w:val="superscript"/>
              </w:rPr>
              <w:t>3</w:t>
            </w:r>
            <w:r>
              <w:rPr>
                <w:sz w:val="21"/>
                <w:szCs w:val="21"/>
              </w:rPr>
              <w:t>，地块二的500m</w:t>
            </w:r>
            <w:r>
              <w:rPr>
                <w:sz w:val="21"/>
                <w:szCs w:val="21"/>
                <w:vertAlign w:val="superscript"/>
              </w:rPr>
              <w:t>3</w:t>
            </w:r>
            <w:r>
              <w:rPr>
                <w:sz w:val="21"/>
                <w:szCs w:val="21"/>
              </w:rPr>
              <w:t>，地块三的800m</w:t>
            </w:r>
            <w:r>
              <w:rPr>
                <w:sz w:val="21"/>
                <w:szCs w:val="21"/>
                <w:vertAlign w:val="superscript"/>
              </w:rPr>
              <w:t>3</w:t>
            </w:r>
            <w:r>
              <w:rPr>
                <w:sz w:val="21"/>
                <w:szCs w:val="21"/>
              </w:rPr>
              <w:t>；</w:t>
            </w:r>
          </w:p>
          <w:p>
            <w:pPr>
              <w:pStyle w:val="5"/>
              <w:adjustRightInd w:val="0"/>
              <w:snapToGrid w:val="0"/>
              <w:spacing w:line="240" w:lineRule="auto"/>
              <w:ind w:firstLine="0"/>
              <w:jc w:val="left"/>
              <w:rPr>
                <w:sz w:val="21"/>
                <w:szCs w:val="21"/>
              </w:rPr>
            </w:pPr>
            <w:r>
              <w:rPr>
                <w:rFonts w:hint="eastAsia"/>
                <w:sz w:val="21"/>
                <w:szCs w:val="21"/>
              </w:rPr>
              <w:t>3</w:t>
            </w:r>
            <w:r>
              <w:rPr>
                <w:sz w:val="21"/>
                <w:szCs w:val="21"/>
              </w:rPr>
              <w:t>、厂区雨水和废水排口设置闸阀；</w:t>
            </w:r>
          </w:p>
          <w:p>
            <w:pPr>
              <w:pStyle w:val="5"/>
              <w:adjustRightInd w:val="0"/>
              <w:snapToGrid w:val="0"/>
              <w:spacing w:line="240" w:lineRule="auto"/>
              <w:ind w:firstLine="0"/>
              <w:jc w:val="left"/>
              <w:rPr>
                <w:sz w:val="21"/>
                <w:szCs w:val="21"/>
              </w:rPr>
            </w:pPr>
            <w:r>
              <w:rPr>
                <w:rFonts w:hint="eastAsia"/>
                <w:sz w:val="21"/>
                <w:szCs w:val="21"/>
              </w:rPr>
              <w:t>4</w:t>
            </w:r>
            <w:r>
              <w:rPr>
                <w:sz w:val="21"/>
                <w:szCs w:val="21"/>
              </w:rPr>
              <w:t>、设有3个初期雨水池，总容积9000m</w:t>
            </w:r>
            <w:r>
              <w:rPr>
                <w:sz w:val="21"/>
                <w:szCs w:val="21"/>
                <w:vertAlign w:val="superscript"/>
              </w:rPr>
              <w:t>3</w:t>
            </w:r>
            <w:r>
              <w:rPr>
                <w:sz w:val="21"/>
                <w:szCs w:val="21"/>
              </w:rPr>
              <w:t>，其中地块一的1000m</w:t>
            </w:r>
            <w:r>
              <w:rPr>
                <w:sz w:val="21"/>
                <w:szCs w:val="21"/>
                <w:vertAlign w:val="superscript"/>
              </w:rPr>
              <w:t>3</w:t>
            </w:r>
            <w:r>
              <w:rPr>
                <w:sz w:val="21"/>
                <w:szCs w:val="21"/>
              </w:rPr>
              <w:t>，地块二的4500m</w:t>
            </w:r>
            <w:r>
              <w:rPr>
                <w:sz w:val="21"/>
                <w:szCs w:val="21"/>
                <w:vertAlign w:val="superscript"/>
              </w:rPr>
              <w:t>3</w:t>
            </w:r>
            <w:r>
              <w:rPr>
                <w:sz w:val="21"/>
                <w:szCs w:val="21"/>
              </w:rPr>
              <w:t>，地块三的3500m</w:t>
            </w:r>
            <w:r>
              <w:rPr>
                <w:sz w:val="21"/>
                <w:szCs w:val="21"/>
                <w:vertAlign w:val="superscript"/>
              </w:rPr>
              <w:t>3</w:t>
            </w:r>
            <w:r>
              <w:rPr>
                <w:sz w:val="21"/>
                <w:szCs w:val="21"/>
              </w:rPr>
              <w:t>；</w:t>
            </w:r>
          </w:p>
          <w:p>
            <w:pPr>
              <w:pStyle w:val="5"/>
              <w:adjustRightInd w:val="0"/>
              <w:snapToGrid w:val="0"/>
              <w:spacing w:line="240" w:lineRule="auto"/>
              <w:ind w:firstLine="0"/>
              <w:jc w:val="left"/>
              <w:rPr>
                <w:sz w:val="21"/>
                <w:szCs w:val="21"/>
              </w:rPr>
            </w:pPr>
            <w:r>
              <w:rPr>
                <w:rFonts w:hint="eastAsia"/>
                <w:sz w:val="21"/>
                <w:szCs w:val="21"/>
              </w:rPr>
              <w:t>5</w:t>
            </w:r>
            <w:r>
              <w:rPr>
                <w:sz w:val="21"/>
                <w:szCs w:val="21"/>
              </w:rPr>
              <w:t>、设置4个地下水监控井，分别为2#（一号地块西北角）、3#（一号地块东南角）、4#（二号地块东南角）、5#监控井（三号地块东南角）；</w:t>
            </w:r>
          </w:p>
          <w:p>
            <w:pPr>
              <w:pStyle w:val="5"/>
              <w:adjustRightInd w:val="0"/>
              <w:snapToGrid w:val="0"/>
              <w:spacing w:line="240" w:lineRule="auto"/>
              <w:ind w:firstLine="0"/>
              <w:jc w:val="left"/>
              <w:rPr>
                <w:sz w:val="21"/>
                <w:szCs w:val="21"/>
              </w:rPr>
            </w:pPr>
            <w:r>
              <w:rPr>
                <w:rFonts w:hint="eastAsia"/>
                <w:sz w:val="21"/>
                <w:szCs w:val="21"/>
              </w:rPr>
              <w:t>6</w:t>
            </w:r>
            <w:r>
              <w:rPr>
                <w:sz w:val="21"/>
                <w:szCs w:val="21"/>
              </w:rPr>
              <w:t>、分区防渗；</w:t>
            </w:r>
          </w:p>
          <w:p>
            <w:pPr>
              <w:pStyle w:val="5"/>
              <w:adjustRightInd w:val="0"/>
              <w:snapToGrid w:val="0"/>
              <w:spacing w:line="240" w:lineRule="auto"/>
              <w:ind w:firstLine="0"/>
              <w:jc w:val="left"/>
              <w:rPr>
                <w:sz w:val="21"/>
                <w:szCs w:val="21"/>
              </w:rPr>
            </w:pPr>
            <w:r>
              <w:rPr>
                <w:rFonts w:hint="eastAsia"/>
                <w:sz w:val="21"/>
                <w:szCs w:val="21"/>
              </w:rPr>
              <w:t>7</w:t>
            </w:r>
            <w:r>
              <w:rPr>
                <w:sz w:val="21"/>
                <w:szCs w:val="21"/>
              </w:rPr>
              <w:t>、已委托编制了突发环境事件应急预案并在钦州市生态环境局备案成功。</w:t>
            </w:r>
          </w:p>
        </w:tc>
        <w:tc>
          <w:tcPr>
            <w:tcW w:w="3262" w:type="dxa"/>
            <w:shd w:val="clear" w:color="auto" w:fill="auto"/>
            <w:vAlign w:val="center"/>
          </w:tcPr>
          <w:p>
            <w:pPr>
              <w:pStyle w:val="5"/>
              <w:adjustRightInd w:val="0"/>
              <w:snapToGrid w:val="0"/>
              <w:spacing w:line="240" w:lineRule="auto"/>
              <w:ind w:firstLine="0"/>
              <w:jc w:val="left"/>
              <w:rPr>
                <w:sz w:val="21"/>
                <w:szCs w:val="21"/>
              </w:rPr>
            </w:pPr>
            <w:r>
              <w:rPr>
                <w:sz w:val="21"/>
                <w:szCs w:val="21"/>
              </w:rPr>
              <w:t>1、装置区围堰、罐区防火堤及其配套设施；</w:t>
            </w:r>
          </w:p>
          <w:p>
            <w:pPr>
              <w:pStyle w:val="5"/>
              <w:adjustRightInd w:val="0"/>
              <w:snapToGrid w:val="0"/>
              <w:spacing w:line="240" w:lineRule="auto"/>
              <w:ind w:firstLine="0"/>
              <w:jc w:val="left"/>
              <w:rPr>
                <w:sz w:val="21"/>
                <w:szCs w:val="21"/>
              </w:rPr>
            </w:pPr>
            <w:r>
              <w:rPr>
                <w:rFonts w:hint="eastAsia"/>
                <w:sz w:val="21"/>
                <w:szCs w:val="21"/>
              </w:rPr>
              <w:t>2</w:t>
            </w:r>
            <w:r>
              <w:rPr>
                <w:sz w:val="21"/>
                <w:szCs w:val="21"/>
              </w:rPr>
              <w:t>、厂区设有3个事故应急池，总容积1500m</w:t>
            </w:r>
            <w:r>
              <w:rPr>
                <w:sz w:val="21"/>
                <w:szCs w:val="21"/>
                <w:vertAlign w:val="superscript"/>
              </w:rPr>
              <w:t>3</w:t>
            </w:r>
            <w:r>
              <w:rPr>
                <w:sz w:val="21"/>
                <w:szCs w:val="21"/>
              </w:rPr>
              <w:t>，其中地块一的200m</w:t>
            </w:r>
            <w:r>
              <w:rPr>
                <w:sz w:val="21"/>
                <w:szCs w:val="21"/>
                <w:vertAlign w:val="superscript"/>
              </w:rPr>
              <w:t>3</w:t>
            </w:r>
            <w:r>
              <w:rPr>
                <w:sz w:val="21"/>
                <w:szCs w:val="21"/>
              </w:rPr>
              <w:t>，地块二的500m</w:t>
            </w:r>
            <w:r>
              <w:rPr>
                <w:sz w:val="21"/>
                <w:szCs w:val="21"/>
                <w:vertAlign w:val="superscript"/>
              </w:rPr>
              <w:t>3</w:t>
            </w:r>
            <w:r>
              <w:rPr>
                <w:sz w:val="21"/>
                <w:szCs w:val="21"/>
              </w:rPr>
              <w:t>，地块三的800m</w:t>
            </w:r>
            <w:r>
              <w:rPr>
                <w:sz w:val="21"/>
                <w:szCs w:val="21"/>
                <w:vertAlign w:val="superscript"/>
              </w:rPr>
              <w:t>3</w:t>
            </w:r>
            <w:r>
              <w:rPr>
                <w:sz w:val="21"/>
                <w:szCs w:val="21"/>
              </w:rPr>
              <w:t>；</w:t>
            </w:r>
          </w:p>
          <w:p>
            <w:pPr>
              <w:pStyle w:val="5"/>
              <w:adjustRightInd w:val="0"/>
              <w:snapToGrid w:val="0"/>
              <w:spacing w:line="240" w:lineRule="auto"/>
              <w:ind w:firstLine="0"/>
              <w:jc w:val="left"/>
              <w:rPr>
                <w:sz w:val="21"/>
                <w:szCs w:val="21"/>
              </w:rPr>
            </w:pPr>
            <w:r>
              <w:rPr>
                <w:rFonts w:hint="eastAsia"/>
                <w:sz w:val="21"/>
                <w:szCs w:val="21"/>
              </w:rPr>
              <w:t>3</w:t>
            </w:r>
            <w:r>
              <w:rPr>
                <w:sz w:val="21"/>
                <w:szCs w:val="21"/>
              </w:rPr>
              <w:t>、厂区雨水和废水排口设置闸阀；</w:t>
            </w:r>
          </w:p>
          <w:p>
            <w:pPr>
              <w:pStyle w:val="5"/>
              <w:adjustRightInd w:val="0"/>
              <w:snapToGrid w:val="0"/>
              <w:spacing w:line="240" w:lineRule="auto"/>
              <w:ind w:firstLine="0"/>
              <w:jc w:val="left"/>
              <w:rPr>
                <w:sz w:val="21"/>
                <w:szCs w:val="21"/>
              </w:rPr>
            </w:pPr>
            <w:r>
              <w:rPr>
                <w:rFonts w:hint="eastAsia"/>
                <w:sz w:val="21"/>
                <w:szCs w:val="21"/>
              </w:rPr>
              <w:t>4</w:t>
            </w:r>
            <w:r>
              <w:rPr>
                <w:sz w:val="21"/>
                <w:szCs w:val="21"/>
              </w:rPr>
              <w:t>、设有3个初期雨水池，总容积9000m</w:t>
            </w:r>
            <w:r>
              <w:rPr>
                <w:sz w:val="21"/>
                <w:szCs w:val="21"/>
                <w:vertAlign w:val="superscript"/>
              </w:rPr>
              <w:t>3</w:t>
            </w:r>
            <w:r>
              <w:rPr>
                <w:sz w:val="21"/>
                <w:szCs w:val="21"/>
              </w:rPr>
              <w:t>，其中地块一的1000m</w:t>
            </w:r>
            <w:r>
              <w:rPr>
                <w:sz w:val="21"/>
                <w:szCs w:val="21"/>
                <w:vertAlign w:val="superscript"/>
              </w:rPr>
              <w:t>3</w:t>
            </w:r>
            <w:r>
              <w:rPr>
                <w:sz w:val="21"/>
                <w:szCs w:val="21"/>
              </w:rPr>
              <w:t>，地块二的4500m</w:t>
            </w:r>
            <w:r>
              <w:rPr>
                <w:sz w:val="21"/>
                <w:szCs w:val="21"/>
                <w:vertAlign w:val="superscript"/>
              </w:rPr>
              <w:t>3</w:t>
            </w:r>
            <w:r>
              <w:rPr>
                <w:sz w:val="21"/>
                <w:szCs w:val="21"/>
              </w:rPr>
              <w:t>，地块三的3500m</w:t>
            </w:r>
            <w:r>
              <w:rPr>
                <w:sz w:val="21"/>
                <w:szCs w:val="21"/>
                <w:vertAlign w:val="superscript"/>
              </w:rPr>
              <w:t>3</w:t>
            </w:r>
            <w:r>
              <w:rPr>
                <w:sz w:val="21"/>
                <w:szCs w:val="21"/>
              </w:rPr>
              <w:t>；</w:t>
            </w:r>
          </w:p>
          <w:p>
            <w:pPr>
              <w:pStyle w:val="5"/>
              <w:adjustRightInd w:val="0"/>
              <w:snapToGrid w:val="0"/>
              <w:spacing w:line="240" w:lineRule="auto"/>
              <w:ind w:firstLine="0"/>
              <w:jc w:val="left"/>
              <w:rPr>
                <w:sz w:val="21"/>
                <w:szCs w:val="21"/>
              </w:rPr>
            </w:pPr>
            <w:r>
              <w:rPr>
                <w:rFonts w:hint="eastAsia"/>
                <w:sz w:val="21"/>
                <w:szCs w:val="21"/>
              </w:rPr>
              <w:t>5</w:t>
            </w:r>
            <w:r>
              <w:rPr>
                <w:sz w:val="21"/>
                <w:szCs w:val="21"/>
              </w:rPr>
              <w:t>、设置4个地下水监控井，分别为2#（一号地块西北角）、3#（一号地块东南角）、4#（二号地块东南角）、5#监控井（三号地块东南角）；</w:t>
            </w:r>
          </w:p>
          <w:p>
            <w:pPr>
              <w:pStyle w:val="5"/>
              <w:adjustRightInd w:val="0"/>
              <w:snapToGrid w:val="0"/>
              <w:spacing w:line="240" w:lineRule="auto"/>
              <w:ind w:firstLine="0"/>
              <w:jc w:val="left"/>
              <w:rPr>
                <w:sz w:val="21"/>
                <w:szCs w:val="21"/>
              </w:rPr>
            </w:pPr>
            <w:r>
              <w:rPr>
                <w:rFonts w:hint="eastAsia"/>
                <w:sz w:val="21"/>
                <w:szCs w:val="21"/>
              </w:rPr>
              <w:t>6</w:t>
            </w:r>
            <w:r>
              <w:rPr>
                <w:sz w:val="21"/>
                <w:szCs w:val="21"/>
              </w:rPr>
              <w:t>、分区防渗；</w:t>
            </w:r>
          </w:p>
          <w:p>
            <w:pPr>
              <w:pStyle w:val="5"/>
              <w:adjustRightInd w:val="0"/>
              <w:snapToGrid w:val="0"/>
              <w:spacing w:line="240" w:lineRule="auto"/>
              <w:ind w:firstLine="0"/>
              <w:jc w:val="left"/>
              <w:rPr>
                <w:sz w:val="21"/>
                <w:szCs w:val="21"/>
              </w:rPr>
            </w:pPr>
            <w:r>
              <w:rPr>
                <w:rFonts w:hint="eastAsia"/>
                <w:sz w:val="21"/>
                <w:szCs w:val="21"/>
              </w:rPr>
              <w:t>7</w:t>
            </w:r>
            <w:r>
              <w:rPr>
                <w:sz w:val="21"/>
                <w:szCs w:val="21"/>
              </w:rPr>
              <w:t>、已委托编制了突发环境事件应急预案并在钦州市生态环境局备案成功。</w:t>
            </w:r>
          </w:p>
        </w:tc>
        <w:tc>
          <w:tcPr>
            <w:tcW w:w="187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66" w:type="dxa"/>
            <w:gridSpan w:val="2"/>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依托工程</w:t>
            </w:r>
          </w:p>
        </w:tc>
        <w:tc>
          <w:tcPr>
            <w:tcW w:w="3189"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1、依托</w:t>
            </w:r>
            <w:r>
              <w:rPr>
                <w:sz w:val="21"/>
                <w:szCs w:val="21"/>
              </w:rPr>
              <w:t>厂区</w:t>
            </w:r>
            <w:r>
              <w:rPr>
                <w:rFonts w:hint="eastAsia"/>
                <w:sz w:val="21"/>
                <w:szCs w:val="21"/>
              </w:rPr>
              <w:t>纯水站供给纯水；</w:t>
            </w:r>
          </w:p>
          <w:p>
            <w:pPr>
              <w:pStyle w:val="5"/>
              <w:adjustRightInd w:val="0"/>
              <w:snapToGrid w:val="0"/>
              <w:spacing w:line="240" w:lineRule="auto"/>
              <w:ind w:firstLine="0"/>
              <w:jc w:val="left"/>
              <w:rPr>
                <w:sz w:val="21"/>
                <w:szCs w:val="21"/>
              </w:rPr>
            </w:pPr>
            <w:r>
              <w:rPr>
                <w:rFonts w:hint="eastAsia"/>
                <w:sz w:val="21"/>
                <w:szCs w:val="21"/>
              </w:rPr>
              <w:t>2、依托</w:t>
            </w:r>
            <w:r>
              <w:rPr>
                <w:sz w:val="21"/>
                <w:szCs w:val="21"/>
              </w:rPr>
              <w:t>厂区</w:t>
            </w:r>
            <w:r>
              <w:rPr>
                <w:rFonts w:hint="eastAsia"/>
                <w:sz w:val="21"/>
                <w:szCs w:val="21"/>
              </w:rPr>
              <w:t>罐区；</w:t>
            </w:r>
          </w:p>
          <w:p>
            <w:pPr>
              <w:pStyle w:val="5"/>
              <w:adjustRightInd w:val="0"/>
              <w:snapToGrid w:val="0"/>
              <w:spacing w:line="240" w:lineRule="auto"/>
              <w:ind w:firstLine="0"/>
              <w:jc w:val="left"/>
              <w:rPr>
                <w:sz w:val="21"/>
                <w:szCs w:val="21"/>
              </w:rPr>
            </w:pPr>
            <w:r>
              <w:rPr>
                <w:rFonts w:hint="eastAsia"/>
                <w:sz w:val="21"/>
                <w:szCs w:val="21"/>
              </w:rPr>
              <w:t>3、依托</w:t>
            </w:r>
            <w:r>
              <w:rPr>
                <w:sz w:val="21"/>
                <w:szCs w:val="21"/>
              </w:rPr>
              <w:t>厂区</w:t>
            </w:r>
            <w:r>
              <w:rPr>
                <w:rFonts w:hint="eastAsia"/>
                <w:sz w:val="21"/>
                <w:szCs w:val="21"/>
              </w:rPr>
              <w:t>危废暂存间存放危险废物。</w:t>
            </w:r>
          </w:p>
        </w:tc>
        <w:tc>
          <w:tcPr>
            <w:tcW w:w="3262" w:type="dxa"/>
            <w:shd w:val="clear" w:color="auto" w:fill="auto"/>
            <w:vAlign w:val="center"/>
          </w:tcPr>
          <w:p>
            <w:pPr>
              <w:pStyle w:val="5"/>
              <w:adjustRightInd w:val="0"/>
              <w:snapToGrid w:val="0"/>
              <w:spacing w:line="240" w:lineRule="auto"/>
              <w:ind w:firstLine="0"/>
              <w:jc w:val="left"/>
              <w:rPr>
                <w:sz w:val="21"/>
                <w:szCs w:val="21"/>
              </w:rPr>
            </w:pPr>
            <w:r>
              <w:rPr>
                <w:rFonts w:hint="eastAsia"/>
                <w:sz w:val="21"/>
                <w:szCs w:val="21"/>
              </w:rPr>
              <w:t>1、依托</w:t>
            </w:r>
            <w:r>
              <w:rPr>
                <w:sz w:val="21"/>
                <w:szCs w:val="21"/>
              </w:rPr>
              <w:t>厂区</w:t>
            </w:r>
            <w:r>
              <w:rPr>
                <w:rFonts w:hint="eastAsia"/>
                <w:sz w:val="21"/>
                <w:szCs w:val="21"/>
              </w:rPr>
              <w:t>纯水站供给纯水；</w:t>
            </w:r>
          </w:p>
          <w:p>
            <w:pPr>
              <w:pStyle w:val="5"/>
              <w:adjustRightInd w:val="0"/>
              <w:snapToGrid w:val="0"/>
              <w:spacing w:line="240" w:lineRule="auto"/>
              <w:ind w:firstLine="0"/>
              <w:jc w:val="left"/>
              <w:rPr>
                <w:sz w:val="21"/>
                <w:szCs w:val="21"/>
              </w:rPr>
            </w:pPr>
            <w:r>
              <w:rPr>
                <w:rFonts w:hint="eastAsia"/>
                <w:sz w:val="21"/>
                <w:szCs w:val="21"/>
              </w:rPr>
              <w:t>2、依托</w:t>
            </w:r>
            <w:r>
              <w:rPr>
                <w:sz w:val="21"/>
                <w:szCs w:val="21"/>
              </w:rPr>
              <w:t>厂区</w:t>
            </w:r>
            <w:r>
              <w:rPr>
                <w:rFonts w:hint="eastAsia"/>
                <w:sz w:val="21"/>
                <w:szCs w:val="21"/>
              </w:rPr>
              <w:t>罐区；</w:t>
            </w:r>
          </w:p>
          <w:p>
            <w:pPr>
              <w:pStyle w:val="5"/>
              <w:adjustRightInd w:val="0"/>
              <w:snapToGrid w:val="0"/>
              <w:spacing w:line="240" w:lineRule="auto"/>
              <w:ind w:firstLine="0"/>
              <w:jc w:val="left"/>
              <w:rPr>
                <w:sz w:val="21"/>
                <w:szCs w:val="21"/>
              </w:rPr>
            </w:pPr>
            <w:r>
              <w:rPr>
                <w:rFonts w:hint="eastAsia"/>
                <w:sz w:val="21"/>
                <w:szCs w:val="21"/>
              </w:rPr>
              <w:t>3、依托</w:t>
            </w:r>
            <w:r>
              <w:rPr>
                <w:sz w:val="21"/>
                <w:szCs w:val="21"/>
              </w:rPr>
              <w:t>厂区</w:t>
            </w:r>
            <w:r>
              <w:rPr>
                <w:rFonts w:hint="eastAsia"/>
                <w:sz w:val="21"/>
                <w:szCs w:val="21"/>
              </w:rPr>
              <w:t>危废暂存间存放危险废物。</w:t>
            </w:r>
          </w:p>
          <w:p>
            <w:pPr>
              <w:pStyle w:val="5"/>
              <w:adjustRightInd w:val="0"/>
              <w:snapToGrid w:val="0"/>
              <w:spacing w:line="240" w:lineRule="auto"/>
              <w:ind w:firstLine="0"/>
              <w:jc w:val="left"/>
              <w:rPr>
                <w:sz w:val="21"/>
                <w:szCs w:val="21"/>
              </w:rPr>
            </w:pPr>
            <w:r>
              <w:rPr>
                <w:rFonts w:hint="eastAsia"/>
                <w:sz w:val="21"/>
                <w:szCs w:val="21"/>
              </w:rPr>
              <w:t>4、依托厂区污水处理设施；</w:t>
            </w:r>
          </w:p>
          <w:p>
            <w:pPr>
              <w:pStyle w:val="5"/>
              <w:adjustRightInd w:val="0"/>
              <w:snapToGrid w:val="0"/>
              <w:spacing w:line="240" w:lineRule="auto"/>
              <w:ind w:firstLine="0"/>
              <w:jc w:val="left"/>
              <w:rPr>
                <w:sz w:val="21"/>
                <w:szCs w:val="21"/>
              </w:rPr>
            </w:pPr>
            <w:r>
              <w:rPr>
                <w:rFonts w:hint="eastAsia"/>
                <w:sz w:val="21"/>
                <w:szCs w:val="21"/>
              </w:rPr>
              <w:t>5、依托厂区</w:t>
            </w:r>
            <w:r>
              <w:rPr>
                <w:sz w:val="21"/>
                <w:szCs w:val="21"/>
              </w:rPr>
              <w:t>燃气锅炉供给蒸汽</w:t>
            </w:r>
            <w:r>
              <w:rPr>
                <w:rFonts w:hint="eastAsia"/>
                <w:sz w:val="21"/>
                <w:szCs w:val="21"/>
              </w:rPr>
              <w:t>。</w:t>
            </w:r>
          </w:p>
        </w:tc>
        <w:tc>
          <w:tcPr>
            <w:tcW w:w="187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增加依托锅炉供气、厂区污水处理站</w:t>
            </w:r>
          </w:p>
        </w:tc>
      </w:tr>
    </w:tbl>
    <w:p>
      <w:pPr>
        <w:pStyle w:val="5"/>
        <w:ind w:firstLine="0"/>
        <w:outlineLvl w:val="4"/>
        <w:rPr>
          <w:b/>
        </w:rPr>
      </w:pPr>
      <w:r>
        <w:rPr>
          <w:rFonts w:hint="eastAsia"/>
          <w:b/>
        </w:rPr>
        <w:t>2.3.2.1储运工程</w:t>
      </w:r>
    </w:p>
    <w:p>
      <w:pPr>
        <w:pStyle w:val="5"/>
      </w:pPr>
      <w:r>
        <w:rPr>
          <w:rFonts w:hint="eastAsia"/>
        </w:rPr>
        <w:t>1、固态物料</w:t>
      </w:r>
    </w:p>
    <w:p>
      <w:pPr>
        <w:pStyle w:val="5"/>
      </w:pPr>
      <w:r>
        <w:rPr>
          <w:rFonts w:hint="eastAsia"/>
        </w:rPr>
        <w:t>外购的羟基钴晶体原料采用袋装存放于X19车间内，产品羟基钴采用袋装存放X19车间内。项目变更后固态物料储存情况见表2-12。</w:t>
      </w:r>
    </w:p>
    <w:p>
      <w:pPr>
        <w:pStyle w:val="5"/>
        <w:keepNext/>
        <w:numPr>
          <w:ilvl w:val="0"/>
          <w:numId w:val="12"/>
        </w:numPr>
        <w:adjustRightInd w:val="0"/>
        <w:snapToGrid w:val="0"/>
        <w:spacing w:line="500" w:lineRule="exact"/>
        <w:ind w:left="0" w:firstLine="0"/>
        <w:jc w:val="center"/>
        <w:outlineLvl w:val="4"/>
      </w:pPr>
      <w:r>
        <w:rPr>
          <w:b/>
        </w:rPr>
        <w:t>变更后</w:t>
      </w:r>
      <w:r>
        <w:rPr>
          <w:rFonts w:hint="eastAsia"/>
          <w:b/>
        </w:rPr>
        <w:t>固态</w:t>
      </w:r>
      <w:r>
        <w:rPr>
          <w:b/>
        </w:rPr>
        <w:t>物料储存情况</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1490"/>
        <w:gridCol w:w="721"/>
        <w:gridCol w:w="1181"/>
        <w:gridCol w:w="1425"/>
        <w:gridCol w:w="1531"/>
        <w:gridCol w:w="1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411" w:type="dxa"/>
            <w:vAlign w:val="center"/>
          </w:tcPr>
          <w:p>
            <w:pPr>
              <w:adjustRightInd w:val="0"/>
              <w:snapToGrid w:val="0"/>
              <w:jc w:val="center"/>
              <w:rPr>
                <w:rFonts w:ascii="Arial" w:hAnsi="Arial" w:eastAsia="宋体" w:cs="Arial"/>
                <w:sz w:val="21"/>
                <w:szCs w:val="21"/>
              </w:rPr>
            </w:pPr>
          </w:p>
        </w:tc>
        <w:tc>
          <w:tcPr>
            <w:tcW w:w="1490" w:type="dxa"/>
            <w:vAlign w:val="center"/>
          </w:tcPr>
          <w:p>
            <w:pPr>
              <w:adjustRightInd w:val="0"/>
              <w:snapToGrid w:val="0"/>
              <w:jc w:val="center"/>
              <w:rPr>
                <w:rFonts w:ascii="Arial" w:hAnsi="Arial" w:eastAsia="宋体" w:cs="Arial"/>
                <w:sz w:val="21"/>
                <w:szCs w:val="21"/>
              </w:rPr>
            </w:pPr>
          </w:p>
        </w:tc>
        <w:tc>
          <w:tcPr>
            <w:tcW w:w="721" w:type="dxa"/>
            <w:vAlign w:val="center"/>
          </w:tcPr>
          <w:p>
            <w:pPr>
              <w:adjustRightInd w:val="0"/>
              <w:snapToGrid w:val="0"/>
              <w:jc w:val="center"/>
              <w:rPr>
                <w:rFonts w:ascii="Arial" w:hAnsi="Arial" w:eastAsia="宋体" w:cs="Arial"/>
                <w:sz w:val="21"/>
                <w:szCs w:val="21"/>
              </w:rPr>
            </w:pPr>
          </w:p>
        </w:tc>
        <w:tc>
          <w:tcPr>
            <w:tcW w:w="1181" w:type="dxa"/>
            <w:vAlign w:val="center"/>
          </w:tcPr>
          <w:p>
            <w:pPr>
              <w:adjustRightInd w:val="0"/>
              <w:snapToGrid w:val="0"/>
              <w:jc w:val="center"/>
              <w:rPr>
                <w:rFonts w:ascii="Arial" w:hAnsi="Arial" w:eastAsia="宋体" w:cs="Arial"/>
                <w:sz w:val="21"/>
                <w:szCs w:val="21"/>
              </w:rPr>
            </w:pPr>
          </w:p>
        </w:tc>
        <w:tc>
          <w:tcPr>
            <w:tcW w:w="1425" w:type="dxa"/>
            <w:vAlign w:val="center"/>
          </w:tcPr>
          <w:p>
            <w:pPr>
              <w:adjustRightInd w:val="0"/>
              <w:snapToGrid w:val="0"/>
              <w:jc w:val="center"/>
              <w:rPr>
                <w:rFonts w:ascii="Arial" w:hAnsi="Arial" w:eastAsia="宋体" w:cs="Arial"/>
                <w:sz w:val="21"/>
                <w:szCs w:val="21"/>
              </w:rPr>
            </w:pPr>
          </w:p>
        </w:tc>
        <w:tc>
          <w:tcPr>
            <w:tcW w:w="1531" w:type="dxa"/>
            <w:vAlign w:val="center"/>
          </w:tcPr>
          <w:p>
            <w:pPr>
              <w:adjustRightInd w:val="0"/>
              <w:snapToGrid w:val="0"/>
              <w:jc w:val="center"/>
              <w:rPr>
                <w:rFonts w:ascii="Arial" w:hAnsi="Arial" w:eastAsia="宋体" w:cs="Arial"/>
                <w:sz w:val="21"/>
                <w:szCs w:val="21"/>
              </w:rPr>
            </w:pPr>
          </w:p>
        </w:tc>
        <w:tc>
          <w:tcPr>
            <w:tcW w:w="1529"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411" w:type="dxa"/>
            <w:vAlign w:val="center"/>
          </w:tcPr>
          <w:p>
            <w:pPr>
              <w:adjustRightInd w:val="0"/>
              <w:snapToGrid w:val="0"/>
              <w:jc w:val="center"/>
              <w:rPr>
                <w:rFonts w:ascii="Arial" w:hAnsi="Arial" w:eastAsia="宋体" w:cs="Arial"/>
                <w:sz w:val="21"/>
                <w:szCs w:val="21"/>
              </w:rPr>
            </w:pPr>
          </w:p>
        </w:tc>
        <w:tc>
          <w:tcPr>
            <w:tcW w:w="1490" w:type="dxa"/>
            <w:vAlign w:val="center"/>
          </w:tcPr>
          <w:p>
            <w:pPr>
              <w:adjustRightInd w:val="0"/>
              <w:snapToGrid w:val="0"/>
              <w:jc w:val="center"/>
              <w:rPr>
                <w:rFonts w:ascii="Arial" w:hAnsi="Arial" w:eastAsia="宋体" w:cs="Arial"/>
                <w:sz w:val="21"/>
                <w:szCs w:val="21"/>
              </w:rPr>
            </w:pPr>
          </w:p>
        </w:tc>
        <w:tc>
          <w:tcPr>
            <w:tcW w:w="721" w:type="dxa"/>
            <w:vAlign w:val="center"/>
          </w:tcPr>
          <w:p>
            <w:pPr>
              <w:adjustRightInd w:val="0"/>
              <w:snapToGrid w:val="0"/>
              <w:jc w:val="center"/>
              <w:rPr>
                <w:rFonts w:ascii="Arial" w:hAnsi="Arial" w:eastAsia="宋体" w:cs="Arial"/>
                <w:sz w:val="21"/>
                <w:szCs w:val="21"/>
              </w:rPr>
            </w:pPr>
          </w:p>
        </w:tc>
        <w:tc>
          <w:tcPr>
            <w:tcW w:w="1181" w:type="dxa"/>
            <w:vAlign w:val="center"/>
          </w:tcPr>
          <w:p>
            <w:pPr>
              <w:adjustRightInd w:val="0"/>
              <w:snapToGrid w:val="0"/>
              <w:jc w:val="center"/>
              <w:rPr>
                <w:rFonts w:ascii="Arial" w:hAnsi="Arial" w:eastAsia="宋体" w:cs="Arial"/>
                <w:sz w:val="21"/>
                <w:szCs w:val="21"/>
              </w:rPr>
            </w:pPr>
          </w:p>
        </w:tc>
        <w:tc>
          <w:tcPr>
            <w:tcW w:w="1425" w:type="dxa"/>
            <w:vAlign w:val="center"/>
          </w:tcPr>
          <w:p>
            <w:pPr>
              <w:adjustRightInd w:val="0"/>
              <w:snapToGrid w:val="0"/>
              <w:jc w:val="center"/>
              <w:rPr>
                <w:rFonts w:ascii="Arial" w:hAnsi="Arial" w:eastAsia="宋体" w:cs="Arial"/>
                <w:sz w:val="21"/>
                <w:szCs w:val="21"/>
              </w:rPr>
            </w:pPr>
          </w:p>
        </w:tc>
        <w:tc>
          <w:tcPr>
            <w:tcW w:w="1531" w:type="dxa"/>
            <w:vAlign w:val="center"/>
          </w:tcPr>
          <w:p>
            <w:pPr>
              <w:adjustRightInd w:val="0"/>
              <w:snapToGrid w:val="0"/>
              <w:jc w:val="center"/>
              <w:rPr>
                <w:rFonts w:ascii="Arial" w:hAnsi="Arial" w:eastAsia="宋体" w:cs="Arial"/>
                <w:sz w:val="21"/>
                <w:szCs w:val="21"/>
              </w:rPr>
            </w:pPr>
          </w:p>
        </w:tc>
        <w:tc>
          <w:tcPr>
            <w:tcW w:w="1529"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411" w:type="dxa"/>
            <w:vAlign w:val="center"/>
          </w:tcPr>
          <w:p>
            <w:pPr>
              <w:adjustRightInd w:val="0"/>
              <w:snapToGrid w:val="0"/>
              <w:jc w:val="center"/>
              <w:rPr>
                <w:rFonts w:ascii="Arial" w:hAnsi="Arial" w:eastAsia="宋体" w:cs="Arial"/>
                <w:sz w:val="21"/>
                <w:szCs w:val="21"/>
              </w:rPr>
            </w:pPr>
          </w:p>
        </w:tc>
        <w:tc>
          <w:tcPr>
            <w:tcW w:w="1490" w:type="dxa"/>
            <w:vAlign w:val="center"/>
          </w:tcPr>
          <w:p>
            <w:pPr>
              <w:adjustRightInd w:val="0"/>
              <w:snapToGrid w:val="0"/>
              <w:jc w:val="center"/>
              <w:rPr>
                <w:rFonts w:ascii="Arial" w:hAnsi="Arial" w:eastAsia="宋体" w:cs="Arial"/>
                <w:sz w:val="21"/>
                <w:szCs w:val="21"/>
              </w:rPr>
            </w:pPr>
          </w:p>
        </w:tc>
        <w:tc>
          <w:tcPr>
            <w:tcW w:w="721" w:type="dxa"/>
            <w:vAlign w:val="center"/>
          </w:tcPr>
          <w:p>
            <w:pPr>
              <w:adjustRightInd w:val="0"/>
              <w:snapToGrid w:val="0"/>
              <w:jc w:val="center"/>
              <w:rPr>
                <w:rFonts w:ascii="Arial" w:hAnsi="Arial" w:eastAsia="宋体" w:cs="Arial"/>
                <w:sz w:val="21"/>
                <w:szCs w:val="21"/>
              </w:rPr>
            </w:pPr>
          </w:p>
        </w:tc>
        <w:tc>
          <w:tcPr>
            <w:tcW w:w="1181" w:type="dxa"/>
            <w:vAlign w:val="center"/>
          </w:tcPr>
          <w:p>
            <w:pPr>
              <w:adjustRightInd w:val="0"/>
              <w:snapToGrid w:val="0"/>
              <w:jc w:val="center"/>
              <w:rPr>
                <w:rFonts w:ascii="Arial" w:hAnsi="Arial" w:eastAsia="宋体" w:cs="Arial"/>
                <w:sz w:val="21"/>
                <w:szCs w:val="21"/>
              </w:rPr>
            </w:pPr>
          </w:p>
        </w:tc>
        <w:tc>
          <w:tcPr>
            <w:tcW w:w="1425" w:type="dxa"/>
            <w:vAlign w:val="center"/>
          </w:tcPr>
          <w:p>
            <w:pPr>
              <w:adjustRightInd w:val="0"/>
              <w:snapToGrid w:val="0"/>
              <w:jc w:val="center"/>
              <w:rPr>
                <w:rFonts w:ascii="Arial" w:hAnsi="Arial" w:eastAsia="宋体" w:cs="Arial"/>
                <w:sz w:val="21"/>
                <w:szCs w:val="21"/>
              </w:rPr>
            </w:pPr>
          </w:p>
        </w:tc>
        <w:tc>
          <w:tcPr>
            <w:tcW w:w="1531" w:type="dxa"/>
            <w:vAlign w:val="center"/>
          </w:tcPr>
          <w:p>
            <w:pPr>
              <w:adjustRightInd w:val="0"/>
              <w:snapToGrid w:val="0"/>
              <w:jc w:val="center"/>
              <w:rPr>
                <w:rFonts w:ascii="Arial" w:hAnsi="Arial" w:eastAsia="宋体" w:cs="Arial"/>
                <w:sz w:val="21"/>
                <w:szCs w:val="21"/>
              </w:rPr>
            </w:pPr>
          </w:p>
        </w:tc>
        <w:tc>
          <w:tcPr>
            <w:tcW w:w="1529" w:type="dxa"/>
            <w:vAlign w:val="center"/>
          </w:tcPr>
          <w:p>
            <w:pPr>
              <w:adjustRightInd w:val="0"/>
              <w:snapToGrid w:val="0"/>
              <w:jc w:val="center"/>
              <w:rPr>
                <w:rFonts w:ascii="Arial" w:hAnsi="Arial" w:eastAsia="宋体" w:cs="Arial"/>
                <w:sz w:val="21"/>
                <w:szCs w:val="21"/>
              </w:rPr>
            </w:pPr>
          </w:p>
        </w:tc>
      </w:tr>
    </w:tbl>
    <w:p>
      <w:pPr>
        <w:pStyle w:val="5"/>
      </w:pPr>
      <w:r>
        <w:rPr>
          <w:rFonts w:hint="eastAsia"/>
        </w:rPr>
        <w:t>2、液态物料</w:t>
      </w:r>
    </w:p>
    <w:p>
      <w:pPr>
        <w:pStyle w:val="5"/>
        <w:rPr>
          <w:u w:val="single"/>
        </w:rPr>
      </w:pPr>
      <w:r>
        <w:rPr>
          <w:rFonts w:hint="eastAsia"/>
          <w:u w:val="single"/>
        </w:rPr>
        <w:t>项目使用的液态物料主要为27.5%双氧水、32%液碱、21%氨水、20%硫酸。液态物料依托厂区罐组储存，通过管道输送至车间旁的中转罐后供生产使用。</w:t>
      </w:r>
    </w:p>
    <w:p>
      <w:pPr>
        <w:pStyle w:val="5"/>
        <w:rPr>
          <w:u w:val="single"/>
        </w:rPr>
      </w:pPr>
      <w:r>
        <w:rPr>
          <w:rFonts w:hint="eastAsia"/>
          <w:u w:val="single"/>
        </w:rPr>
        <w:t>外购的27.5%双氧水、32%液碱通过槽车输送至厂区罐组，在厂区内通过管道输送至X19车间中间罐，通过管道泵入车间内供生产；21%氨水由厂区内的氨水制备生产线通过管道输送至厂区罐组七，通过管道输送至X19车间西面的氨水中间罐，通过管道泵入车间内供生产；98%硫酸由厂区内的制酸生产线通过管道输送至厂区罐组十，通过管道输送至X19车间西面的配酸罐稀释至20%浓度后，通过管道泵入车间内供生产。项目变更后液态物料储存情况见表2-13。</w:t>
      </w:r>
    </w:p>
    <w:p>
      <w:pPr>
        <w:pStyle w:val="5"/>
        <w:keepNext/>
        <w:numPr>
          <w:ilvl w:val="0"/>
          <w:numId w:val="12"/>
        </w:numPr>
        <w:adjustRightInd w:val="0"/>
        <w:snapToGrid w:val="0"/>
        <w:spacing w:line="500" w:lineRule="exact"/>
        <w:ind w:left="0" w:firstLine="0"/>
        <w:jc w:val="center"/>
        <w:outlineLvl w:val="4"/>
        <w:rPr>
          <w:u w:val="single"/>
        </w:rPr>
      </w:pPr>
      <w:r>
        <w:rPr>
          <w:b/>
          <w:u w:val="single"/>
        </w:rPr>
        <w:t>变更后</w:t>
      </w:r>
      <w:r>
        <w:rPr>
          <w:rFonts w:hint="eastAsia"/>
          <w:b/>
          <w:u w:val="single"/>
        </w:rPr>
        <w:t>液态</w:t>
      </w:r>
      <w:r>
        <w:rPr>
          <w:b/>
          <w:u w:val="single"/>
        </w:rPr>
        <w:t>物料储存情况</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1161"/>
        <w:gridCol w:w="1161"/>
        <w:gridCol w:w="1161"/>
        <w:gridCol w:w="1161"/>
        <w:gridCol w:w="1161"/>
        <w:gridCol w:w="1161"/>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highlight w:val="yellow"/>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c>
          <w:tcPr>
            <w:tcW w:w="1161" w:type="dxa"/>
            <w:vAlign w:val="center"/>
          </w:tcPr>
          <w:p>
            <w:pPr>
              <w:adjustRightInd w:val="0"/>
              <w:snapToGrid w:val="0"/>
              <w:jc w:val="center"/>
              <w:rPr>
                <w:rFonts w:ascii="Arial" w:hAnsi="Arial" w:eastAsia="宋体" w:cs="Arial"/>
                <w:sz w:val="21"/>
                <w:szCs w:val="21"/>
                <w:u w:val="single"/>
              </w:rPr>
            </w:pPr>
          </w:p>
        </w:tc>
      </w:tr>
    </w:tbl>
    <w:p>
      <w:pPr>
        <w:pStyle w:val="5"/>
        <w:ind w:firstLine="0"/>
        <w:outlineLvl w:val="4"/>
        <w:rPr>
          <w:b/>
        </w:rPr>
      </w:pPr>
      <w:r>
        <w:rPr>
          <w:rFonts w:hint="eastAsia"/>
          <w:b/>
        </w:rPr>
        <w:t>2.3.2.2环保工程</w:t>
      </w:r>
    </w:p>
    <w:p>
      <w:pPr>
        <w:pStyle w:val="5"/>
      </w:pPr>
      <w:r>
        <w:rPr>
          <w:rFonts w:hint="eastAsia"/>
        </w:rPr>
        <w:t>1、废气</w:t>
      </w:r>
    </w:p>
    <w:p>
      <w:pPr>
        <w:pStyle w:val="5"/>
        <w:rPr>
          <w:u w:val="single"/>
        </w:rPr>
      </w:pPr>
      <w:r>
        <w:rPr>
          <w:rFonts w:hint="eastAsia"/>
          <w:u w:val="single"/>
        </w:rPr>
        <w:t>项目变更前已建1根20m高排气筒（DA145）并配套1台吸收塔处理变更前的溶解废气，变更后利用该排气筒及吸收塔处理反应、洗涤工序产生的氨气；项目变更前已建1根20m高排气筒（DA146）并配套1台吸收塔处理变更前的净化废气，变更后利用该排气筒及吸收塔，并新增1套布袋除尘装置处理干燥、破碎、包装粉尘。变更后项目废气处理措施见表2-14。</w:t>
      </w:r>
    </w:p>
    <w:p>
      <w:pPr>
        <w:pStyle w:val="5"/>
        <w:keepNext/>
        <w:numPr>
          <w:ilvl w:val="0"/>
          <w:numId w:val="12"/>
        </w:numPr>
        <w:adjustRightInd w:val="0"/>
        <w:snapToGrid w:val="0"/>
        <w:spacing w:line="500" w:lineRule="exact"/>
        <w:ind w:left="0" w:firstLine="0"/>
        <w:jc w:val="center"/>
        <w:outlineLvl w:val="4"/>
        <w:rPr>
          <w:b/>
        </w:rPr>
      </w:pPr>
      <w:r>
        <w:rPr>
          <w:b/>
        </w:rPr>
        <w:t>项目变更后废气治理措施汇总表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990"/>
        <w:gridCol w:w="851"/>
        <w:gridCol w:w="1276"/>
        <w:gridCol w:w="1419"/>
        <w:gridCol w:w="1133"/>
        <w:gridCol w:w="1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污染源</w:t>
            </w:r>
          </w:p>
        </w:tc>
        <w:tc>
          <w:tcPr>
            <w:tcW w:w="99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排气筒编号</w:t>
            </w:r>
          </w:p>
        </w:tc>
        <w:tc>
          <w:tcPr>
            <w:tcW w:w="85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污染因子</w:t>
            </w:r>
          </w:p>
        </w:tc>
        <w:tc>
          <w:tcPr>
            <w:tcW w:w="127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处理措施</w:t>
            </w:r>
          </w:p>
        </w:tc>
        <w:tc>
          <w:tcPr>
            <w:tcW w:w="141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排气筒参数</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（高度/内径/温度）</w:t>
            </w:r>
          </w:p>
        </w:tc>
        <w:tc>
          <w:tcPr>
            <w:tcW w:w="1133"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风量</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w:t>
            </w:r>
            <w:r>
              <w:rPr>
                <w:rFonts w:ascii="Arial" w:hAnsi="Arial" w:eastAsia="宋体" w:cs="Arial"/>
                <w:spacing w:val="10"/>
                <w:sz w:val="21"/>
                <w:szCs w:val="21"/>
                <w:vertAlign w:val="superscript"/>
              </w:rPr>
              <w:t>3</w:t>
            </w:r>
            <w:r>
              <w:rPr>
                <w:rFonts w:ascii="Arial" w:hAnsi="Arial" w:eastAsia="宋体" w:cs="Arial"/>
                <w:spacing w:val="10"/>
                <w:sz w:val="21"/>
                <w:szCs w:val="21"/>
              </w:rPr>
              <w:t>/h</w:t>
            </w:r>
          </w:p>
        </w:tc>
        <w:tc>
          <w:tcPr>
            <w:tcW w:w="195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反应、洗涤废气</w:t>
            </w:r>
          </w:p>
        </w:tc>
        <w:tc>
          <w:tcPr>
            <w:tcW w:w="99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w:t>
            </w:r>
          </w:p>
        </w:tc>
        <w:tc>
          <w:tcPr>
            <w:tcW w:w="851"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1276"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141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c>
          <w:tcPr>
            <w:tcW w:w="1133"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w:t>
            </w:r>
            <w:r>
              <w:rPr>
                <w:rFonts w:ascii="Arial" w:hAnsi="Arial" w:eastAsia="宋体" w:cs="Arial"/>
                <w:spacing w:val="10"/>
                <w:sz w:val="21"/>
                <w:szCs w:val="21"/>
              </w:rPr>
              <w:t>000</w:t>
            </w:r>
          </w:p>
        </w:tc>
        <w:tc>
          <w:tcPr>
            <w:tcW w:w="1951"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利用变更前吸收塔和DA145排气筒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包装粉尘</w:t>
            </w:r>
          </w:p>
        </w:tc>
        <w:tc>
          <w:tcPr>
            <w:tcW w:w="99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w:t>
            </w:r>
          </w:p>
        </w:tc>
        <w:tc>
          <w:tcPr>
            <w:tcW w:w="85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w:t>
            </w:r>
          </w:p>
        </w:tc>
        <w:tc>
          <w:tcPr>
            <w:tcW w:w="1276"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脉冲布袋除尘器+吸收塔</w:t>
            </w:r>
          </w:p>
        </w:tc>
        <w:tc>
          <w:tcPr>
            <w:tcW w:w="141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c>
          <w:tcPr>
            <w:tcW w:w="1133"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w:t>
            </w:r>
            <w:r>
              <w:rPr>
                <w:rFonts w:ascii="Arial" w:hAnsi="Arial" w:eastAsia="宋体" w:cs="Arial"/>
                <w:spacing w:val="10"/>
                <w:sz w:val="21"/>
                <w:szCs w:val="21"/>
              </w:rPr>
              <w:t>00</w:t>
            </w:r>
          </w:p>
        </w:tc>
        <w:tc>
          <w:tcPr>
            <w:tcW w:w="1951"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利用变更前吸收塔和DA146排气筒，新增布袋除尘器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污水处理废气</w:t>
            </w:r>
          </w:p>
        </w:tc>
        <w:tc>
          <w:tcPr>
            <w:tcW w:w="99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w:t>
            </w:r>
            <w:r>
              <w:rPr>
                <w:rFonts w:hint="eastAsia" w:ascii="Arial" w:hAnsi="Arial" w:eastAsia="宋体" w:cs="Arial"/>
                <w:spacing w:val="10"/>
                <w:sz w:val="21"/>
                <w:szCs w:val="21"/>
              </w:rPr>
              <w:t>067</w:t>
            </w:r>
          </w:p>
        </w:tc>
        <w:tc>
          <w:tcPr>
            <w:tcW w:w="85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氨气</w:t>
            </w:r>
          </w:p>
        </w:tc>
        <w:tc>
          <w:tcPr>
            <w:tcW w:w="1276"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p>
        </w:tc>
        <w:tc>
          <w:tcPr>
            <w:tcW w:w="141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20/0.6/25</w:t>
            </w:r>
          </w:p>
        </w:tc>
        <w:tc>
          <w:tcPr>
            <w:tcW w:w="1133"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13150</w:t>
            </w:r>
          </w:p>
        </w:tc>
        <w:tc>
          <w:tcPr>
            <w:tcW w:w="1951"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依托现有污水处理设施</w:t>
            </w:r>
          </w:p>
        </w:tc>
      </w:tr>
    </w:tbl>
    <w:p>
      <w:pPr>
        <w:pStyle w:val="5"/>
        <w:spacing w:line="500" w:lineRule="exact"/>
      </w:pPr>
      <w:r>
        <w:rPr>
          <w:rFonts w:hint="eastAsia"/>
        </w:rPr>
        <w:t>2、废水</w:t>
      </w:r>
    </w:p>
    <w:p>
      <w:pPr>
        <w:pStyle w:val="5"/>
        <w:spacing w:line="500" w:lineRule="exact"/>
      </w:pPr>
      <w:r>
        <w:rPr>
          <w:rFonts w:hint="eastAsia"/>
          <w:u w:val="single"/>
        </w:rPr>
        <w:t>项目变更后新增生产废水，经管道收集后的生产废水和经地沟收集后的车间清洗废水一同经在X19车间经板框压滤、精密过滤器预处理满足《无机化学工业污染物排放标准》（GB31573-2015）车间排放口要求后，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满足</w:t>
      </w:r>
      <w:r>
        <w:t>《无机化学工业污染物排放标准》（GB31573-2015）直接排放标准后外排</w:t>
      </w:r>
      <w:r>
        <w:rPr>
          <w:rFonts w:hint="eastAsia"/>
        </w:rPr>
        <w:t>。项目废水处理措施见图2.3-1。</w:t>
      </w:r>
    </w:p>
    <w:p>
      <w:pPr>
        <w:pStyle w:val="5"/>
      </w:pPr>
    </w:p>
    <w:p>
      <w:pPr>
        <w:pStyle w:val="5"/>
        <w:wordWrap w:val="0"/>
        <w:jc w:val="right"/>
        <w:rPr>
          <w:u w:val="single"/>
        </w:rPr>
      </w:pPr>
      <w:r>
        <w:object>
          <v:shape id="_x0000_i1027" o:spt="75" type="#_x0000_t75" style="height:461.45pt;width:286.5pt;" o:ole="t" filled="f" o:preferrelative="t" stroked="f" coordsize="21600,21600">
            <v:path/>
            <v:fill on="f" focussize="0,0"/>
            <v:stroke on="f" joinstyle="miter"/>
            <v:imagedata r:id="rId37" o:title=""/>
            <o:lock v:ext="edit" aspectratio="t"/>
            <w10:wrap type="none"/>
            <w10:anchorlock/>
          </v:shape>
          <o:OLEObject Type="Embed" ProgID="Visio.Drawing.11" ShapeID="_x0000_i1027" DrawAspect="Content" ObjectID="_1468075727" r:id="rId36">
            <o:LockedField>false</o:LockedField>
          </o:OLEObject>
        </w:object>
      </w:r>
      <w:r>
        <w:rPr>
          <w:rFonts w:hint="eastAsia"/>
        </w:rPr>
        <w:t xml:space="preserve">   </w:t>
      </w:r>
    </w:p>
    <w:p>
      <w:pPr>
        <w:pStyle w:val="5"/>
        <w:ind w:firstLine="0"/>
        <w:jc w:val="center"/>
        <w:rPr>
          <w:b/>
          <w:u w:val="single"/>
        </w:rPr>
      </w:pPr>
      <w:r>
        <w:rPr>
          <w:rFonts w:hint="eastAsia"/>
          <w:b/>
          <w:u w:val="single"/>
        </w:rPr>
        <w:t>图2.3-1  生产废水处理措施图</w:t>
      </w:r>
    </w:p>
    <w:p>
      <w:pPr>
        <w:pStyle w:val="5"/>
        <w:spacing w:line="500" w:lineRule="exact"/>
      </w:pPr>
      <w:r>
        <w:rPr>
          <w:rFonts w:hint="eastAsia"/>
        </w:rPr>
        <w:t>3、固废</w:t>
      </w:r>
    </w:p>
    <w:p>
      <w:pPr>
        <w:pStyle w:val="5"/>
        <w:spacing w:line="500" w:lineRule="exact"/>
      </w:pPr>
      <w:r>
        <w:rPr>
          <w:rFonts w:hint="eastAsia"/>
        </w:rPr>
        <w:t>项目变更后产生的危废暂存厂区危废暂存间，定期委托具有相应资质单位上门回收处理。</w:t>
      </w:r>
    </w:p>
    <w:p>
      <w:pPr>
        <w:pStyle w:val="5"/>
        <w:ind w:firstLine="0"/>
        <w:outlineLvl w:val="4"/>
        <w:rPr>
          <w:b/>
        </w:rPr>
      </w:pPr>
      <w:r>
        <w:rPr>
          <w:rFonts w:hint="eastAsia"/>
          <w:b/>
        </w:rPr>
        <w:t>2.3.2.3依托工程</w:t>
      </w:r>
    </w:p>
    <w:p>
      <w:pPr>
        <w:pStyle w:val="5"/>
        <w:spacing w:line="500" w:lineRule="exact"/>
      </w:pPr>
      <w:r>
        <w:rPr>
          <w:rFonts w:hint="eastAsia"/>
        </w:rPr>
        <w:t>1、纯水站</w:t>
      </w:r>
    </w:p>
    <w:p>
      <w:pPr>
        <w:pStyle w:val="5"/>
        <w:spacing w:line="500" w:lineRule="exact"/>
      </w:pPr>
      <w:r>
        <w:rPr>
          <w:rFonts w:hint="eastAsia"/>
        </w:rPr>
        <w:t>厂区内现有1座纯水站为全厂供给纯水，纯水站规模为11000t/d。项目变更前全厂由纯水站供应的纯水需求量为10945.99t/d，其中X19车间镍豆镍粉处置线需求量为1023.6t/d（337788t/a）；变更后全厂由纯水站供应的纯水需求量为10073.12t/d，其中X19车间羟基钴生产线纯水需求量为139.58t/d（46060.83t/a），锅炉房新增纯水量为11.15t/a。变更后纯水站纯水供应量还剩余926.88t/d。</w:t>
      </w:r>
    </w:p>
    <w:p>
      <w:pPr>
        <w:pStyle w:val="5"/>
        <w:spacing w:line="500" w:lineRule="exact"/>
      </w:pPr>
      <w:r>
        <w:rPr>
          <w:rFonts w:hint="eastAsia"/>
        </w:rPr>
        <w:t>2、蒸汽</w:t>
      </w:r>
    </w:p>
    <w:p>
      <w:pPr>
        <w:pStyle w:val="5"/>
        <w:spacing w:line="500" w:lineRule="exact"/>
      </w:pPr>
      <w:r>
        <w:t>蒸汽近期依托现有工程燃气锅炉供给，远期依托园区蒸汽管网供给。</w:t>
      </w:r>
      <w:r>
        <w:rPr>
          <w:rFonts w:hint="eastAsia"/>
        </w:rPr>
        <w:t>厂区</w:t>
      </w:r>
      <w:r>
        <w:t>内已建3台20t/h燃气锅炉（两用一备），供气总规模为</w:t>
      </w:r>
      <w:r>
        <w:rPr>
          <w:rFonts w:hint="eastAsia"/>
        </w:rPr>
        <w:t>960</w:t>
      </w:r>
      <w:r>
        <w:t>t/d</w:t>
      </w:r>
      <w:r>
        <w:rPr>
          <w:rFonts w:hint="eastAsia"/>
        </w:rPr>
        <w:t>。</w:t>
      </w:r>
      <w:r>
        <w:t>项目</w:t>
      </w:r>
      <w:r>
        <w:rPr>
          <w:rFonts w:hint="eastAsia"/>
        </w:rPr>
        <w:t>变更</w:t>
      </w:r>
      <w:r>
        <w:t>前全厂蒸汽需求量为</w:t>
      </w:r>
      <w:r>
        <w:rPr>
          <w:rFonts w:hint="eastAsia"/>
        </w:rPr>
        <w:t>704t/d，变更后全厂蒸汽</w:t>
      </w:r>
      <w:r>
        <w:t>需求量为</w:t>
      </w:r>
      <w:r>
        <w:rPr>
          <w:rFonts w:hint="eastAsia"/>
        </w:rPr>
        <w:t>804.35t/d，其中X19车间羟基钴生产线蒸汽需求量为100.35t/d。</w:t>
      </w:r>
    </w:p>
    <w:p>
      <w:pPr>
        <w:pStyle w:val="5"/>
        <w:spacing w:line="500" w:lineRule="exact"/>
      </w:pPr>
      <w:r>
        <w:rPr>
          <w:rFonts w:hint="eastAsia"/>
        </w:rPr>
        <w:t>3、罐区</w:t>
      </w:r>
    </w:p>
    <w:p>
      <w:pPr>
        <w:pStyle w:val="5"/>
        <w:spacing w:line="500" w:lineRule="exact"/>
      </w:pPr>
      <w:r>
        <w:rPr>
          <w:rFonts w:hint="eastAsia"/>
        </w:rPr>
        <w:t>变更</w:t>
      </w:r>
      <w:r>
        <w:t>后项目</w:t>
      </w:r>
      <w:r>
        <w:rPr>
          <w:rFonts w:hint="eastAsia"/>
        </w:rPr>
        <w:t>依托</w:t>
      </w:r>
      <w:r>
        <w:t>厂区罐组九——</w:t>
      </w:r>
      <w:r>
        <w:rPr>
          <w:rFonts w:hint="eastAsia"/>
        </w:rPr>
        <w:t>2个250m</w:t>
      </w:r>
      <w:r>
        <w:rPr>
          <w:rFonts w:hint="eastAsia"/>
          <w:vertAlign w:val="superscript"/>
        </w:rPr>
        <w:t>3</w:t>
      </w:r>
      <w:r>
        <w:rPr>
          <w:rFonts w:hint="eastAsia"/>
        </w:rPr>
        <w:t>27.5%</w:t>
      </w:r>
      <w:r>
        <w:t>双氧水储罐</w:t>
      </w:r>
      <w:r>
        <w:rPr>
          <w:rFonts w:hint="eastAsia"/>
        </w:rPr>
        <w:t>、</w:t>
      </w:r>
      <w:r>
        <w:t>罐组六——</w:t>
      </w:r>
      <w:r>
        <w:rPr>
          <w:rFonts w:hint="eastAsia"/>
        </w:rPr>
        <w:t>8个2000m</w:t>
      </w:r>
      <w:r>
        <w:rPr>
          <w:rFonts w:hint="eastAsia"/>
          <w:vertAlign w:val="superscript"/>
        </w:rPr>
        <w:t>3</w:t>
      </w:r>
      <w:r>
        <w:rPr>
          <w:rFonts w:hint="eastAsia"/>
        </w:rPr>
        <w:t>32%</w:t>
      </w:r>
      <w:r>
        <w:t>液碱储罐、</w:t>
      </w:r>
      <w:r>
        <w:rPr>
          <w:rFonts w:hint="eastAsia"/>
        </w:rPr>
        <w:t>罐组七——3个2000m</w:t>
      </w:r>
      <w:r>
        <w:rPr>
          <w:rFonts w:hint="eastAsia"/>
          <w:vertAlign w:val="superscript"/>
        </w:rPr>
        <w:t>3</w:t>
      </w:r>
      <w:r>
        <w:rPr>
          <w:rFonts w:hint="eastAsia"/>
        </w:rPr>
        <w:t>21%氨水储罐。各罐组均设置围堰并进行防渗措施。</w:t>
      </w:r>
    </w:p>
    <w:p>
      <w:pPr>
        <w:pStyle w:val="5"/>
        <w:spacing w:line="500" w:lineRule="exact"/>
      </w:pPr>
      <w:r>
        <w:rPr>
          <w:rFonts w:hint="eastAsia"/>
        </w:rPr>
        <w:t>4、污水处理设施</w:t>
      </w:r>
    </w:p>
    <w:p>
      <w:pPr>
        <w:pStyle w:val="5"/>
        <w:spacing w:line="500" w:lineRule="exact"/>
      </w:pPr>
      <w:r>
        <w:rPr>
          <w:rFonts w:hint="eastAsia"/>
        </w:rPr>
        <w:t>（1）S7污水处理车间</w:t>
      </w:r>
    </w:p>
    <w:p>
      <w:pPr>
        <w:pStyle w:val="5"/>
        <w:spacing w:line="500" w:lineRule="exact"/>
      </w:pPr>
      <w:r>
        <w:rPr>
          <w:rFonts w:hint="eastAsia"/>
        </w:rPr>
        <w:t>S7污水处理车间位于地块二中部，内设1条脱氨、陶瓷膜过滤废水处置线。项目变更后经X19车间预处理后的生产废水依托厂区S7污水处理车间脱氨、陶瓷膜过滤处理。</w:t>
      </w:r>
    </w:p>
    <w:p>
      <w:pPr>
        <w:pStyle w:val="5"/>
        <w:spacing w:line="500" w:lineRule="exact"/>
      </w:pPr>
      <w:r>
        <w:rPr>
          <w:rFonts w:hint="eastAsia"/>
        </w:rPr>
        <w:t>（2）S8、S9污水处理车间</w:t>
      </w:r>
    </w:p>
    <w:p>
      <w:pPr>
        <w:pStyle w:val="5"/>
        <w:spacing w:line="500" w:lineRule="exact"/>
      </w:pPr>
      <w:r>
        <w:rPr>
          <w:rFonts w:hint="eastAsia"/>
        </w:rPr>
        <w:t>S8、S9污水处理车间位于地块二中部，内设11台60t/h的MVR处理装置。经S7污水处理车间脱氨、陶瓷膜过滤的生产废水依托S8、S9污水处理车间MVR处理。项目依托MVR处理废水情况见表2-15。</w:t>
      </w:r>
    </w:p>
    <w:p>
      <w:pPr>
        <w:pStyle w:val="5"/>
        <w:spacing w:line="500" w:lineRule="exact"/>
      </w:pPr>
    </w:p>
    <w:p>
      <w:pPr>
        <w:pStyle w:val="5"/>
        <w:spacing w:line="500" w:lineRule="exact"/>
      </w:pPr>
    </w:p>
    <w:p>
      <w:pPr>
        <w:pStyle w:val="5"/>
        <w:spacing w:line="500" w:lineRule="exact"/>
      </w:pPr>
    </w:p>
    <w:p>
      <w:pPr>
        <w:pStyle w:val="5"/>
        <w:keepNext/>
        <w:numPr>
          <w:ilvl w:val="0"/>
          <w:numId w:val="12"/>
        </w:numPr>
        <w:adjustRightInd w:val="0"/>
        <w:snapToGrid w:val="0"/>
        <w:spacing w:line="500" w:lineRule="exact"/>
        <w:ind w:left="0" w:firstLine="0"/>
        <w:jc w:val="center"/>
        <w:outlineLvl w:val="4"/>
        <w:rPr>
          <w:b/>
        </w:rPr>
      </w:pPr>
      <w:r>
        <w:rPr>
          <w:rFonts w:hint="eastAsia"/>
          <w:b/>
        </w:rPr>
        <w:t>依托</w:t>
      </w:r>
      <w:r>
        <w:rPr>
          <w:b/>
        </w:rPr>
        <w:t>MVR处理废水情况表（单位：t/d）</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09"/>
        <w:gridCol w:w="2191"/>
        <w:gridCol w:w="812"/>
        <w:gridCol w:w="1111"/>
        <w:gridCol w:w="992"/>
        <w:gridCol w:w="1111"/>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编号</w:t>
            </w:r>
          </w:p>
        </w:tc>
        <w:tc>
          <w:tcPr>
            <w:tcW w:w="110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位置</w:t>
            </w:r>
          </w:p>
        </w:tc>
        <w:tc>
          <w:tcPr>
            <w:tcW w:w="219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w:t>
            </w:r>
          </w:p>
          <w:p>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变更前</w:t>
            </w:r>
          </w:p>
        </w:tc>
        <w:tc>
          <w:tcPr>
            <w:tcW w:w="2103"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5"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10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219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5" w:type="dxa"/>
            <w:shd w:val="clear" w:color="auto" w:fill="auto"/>
            <w:vAlign w:val="center"/>
          </w:tcPr>
          <w:p>
            <w:pPr>
              <w:pStyle w:val="5"/>
              <w:adjustRightInd w:val="0"/>
              <w:snapToGrid w:val="0"/>
              <w:spacing w:line="240" w:lineRule="auto"/>
              <w:ind w:firstLine="0"/>
              <w:jc w:val="center"/>
              <w:rPr>
                <w:sz w:val="21"/>
                <w:szCs w:val="21"/>
              </w:rPr>
            </w:pPr>
            <w:r>
              <w:rPr>
                <w:sz w:val="21"/>
                <w:szCs w:val="21"/>
              </w:rPr>
              <w:t>4#~12#</w:t>
            </w:r>
          </w:p>
        </w:tc>
        <w:tc>
          <w:tcPr>
            <w:tcW w:w="1109" w:type="dxa"/>
            <w:shd w:val="clear" w:color="auto" w:fill="auto"/>
            <w:vAlign w:val="center"/>
          </w:tcPr>
          <w:p>
            <w:pPr>
              <w:pStyle w:val="5"/>
              <w:adjustRightInd w:val="0"/>
              <w:snapToGrid w:val="0"/>
              <w:spacing w:line="240" w:lineRule="auto"/>
              <w:ind w:firstLine="0"/>
              <w:jc w:val="center"/>
              <w:rPr>
                <w:sz w:val="21"/>
                <w:szCs w:val="21"/>
              </w:rPr>
            </w:pPr>
            <w:r>
              <w:rPr>
                <w:sz w:val="21"/>
                <w:szCs w:val="21"/>
              </w:rPr>
              <w:t>S8、S9车间</w:t>
            </w:r>
          </w:p>
        </w:tc>
        <w:tc>
          <w:tcPr>
            <w:tcW w:w="2191" w:type="dxa"/>
            <w:shd w:val="clear" w:color="auto" w:fill="auto"/>
            <w:vAlign w:val="center"/>
          </w:tcPr>
          <w:p>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2061.48</w:t>
            </w:r>
          </w:p>
        </w:tc>
        <w:tc>
          <w:tcPr>
            <w:tcW w:w="111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1890.36</w:t>
            </w:r>
          </w:p>
        </w:tc>
      </w:tr>
    </w:tbl>
    <w:p>
      <w:pPr>
        <w:pStyle w:val="5"/>
        <w:spacing w:line="500" w:lineRule="exact"/>
        <w:ind w:firstLine="490" w:firstLineChars="200"/>
        <w:rPr>
          <w:szCs w:val="24"/>
        </w:rPr>
      </w:pPr>
      <w:r>
        <w:rPr>
          <w:szCs w:val="24"/>
        </w:rPr>
        <w:t>项目变更</w:t>
      </w:r>
      <w:r>
        <w:rPr>
          <w:rFonts w:hint="eastAsia"/>
          <w:szCs w:val="24"/>
        </w:rPr>
        <w:t>前</w:t>
      </w:r>
      <w:r>
        <w:rPr>
          <w:szCs w:val="24"/>
        </w:rPr>
        <w:t>S8、S9车间4#~12#MVR处理废水量为10898.52t/d，余量为2061.48t/d；项目变更后新增进入S8、S9车间4#~12#MVR处理废水量为</w:t>
      </w:r>
      <w:r>
        <w:rPr>
          <w:rFonts w:hint="eastAsia"/>
          <w:szCs w:val="24"/>
        </w:rPr>
        <w:t>171.12t/d，变更后合计11069.64</w:t>
      </w:r>
      <w:r>
        <w:rPr>
          <w:szCs w:val="24"/>
        </w:rPr>
        <w:t>t/d，尚有余量</w:t>
      </w:r>
      <w:r>
        <w:rPr>
          <w:rFonts w:hint="eastAsia"/>
          <w:szCs w:val="24"/>
        </w:rPr>
        <w:t>1890.36</w:t>
      </w:r>
      <w:r>
        <w:rPr>
          <w:szCs w:val="24"/>
        </w:rPr>
        <w:t>t/d。S8、S9车间的MVR污水处理规模可满足本项目变更后全厂污水处理。</w:t>
      </w:r>
    </w:p>
    <w:p>
      <w:pPr>
        <w:pStyle w:val="5"/>
        <w:spacing w:line="500" w:lineRule="exact"/>
        <w:ind w:firstLine="490" w:firstLineChars="200"/>
        <w:rPr>
          <w:szCs w:val="24"/>
          <w:u w:val="single"/>
        </w:rPr>
      </w:pPr>
      <w:r>
        <w:rPr>
          <w:rFonts w:hint="eastAsia"/>
          <w:szCs w:val="24"/>
          <w:u w:val="single"/>
        </w:rPr>
        <w:t>（3）综合污水处理站</w:t>
      </w:r>
    </w:p>
    <w:p>
      <w:pPr>
        <w:pStyle w:val="5"/>
        <w:spacing w:line="500" w:lineRule="exact"/>
        <w:ind w:firstLine="490" w:firstLineChars="200"/>
        <w:rPr>
          <w:szCs w:val="24"/>
          <w:u w:val="single"/>
        </w:rPr>
      </w:pPr>
      <w:r>
        <w:rPr>
          <w:rFonts w:hint="eastAsia"/>
          <w:szCs w:val="24"/>
          <w:u w:val="single"/>
        </w:rPr>
        <w:t>综合污水处理站位于地块三南面，内设1条臭氧催化氧化处理废水线，中伟全厂废水经综合污水处理站处理后，全厂废水总排口满足《无机化学工业污染物排放标准》（GB31573-2015）直接排放限值要求后，通过管道排入大榄坪污水处理厂排海管，经第八大街及四号路转入第十一大街，最终向西进入金鼓江，排放至A2排放区。综合污水处理站设计最大废水处理量为10000m</w:t>
      </w:r>
      <w:r>
        <w:rPr>
          <w:rFonts w:hint="eastAsia"/>
          <w:szCs w:val="24"/>
          <w:u w:val="single"/>
          <w:vertAlign w:val="superscript"/>
        </w:rPr>
        <w:t>3</w:t>
      </w:r>
      <w:r>
        <w:rPr>
          <w:rFonts w:hint="eastAsia"/>
          <w:szCs w:val="24"/>
          <w:u w:val="single"/>
        </w:rPr>
        <w:t>/d，目前已正常投入运行，现阶段污水处理量为1500~1800m</w:t>
      </w:r>
      <w:r>
        <w:rPr>
          <w:rFonts w:hint="eastAsia"/>
          <w:szCs w:val="24"/>
          <w:u w:val="single"/>
          <w:vertAlign w:val="superscript"/>
        </w:rPr>
        <w:t>3</w:t>
      </w:r>
      <w:r>
        <w:rPr>
          <w:rFonts w:hint="eastAsia"/>
          <w:szCs w:val="24"/>
          <w:u w:val="single"/>
        </w:rPr>
        <w:t>/d。本项目产生的生产废水</w:t>
      </w:r>
      <w:r>
        <w:rPr>
          <w:szCs w:val="24"/>
          <w:u w:val="single"/>
        </w:rPr>
        <w:t>经S</w:t>
      </w:r>
      <w:r>
        <w:rPr>
          <w:rFonts w:hint="eastAsia"/>
          <w:szCs w:val="24"/>
          <w:u w:val="single"/>
        </w:rPr>
        <w:t xml:space="preserve">8、S9污水处理车间处理后的冷凝水回用纯水站，开路母液依托厂区综合污水处理站臭氧催化氧化处理后外排，新增量为14.21t/d，项目设计的综合污水处理站污水处理规模可满足全厂污水处理。 </w:t>
      </w:r>
    </w:p>
    <w:p>
      <w:pPr>
        <w:pStyle w:val="5"/>
        <w:spacing w:line="500" w:lineRule="exact"/>
      </w:pPr>
      <w:r>
        <w:t>5</w:t>
      </w:r>
      <w:r>
        <w:rPr>
          <w:rFonts w:hint="eastAsia"/>
        </w:rPr>
        <w:t>、危废暂存间</w:t>
      </w:r>
    </w:p>
    <w:p>
      <w:pPr>
        <w:pStyle w:val="5"/>
        <w:spacing w:line="500" w:lineRule="exact"/>
      </w:pPr>
      <w:r>
        <w:rPr>
          <w:rFonts w:hint="eastAsia"/>
        </w:rPr>
        <w:t>危废暂存间位于厂区地块二西面，</w:t>
      </w:r>
      <w:r>
        <w:t>面积约为800m</w:t>
      </w:r>
      <w:r>
        <w:rPr>
          <w:vertAlign w:val="superscript"/>
        </w:rPr>
        <w:t>2</w:t>
      </w:r>
      <w:r>
        <w:t>，按照危废类别分隔为六个区域，设计危废最大储存量约为1000t。危废暂存间已按照《危险废物贮存污染控制标准》(GB18597-2023)要求对暂存间内的危废暂存间进行防风、防雨、防晒、防渗漏处理。现有工程（含未建）产生的危废已占危废暂存容量241.89t，剩余容量758.11t。本项目新增的危险废物依托现有危废暂存间存放。</w:t>
      </w:r>
    </w:p>
    <w:p>
      <w:pPr>
        <w:pStyle w:val="6"/>
        <w:numPr>
          <w:ilvl w:val="2"/>
          <w:numId w:val="11"/>
        </w:numPr>
        <w:tabs>
          <w:tab w:val="left" w:pos="1080"/>
        </w:tabs>
        <w:spacing w:line="400" w:lineRule="exact"/>
        <w:rPr>
          <w:rFonts w:ascii="Arial" w:hAnsi="Arial" w:eastAsia="宋体" w:cs="Arial"/>
          <w:u w:val="single"/>
        </w:rPr>
      </w:pPr>
      <w:r>
        <w:rPr>
          <w:rFonts w:ascii="Arial" w:hAnsi="Arial" w:eastAsia="宋体" w:cs="Arial"/>
          <w:u w:val="single"/>
        </w:rPr>
        <w:t>产品方案</w:t>
      </w:r>
    </w:p>
    <w:p>
      <w:pPr>
        <w:pStyle w:val="5"/>
        <w:ind w:firstLine="0"/>
        <w:outlineLvl w:val="3"/>
        <w:rPr>
          <w:b/>
          <w:u w:val="single"/>
        </w:rPr>
      </w:pPr>
      <w:r>
        <w:rPr>
          <w:b/>
          <w:u w:val="single"/>
        </w:rPr>
        <w:t>2.2.</w:t>
      </w:r>
      <w:r>
        <w:rPr>
          <w:rFonts w:hint="eastAsia"/>
          <w:b/>
          <w:u w:val="single"/>
        </w:rPr>
        <w:t>3</w:t>
      </w:r>
      <w:r>
        <w:rPr>
          <w:b/>
          <w:u w:val="single"/>
        </w:rPr>
        <w:t>.1产品方案</w:t>
      </w:r>
    </w:p>
    <w:p>
      <w:pPr>
        <w:pStyle w:val="5"/>
        <w:adjustRightInd w:val="0"/>
        <w:snapToGrid w:val="0"/>
        <w:spacing w:line="500" w:lineRule="exact"/>
        <w:rPr>
          <w:u w:val="single"/>
        </w:rPr>
      </w:pPr>
      <w:r>
        <w:rPr>
          <w:rFonts w:hint="eastAsia"/>
          <w:u w:val="single"/>
        </w:rPr>
        <w:t>项目</w:t>
      </w:r>
      <w:r>
        <w:rPr>
          <w:u w:val="single"/>
        </w:rPr>
        <w:t>变更前产品为硫酸镍溶液</w:t>
      </w:r>
      <w:r>
        <w:rPr>
          <w:rFonts w:hint="eastAsia"/>
          <w:u w:val="single"/>
        </w:rPr>
        <w:t>；</w:t>
      </w:r>
      <w:r>
        <w:rPr>
          <w:u w:val="single"/>
        </w:rPr>
        <w:t>项目变更后产品为羟基钴</w:t>
      </w:r>
      <w:r>
        <w:rPr>
          <w:rFonts w:hint="eastAsia"/>
          <w:u w:val="single"/>
        </w:rPr>
        <w:t>。</w:t>
      </w:r>
      <w:r>
        <w:rPr>
          <w:u w:val="single"/>
        </w:rPr>
        <w:t>项目变更前后产品方案见表2-</w:t>
      </w:r>
      <w:r>
        <w:rPr>
          <w:rFonts w:hint="eastAsia"/>
          <w:u w:val="single"/>
        </w:rPr>
        <w:t>16</w:t>
      </w:r>
      <w:r>
        <w:rPr>
          <w:u w:val="single"/>
        </w:rPr>
        <w:t>。</w:t>
      </w:r>
    </w:p>
    <w:p>
      <w:pPr>
        <w:pStyle w:val="5"/>
        <w:keepNext/>
        <w:numPr>
          <w:ilvl w:val="0"/>
          <w:numId w:val="12"/>
        </w:numPr>
        <w:adjustRightInd w:val="0"/>
        <w:snapToGrid w:val="0"/>
        <w:spacing w:line="500" w:lineRule="exact"/>
        <w:ind w:left="0" w:firstLine="0"/>
        <w:jc w:val="center"/>
        <w:outlineLvl w:val="4"/>
        <w:rPr>
          <w:b/>
          <w:u w:val="single"/>
        </w:rPr>
      </w:pPr>
      <w:r>
        <w:rPr>
          <w:b/>
          <w:u w:val="single"/>
        </w:rPr>
        <w:t>项目变更前后产品方案表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1663"/>
        <w:gridCol w:w="2196"/>
        <w:gridCol w:w="1611"/>
        <w:gridCol w:w="1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2" w:type="dxa"/>
            <w:vMerge w:val="restart"/>
            <w:shd w:val="clear" w:color="auto" w:fill="auto"/>
            <w:vAlign w:val="center"/>
          </w:tcPr>
          <w:p>
            <w:pPr>
              <w:adjustRightInd w:val="0"/>
              <w:snapToGrid w:val="0"/>
              <w:jc w:val="center"/>
              <w:rPr>
                <w:rFonts w:ascii="Arial" w:hAnsi="Arial" w:eastAsia="宋体" w:cs="Arial"/>
                <w:spacing w:val="10"/>
                <w:sz w:val="21"/>
                <w:szCs w:val="21"/>
                <w:u w:val="single"/>
              </w:rPr>
            </w:pPr>
          </w:p>
        </w:tc>
        <w:tc>
          <w:tcPr>
            <w:tcW w:w="3859" w:type="dxa"/>
            <w:gridSpan w:val="2"/>
            <w:shd w:val="clear" w:color="auto" w:fill="auto"/>
            <w:vAlign w:val="center"/>
          </w:tcPr>
          <w:p>
            <w:pPr>
              <w:adjustRightInd w:val="0"/>
              <w:snapToGrid w:val="0"/>
              <w:jc w:val="center"/>
              <w:rPr>
                <w:rFonts w:ascii="Arial" w:hAnsi="Arial" w:eastAsia="宋体" w:cs="Arial"/>
                <w:spacing w:val="10"/>
                <w:sz w:val="21"/>
                <w:szCs w:val="21"/>
                <w:u w:val="single"/>
              </w:rPr>
            </w:pPr>
          </w:p>
        </w:tc>
        <w:tc>
          <w:tcPr>
            <w:tcW w:w="3467" w:type="dxa"/>
            <w:gridSpan w:val="2"/>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2" w:type="dxa"/>
            <w:vMerge w:val="continue"/>
            <w:shd w:val="clear" w:color="auto" w:fill="auto"/>
            <w:vAlign w:val="center"/>
          </w:tcPr>
          <w:p>
            <w:pPr>
              <w:adjustRightInd w:val="0"/>
              <w:snapToGrid w:val="0"/>
              <w:jc w:val="center"/>
              <w:rPr>
                <w:rFonts w:ascii="Arial" w:hAnsi="Arial" w:eastAsia="宋体" w:cs="Arial"/>
                <w:spacing w:val="10"/>
                <w:sz w:val="21"/>
                <w:szCs w:val="21"/>
                <w:u w:val="single"/>
              </w:rPr>
            </w:pPr>
          </w:p>
        </w:tc>
        <w:tc>
          <w:tcPr>
            <w:tcW w:w="1663"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19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611"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856"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2"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663"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19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611"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856"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2"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663"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19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611"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856" w:type="dxa"/>
            <w:vAlign w:val="center"/>
          </w:tcPr>
          <w:p>
            <w:pPr>
              <w:adjustRightInd w:val="0"/>
              <w:snapToGrid w:val="0"/>
              <w:jc w:val="center"/>
              <w:rPr>
                <w:rFonts w:ascii="Arial" w:hAnsi="Arial" w:eastAsia="宋体" w:cs="Arial"/>
                <w:spacing w:val="10"/>
                <w:sz w:val="21"/>
                <w:szCs w:val="21"/>
                <w:u w:val="single"/>
              </w:rPr>
            </w:pPr>
          </w:p>
        </w:tc>
      </w:tr>
    </w:tbl>
    <w:p>
      <w:pPr>
        <w:pStyle w:val="5"/>
        <w:ind w:firstLine="0"/>
        <w:outlineLvl w:val="3"/>
        <w:rPr>
          <w:b/>
        </w:rPr>
      </w:pPr>
      <w:r>
        <w:rPr>
          <w:b/>
        </w:rPr>
        <w:t>2.2.</w:t>
      </w:r>
      <w:r>
        <w:rPr>
          <w:rFonts w:hint="eastAsia"/>
          <w:b/>
        </w:rPr>
        <w:t>3</w:t>
      </w:r>
      <w:r>
        <w:rPr>
          <w:b/>
        </w:rPr>
        <w:t>.2产品标准</w:t>
      </w:r>
    </w:p>
    <w:p>
      <w:pPr>
        <w:pStyle w:val="5"/>
        <w:spacing w:line="500" w:lineRule="exact"/>
      </w:pPr>
      <w:r>
        <w:rPr>
          <w:rFonts w:hint="eastAsia"/>
        </w:rPr>
        <w:t>羟基钴又称羟基氧化钴，为钴的羟基氧化物，分子式为CoOOH，包含钴离子和羟基（-OH）基团，主要用于电池正极前驱体的材料，属制备前驱体所需的原料制造。</w:t>
      </w:r>
      <w:r>
        <w:t>项目产品标准见表2-</w:t>
      </w:r>
      <w:r>
        <w:rPr>
          <w:rFonts w:hint="eastAsia"/>
        </w:rPr>
        <w:t>17</w:t>
      </w:r>
      <w:r>
        <w:t>。</w:t>
      </w:r>
    </w:p>
    <w:p>
      <w:pPr>
        <w:pStyle w:val="5"/>
        <w:keepNext/>
        <w:numPr>
          <w:ilvl w:val="0"/>
          <w:numId w:val="12"/>
        </w:numPr>
        <w:spacing w:line="480" w:lineRule="exact"/>
        <w:ind w:left="0" w:firstLine="0"/>
        <w:jc w:val="center"/>
        <w:outlineLvl w:val="4"/>
        <w:rPr>
          <w:b/>
        </w:rPr>
      </w:pPr>
      <w:r>
        <w:rPr>
          <w:rFonts w:hint="eastAsia"/>
          <w:b/>
        </w:rPr>
        <w:t>羟基</w:t>
      </w:r>
      <w:r>
        <w:rPr>
          <w:b/>
        </w:rPr>
        <w:t>钴控制标准</w:t>
      </w:r>
    </w:p>
    <w:tbl>
      <w:tblPr>
        <w:tblStyle w:val="88"/>
        <w:tblW w:w="9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53"/>
        <w:gridCol w:w="1499"/>
        <w:gridCol w:w="1499"/>
        <w:gridCol w:w="1999"/>
        <w:gridCol w:w="1627"/>
        <w:gridCol w:w="12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453" w:type="dxa"/>
            <w:vAlign w:val="center"/>
          </w:tcPr>
          <w:p>
            <w:pPr>
              <w:adjustRightInd w:val="0"/>
              <w:snapToGrid w:val="0"/>
              <w:jc w:val="center"/>
              <w:rPr>
                <w:rFonts w:ascii="Arial" w:hAnsi="Arial" w:eastAsia="宋体" w:cs="Arial"/>
                <w:sz w:val="21"/>
                <w:szCs w:val="21"/>
              </w:rPr>
            </w:pPr>
          </w:p>
        </w:tc>
        <w:tc>
          <w:tcPr>
            <w:tcW w:w="1499" w:type="dxa"/>
            <w:vAlign w:val="center"/>
          </w:tcPr>
          <w:p>
            <w:pPr>
              <w:adjustRightInd w:val="0"/>
              <w:snapToGrid w:val="0"/>
              <w:jc w:val="center"/>
              <w:rPr>
                <w:rFonts w:ascii="Arial" w:hAnsi="Arial" w:eastAsia="宋体" w:cs="Arial"/>
                <w:sz w:val="21"/>
                <w:szCs w:val="21"/>
              </w:rPr>
            </w:pPr>
          </w:p>
        </w:tc>
        <w:tc>
          <w:tcPr>
            <w:tcW w:w="1499" w:type="dxa"/>
            <w:vAlign w:val="center"/>
          </w:tcPr>
          <w:p>
            <w:pPr>
              <w:adjustRightInd w:val="0"/>
              <w:snapToGrid w:val="0"/>
              <w:jc w:val="center"/>
              <w:rPr>
                <w:rFonts w:ascii="Arial" w:hAnsi="Arial" w:eastAsia="宋体" w:cs="Arial"/>
                <w:sz w:val="21"/>
                <w:szCs w:val="21"/>
              </w:rPr>
            </w:pPr>
          </w:p>
        </w:tc>
        <w:tc>
          <w:tcPr>
            <w:tcW w:w="1999" w:type="dxa"/>
            <w:vAlign w:val="center"/>
          </w:tcPr>
          <w:p>
            <w:pPr>
              <w:adjustRightInd w:val="0"/>
              <w:snapToGrid w:val="0"/>
              <w:jc w:val="center"/>
              <w:rPr>
                <w:rFonts w:ascii="Arial" w:hAnsi="Arial" w:eastAsia="宋体" w:cs="Arial"/>
                <w:sz w:val="21"/>
                <w:szCs w:val="21"/>
              </w:rPr>
            </w:pPr>
          </w:p>
        </w:tc>
        <w:tc>
          <w:tcPr>
            <w:tcW w:w="1627" w:type="dxa"/>
            <w:vAlign w:val="center"/>
          </w:tcPr>
          <w:p>
            <w:pPr>
              <w:adjustRightInd w:val="0"/>
              <w:snapToGrid w:val="0"/>
              <w:jc w:val="center"/>
              <w:rPr>
                <w:rFonts w:ascii="Arial" w:hAnsi="Arial" w:eastAsia="宋体" w:cs="Arial"/>
                <w:sz w:val="21"/>
                <w:szCs w:val="21"/>
              </w:rPr>
            </w:pPr>
          </w:p>
        </w:tc>
        <w:tc>
          <w:tcPr>
            <w:tcW w:w="1211" w:type="dxa"/>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453" w:type="dxa"/>
            <w:vAlign w:val="center"/>
          </w:tcPr>
          <w:p>
            <w:pPr>
              <w:adjustRightInd w:val="0"/>
              <w:snapToGrid w:val="0"/>
              <w:jc w:val="center"/>
              <w:rPr>
                <w:rFonts w:ascii="Arial" w:hAnsi="Arial" w:eastAsia="宋体" w:cs="Arial"/>
                <w:sz w:val="21"/>
                <w:szCs w:val="21"/>
              </w:rPr>
            </w:pPr>
          </w:p>
        </w:tc>
        <w:tc>
          <w:tcPr>
            <w:tcW w:w="1499" w:type="dxa"/>
            <w:vAlign w:val="center"/>
          </w:tcPr>
          <w:p>
            <w:pPr>
              <w:adjustRightInd w:val="0"/>
              <w:snapToGrid w:val="0"/>
              <w:jc w:val="center"/>
              <w:rPr>
                <w:rFonts w:ascii="Arial" w:hAnsi="Arial" w:eastAsia="宋体" w:cs="Arial"/>
                <w:sz w:val="21"/>
                <w:szCs w:val="21"/>
              </w:rPr>
            </w:pPr>
          </w:p>
        </w:tc>
        <w:tc>
          <w:tcPr>
            <w:tcW w:w="1499" w:type="dxa"/>
            <w:vAlign w:val="center"/>
          </w:tcPr>
          <w:p>
            <w:pPr>
              <w:adjustRightInd w:val="0"/>
              <w:snapToGrid w:val="0"/>
              <w:jc w:val="center"/>
              <w:rPr>
                <w:rFonts w:ascii="Arial" w:hAnsi="Arial" w:eastAsia="宋体" w:cs="Arial"/>
                <w:sz w:val="21"/>
                <w:szCs w:val="21"/>
              </w:rPr>
            </w:pPr>
          </w:p>
        </w:tc>
        <w:tc>
          <w:tcPr>
            <w:tcW w:w="1999" w:type="dxa"/>
            <w:vAlign w:val="center"/>
          </w:tcPr>
          <w:p>
            <w:pPr>
              <w:adjustRightInd w:val="0"/>
              <w:snapToGrid w:val="0"/>
              <w:jc w:val="center"/>
              <w:rPr>
                <w:rFonts w:ascii="Arial" w:hAnsi="Arial" w:eastAsia="宋体" w:cs="Arial"/>
                <w:sz w:val="21"/>
                <w:szCs w:val="21"/>
              </w:rPr>
            </w:pPr>
          </w:p>
        </w:tc>
        <w:tc>
          <w:tcPr>
            <w:tcW w:w="1627" w:type="dxa"/>
            <w:vAlign w:val="center"/>
          </w:tcPr>
          <w:p>
            <w:pPr>
              <w:adjustRightInd w:val="0"/>
              <w:snapToGrid w:val="0"/>
              <w:jc w:val="center"/>
              <w:rPr>
                <w:rFonts w:ascii="Arial" w:hAnsi="Arial" w:eastAsia="宋体" w:cs="Arial"/>
                <w:sz w:val="21"/>
                <w:szCs w:val="21"/>
              </w:rPr>
            </w:pPr>
          </w:p>
        </w:tc>
        <w:tc>
          <w:tcPr>
            <w:tcW w:w="1211" w:type="dxa"/>
            <w:vAlign w:val="center"/>
          </w:tcPr>
          <w:p>
            <w:pPr>
              <w:adjustRightInd w:val="0"/>
              <w:snapToGrid w:val="0"/>
              <w:jc w:val="center"/>
              <w:rPr>
                <w:rFonts w:ascii="Arial" w:hAnsi="Arial" w:eastAsia="宋体" w:cs="Arial"/>
                <w:sz w:val="21"/>
                <w:szCs w:val="21"/>
              </w:rPr>
            </w:pPr>
          </w:p>
        </w:tc>
      </w:tr>
    </w:tbl>
    <w:p>
      <w:pPr>
        <w:pStyle w:val="6"/>
        <w:numPr>
          <w:ilvl w:val="2"/>
          <w:numId w:val="11"/>
        </w:numPr>
        <w:tabs>
          <w:tab w:val="left" w:pos="1080"/>
        </w:tabs>
        <w:spacing w:line="400" w:lineRule="exact"/>
        <w:rPr>
          <w:rFonts w:ascii="Arial" w:hAnsi="Arial" w:eastAsia="宋体" w:cs="Arial"/>
        </w:rPr>
      </w:pPr>
      <w:r>
        <w:rPr>
          <w:rFonts w:ascii="Arial" w:hAnsi="Arial" w:eastAsia="宋体" w:cs="Arial"/>
        </w:rPr>
        <w:t>原辅材料</w:t>
      </w:r>
    </w:p>
    <w:p>
      <w:pPr>
        <w:pStyle w:val="5"/>
        <w:rPr>
          <w:u w:val="single"/>
        </w:rPr>
      </w:pPr>
      <w:r>
        <w:rPr>
          <w:rFonts w:hint="eastAsia"/>
          <w:u w:val="single"/>
        </w:rPr>
        <w:t>项目变更前主要原料为镍豆镍粉，辅料为双氧水、液碱、硫酸、纯水等；项目变更后主要原料为硫酸钴晶体，辅料为双氧水、液碱、氨水、硫酸、纯水等。</w:t>
      </w:r>
      <w:r>
        <w:rPr>
          <w:u w:val="single"/>
        </w:rPr>
        <w:t>项目变更前后主要原辅材料见表2-</w:t>
      </w:r>
      <w:r>
        <w:rPr>
          <w:rFonts w:hint="eastAsia"/>
          <w:u w:val="single"/>
        </w:rPr>
        <w:t>18</w:t>
      </w:r>
      <w:r>
        <w:rPr>
          <w:u w:val="single"/>
        </w:rPr>
        <w:t>。</w:t>
      </w:r>
    </w:p>
    <w:p>
      <w:pPr>
        <w:pStyle w:val="5"/>
        <w:keepNext/>
        <w:numPr>
          <w:ilvl w:val="0"/>
          <w:numId w:val="12"/>
        </w:numPr>
        <w:adjustRightInd w:val="0"/>
        <w:snapToGrid w:val="0"/>
        <w:spacing w:line="500" w:lineRule="exact"/>
        <w:ind w:left="0" w:firstLine="0"/>
        <w:jc w:val="center"/>
        <w:outlineLvl w:val="4"/>
        <w:rPr>
          <w:b/>
          <w:u w:val="single"/>
        </w:rPr>
      </w:pPr>
      <w:r>
        <w:rPr>
          <w:b/>
          <w:u w:val="single"/>
        </w:rPr>
        <w:t>项目变更后原辅材料表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596"/>
        <w:gridCol w:w="2333"/>
        <w:gridCol w:w="2333"/>
        <w:gridCol w:w="2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adjustRightInd w:val="0"/>
              <w:snapToGrid w:val="0"/>
              <w:jc w:val="center"/>
              <w:rPr>
                <w:rFonts w:ascii="Arial" w:hAnsi="Arial" w:eastAsia="宋体" w:cs="Arial"/>
                <w:sz w:val="21"/>
                <w:szCs w:val="21"/>
                <w:u w:val="single"/>
              </w:rPr>
            </w:pPr>
          </w:p>
        </w:tc>
        <w:tc>
          <w:tcPr>
            <w:tcW w:w="1596"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33" w:type="dxa"/>
            <w:vAlign w:val="center"/>
          </w:tcPr>
          <w:p>
            <w:pPr>
              <w:adjustRightInd w:val="0"/>
              <w:snapToGrid w:val="0"/>
              <w:jc w:val="center"/>
              <w:rPr>
                <w:rFonts w:ascii="Arial" w:hAnsi="Arial" w:eastAsia="宋体" w:cs="Arial"/>
                <w:sz w:val="21"/>
                <w:szCs w:val="21"/>
                <w:u w:val="single"/>
              </w:rPr>
            </w:pPr>
          </w:p>
        </w:tc>
        <w:tc>
          <w:tcPr>
            <w:tcW w:w="2313" w:type="dxa"/>
            <w:vAlign w:val="center"/>
          </w:tcPr>
          <w:p>
            <w:pPr>
              <w:adjustRightInd w:val="0"/>
              <w:snapToGrid w:val="0"/>
              <w:jc w:val="center"/>
              <w:rPr>
                <w:rFonts w:ascii="Arial" w:hAnsi="Arial" w:eastAsia="宋体" w:cs="Arial"/>
                <w:sz w:val="21"/>
                <w:szCs w:val="21"/>
                <w:u w:val="single"/>
              </w:rPr>
            </w:pPr>
          </w:p>
        </w:tc>
      </w:tr>
    </w:tbl>
    <w:p>
      <w:pPr>
        <w:pStyle w:val="5"/>
        <w:spacing w:line="500" w:lineRule="exact"/>
        <w:ind w:firstLine="490" w:firstLineChars="200"/>
        <w:rPr>
          <w:u w:val="single"/>
        </w:rPr>
      </w:pPr>
      <w:r>
        <w:rPr>
          <w:u w:val="single"/>
        </w:rPr>
        <w:t>1、</w:t>
      </w:r>
      <w:r>
        <w:rPr>
          <w:rFonts w:hint="eastAsia"/>
          <w:u w:val="single"/>
        </w:rPr>
        <w:t>硫酸钴</w:t>
      </w:r>
    </w:p>
    <w:p>
      <w:pPr>
        <w:pStyle w:val="5"/>
        <w:spacing w:line="500" w:lineRule="exact"/>
        <w:ind w:firstLine="490" w:firstLineChars="200"/>
        <w:rPr>
          <w:u w:val="single"/>
        </w:rPr>
      </w:pPr>
      <w:r>
        <w:rPr>
          <w:rFonts w:hint="eastAsia"/>
          <w:u w:val="single"/>
        </w:rPr>
        <w:t>厂区内MSP生产线、氢氧化钴处置线和MHP生产线均产生硫酸钴溶液，年产生量为0.51万金t，正常生产下该部分硫酸钴溶液全部供三元前驱体生产线使用。由于现阶段三元前驱体产品受市场限制，三元前驱体生产负荷较低，厂内自产的硫酸钴溶液同时供三元前驱体和本项目使用；待三元前驱体生产线生产负荷正常后，厂内自产的硫酸钴溶液全部供应三元前驱体生产线，本项目羟基钴生产线使用的硫酸钴全部来源外购硫酸钴晶体，项目现有的MSP生产线、氢氧化钴生产线和MHP生产线产生的硫酸钴产能不变。项目变更前正常生产情况下全厂主要物料走向见图2.3-2，变更后正常生产情况下全厂主要物料走向见图2.3-3。</w:t>
      </w:r>
    </w:p>
    <w:p>
      <w:pPr>
        <w:pStyle w:val="5"/>
        <w:adjustRightInd w:val="0"/>
        <w:snapToGrid w:val="0"/>
        <w:spacing w:line="360" w:lineRule="auto"/>
        <w:ind w:firstLine="0"/>
        <w:jc w:val="center"/>
        <w:rPr>
          <w:b/>
          <w:u w:val="single"/>
        </w:rPr>
      </w:pPr>
    </w:p>
    <w:p>
      <w:pPr>
        <w:pStyle w:val="5"/>
        <w:adjustRightInd w:val="0"/>
        <w:snapToGrid w:val="0"/>
        <w:spacing w:line="360" w:lineRule="auto"/>
        <w:ind w:firstLine="0"/>
        <w:jc w:val="center"/>
        <w:rPr>
          <w:b/>
          <w:u w:val="single"/>
        </w:rPr>
      </w:pPr>
      <w:r>
        <w:rPr>
          <w:rFonts w:hint="eastAsia"/>
          <w:b/>
          <w:u w:val="single"/>
        </w:rPr>
        <w:t>图2.3-2  项目变更前正常生产情况下全厂主要物料走向图</w:t>
      </w:r>
    </w:p>
    <w:p>
      <w:pPr>
        <w:pStyle w:val="5"/>
        <w:adjustRightInd w:val="0"/>
        <w:snapToGrid w:val="0"/>
        <w:spacing w:line="360" w:lineRule="auto"/>
        <w:ind w:firstLine="0"/>
        <w:rPr>
          <w:u w:val="single"/>
        </w:rPr>
      </w:pPr>
    </w:p>
    <w:p>
      <w:pPr>
        <w:pStyle w:val="5"/>
        <w:adjustRightInd w:val="0"/>
        <w:snapToGrid w:val="0"/>
        <w:spacing w:line="360" w:lineRule="auto"/>
        <w:ind w:firstLine="0"/>
        <w:rPr>
          <w:u w:val="single"/>
        </w:rPr>
      </w:pPr>
    </w:p>
    <w:p>
      <w:pPr>
        <w:pStyle w:val="5"/>
        <w:spacing w:line="500" w:lineRule="exact"/>
        <w:ind w:firstLine="0"/>
        <w:jc w:val="center"/>
        <w:rPr>
          <w:b/>
          <w:u w:val="single"/>
        </w:rPr>
      </w:pPr>
      <w:r>
        <w:rPr>
          <w:rFonts w:hint="eastAsia"/>
          <w:b/>
          <w:u w:val="single"/>
        </w:rPr>
        <w:t>图2.3-3  项目变更后正常生产情况下全厂主要物料走向图</w:t>
      </w:r>
    </w:p>
    <w:p>
      <w:pPr>
        <w:pStyle w:val="5"/>
        <w:spacing w:line="500" w:lineRule="exact"/>
        <w:ind w:firstLine="490" w:firstLineChars="200"/>
        <w:rPr>
          <w:u w:val="single"/>
        </w:rPr>
      </w:pPr>
      <w:r>
        <w:rPr>
          <w:rFonts w:hint="eastAsia"/>
          <w:u w:val="single"/>
        </w:rPr>
        <w:t>硫酸钴</w:t>
      </w:r>
      <w:r>
        <w:rPr>
          <w:u w:val="single"/>
        </w:rPr>
        <w:t>晶体化学式为CoSO</w:t>
      </w:r>
      <w:r>
        <w:rPr>
          <w:u w:val="single"/>
          <w:vertAlign w:val="subscript"/>
        </w:rPr>
        <w:t>4</w:t>
      </w:r>
      <w:r>
        <w:rPr>
          <w:u w:val="single"/>
        </w:rPr>
        <w:t>•7H</w:t>
      </w:r>
      <w:r>
        <w:rPr>
          <w:u w:val="single"/>
          <w:vertAlign w:val="subscript"/>
        </w:rPr>
        <w:t>2</w:t>
      </w:r>
      <w:r>
        <w:rPr>
          <w:u w:val="single"/>
        </w:rPr>
        <w:t>O，为</w:t>
      </w:r>
      <w:r>
        <w:rPr>
          <w:rFonts w:hint="eastAsia"/>
          <w:u w:val="single"/>
        </w:rPr>
        <w:t>橘红色晶体，易溶于水，可溶于酒精。正常生产后项目使用的硫酸钴</w:t>
      </w:r>
      <w:r>
        <w:rPr>
          <w:u w:val="single"/>
        </w:rPr>
        <w:t>晶体来源外购，</w:t>
      </w:r>
      <w:r>
        <w:rPr>
          <w:rFonts w:hint="eastAsia"/>
          <w:u w:val="single"/>
        </w:rPr>
        <w:t>原料满足《精制硫酸钴》（GB26523-2022）中的优等品标准。硫酸钴</w:t>
      </w:r>
      <w:r>
        <w:rPr>
          <w:u w:val="single"/>
        </w:rPr>
        <w:t>晶体产品控制指标见表2-</w:t>
      </w:r>
      <w:r>
        <w:rPr>
          <w:rFonts w:hint="eastAsia"/>
          <w:u w:val="single"/>
        </w:rPr>
        <w:t>19</w:t>
      </w:r>
      <w:r>
        <w:rPr>
          <w:u w:val="single"/>
        </w:rPr>
        <w:t>。</w:t>
      </w:r>
    </w:p>
    <w:p>
      <w:pPr>
        <w:pStyle w:val="5"/>
        <w:keepNext/>
        <w:numPr>
          <w:ilvl w:val="0"/>
          <w:numId w:val="12"/>
        </w:numPr>
        <w:spacing w:line="480" w:lineRule="exact"/>
        <w:ind w:left="0" w:firstLine="0"/>
        <w:jc w:val="center"/>
        <w:outlineLvl w:val="4"/>
        <w:rPr>
          <w:b/>
          <w:u w:val="single"/>
        </w:rPr>
      </w:pPr>
      <w:r>
        <w:rPr>
          <w:rFonts w:hint="eastAsia"/>
          <w:b/>
          <w:u w:val="single"/>
        </w:rPr>
        <w:t>硫酸钴</w:t>
      </w:r>
      <w:r>
        <w:rPr>
          <w:b/>
          <w:u w:val="single"/>
        </w:rPr>
        <w:t>晶体主要成分表（单位：%）</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888"/>
        <w:gridCol w:w="914"/>
        <w:gridCol w:w="914"/>
        <w:gridCol w:w="914"/>
        <w:gridCol w:w="1037"/>
        <w:gridCol w:w="1037"/>
        <w:gridCol w:w="914"/>
        <w:gridCol w:w="914"/>
        <w:gridCol w:w="1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6" w:type="dxa"/>
            <w:shd w:val="clear" w:color="auto" w:fill="auto"/>
            <w:vAlign w:val="center"/>
          </w:tcPr>
          <w:p>
            <w:pPr>
              <w:pStyle w:val="5"/>
              <w:adjustRightInd w:val="0"/>
              <w:snapToGrid w:val="0"/>
              <w:spacing w:line="240" w:lineRule="auto"/>
              <w:ind w:firstLine="0"/>
              <w:jc w:val="center"/>
              <w:rPr>
                <w:sz w:val="21"/>
                <w:szCs w:val="21"/>
                <w:u w:val="single"/>
              </w:rPr>
            </w:pPr>
          </w:p>
        </w:tc>
        <w:tc>
          <w:tcPr>
            <w:tcW w:w="888"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1037" w:type="dxa"/>
            <w:shd w:val="clear" w:color="auto" w:fill="auto"/>
            <w:vAlign w:val="center"/>
          </w:tcPr>
          <w:p>
            <w:pPr>
              <w:adjustRightInd w:val="0"/>
              <w:snapToGrid w:val="0"/>
              <w:jc w:val="center"/>
              <w:rPr>
                <w:rFonts w:ascii="Arial" w:hAnsi="Arial" w:eastAsia="宋体" w:cs="Arial"/>
                <w:sz w:val="21"/>
                <w:szCs w:val="21"/>
                <w:u w:val="single"/>
              </w:rPr>
            </w:pPr>
          </w:p>
        </w:tc>
        <w:tc>
          <w:tcPr>
            <w:tcW w:w="1037" w:type="dxa"/>
            <w:shd w:val="clear" w:color="auto" w:fill="auto"/>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1030" w:type="dxa"/>
            <w:shd w:val="clear" w:color="auto" w:fill="auto"/>
            <w:noWrap/>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6" w:type="dxa"/>
            <w:shd w:val="clear" w:color="auto" w:fill="auto"/>
            <w:vAlign w:val="center"/>
          </w:tcPr>
          <w:p>
            <w:pPr>
              <w:pStyle w:val="5"/>
              <w:adjustRightInd w:val="0"/>
              <w:snapToGrid w:val="0"/>
              <w:spacing w:line="240" w:lineRule="auto"/>
              <w:ind w:firstLine="0"/>
              <w:jc w:val="center"/>
              <w:rPr>
                <w:sz w:val="21"/>
                <w:szCs w:val="21"/>
                <w:u w:val="single"/>
              </w:rPr>
            </w:pPr>
          </w:p>
        </w:tc>
        <w:tc>
          <w:tcPr>
            <w:tcW w:w="888"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1037" w:type="dxa"/>
            <w:shd w:val="clear" w:color="auto" w:fill="auto"/>
            <w:vAlign w:val="center"/>
          </w:tcPr>
          <w:p>
            <w:pPr>
              <w:adjustRightInd w:val="0"/>
              <w:snapToGrid w:val="0"/>
              <w:jc w:val="center"/>
              <w:rPr>
                <w:rFonts w:ascii="Arial" w:hAnsi="Arial" w:eastAsia="宋体" w:cs="Arial"/>
                <w:sz w:val="21"/>
                <w:szCs w:val="21"/>
                <w:u w:val="single"/>
              </w:rPr>
            </w:pPr>
          </w:p>
        </w:tc>
        <w:tc>
          <w:tcPr>
            <w:tcW w:w="1037" w:type="dxa"/>
            <w:shd w:val="clear" w:color="auto" w:fill="auto"/>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914" w:type="dxa"/>
            <w:shd w:val="clear" w:color="auto" w:fill="auto"/>
            <w:noWrap/>
            <w:vAlign w:val="center"/>
          </w:tcPr>
          <w:p>
            <w:pPr>
              <w:adjustRightInd w:val="0"/>
              <w:snapToGrid w:val="0"/>
              <w:jc w:val="center"/>
              <w:rPr>
                <w:rFonts w:ascii="Arial" w:hAnsi="Arial" w:eastAsia="宋体" w:cs="Arial"/>
                <w:sz w:val="21"/>
                <w:szCs w:val="21"/>
                <w:u w:val="single"/>
              </w:rPr>
            </w:pPr>
          </w:p>
        </w:tc>
        <w:tc>
          <w:tcPr>
            <w:tcW w:w="1030" w:type="dxa"/>
            <w:shd w:val="clear" w:color="auto" w:fill="auto"/>
            <w:noWrap/>
            <w:vAlign w:val="center"/>
          </w:tcPr>
          <w:p>
            <w:pPr>
              <w:adjustRightInd w:val="0"/>
              <w:snapToGrid w:val="0"/>
              <w:jc w:val="center"/>
              <w:rPr>
                <w:rFonts w:ascii="Arial" w:hAnsi="Arial" w:eastAsia="宋体" w:cs="Arial"/>
                <w:sz w:val="21"/>
                <w:szCs w:val="21"/>
                <w:u w:val="single"/>
              </w:rPr>
            </w:pPr>
          </w:p>
        </w:tc>
      </w:tr>
    </w:tbl>
    <w:p>
      <w:pPr>
        <w:pStyle w:val="5"/>
        <w:spacing w:line="500" w:lineRule="exact"/>
        <w:ind w:firstLine="490" w:firstLineChars="200"/>
      </w:pPr>
      <w:r>
        <w:t>2、</w:t>
      </w:r>
      <w:r>
        <w:rPr>
          <w:rFonts w:hint="eastAsia"/>
        </w:rPr>
        <w:t>双氧水</w:t>
      </w:r>
    </w:p>
    <w:p>
      <w:pPr>
        <w:pStyle w:val="5"/>
        <w:spacing w:line="500" w:lineRule="exact"/>
        <w:ind w:firstLine="490" w:firstLineChars="200"/>
      </w:pPr>
      <w:r>
        <w:rPr>
          <w:rFonts w:hint="eastAsia"/>
        </w:rPr>
        <w:t>项目使用的双氧水来源外购，浓度为27.5%，通过槽车运输至厂区存于罐组九，通过管道输送至车间双氧水中间罐供生产使用。</w:t>
      </w:r>
    </w:p>
    <w:p>
      <w:pPr>
        <w:pStyle w:val="5"/>
        <w:spacing w:line="500" w:lineRule="exact"/>
        <w:ind w:firstLine="490" w:firstLineChars="200"/>
      </w:pPr>
      <w:r>
        <w:rPr>
          <w:rFonts w:hint="eastAsia"/>
        </w:rPr>
        <w:t>3、液碱</w:t>
      </w:r>
    </w:p>
    <w:p>
      <w:pPr>
        <w:pStyle w:val="5"/>
        <w:spacing w:line="500" w:lineRule="exact"/>
        <w:ind w:firstLine="490" w:firstLineChars="200"/>
      </w:pPr>
      <w:r>
        <w:rPr>
          <w:rFonts w:hint="eastAsia"/>
        </w:rPr>
        <w:t>项目使用的液碱来源外购，浓度为32%，通过槽车运输至厂区存于罐组六，通过管道输送至车间液碱中间罐供生产使用。</w:t>
      </w:r>
    </w:p>
    <w:p>
      <w:pPr>
        <w:pStyle w:val="5"/>
        <w:spacing w:line="500" w:lineRule="exact"/>
        <w:ind w:firstLine="490" w:firstLineChars="200"/>
      </w:pPr>
      <w:r>
        <w:rPr>
          <w:rFonts w:hint="eastAsia"/>
        </w:rPr>
        <w:t>4、氨水</w:t>
      </w:r>
    </w:p>
    <w:p>
      <w:pPr>
        <w:pStyle w:val="5"/>
        <w:spacing w:line="500" w:lineRule="exact"/>
        <w:ind w:firstLine="490" w:firstLineChars="200"/>
      </w:pPr>
      <w:r>
        <w:rPr>
          <w:kern w:val="0"/>
          <w:szCs w:val="22"/>
          <w:lang w:bidi="ar"/>
        </w:rPr>
        <w:t>项目使用的氨水来源厂区内氨水制备生产线，浓度为</w:t>
      </w:r>
      <w:r>
        <w:rPr>
          <w:rFonts w:hint="eastAsia"/>
          <w:kern w:val="0"/>
          <w:szCs w:val="22"/>
          <w:lang w:bidi="ar"/>
        </w:rPr>
        <w:t>21%，氨水成品储存于罐组七。罐组七的氨水储罐</w:t>
      </w:r>
      <w:r>
        <w:rPr>
          <w:rFonts w:hint="eastAsia"/>
        </w:rPr>
        <w:t>通过管道输送至车间氨水中间罐供生产使用。</w:t>
      </w:r>
    </w:p>
    <w:p>
      <w:pPr>
        <w:pStyle w:val="5"/>
        <w:spacing w:line="500" w:lineRule="exact"/>
        <w:ind w:firstLine="490" w:firstLineChars="200"/>
        <w:rPr>
          <w:kern w:val="0"/>
          <w:szCs w:val="22"/>
          <w:lang w:bidi="ar"/>
        </w:rPr>
      </w:pPr>
      <w:r>
        <w:rPr>
          <w:rFonts w:hint="eastAsia"/>
          <w:kern w:val="0"/>
          <w:szCs w:val="22"/>
          <w:lang w:bidi="ar"/>
        </w:rPr>
        <w:t>5、硫酸</w:t>
      </w:r>
    </w:p>
    <w:p>
      <w:pPr>
        <w:pStyle w:val="5"/>
        <w:spacing w:line="500" w:lineRule="exact"/>
        <w:ind w:firstLine="490" w:firstLineChars="200"/>
        <w:rPr>
          <w:kern w:val="0"/>
          <w:szCs w:val="22"/>
          <w:lang w:bidi="ar"/>
        </w:rPr>
      </w:pPr>
      <w:r>
        <w:rPr>
          <w:rFonts w:hint="eastAsia"/>
          <w:kern w:val="0"/>
          <w:szCs w:val="22"/>
          <w:lang w:bidi="ar"/>
        </w:rPr>
        <w:t>项目使用硫酸用于洗涤精密过滤器，硫酸不直接参与生产。98%硫酸储罐于罐组十，</w:t>
      </w:r>
      <w:r>
        <w:rPr>
          <w:rFonts w:hint="eastAsia"/>
        </w:rPr>
        <w:t>通过管道输送至车间配酸罐，调配至20%浓度后供</w:t>
      </w:r>
      <w:r>
        <w:rPr>
          <w:rFonts w:hint="eastAsia"/>
          <w:kern w:val="0"/>
          <w:szCs w:val="22"/>
          <w:lang w:bidi="ar"/>
        </w:rPr>
        <w:t>精密过滤器洗涤使用。</w:t>
      </w:r>
    </w:p>
    <w:p>
      <w:pPr>
        <w:pStyle w:val="6"/>
        <w:numPr>
          <w:ilvl w:val="2"/>
          <w:numId w:val="11"/>
        </w:numPr>
        <w:tabs>
          <w:tab w:val="left" w:pos="1080"/>
        </w:tabs>
        <w:spacing w:line="400" w:lineRule="exact"/>
        <w:rPr>
          <w:rFonts w:ascii="Arial" w:hAnsi="Arial" w:eastAsia="宋体" w:cs="Arial"/>
        </w:rPr>
      </w:pPr>
      <w:r>
        <w:rPr>
          <w:rFonts w:ascii="Arial" w:hAnsi="Arial" w:eastAsia="宋体" w:cs="Arial"/>
        </w:rPr>
        <w:t>主要生产设备</w:t>
      </w:r>
    </w:p>
    <w:p>
      <w:pPr>
        <w:pStyle w:val="5"/>
        <w:rPr>
          <w:u w:val="single"/>
        </w:rPr>
      </w:pPr>
      <w:r>
        <w:rPr>
          <w:rFonts w:hint="eastAsia"/>
          <w:u w:val="single"/>
        </w:rPr>
        <w:t>项目湿区利用原金属溶解槽变更为溶解槽、储槽、陈化槽、洗水槽；利用原3套板框压滤机，同时新增5套；新增2台反应釜、6个浆化槽和2套精密过滤器，剩余不能利用的设备拆除外售。干区新增单体烘箱、气流磨、封包机、破碎机、上料机、包装机及其他辅助设备。现变更后的设备已安装完毕，目前处于调试试生产阶段。项目变更后主要设备见表2-20。</w:t>
      </w:r>
    </w:p>
    <w:p>
      <w:pPr>
        <w:pStyle w:val="5"/>
        <w:keepNext/>
        <w:numPr>
          <w:ilvl w:val="0"/>
          <w:numId w:val="12"/>
        </w:numPr>
        <w:spacing w:line="480" w:lineRule="exact"/>
        <w:ind w:left="0" w:firstLine="0"/>
        <w:jc w:val="center"/>
        <w:outlineLvl w:val="4"/>
        <w:rPr>
          <w:b/>
        </w:rPr>
      </w:pPr>
      <w:r>
        <w:rPr>
          <w:b/>
        </w:rPr>
        <w:t>主要设备表</w:t>
      </w:r>
    </w:p>
    <w:tbl>
      <w:tblPr>
        <w:tblStyle w:val="88"/>
        <w:tblW w:w="9288" w:type="dxa"/>
        <w:tblInd w:w="0" w:type="dxa"/>
        <w:tblLayout w:type="fixed"/>
        <w:tblCellMar>
          <w:top w:w="0" w:type="dxa"/>
          <w:left w:w="108" w:type="dxa"/>
          <w:bottom w:w="0" w:type="dxa"/>
          <w:right w:w="108" w:type="dxa"/>
        </w:tblCellMar>
      </w:tblPr>
      <w:tblGrid>
        <w:gridCol w:w="1809"/>
        <w:gridCol w:w="1984"/>
        <w:gridCol w:w="2978"/>
        <w:gridCol w:w="708"/>
        <w:gridCol w:w="1809"/>
      </w:tblGrid>
      <w:tr>
        <w:tblPrEx>
          <w:tblLayout w:type="fixed"/>
          <w:tblCellMar>
            <w:top w:w="0" w:type="dxa"/>
            <w:left w:w="108" w:type="dxa"/>
            <w:bottom w:w="0" w:type="dxa"/>
            <w:right w:w="108" w:type="dxa"/>
          </w:tblCellMar>
        </w:tblPrEx>
        <w:trPr>
          <w:trHeight w:val="340" w:hRule="atLeast"/>
        </w:trPr>
        <w:tc>
          <w:tcPr>
            <w:tcW w:w="1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b/>
                <w:bCs/>
                <w:sz w:val="21"/>
                <w:szCs w:val="21"/>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b/>
                <w:bCs/>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b/>
                <w:bCs/>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b/>
                <w:bCs/>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bCs/>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vMerge w:val="restart"/>
            <w:tcBorders>
              <w:top w:val="single" w:color="000000" w:sz="4" w:space="0"/>
              <w:left w:val="single" w:color="000000" w:sz="4" w:space="0"/>
              <w:right w:val="single" w:color="000000" w:sz="4" w:space="0"/>
            </w:tcBorders>
            <w:vAlign w:val="center"/>
          </w:tcPr>
          <w:p>
            <w:pPr>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vMerge w:val="continue"/>
            <w:tcBorders>
              <w:left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vMerge w:val="continue"/>
            <w:tcBorders>
              <w:left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vMerge w:val="continue"/>
            <w:tcBorders>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u w:val="single"/>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kern w:val="0"/>
                <w:sz w:val="21"/>
                <w:szCs w:val="21"/>
                <w:lang w:bidi="ar"/>
              </w:rPr>
            </w:pPr>
          </w:p>
        </w:tc>
      </w:tr>
      <w:tr>
        <w:tblPrEx>
          <w:tblLayout w:type="fixed"/>
          <w:tblCellMar>
            <w:top w:w="0" w:type="dxa"/>
            <w:left w:w="108" w:type="dxa"/>
            <w:bottom w:w="0" w:type="dxa"/>
            <w:right w:w="108" w:type="dxa"/>
          </w:tblCellMar>
        </w:tblPrEx>
        <w:trPr>
          <w:trHeight w:val="340" w:hRule="atLeast"/>
        </w:trPr>
        <w:tc>
          <w:tcPr>
            <w:tcW w:w="1809"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vMerge w:val="restart"/>
            <w:tcBorders>
              <w:top w:val="single" w:color="000000" w:sz="4" w:space="0"/>
              <w:left w:val="single" w:color="000000" w:sz="4" w:space="0"/>
              <w:right w:val="single" w:color="000000" w:sz="4" w:space="0"/>
            </w:tcBorders>
            <w:vAlign w:val="center"/>
          </w:tcPr>
          <w:p>
            <w:pPr>
              <w:adjustRightInd w:val="0"/>
              <w:snapToGrid w:val="0"/>
              <w:jc w:val="center"/>
              <w:textAlignment w:val="center"/>
              <w:rPr>
                <w:rFonts w:ascii="Arial" w:hAnsi="Arial" w:eastAsia="宋体" w:cs="Arial"/>
                <w:sz w:val="21"/>
                <w:szCs w:val="21"/>
              </w:rPr>
            </w:pPr>
          </w:p>
        </w:tc>
      </w:tr>
      <w:tr>
        <w:tblPrEx>
          <w:tblLayout w:type="fixed"/>
          <w:tblCellMar>
            <w:top w:w="0" w:type="dxa"/>
            <w:left w:w="108" w:type="dxa"/>
            <w:bottom w:w="0" w:type="dxa"/>
            <w:right w:w="108" w:type="dxa"/>
          </w:tblCellMar>
        </w:tblPrEx>
        <w:trPr>
          <w:trHeight w:val="340" w:hRule="atLeast"/>
        </w:trPr>
        <w:tc>
          <w:tcPr>
            <w:tcW w:w="1809"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sz w:val="21"/>
                <w:szCs w:val="21"/>
              </w:rPr>
            </w:pPr>
          </w:p>
        </w:tc>
        <w:tc>
          <w:tcPr>
            <w:tcW w:w="2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rFonts w:ascii="Arial" w:hAnsi="Arial" w:eastAsia="宋体" w:cs="Arial"/>
                <w:sz w:val="21"/>
                <w:szCs w:val="21"/>
              </w:rPr>
            </w:pP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textAlignment w:val="center"/>
              <w:rPr>
                <w:rFonts w:ascii="Arial" w:hAnsi="Arial" w:eastAsia="宋体" w:cs="Arial"/>
                <w:kern w:val="0"/>
                <w:sz w:val="21"/>
                <w:szCs w:val="21"/>
                <w:lang w:bidi="ar"/>
              </w:rPr>
            </w:pPr>
          </w:p>
        </w:tc>
        <w:tc>
          <w:tcPr>
            <w:tcW w:w="1809" w:type="dxa"/>
            <w:vMerge w:val="continue"/>
            <w:tcBorders>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sz w:val="21"/>
                <w:szCs w:val="21"/>
                <w:u w:val="single"/>
              </w:rPr>
            </w:pPr>
          </w:p>
        </w:tc>
      </w:tr>
    </w:tbl>
    <w:p>
      <w:pPr>
        <w:pStyle w:val="6"/>
        <w:numPr>
          <w:ilvl w:val="2"/>
          <w:numId w:val="11"/>
        </w:numPr>
        <w:tabs>
          <w:tab w:val="left" w:pos="1080"/>
        </w:tabs>
        <w:spacing w:line="400" w:lineRule="exact"/>
        <w:rPr>
          <w:rFonts w:ascii="Arial" w:hAnsi="Arial" w:eastAsia="宋体" w:cs="Arial"/>
        </w:rPr>
      </w:pPr>
      <w:r>
        <w:rPr>
          <w:rFonts w:ascii="Arial" w:hAnsi="Arial" w:eastAsia="宋体" w:cs="Arial"/>
        </w:rPr>
        <w:t>总平面布置</w:t>
      </w:r>
    </w:p>
    <w:p>
      <w:pPr>
        <w:pStyle w:val="5"/>
        <w:spacing w:line="500" w:lineRule="exact"/>
      </w:pPr>
      <w:r>
        <w:rPr>
          <w:rFonts w:hint="eastAsia"/>
        </w:rPr>
        <w:t>X19车间位于中伟南部基地地块二东北面，厂房呈南北走向砖混结构。</w:t>
      </w:r>
    </w:p>
    <w:p>
      <w:pPr>
        <w:pStyle w:val="5"/>
        <w:spacing w:line="500" w:lineRule="exact"/>
        <w:rPr>
          <w:u w:val="single"/>
        </w:rPr>
      </w:pPr>
      <w:r>
        <w:rPr>
          <w:rFonts w:hint="eastAsia"/>
          <w:u w:val="single"/>
        </w:rPr>
        <w:t>车间根据生产工艺划分为干区和湿区，其中干区包含烘干、破碎、包装等工段，湿区包含溶解、精密过滤、合成反应、板框压滤和车间污水预处理工段。车间北面为干区，共两层，其中一层布置控制间、打包间、空压机、破碎工序和成品中转区，二层主要布置烘箱；车间南面为湿区，共1层，主要布置溶解槽、洗水槽、浆化槽等各种槽罐、控制室和板框压滤机。</w:t>
      </w:r>
    </w:p>
    <w:p>
      <w:pPr>
        <w:pStyle w:val="5"/>
        <w:spacing w:line="500" w:lineRule="exact"/>
      </w:pPr>
      <w:r>
        <w:rPr>
          <w:rFonts w:hint="eastAsia"/>
        </w:rPr>
        <w:t>车间东面设置2个纯水槽和1个洗水外排槽，西面设置2个热水储槽、1个液碱储罐、2个洗水储罐、1个配酸槽、1个双氧水储罐和1个氨水储罐。</w:t>
      </w:r>
    </w:p>
    <w:p>
      <w:pPr>
        <w:pStyle w:val="5"/>
        <w:spacing w:line="500" w:lineRule="exact"/>
      </w:pPr>
      <w:r>
        <w:t>项目总平面布置图见附图2。</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63" w:name="_Toc185950217"/>
      <w:r>
        <w:rPr>
          <w:rFonts w:ascii="Arial" w:eastAsia="宋体" w:cs="Arial"/>
          <w:b/>
        </w:rPr>
        <w:t>项目工程分析</w:t>
      </w:r>
      <w:bookmarkEnd w:id="263"/>
    </w:p>
    <w:p>
      <w:pPr>
        <w:pStyle w:val="6"/>
        <w:numPr>
          <w:ilvl w:val="2"/>
          <w:numId w:val="11"/>
        </w:numPr>
        <w:tabs>
          <w:tab w:val="left" w:pos="1080"/>
        </w:tabs>
        <w:spacing w:line="400" w:lineRule="exact"/>
        <w:rPr>
          <w:rFonts w:ascii="Arial" w:hAnsi="Arial" w:eastAsia="宋体" w:cs="Arial"/>
        </w:rPr>
      </w:pPr>
      <w:r>
        <w:rPr>
          <w:rFonts w:ascii="Arial" w:hAnsi="Arial" w:eastAsia="宋体" w:cs="Arial"/>
        </w:rPr>
        <w:t>生产线工艺流程</w:t>
      </w:r>
    </w:p>
    <w:p>
      <w:pPr>
        <w:pStyle w:val="5"/>
        <w:snapToGrid w:val="0"/>
        <w:spacing w:line="500" w:lineRule="exact"/>
      </w:pPr>
      <w:r>
        <w:rPr>
          <w:rFonts w:hint="eastAsia"/>
        </w:rPr>
        <w:t>羟基钴</w:t>
      </w:r>
      <w:r>
        <w:t>生产线工艺流程见图2.</w:t>
      </w:r>
      <w:r>
        <w:rPr>
          <w:rFonts w:hint="eastAsia"/>
        </w:rPr>
        <w:t>4</w:t>
      </w:r>
      <w:r>
        <w:t>-1。</w:t>
      </w:r>
    </w:p>
    <w:p>
      <w:pPr>
        <w:pStyle w:val="5"/>
        <w:snapToGrid w:val="0"/>
        <w:spacing w:line="360" w:lineRule="auto"/>
        <w:ind w:firstLine="0"/>
      </w:pPr>
    </w:p>
    <w:p>
      <w:pPr>
        <w:pStyle w:val="5"/>
        <w:snapToGrid w:val="0"/>
        <w:spacing w:line="360" w:lineRule="auto"/>
        <w:ind w:firstLine="0"/>
        <w:jc w:val="center"/>
      </w:pPr>
    </w:p>
    <w:p>
      <w:pPr>
        <w:pStyle w:val="5"/>
        <w:snapToGrid w:val="0"/>
        <w:spacing w:line="500" w:lineRule="exact"/>
        <w:jc w:val="center"/>
        <w:rPr>
          <w:b/>
          <w:u w:val="single"/>
        </w:rPr>
      </w:pPr>
      <w:r>
        <w:rPr>
          <w:rFonts w:hint="eastAsia"/>
          <w:b/>
          <w:u w:val="single"/>
        </w:rPr>
        <w:t>图2.4-1  羟基钴生产线工艺流程图</w:t>
      </w:r>
    </w:p>
    <w:p>
      <w:pPr>
        <w:pStyle w:val="5"/>
        <w:adjustRightInd w:val="0"/>
        <w:snapToGrid w:val="0"/>
        <w:spacing w:line="500" w:lineRule="exact"/>
        <w:ind w:firstLine="490" w:firstLineChars="200"/>
        <w:rPr>
          <w:b/>
        </w:rPr>
      </w:pPr>
    </w:p>
    <w:p>
      <w:pPr>
        <w:pStyle w:val="5"/>
        <w:adjustRightInd w:val="0"/>
        <w:snapToGrid w:val="0"/>
        <w:spacing w:line="500" w:lineRule="exact"/>
        <w:ind w:firstLine="490" w:firstLineChars="200"/>
        <w:rPr>
          <w:b/>
        </w:rPr>
      </w:pPr>
      <w:r>
        <w:rPr>
          <w:rFonts w:hint="eastAsia"/>
          <w:b/>
        </w:rPr>
        <w:t>主要工艺流程简述：</w:t>
      </w:r>
    </w:p>
    <w:p>
      <w:pPr>
        <w:pStyle w:val="5"/>
        <w:adjustRightInd w:val="0"/>
        <w:snapToGrid w:val="0"/>
        <w:spacing w:line="500" w:lineRule="exact"/>
        <w:ind w:firstLine="490" w:firstLineChars="200"/>
        <w:rPr>
          <w:u w:val="single"/>
        </w:rPr>
      </w:pPr>
      <w:r>
        <w:rPr>
          <w:rFonts w:hint="eastAsia"/>
          <w:u w:val="single"/>
        </w:rPr>
        <w:t>X19车间内分为湿区和干区，其中溶解、精密过滤、合成反应、压滤洗涤等工序属于湿区，烘干、破碎、包装等工序属于干区。</w:t>
      </w:r>
    </w:p>
    <w:p>
      <w:pPr>
        <w:pStyle w:val="5"/>
        <w:adjustRightInd w:val="0"/>
        <w:snapToGrid w:val="0"/>
        <w:spacing w:line="500" w:lineRule="exact"/>
        <w:ind w:firstLine="490" w:firstLineChars="200"/>
      </w:pPr>
      <w:r>
        <w:rPr>
          <w:rFonts w:hint="eastAsia"/>
        </w:rPr>
        <w:t>1、溶解</w:t>
      </w:r>
    </w:p>
    <w:p>
      <w:pPr>
        <w:pStyle w:val="5"/>
        <w:adjustRightInd w:val="0"/>
        <w:snapToGrid w:val="0"/>
        <w:spacing w:line="500" w:lineRule="exact"/>
        <w:ind w:firstLine="490" w:firstLineChars="200"/>
        <w:rPr>
          <w:u w:val="single"/>
        </w:rPr>
      </w:pPr>
      <w:r>
        <w:rPr>
          <w:rFonts w:hint="eastAsia"/>
          <w:u w:val="single"/>
        </w:rPr>
        <w:t>项目正常生产后，外购的硫酸钴晶体通过人工投料方式加入纯水溶解得到硫酸钴溶液，溶液至于储槽备用。</w:t>
      </w:r>
    </w:p>
    <w:p>
      <w:pPr>
        <w:pStyle w:val="5"/>
        <w:adjustRightInd w:val="0"/>
        <w:snapToGrid w:val="0"/>
        <w:spacing w:line="500" w:lineRule="exact"/>
        <w:ind w:firstLine="490" w:firstLineChars="200"/>
        <w:rPr>
          <w:u w:val="single"/>
        </w:rPr>
      </w:pPr>
      <w:r>
        <w:rPr>
          <w:rFonts w:hint="eastAsia"/>
          <w:u w:val="single"/>
        </w:rPr>
        <w:t>2、精密过滤</w:t>
      </w:r>
    </w:p>
    <w:p>
      <w:pPr>
        <w:pStyle w:val="5"/>
        <w:adjustRightInd w:val="0"/>
        <w:snapToGrid w:val="0"/>
        <w:spacing w:line="500" w:lineRule="exact"/>
        <w:ind w:firstLine="490" w:firstLineChars="200"/>
        <w:rPr>
          <w:u w:val="single"/>
        </w:rPr>
      </w:pPr>
      <w:r>
        <w:rPr>
          <w:rFonts w:hint="eastAsia"/>
          <w:u w:val="single"/>
        </w:rPr>
        <w:t>溶解后的硫酸钴溶液通过管道经精密过滤器过滤，少量残渣返回溶解工序继续溶解。为防止堵塞，精密过滤器每3个月使用20%稀硫酸清洗一次，清洗后的硫酸与后续工序生产废水一同经板框压滤处理后，进入污水处理车间处理。</w:t>
      </w:r>
    </w:p>
    <w:p>
      <w:pPr>
        <w:pStyle w:val="5"/>
        <w:adjustRightInd w:val="0"/>
        <w:snapToGrid w:val="0"/>
        <w:spacing w:line="500" w:lineRule="exact"/>
        <w:ind w:firstLine="490" w:firstLineChars="200"/>
      </w:pPr>
      <w:r>
        <w:rPr>
          <w:rFonts w:hint="eastAsia"/>
        </w:rPr>
        <w:t>3、合成反应</w:t>
      </w:r>
    </w:p>
    <w:p>
      <w:pPr>
        <w:pStyle w:val="5"/>
        <w:adjustRightInd w:val="0"/>
        <w:snapToGrid w:val="0"/>
        <w:spacing w:line="500" w:lineRule="exact"/>
        <w:ind w:firstLine="475" w:firstLineChars="194"/>
      </w:pPr>
      <w:r>
        <w:rPr>
          <w:rFonts w:hint="eastAsia"/>
        </w:rPr>
        <w:t>羟基钴合成反应方程式为：</w:t>
      </w:r>
    </w:p>
    <w:p>
      <w:pPr>
        <w:pStyle w:val="5"/>
        <w:adjustRightInd w:val="0"/>
        <w:snapToGrid w:val="0"/>
        <w:spacing w:line="500" w:lineRule="exact"/>
        <w:ind w:firstLine="475" w:firstLineChars="194"/>
      </w:pPr>
      <w:r>
        <w:rPr>
          <w:rFonts w:hint="eastAsia"/>
        </w:rPr>
        <w:t>2CoSO</w:t>
      </w:r>
      <w:r>
        <w:rPr>
          <w:rFonts w:hint="eastAsia"/>
          <w:vertAlign w:val="subscript"/>
        </w:rPr>
        <w:t>4</w:t>
      </w:r>
      <w:r>
        <w:rPr>
          <w:rFonts w:hint="eastAsia"/>
        </w:rPr>
        <w:t>+4NaOH+H</w:t>
      </w:r>
      <w:r>
        <w:rPr>
          <w:rFonts w:hint="eastAsia"/>
          <w:vertAlign w:val="subscript"/>
        </w:rPr>
        <w:t>2</w:t>
      </w:r>
      <w:r>
        <w:rPr>
          <w:rFonts w:hint="eastAsia"/>
        </w:rPr>
        <w:t>O</w:t>
      </w:r>
      <w:r>
        <w:rPr>
          <w:rFonts w:hint="eastAsia"/>
          <w:vertAlign w:val="subscript"/>
        </w:rPr>
        <w:t>2</w:t>
      </w:r>
      <w:r>
        <w:rPr>
          <w:rFonts w:hint="eastAsia"/>
        </w:rPr>
        <w:t>=2CoOOH+2Na</w:t>
      </w:r>
      <w:r>
        <w:rPr>
          <w:rFonts w:hint="eastAsia"/>
          <w:vertAlign w:val="subscript"/>
        </w:rPr>
        <w:t>2</w:t>
      </w:r>
      <w:r>
        <w:rPr>
          <w:rFonts w:hint="eastAsia"/>
        </w:rPr>
        <w:t>SO</w:t>
      </w:r>
      <w:r>
        <w:rPr>
          <w:rFonts w:hint="eastAsia"/>
          <w:vertAlign w:val="subscript"/>
        </w:rPr>
        <w:t>4</w:t>
      </w:r>
      <w:r>
        <w:rPr>
          <w:rFonts w:hint="eastAsia"/>
        </w:rPr>
        <w:t>+2H</w:t>
      </w:r>
      <w:r>
        <w:rPr>
          <w:rFonts w:hint="eastAsia"/>
          <w:vertAlign w:val="subscript"/>
        </w:rPr>
        <w:t>2</w:t>
      </w:r>
      <w:r>
        <w:rPr>
          <w:rFonts w:hint="eastAsia"/>
        </w:rPr>
        <w:t>O</w:t>
      </w:r>
    </w:p>
    <w:p>
      <w:pPr>
        <w:pStyle w:val="5"/>
        <w:adjustRightInd w:val="0"/>
        <w:snapToGrid w:val="0"/>
        <w:spacing w:line="500" w:lineRule="exact"/>
        <w:ind w:firstLine="490" w:firstLineChars="200"/>
      </w:pPr>
      <w:r>
        <w:rPr>
          <w:rFonts w:hint="eastAsia"/>
          <w:u w:val="single"/>
        </w:rPr>
        <w:t>在反应釜中通过管道泵入硫酸钴溶液和32%液碱，同时加入21%氨水（络合剂，不参与反应）、双氧水（氧化剂）进行反应。项目设置2个反应釜，2个反应釜交替进行合成反应，合成反应工序每天24小时连续生产。</w:t>
      </w:r>
      <w:r>
        <w:rPr>
          <w:rFonts w:hint="eastAsia"/>
        </w:rPr>
        <w:t>在反应釜进行合成反应后转入陈化槽进行陈化，具体操作为：先采用蒸汽夹套升温反应釜，温度控制在</w:t>
      </w:r>
      <w:r>
        <w:t>50</w:t>
      </w:r>
      <w:r>
        <w:rPr>
          <w:rFonts w:hint="eastAsia"/>
        </w:rPr>
        <w:t>℃～</w:t>
      </w:r>
      <w:r>
        <w:t>90</w:t>
      </w:r>
      <w:r>
        <w:rPr>
          <w:rFonts w:hint="eastAsia"/>
        </w:rPr>
        <w:t>℃之间，再将各原辅料按设定的流量泵至反应釜，按照比例控制原料的供给速度。</w:t>
      </w:r>
      <w:r>
        <w:rPr>
          <w:rFonts w:hint="eastAsia"/>
          <w:u w:val="single"/>
        </w:rPr>
        <w:t>在液碱和双氧水稍过量的情况下，转化率接近</w:t>
      </w:r>
      <w:r>
        <w:rPr>
          <w:u w:val="single"/>
        </w:rPr>
        <w:t>100%</w:t>
      </w:r>
      <w:r>
        <w:rPr>
          <w:rFonts w:hint="eastAsia"/>
          <w:u w:val="single"/>
        </w:rPr>
        <w:t>，钴金属离子与</w:t>
      </w:r>
      <w:r>
        <w:rPr>
          <w:u w:val="single"/>
        </w:rPr>
        <w:t>OH</w:t>
      </w:r>
      <w:r>
        <w:rPr>
          <w:rFonts w:hint="eastAsia"/>
          <w:u w:val="single"/>
          <w:vertAlign w:val="superscript"/>
        </w:rPr>
        <w:t>-</w:t>
      </w:r>
      <w:r>
        <w:rPr>
          <w:rFonts w:hint="eastAsia"/>
          <w:u w:val="single"/>
        </w:rPr>
        <w:t>、氧离子在反应釜完全反应生成钴金属氢氧化物和氧化物，转入陈化槽静置析出羟基钴料浆。</w:t>
      </w:r>
      <w:r>
        <w:rPr>
          <w:rFonts w:hint="eastAsia"/>
        </w:rPr>
        <w:t>合成反应挥发的氨气（G1-1）密闭收集，经吸收塔处理后通过1根20m高排气筒排放（DA145）。</w:t>
      </w:r>
    </w:p>
    <w:p>
      <w:pPr>
        <w:pStyle w:val="5"/>
        <w:adjustRightInd w:val="0"/>
        <w:snapToGrid w:val="0"/>
        <w:spacing w:line="500" w:lineRule="exact"/>
        <w:ind w:firstLine="490" w:firstLineChars="200"/>
      </w:pPr>
      <w:r>
        <w:rPr>
          <w:rFonts w:hint="eastAsia"/>
        </w:rPr>
        <w:t>4、压滤洗涤</w:t>
      </w:r>
    </w:p>
    <w:p>
      <w:pPr>
        <w:pStyle w:val="5"/>
        <w:adjustRightInd w:val="0"/>
        <w:snapToGrid w:val="0"/>
        <w:spacing w:line="500" w:lineRule="exact"/>
        <w:ind w:firstLine="490" w:firstLineChars="200"/>
      </w:pPr>
      <w:r>
        <w:rPr>
          <w:rFonts w:hint="eastAsia"/>
        </w:rPr>
        <w:t>羟基钴料浆通过板框压滤机压出母液（水、NH</w:t>
      </w:r>
      <w:r>
        <w:rPr>
          <w:rFonts w:hint="eastAsia"/>
          <w:vertAlign w:val="subscript"/>
        </w:rPr>
        <w:t>4</w:t>
      </w:r>
      <w:r>
        <w:rPr>
          <w:rFonts w:hint="eastAsia"/>
          <w:vertAlign w:val="superscript"/>
        </w:rPr>
        <w:t>+</w:t>
      </w:r>
      <w:r>
        <w:rPr>
          <w:rFonts w:hint="eastAsia"/>
        </w:rPr>
        <w:t>、Na</w:t>
      </w:r>
      <w:r>
        <w:rPr>
          <w:rFonts w:hint="eastAsia"/>
          <w:vertAlign w:val="superscript"/>
        </w:rPr>
        <w:t>+</w:t>
      </w:r>
      <w:r>
        <w:rPr>
          <w:rFonts w:hint="eastAsia"/>
        </w:rPr>
        <w:t>、SO</w:t>
      </w:r>
      <w:r>
        <w:rPr>
          <w:rFonts w:hint="eastAsia"/>
          <w:vertAlign w:val="subscript"/>
        </w:rPr>
        <w:t>4</w:t>
      </w:r>
      <w:r>
        <w:rPr>
          <w:rFonts w:hint="eastAsia"/>
          <w:vertAlign w:val="superscript"/>
        </w:rPr>
        <w:t>2-</w:t>
      </w:r>
      <w:r>
        <w:rPr>
          <w:rFonts w:hint="eastAsia"/>
        </w:rPr>
        <w:t>、OH</w:t>
      </w:r>
      <w:r>
        <w:rPr>
          <w:rFonts w:hint="eastAsia"/>
          <w:vertAlign w:val="superscript"/>
        </w:rPr>
        <w:t>-</w:t>
      </w:r>
      <w:r>
        <w:rPr>
          <w:rFonts w:hint="eastAsia"/>
        </w:rPr>
        <w:t>），截留下来滤渣（物料）使用经饱和蒸汽通过板式换热器加热后的纯水进行洗涤，母液和洗涤产生的洗水混合，混合后的生产废水（W1-1）通过管道在车间内经过板框压滤和精密过滤器预处理后输送至S</w:t>
      </w:r>
      <w:r>
        <w:t>7</w:t>
      </w:r>
      <w:r>
        <w:rPr>
          <w:rFonts w:hint="eastAsia"/>
        </w:rPr>
        <w:t>、S8、S9污水处理车间处理；洗涤干净的滤渣（物料）于板框卸料。</w:t>
      </w:r>
      <w:r>
        <w:rPr>
          <w:rFonts w:hint="eastAsia"/>
          <w:u w:val="single"/>
        </w:rPr>
        <w:t>为防止堵塞，精密过滤器每3个月使用20%稀硫酸清洗一次，清洗后的硫酸与生产废水一同经板框压滤处理后，进入污水处理车间处理</w:t>
      </w:r>
      <w:r>
        <w:rPr>
          <w:rFonts w:hint="eastAsia"/>
        </w:rPr>
        <w:t>。压滤挥发的氨气（G1-2）通过集气罩收集，与合成反应废气一同经吸收塔处理后通过1根20m高排气筒排放（DA145）。</w:t>
      </w:r>
    </w:p>
    <w:p>
      <w:pPr>
        <w:pStyle w:val="5"/>
        <w:adjustRightInd w:val="0"/>
        <w:snapToGrid w:val="0"/>
        <w:spacing w:line="500" w:lineRule="exact"/>
        <w:ind w:firstLine="490" w:firstLineChars="200"/>
      </w:pPr>
      <w:r>
        <w:rPr>
          <w:rFonts w:hint="eastAsia"/>
        </w:rPr>
        <w:t>5、烘干</w:t>
      </w:r>
    </w:p>
    <w:p>
      <w:pPr>
        <w:pStyle w:val="5"/>
        <w:adjustRightInd w:val="0"/>
        <w:snapToGrid w:val="0"/>
        <w:spacing w:line="500" w:lineRule="exact"/>
        <w:ind w:firstLine="490" w:firstLineChars="200"/>
      </w:pPr>
      <w:r>
        <w:rPr>
          <w:rFonts w:hint="eastAsia"/>
          <w:u w:val="single"/>
        </w:rPr>
        <w:t>洗涤物料通过人工搬运方式进入单体烘箱进行干燥得干燥物料，</w:t>
      </w:r>
      <w:r>
        <w:rPr>
          <w:rFonts w:hint="eastAsia"/>
        </w:rPr>
        <w:t>单体烘箱采用电源作为能源供热，烘干在密闭操作间进行，烘干过程中产生的废气（G1-3）在单体烘箱内密闭收集，经吸收塔处理后通过1根20m高排气筒排放（DA146）。</w:t>
      </w:r>
    </w:p>
    <w:p>
      <w:pPr>
        <w:pStyle w:val="5"/>
        <w:adjustRightInd w:val="0"/>
        <w:snapToGrid w:val="0"/>
        <w:spacing w:line="500" w:lineRule="exact"/>
        <w:ind w:firstLine="490" w:firstLineChars="200"/>
      </w:pPr>
      <w:r>
        <w:rPr>
          <w:rFonts w:hint="eastAsia"/>
        </w:rPr>
        <w:t>6、破碎</w:t>
      </w:r>
    </w:p>
    <w:p>
      <w:pPr>
        <w:pStyle w:val="5"/>
        <w:adjustRightInd w:val="0"/>
        <w:snapToGrid w:val="0"/>
        <w:spacing w:line="500" w:lineRule="exact"/>
        <w:ind w:firstLine="490" w:firstLineChars="200"/>
      </w:pPr>
      <w:r>
        <w:rPr>
          <w:rFonts w:hint="eastAsia"/>
          <w:u w:val="single"/>
        </w:rPr>
        <w:t>干燥后的物料通过人工搬运方式送入辊机破碎得到粗破物料，</w:t>
      </w:r>
      <w:r>
        <w:rPr>
          <w:rFonts w:hint="eastAsia"/>
        </w:rPr>
        <w:t>粗破物料处理完毕后进入气流磨进行气流粉碎，得到破碎的羟基钴物料。破碎在密闭操作间进行，破碎粉尘（G1-4）在破碎间内密闭收集，经布袋除尘器处理后与烘干粉尘一同经吸收塔处理后通过1根20m高排气筒排放（DA146）。</w:t>
      </w:r>
    </w:p>
    <w:p>
      <w:pPr>
        <w:pStyle w:val="5"/>
        <w:adjustRightInd w:val="0"/>
        <w:snapToGrid w:val="0"/>
        <w:spacing w:line="500" w:lineRule="exact"/>
        <w:ind w:firstLine="490" w:firstLineChars="200"/>
      </w:pPr>
      <w:r>
        <w:rPr>
          <w:rFonts w:hint="eastAsia"/>
        </w:rPr>
        <w:t>7、包装</w:t>
      </w:r>
    </w:p>
    <w:p>
      <w:pPr>
        <w:pStyle w:val="5"/>
        <w:adjustRightInd w:val="0"/>
        <w:snapToGrid w:val="0"/>
        <w:spacing w:line="500" w:lineRule="exact"/>
        <w:ind w:firstLine="490" w:firstLineChars="200"/>
      </w:pPr>
      <w:r>
        <w:rPr>
          <w:rFonts w:hint="eastAsia"/>
          <w:u w:val="single"/>
        </w:rPr>
        <w:t>对破碎达标的物料通过人工分装进行真空包装，得羟基钴成品。</w:t>
      </w:r>
      <w:r>
        <w:rPr>
          <w:rFonts w:hint="eastAsia"/>
        </w:rPr>
        <w:t>破碎在密闭操作间进行，包装粉尘（G1-5）在包装间内密闭收集，与破碎粉尘一同经布袋除尘器、吸收塔处理后通过1根20m高排气筒排放（DA146）。</w:t>
      </w:r>
    </w:p>
    <w:p>
      <w:pPr>
        <w:pStyle w:val="6"/>
        <w:numPr>
          <w:ilvl w:val="2"/>
          <w:numId w:val="11"/>
        </w:numPr>
        <w:tabs>
          <w:tab w:val="left" w:pos="1080"/>
        </w:tabs>
        <w:spacing w:line="400" w:lineRule="exact"/>
        <w:rPr>
          <w:rFonts w:ascii="Arial" w:hAnsi="Arial" w:eastAsia="宋体" w:cs="Arial"/>
        </w:rPr>
      </w:pPr>
      <w:r>
        <w:rPr>
          <w:rFonts w:ascii="Arial" w:hAnsi="Arial" w:eastAsia="宋体" w:cs="Arial"/>
        </w:rPr>
        <w:t>物料平衡、水平衡、元素平衡</w:t>
      </w:r>
    </w:p>
    <w:p>
      <w:pPr>
        <w:pStyle w:val="6"/>
        <w:numPr>
          <w:ilvl w:val="2"/>
          <w:numId w:val="11"/>
        </w:numPr>
        <w:tabs>
          <w:tab w:val="left" w:pos="1080"/>
        </w:tabs>
        <w:spacing w:line="400" w:lineRule="exact"/>
        <w:rPr>
          <w:rFonts w:ascii="Arial" w:hAnsi="Arial" w:eastAsia="宋体" w:cs="Arial"/>
        </w:rPr>
      </w:pPr>
      <w:r>
        <w:rPr>
          <w:rFonts w:ascii="Arial" w:hAnsi="Arial" w:eastAsia="宋体" w:cs="Arial"/>
        </w:rPr>
        <w:t>污染源分析</w:t>
      </w:r>
    </w:p>
    <w:p>
      <w:pPr>
        <w:pStyle w:val="5"/>
      </w:pPr>
      <w:r>
        <w:t>项目污染因素见表2-</w:t>
      </w:r>
      <w:r>
        <w:rPr>
          <w:rFonts w:hint="eastAsia"/>
        </w:rPr>
        <w:t>25</w:t>
      </w:r>
      <w:r>
        <w:t>。</w:t>
      </w:r>
    </w:p>
    <w:p>
      <w:pPr>
        <w:pStyle w:val="5"/>
        <w:keepNext/>
        <w:numPr>
          <w:ilvl w:val="0"/>
          <w:numId w:val="12"/>
        </w:numPr>
        <w:spacing w:line="480" w:lineRule="exact"/>
        <w:ind w:left="0" w:firstLine="0"/>
        <w:jc w:val="center"/>
        <w:outlineLvl w:val="4"/>
        <w:rPr>
          <w:b/>
        </w:rPr>
      </w:pPr>
      <w:r>
        <w:rPr>
          <w:b/>
        </w:rPr>
        <w:t>项目污染因素汇总表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01"/>
        <w:gridCol w:w="1893"/>
        <w:gridCol w:w="2838"/>
        <w:gridCol w:w="3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shd w:val="clear" w:color="auto" w:fill="auto"/>
            <w:vAlign w:val="center"/>
          </w:tcPr>
          <w:p>
            <w:pPr>
              <w:pStyle w:val="5"/>
              <w:adjustRightInd w:val="0"/>
              <w:snapToGrid w:val="0"/>
              <w:spacing w:line="240" w:lineRule="auto"/>
              <w:ind w:firstLine="0"/>
              <w:jc w:val="center"/>
              <w:rPr>
                <w:sz w:val="21"/>
                <w:szCs w:val="21"/>
              </w:rPr>
            </w:pPr>
            <w:r>
              <w:rPr>
                <w:sz w:val="21"/>
                <w:szCs w:val="21"/>
              </w:rPr>
              <w:t>类别</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序号</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名称</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产生环节、装置</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废气</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合成反应废气</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反应釜</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压滤废气</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压滤机</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烘干粉尘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烘箱</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G1-4</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2838" w:type="dxa"/>
            <w:shd w:val="clear" w:color="auto" w:fill="auto"/>
            <w:vAlign w:val="center"/>
          </w:tcPr>
          <w:p>
            <w:pPr>
              <w:pStyle w:val="5"/>
              <w:adjustRightInd w:val="0"/>
              <w:snapToGrid w:val="0"/>
              <w:ind w:firstLine="0"/>
              <w:jc w:val="center"/>
              <w:rPr>
                <w:sz w:val="21"/>
                <w:szCs w:val="21"/>
              </w:rPr>
            </w:pPr>
            <w:r>
              <w:rPr>
                <w:rFonts w:hint="eastAsia"/>
                <w:sz w:val="21"/>
                <w:szCs w:val="21"/>
              </w:rPr>
              <w:t>X19车间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运输废气</w:t>
            </w:r>
          </w:p>
        </w:tc>
        <w:tc>
          <w:tcPr>
            <w:tcW w:w="2838" w:type="dxa"/>
            <w:shd w:val="clear" w:color="auto" w:fill="auto"/>
            <w:vAlign w:val="center"/>
          </w:tcPr>
          <w:p>
            <w:pPr>
              <w:pStyle w:val="5"/>
              <w:adjustRightInd w:val="0"/>
              <w:snapToGrid w:val="0"/>
              <w:ind w:firstLine="0"/>
              <w:jc w:val="center"/>
              <w:rPr>
                <w:sz w:val="21"/>
                <w:szCs w:val="21"/>
              </w:rPr>
            </w:pPr>
            <w:r>
              <w:rPr>
                <w:sz w:val="21"/>
                <w:szCs w:val="21"/>
              </w:rPr>
              <w:t>物料运输</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污水处理废气</w:t>
            </w:r>
          </w:p>
        </w:tc>
        <w:tc>
          <w:tcPr>
            <w:tcW w:w="2838" w:type="dxa"/>
            <w:shd w:val="clear" w:color="auto" w:fill="auto"/>
            <w:vAlign w:val="center"/>
          </w:tcPr>
          <w:p>
            <w:pPr>
              <w:pStyle w:val="5"/>
              <w:adjustRightInd w:val="0"/>
              <w:snapToGrid w:val="0"/>
              <w:ind w:firstLine="0"/>
              <w:jc w:val="center"/>
              <w:rPr>
                <w:sz w:val="21"/>
                <w:szCs w:val="21"/>
              </w:rPr>
            </w:pPr>
            <w:r>
              <w:rPr>
                <w:rFonts w:hint="eastAsia"/>
                <w:sz w:val="21"/>
                <w:szCs w:val="21"/>
              </w:rPr>
              <w:t>母液罐</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废水</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生产废水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压滤洗涤</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地面清洗</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喷淋废水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纯水站浓水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生活污水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员工生活</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初期雨水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装置区</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 xml:space="preserve">SS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N</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设备噪声</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生产设备</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固废</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收集粉尘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布袋除尘器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c>
          <w:tcPr>
            <w:tcW w:w="283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精密过滤器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c>
          <w:tcPr>
            <w:tcW w:w="283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车间沉降粉尘</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SS、钴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机械维修</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r>
    </w:tbl>
    <w:p>
      <w:pPr>
        <w:pStyle w:val="5"/>
        <w:ind w:firstLine="0"/>
        <w:outlineLvl w:val="3"/>
        <w:rPr>
          <w:b/>
        </w:rPr>
      </w:pPr>
      <w:r>
        <w:rPr>
          <w:b/>
        </w:rPr>
        <w:t>2.3.3.5非正常工况排放</w:t>
      </w:r>
    </w:p>
    <w:p>
      <w:pPr>
        <w:pStyle w:val="5"/>
        <w:spacing w:line="500" w:lineRule="exact"/>
        <w:ind w:firstLine="490" w:firstLineChars="200"/>
      </w:pPr>
      <w:r>
        <w:t>非正常工况包括生产设施非正常工况或污染防治（控制）设施非正常状况，其中生产设施非正常工况指开停炉（机）、设备检修、工艺设备运转异常，污染防治（控制）设施非正常状况指达不到应有治理效率或同步运转率等情况。本次评价主要考虑开停炉（机）及环保设施治理效率下降的污染物排放。</w:t>
      </w:r>
    </w:p>
    <w:p>
      <w:pPr>
        <w:pStyle w:val="5"/>
        <w:spacing w:line="500" w:lineRule="exact"/>
        <w:ind w:firstLine="490" w:firstLineChars="200"/>
      </w:pPr>
      <w:r>
        <w:rPr>
          <w:szCs w:val="24"/>
        </w:rPr>
        <w:t>拟建项目装置区一般每年检修1次，</w:t>
      </w:r>
      <w:r>
        <w:t>检修完毕后重新开机。</w:t>
      </w:r>
    </w:p>
    <w:p>
      <w:pPr>
        <w:pStyle w:val="5"/>
        <w:spacing w:line="500" w:lineRule="exact"/>
        <w:ind w:firstLine="490" w:firstLineChars="200"/>
      </w:pPr>
      <w:r>
        <w:t>1、开车时</w:t>
      </w:r>
    </w:p>
    <w:p>
      <w:pPr>
        <w:pStyle w:val="5"/>
        <w:spacing w:line="500" w:lineRule="exact"/>
        <w:ind w:firstLine="490" w:firstLineChars="200"/>
      </w:pPr>
      <w:r>
        <w:t>开车时，先启用废气、废水环保设施，再想反应釜中投加物料。开车时不会出现废水、废气、废液直排现象。</w:t>
      </w:r>
    </w:p>
    <w:p>
      <w:pPr>
        <w:pStyle w:val="5"/>
        <w:spacing w:line="500" w:lineRule="exact"/>
        <w:ind w:firstLine="490" w:firstLineChars="200"/>
      </w:pPr>
      <w:r>
        <w:t>2、停机时</w:t>
      </w:r>
    </w:p>
    <w:p>
      <w:pPr>
        <w:pStyle w:val="5"/>
        <w:spacing w:line="500" w:lineRule="exact"/>
        <w:ind w:firstLine="490" w:firstLineChars="200"/>
      </w:pPr>
      <w:r>
        <w:t>停车时与开车时相反，主体装置停止进料，检测装置区采用清水清洗，装置停止运行。停车时，各污染治理设施晚于主体装置区停车，停车时不会出现废水、废气、废液直排现象。</w:t>
      </w:r>
    </w:p>
    <w:p>
      <w:pPr>
        <w:pStyle w:val="5"/>
        <w:spacing w:line="500" w:lineRule="exact"/>
        <w:ind w:firstLine="490" w:firstLineChars="200"/>
      </w:pPr>
      <w:r>
        <w:t>3、环保设施发生故障</w:t>
      </w:r>
    </w:p>
    <w:p>
      <w:pPr>
        <w:pStyle w:val="5"/>
        <w:spacing w:line="500" w:lineRule="exact"/>
        <w:ind w:firstLine="490" w:firstLineChars="200"/>
      </w:pPr>
      <w:r>
        <w:t>（1）废气</w:t>
      </w:r>
    </w:p>
    <w:p>
      <w:pPr>
        <w:pStyle w:val="5"/>
        <w:spacing w:line="500" w:lineRule="exact"/>
        <w:ind w:firstLine="490" w:firstLineChars="200"/>
      </w:pPr>
      <w:r>
        <w:t>当废气环保设施出现故障情况下的污染物排放源强，非正常工况废气污染物排放源强见表2-</w:t>
      </w:r>
      <w:r>
        <w:rPr>
          <w:rFonts w:hint="eastAsia"/>
        </w:rPr>
        <w:t>59</w:t>
      </w:r>
      <w:r>
        <w:t>。</w:t>
      </w:r>
    </w:p>
    <w:p>
      <w:pPr>
        <w:pStyle w:val="5"/>
        <w:keepNext/>
        <w:numPr>
          <w:ilvl w:val="0"/>
          <w:numId w:val="12"/>
        </w:numPr>
        <w:spacing w:line="480" w:lineRule="exact"/>
        <w:jc w:val="center"/>
        <w:outlineLvl w:val="4"/>
        <w:rPr>
          <w:b/>
        </w:rPr>
      </w:pPr>
      <w:r>
        <w:rPr>
          <w:b/>
        </w:rPr>
        <w:t>非正常工况废气污染物排放源强表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1243"/>
        <w:gridCol w:w="1401"/>
        <w:gridCol w:w="1553"/>
        <w:gridCol w:w="1189"/>
        <w:gridCol w:w="1109"/>
        <w:gridCol w:w="862"/>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90" w:type="dxa"/>
            <w:vAlign w:val="center"/>
          </w:tcPr>
          <w:p>
            <w:pPr>
              <w:pStyle w:val="1737"/>
              <w:adjustRightInd w:val="0"/>
              <w:snapToGrid w:val="0"/>
              <w:spacing w:line="240" w:lineRule="auto"/>
              <w:ind w:firstLine="0" w:firstLineChars="0"/>
              <w:jc w:val="center"/>
              <w:rPr>
                <w:sz w:val="21"/>
                <w:szCs w:val="21"/>
              </w:rPr>
            </w:pPr>
            <w:r>
              <w:rPr>
                <w:sz w:val="21"/>
                <w:szCs w:val="21"/>
              </w:rPr>
              <w:t>排气筒编号</w:t>
            </w:r>
          </w:p>
        </w:tc>
        <w:tc>
          <w:tcPr>
            <w:tcW w:w="1243" w:type="dxa"/>
            <w:vAlign w:val="center"/>
          </w:tcPr>
          <w:p>
            <w:pPr>
              <w:pStyle w:val="1737"/>
              <w:adjustRightInd w:val="0"/>
              <w:snapToGrid w:val="0"/>
              <w:spacing w:line="240" w:lineRule="auto"/>
              <w:ind w:firstLine="0" w:firstLineChars="0"/>
              <w:jc w:val="center"/>
              <w:rPr>
                <w:sz w:val="21"/>
                <w:szCs w:val="21"/>
              </w:rPr>
            </w:pPr>
            <w:r>
              <w:rPr>
                <w:sz w:val="21"/>
                <w:szCs w:val="21"/>
              </w:rPr>
              <w:t>污染源</w:t>
            </w:r>
          </w:p>
        </w:tc>
        <w:tc>
          <w:tcPr>
            <w:tcW w:w="1401" w:type="dxa"/>
            <w:vAlign w:val="center"/>
          </w:tcPr>
          <w:p>
            <w:pPr>
              <w:pStyle w:val="1737"/>
              <w:adjustRightInd w:val="0"/>
              <w:snapToGrid w:val="0"/>
              <w:spacing w:line="240" w:lineRule="auto"/>
              <w:ind w:firstLine="0" w:firstLineChars="0"/>
              <w:jc w:val="center"/>
              <w:rPr>
                <w:sz w:val="21"/>
                <w:szCs w:val="21"/>
              </w:rPr>
            </w:pPr>
            <w:r>
              <w:rPr>
                <w:sz w:val="21"/>
                <w:szCs w:val="21"/>
              </w:rPr>
              <w:t>非正常排放原因</w:t>
            </w:r>
          </w:p>
        </w:tc>
        <w:tc>
          <w:tcPr>
            <w:tcW w:w="1553" w:type="dxa"/>
            <w:vAlign w:val="center"/>
          </w:tcPr>
          <w:p>
            <w:pPr>
              <w:pStyle w:val="1737"/>
              <w:adjustRightInd w:val="0"/>
              <w:snapToGrid w:val="0"/>
              <w:spacing w:line="240" w:lineRule="auto"/>
              <w:ind w:firstLine="0" w:firstLineChars="0"/>
              <w:jc w:val="center"/>
              <w:rPr>
                <w:sz w:val="21"/>
                <w:szCs w:val="21"/>
              </w:rPr>
            </w:pPr>
            <w:r>
              <w:rPr>
                <w:sz w:val="21"/>
                <w:szCs w:val="21"/>
              </w:rPr>
              <w:t>污染物</w:t>
            </w:r>
          </w:p>
        </w:tc>
        <w:tc>
          <w:tcPr>
            <w:tcW w:w="1189" w:type="dxa"/>
            <w:vAlign w:val="center"/>
          </w:tcPr>
          <w:p>
            <w:pPr>
              <w:pStyle w:val="1737"/>
              <w:adjustRightInd w:val="0"/>
              <w:snapToGrid w:val="0"/>
              <w:spacing w:line="240" w:lineRule="auto"/>
              <w:ind w:firstLine="0" w:firstLineChars="0"/>
              <w:jc w:val="center"/>
              <w:rPr>
                <w:sz w:val="21"/>
                <w:szCs w:val="21"/>
              </w:rPr>
            </w:pPr>
            <w:r>
              <w:rPr>
                <w:sz w:val="21"/>
                <w:szCs w:val="21"/>
              </w:rPr>
              <w:t>非正常排放浓度（mg/m</w:t>
            </w:r>
            <w:r>
              <w:rPr>
                <w:sz w:val="21"/>
                <w:szCs w:val="21"/>
                <w:vertAlign w:val="superscript"/>
              </w:rPr>
              <w:t>3</w:t>
            </w:r>
            <w:r>
              <w:rPr>
                <w:sz w:val="21"/>
                <w:szCs w:val="21"/>
              </w:rPr>
              <w:t>）</w:t>
            </w:r>
          </w:p>
        </w:tc>
        <w:tc>
          <w:tcPr>
            <w:tcW w:w="1109" w:type="dxa"/>
            <w:vAlign w:val="center"/>
          </w:tcPr>
          <w:p>
            <w:pPr>
              <w:pStyle w:val="1737"/>
              <w:adjustRightInd w:val="0"/>
              <w:snapToGrid w:val="0"/>
              <w:spacing w:line="240" w:lineRule="auto"/>
              <w:ind w:firstLine="0" w:firstLineChars="0"/>
              <w:jc w:val="center"/>
              <w:rPr>
                <w:sz w:val="21"/>
                <w:szCs w:val="21"/>
              </w:rPr>
            </w:pPr>
            <w:r>
              <w:rPr>
                <w:sz w:val="21"/>
                <w:szCs w:val="21"/>
              </w:rPr>
              <w:t>非正常排放速率kg/h</w:t>
            </w:r>
          </w:p>
        </w:tc>
        <w:tc>
          <w:tcPr>
            <w:tcW w:w="862" w:type="dxa"/>
            <w:vAlign w:val="center"/>
          </w:tcPr>
          <w:p>
            <w:pPr>
              <w:pStyle w:val="1737"/>
              <w:adjustRightInd w:val="0"/>
              <w:snapToGrid w:val="0"/>
              <w:spacing w:line="240" w:lineRule="auto"/>
              <w:ind w:firstLine="0" w:firstLineChars="0"/>
              <w:jc w:val="center"/>
              <w:rPr>
                <w:sz w:val="21"/>
                <w:szCs w:val="21"/>
              </w:rPr>
            </w:pPr>
            <w:r>
              <w:rPr>
                <w:sz w:val="21"/>
                <w:szCs w:val="21"/>
              </w:rPr>
              <w:t>单次持续时间/h</w:t>
            </w:r>
          </w:p>
        </w:tc>
        <w:tc>
          <w:tcPr>
            <w:tcW w:w="841" w:type="dxa"/>
            <w:vAlign w:val="center"/>
          </w:tcPr>
          <w:p>
            <w:pPr>
              <w:pStyle w:val="1737"/>
              <w:adjustRightInd w:val="0"/>
              <w:snapToGrid w:val="0"/>
              <w:spacing w:line="240" w:lineRule="auto"/>
              <w:ind w:firstLine="0" w:firstLineChars="0"/>
              <w:jc w:val="center"/>
              <w:rPr>
                <w:sz w:val="21"/>
                <w:szCs w:val="21"/>
              </w:rPr>
            </w:pPr>
            <w:r>
              <w:rPr>
                <w:sz w:val="21"/>
                <w:szCs w:val="21"/>
              </w:rP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90"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1243"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1401" w:type="dxa"/>
            <w:vAlign w:val="center"/>
          </w:tcPr>
          <w:p>
            <w:pPr>
              <w:pStyle w:val="1737"/>
              <w:adjustRightInd w:val="0"/>
              <w:snapToGrid w:val="0"/>
              <w:spacing w:line="240" w:lineRule="auto"/>
              <w:ind w:firstLine="0" w:firstLineChars="0"/>
              <w:jc w:val="center"/>
              <w:rPr>
                <w:sz w:val="21"/>
                <w:szCs w:val="21"/>
              </w:rPr>
            </w:pPr>
            <w:r>
              <w:rPr>
                <w:rFonts w:hint="eastAsia"/>
                <w:sz w:val="21"/>
                <w:szCs w:val="21"/>
              </w:rPr>
              <w:t>吸收塔</w:t>
            </w:r>
            <w:r>
              <w:rPr>
                <w:sz w:val="21"/>
                <w:szCs w:val="21"/>
              </w:rPr>
              <w:t>故障</w:t>
            </w:r>
          </w:p>
          <w:p>
            <w:pPr>
              <w:pStyle w:val="1737"/>
              <w:adjustRightInd w:val="0"/>
              <w:snapToGrid w:val="0"/>
              <w:spacing w:line="240" w:lineRule="auto"/>
              <w:ind w:firstLine="0" w:firstLineChars="0"/>
              <w:jc w:val="center"/>
              <w:rPr>
                <w:sz w:val="21"/>
                <w:szCs w:val="21"/>
              </w:rPr>
            </w:pPr>
            <w:r>
              <w:rPr>
                <w:sz w:val="21"/>
                <w:szCs w:val="21"/>
              </w:rPr>
              <w:t>效率降为</w:t>
            </w:r>
            <w:r>
              <w:rPr>
                <w:rFonts w:hint="eastAsia"/>
                <w:sz w:val="21"/>
                <w:szCs w:val="21"/>
              </w:rPr>
              <w:t>0</w:t>
            </w:r>
          </w:p>
        </w:tc>
        <w:tc>
          <w:tcPr>
            <w:tcW w:w="1553" w:type="dxa"/>
            <w:vAlign w:val="center"/>
          </w:tcPr>
          <w:p>
            <w:pPr>
              <w:pStyle w:val="470"/>
              <w:rPr>
                <w:rFonts w:ascii="Arial" w:hAnsi="Arial" w:cs="Arial"/>
                <w:sz w:val="21"/>
                <w:szCs w:val="21"/>
              </w:rPr>
            </w:pPr>
            <w:r>
              <w:rPr>
                <w:rFonts w:ascii="Arial" w:hAnsi="Arial" w:cs="Arial"/>
                <w:sz w:val="21"/>
                <w:szCs w:val="21"/>
              </w:rPr>
              <w:t>氨气</w:t>
            </w:r>
          </w:p>
        </w:tc>
        <w:tc>
          <w:tcPr>
            <w:tcW w:w="118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1109" w:type="dxa"/>
            <w:vAlign w:val="center"/>
          </w:tcPr>
          <w:p>
            <w:pPr>
              <w:pStyle w:val="5"/>
              <w:adjustRightInd w:val="0"/>
              <w:snapToGrid w:val="0"/>
              <w:spacing w:line="240" w:lineRule="auto"/>
              <w:ind w:firstLine="0"/>
              <w:jc w:val="center"/>
              <w:rPr>
                <w:sz w:val="21"/>
                <w:szCs w:val="21"/>
              </w:rPr>
            </w:pPr>
            <w:r>
              <w:rPr>
                <w:rFonts w:hint="eastAsia"/>
                <w:sz w:val="21"/>
                <w:szCs w:val="21"/>
              </w:rPr>
              <w:t>2.682</w:t>
            </w:r>
          </w:p>
        </w:tc>
        <w:tc>
          <w:tcPr>
            <w:tcW w:w="862" w:type="dxa"/>
            <w:vAlign w:val="center"/>
          </w:tcPr>
          <w:p>
            <w:pPr>
              <w:pStyle w:val="1737"/>
              <w:adjustRightInd w:val="0"/>
              <w:snapToGrid w:val="0"/>
              <w:spacing w:line="240" w:lineRule="auto"/>
              <w:ind w:firstLine="0" w:firstLineChars="0"/>
              <w:jc w:val="center"/>
              <w:rPr>
                <w:sz w:val="21"/>
                <w:szCs w:val="21"/>
              </w:rPr>
            </w:pPr>
            <w:r>
              <w:rPr>
                <w:sz w:val="21"/>
                <w:szCs w:val="21"/>
              </w:rPr>
              <w:t>1</w:t>
            </w:r>
          </w:p>
        </w:tc>
        <w:tc>
          <w:tcPr>
            <w:tcW w:w="841" w:type="dxa"/>
            <w:vAlign w:val="center"/>
          </w:tcPr>
          <w:p>
            <w:pPr>
              <w:pStyle w:val="1737"/>
              <w:adjustRightInd w:val="0"/>
              <w:snapToGrid w:val="0"/>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90" w:type="dxa"/>
            <w:vMerge w:val="restart"/>
            <w:vAlign w:val="center"/>
          </w:tcPr>
          <w:p>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DA146</w:t>
            </w:r>
          </w:p>
        </w:tc>
        <w:tc>
          <w:tcPr>
            <w:tcW w:w="1243" w:type="dxa"/>
            <w:vMerge w:val="restart"/>
            <w:vAlign w:val="center"/>
          </w:tcPr>
          <w:p>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烘干粉尘、破碎粉尘、包装粉尘</w:t>
            </w:r>
          </w:p>
        </w:tc>
        <w:tc>
          <w:tcPr>
            <w:tcW w:w="1401" w:type="dxa"/>
            <w:vMerge w:val="restart"/>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布袋除尘器</w:t>
            </w:r>
            <w:r>
              <w:rPr>
                <w:sz w:val="21"/>
                <w:szCs w:val="21"/>
                <w:u w:val="single"/>
              </w:rPr>
              <w:t>出现破损，除尘效率降为</w:t>
            </w:r>
            <w:r>
              <w:rPr>
                <w:rFonts w:hint="eastAsia"/>
                <w:sz w:val="21"/>
                <w:szCs w:val="21"/>
                <w:u w:val="single"/>
              </w:rPr>
              <w:t>90%；</w:t>
            </w:r>
            <w:r>
              <w:rPr>
                <w:sz w:val="21"/>
                <w:szCs w:val="21"/>
                <w:u w:val="single"/>
              </w:rPr>
              <w:t>吸收塔故障，效率降为</w:t>
            </w:r>
            <w:r>
              <w:rPr>
                <w:rFonts w:hint="eastAsia"/>
                <w:sz w:val="21"/>
                <w:szCs w:val="21"/>
                <w:u w:val="single"/>
              </w:rPr>
              <w:t>0</w:t>
            </w:r>
          </w:p>
        </w:tc>
        <w:tc>
          <w:tcPr>
            <w:tcW w:w="1553" w:type="dxa"/>
            <w:vAlign w:val="center"/>
          </w:tcPr>
          <w:p>
            <w:pPr>
              <w:pStyle w:val="470"/>
              <w:rPr>
                <w:rFonts w:ascii="Arial" w:hAnsi="Arial" w:cs="Arial"/>
                <w:sz w:val="21"/>
                <w:szCs w:val="21"/>
                <w:u w:val="single"/>
              </w:rPr>
            </w:pPr>
            <w:r>
              <w:rPr>
                <w:rFonts w:hint="eastAsia" w:ascii="Arial" w:hAnsi="Arial" w:cs="Arial"/>
                <w:sz w:val="21"/>
                <w:szCs w:val="21"/>
                <w:u w:val="single"/>
              </w:rPr>
              <w:t>颗粒物</w:t>
            </w:r>
          </w:p>
        </w:tc>
        <w:tc>
          <w:tcPr>
            <w:tcW w:w="1189"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45</w:t>
            </w:r>
          </w:p>
        </w:tc>
        <w:tc>
          <w:tcPr>
            <w:tcW w:w="110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2.0933</w:t>
            </w:r>
          </w:p>
        </w:tc>
        <w:tc>
          <w:tcPr>
            <w:tcW w:w="862"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841"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90" w:type="dxa"/>
            <w:vMerge w:val="continue"/>
            <w:vAlign w:val="center"/>
          </w:tcPr>
          <w:p>
            <w:pPr>
              <w:pStyle w:val="41"/>
              <w:adjustRightInd w:val="0"/>
              <w:snapToGrid w:val="0"/>
              <w:spacing w:after="0"/>
              <w:ind w:firstLine="0" w:firstLineChars="0"/>
              <w:jc w:val="center"/>
              <w:rPr>
                <w:rFonts w:ascii="Arial" w:hAnsi="Arial" w:cs="Arial"/>
                <w:sz w:val="21"/>
                <w:szCs w:val="21"/>
                <w:u w:val="single"/>
              </w:rPr>
            </w:pPr>
          </w:p>
        </w:tc>
        <w:tc>
          <w:tcPr>
            <w:tcW w:w="1243" w:type="dxa"/>
            <w:vMerge w:val="continue"/>
            <w:vAlign w:val="center"/>
          </w:tcPr>
          <w:p>
            <w:pPr>
              <w:adjustRightInd w:val="0"/>
              <w:snapToGrid w:val="0"/>
              <w:jc w:val="center"/>
              <w:rPr>
                <w:rFonts w:ascii="Arial" w:hAnsi="Arial" w:eastAsia="宋体" w:cs="Arial"/>
                <w:sz w:val="21"/>
                <w:szCs w:val="24"/>
                <w:u w:val="single"/>
              </w:rPr>
            </w:pPr>
          </w:p>
        </w:tc>
        <w:tc>
          <w:tcPr>
            <w:tcW w:w="1401" w:type="dxa"/>
            <w:vMerge w:val="continue"/>
            <w:vAlign w:val="center"/>
          </w:tcPr>
          <w:p>
            <w:pPr>
              <w:pStyle w:val="1737"/>
              <w:adjustRightInd w:val="0"/>
              <w:snapToGrid w:val="0"/>
              <w:spacing w:line="240" w:lineRule="auto"/>
              <w:ind w:firstLine="0" w:firstLineChars="0"/>
              <w:jc w:val="center"/>
              <w:rPr>
                <w:sz w:val="21"/>
                <w:szCs w:val="21"/>
                <w:u w:val="single"/>
              </w:rPr>
            </w:pPr>
          </w:p>
        </w:tc>
        <w:tc>
          <w:tcPr>
            <w:tcW w:w="1553" w:type="dxa"/>
            <w:vAlign w:val="center"/>
          </w:tcPr>
          <w:p>
            <w:pPr>
              <w:pStyle w:val="470"/>
              <w:rPr>
                <w:rFonts w:ascii="Arial" w:hAnsi="Arial" w:cs="Arial"/>
                <w:sz w:val="21"/>
                <w:szCs w:val="21"/>
                <w:u w:val="single"/>
              </w:rPr>
            </w:pPr>
            <w:r>
              <w:rPr>
                <w:rFonts w:hint="eastAsia" w:ascii="Arial" w:hAnsi="Arial" w:cs="Arial"/>
                <w:sz w:val="21"/>
                <w:szCs w:val="21"/>
                <w:u w:val="single"/>
              </w:rPr>
              <w:t>钴</w:t>
            </w:r>
          </w:p>
        </w:tc>
        <w:tc>
          <w:tcPr>
            <w:tcW w:w="1189"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28</w:t>
            </w:r>
          </w:p>
        </w:tc>
        <w:tc>
          <w:tcPr>
            <w:tcW w:w="110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1.2995</w:t>
            </w:r>
          </w:p>
        </w:tc>
        <w:tc>
          <w:tcPr>
            <w:tcW w:w="862" w:type="dxa"/>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841" w:type="dxa"/>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r>
    </w:tbl>
    <w:p>
      <w:pPr>
        <w:pStyle w:val="5"/>
        <w:spacing w:line="500" w:lineRule="exact"/>
        <w:ind w:firstLine="490" w:firstLineChars="200"/>
      </w:pPr>
      <w:r>
        <w:t>（2）废水</w:t>
      </w:r>
    </w:p>
    <w:p>
      <w:pPr>
        <w:pStyle w:val="5"/>
        <w:spacing w:line="500" w:lineRule="exact"/>
        <w:ind w:firstLine="490" w:firstLineChars="200"/>
      </w:pPr>
      <w:r>
        <w:t>当污水处理站设施出现故障情况下的污染物排放源强，非正常工况废水污染物排放源强见表2-</w:t>
      </w:r>
      <w:r>
        <w:rPr>
          <w:rFonts w:hint="eastAsia"/>
        </w:rPr>
        <w:t>60</w:t>
      </w:r>
      <w:r>
        <w:t>。</w:t>
      </w:r>
    </w:p>
    <w:p>
      <w:pPr>
        <w:pStyle w:val="5"/>
        <w:keepNext/>
        <w:numPr>
          <w:ilvl w:val="0"/>
          <w:numId w:val="12"/>
        </w:numPr>
        <w:spacing w:line="480" w:lineRule="exact"/>
        <w:jc w:val="center"/>
        <w:outlineLvl w:val="4"/>
        <w:rPr>
          <w:b/>
        </w:rPr>
      </w:pPr>
      <w:r>
        <w:rPr>
          <w:b/>
        </w:rPr>
        <w:t>非正常工况废水污染物排放源强表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702"/>
        <w:gridCol w:w="1521"/>
        <w:gridCol w:w="1544"/>
        <w:gridCol w:w="1293"/>
        <w:gridCol w:w="1003"/>
        <w:gridCol w:w="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2" w:type="dxa"/>
            <w:vAlign w:val="center"/>
          </w:tcPr>
          <w:p>
            <w:pPr>
              <w:pStyle w:val="1737"/>
              <w:adjustRightInd w:val="0"/>
              <w:snapToGrid w:val="0"/>
              <w:spacing w:line="240" w:lineRule="auto"/>
              <w:ind w:firstLine="0" w:firstLineChars="0"/>
              <w:jc w:val="center"/>
              <w:rPr>
                <w:sz w:val="21"/>
                <w:szCs w:val="21"/>
              </w:rPr>
            </w:pPr>
            <w:r>
              <w:rPr>
                <w:sz w:val="21"/>
                <w:szCs w:val="21"/>
              </w:rPr>
              <w:t>污染源</w:t>
            </w:r>
          </w:p>
        </w:tc>
        <w:tc>
          <w:tcPr>
            <w:tcW w:w="1702" w:type="dxa"/>
            <w:vAlign w:val="center"/>
          </w:tcPr>
          <w:p>
            <w:pPr>
              <w:pStyle w:val="1737"/>
              <w:adjustRightInd w:val="0"/>
              <w:snapToGrid w:val="0"/>
              <w:spacing w:line="240" w:lineRule="auto"/>
              <w:ind w:firstLine="0" w:firstLineChars="0"/>
              <w:jc w:val="center"/>
              <w:rPr>
                <w:sz w:val="21"/>
                <w:szCs w:val="21"/>
              </w:rPr>
            </w:pPr>
            <w:r>
              <w:rPr>
                <w:sz w:val="21"/>
                <w:szCs w:val="21"/>
              </w:rPr>
              <w:t>非正常排放原因</w:t>
            </w:r>
          </w:p>
        </w:tc>
        <w:tc>
          <w:tcPr>
            <w:tcW w:w="1521" w:type="dxa"/>
            <w:vAlign w:val="center"/>
          </w:tcPr>
          <w:p>
            <w:pPr>
              <w:pStyle w:val="1737"/>
              <w:adjustRightInd w:val="0"/>
              <w:snapToGrid w:val="0"/>
              <w:spacing w:line="240" w:lineRule="auto"/>
              <w:ind w:firstLine="0" w:firstLineChars="0"/>
              <w:jc w:val="center"/>
              <w:rPr>
                <w:sz w:val="21"/>
                <w:szCs w:val="21"/>
              </w:rPr>
            </w:pPr>
            <w:r>
              <w:rPr>
                <w:sz w:val="21"/>
                <w:szCs w:val="21"/>
              </w:rPr>
              <w:t>污染物</w:t>
            </w:r>
          </w:p>
        </w:tc>
        <w:tc>
          <w:tcPr>
            <w:tcW w:w="1544" w:type="dxa"/>
            <w:vAlign w:val="center"/>
          </w:tcPr>
          <w:p>
            <w:pPr>
              <w:pStyle w:val="1737"/>
              <w:adjustRightInd w:val="0"/>
              <w:snapToGrid w:val="0"/>
              <w:spacing w:line="240" w:lineRule="auto"/>
              <w:ind w:firstLine="0" w:firstLineChars="0"/>
              <w:jc w:val="center"/>
              <w:rPr>
                <w:sz w:val="21"/>
                <w:szCs w:val="21"/>
              </w:rPr>
            </w:pPr>
            <w:r>
              <w:rPr>
                <w:sz w:val="21"/>
                <w:szCs w:val="21"/>
              </w:rPr>
              <w:t>非正常排放浓度（mg/L）</w:t>
            </w:r>
          </w:p>
        </w:tc>
        <w:tc>
          <w:tcPr>
            <w:tcW w:w="1293" w:type="dxa"/>
            <w:vAlign w:val="center"/>
          </w:tcPr>
          <w:p>
            <w:pPr>
              <w:pStyle w:val="1737"/>
              <w:adjustRightInd w:val="0"/>
              <w:snapToGrid w:val="0"/>
              <w:spacing w:line="240" w:lineRule="auto"/>
              <w:ind w:firstLine="0" w:firstLineChars="0"/>
              <w:jc w:val="center"/>
              <w:rPr>
                <w:sz w:val="21"/>
                <w:szCs w:val="21"/>
              </w:rPr>
            </w:pPr>
            <w:r>
              <w:rPr>
                <w:sz w:val="21"/>
                <w:szCs w:val="21"/>
              </w:rPr>
              <w:t>非正常排放量（t/h）</w:t>
            </w:r>
          </w:p>
        </w:tc>
        <w:tc>
          <w:tcPr>
            <w:tcW w:w="1003" w:type="dxa"/>
            <w:vAlign w:val="center"/>
          </w:tcPr>
          <w:p>
            <w:pPr>
              <w:pStyle w:val="1737"/>
              <w:adjustRightInd w:val="0"/>
              <w:snapToGrid w:val="0"/>
              <w:spacing w:line="240" w:lineRule="auto"/>
              <w:ind w:firstLine="0" w:firstLineChars="0"/>
              <w:jc w:val="center"/>
              <w:rPr>
                <w:sz w:val="21"/>
                <w:szCs w:val="21"/>
              </w:rPr>
            </w:pPr>
            <w:r>
              <w:rPr>
                <w:sz w:val="21"/>
                <w:szCs w:val="21"/>
              </w:rPr>
              <w:t>单次持续时间/h</w:t>
            </w:r>
          </w:p>
        </w:tc>
        <w:tc>
          <w:tcPr>
            <w:tcW w:w="983" w:type="dxa"/>
            <w:vAlign w:val="center"/>
          </w:tcPr>
          <w:p>
            <w:pPr>
              <w:pStyle w:val="1737"/>
              <w:adjustRightInd w:val="0"/>
              <w:snapToGrid w:val="0"/>
              <w:spacing w:line="240" w:lineRule="auto"/>
              <w:ind w:firstLine="0" w:firstLineChars="0"/>
              <w:jc w:val="center"/>
              <w:rPr>
                <w:sz w:val="21"/>
                <w:szCs w:val="21"/>
              </w:rPr>
            </w:pPr>
            <w:r>
              <w:rPr>
                <w:sz w:val="21"/>
                <w:szCs w:val="21"/>
              </w:rP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2" w:type="dxa"/>
            <w:vMerge w:val="restart"/>
            <w:vAlign w:val="center"/>
          </w:tcPr>
          <w:p>
            <w:pPr>
              <w:pStyle w:val="1737"/>
              <w:adjustRightInd w:val="0"/>
              <w:snapToGrid w:val="0"/>
              <w:spacing w:line="240" w:lineRule="auto"/>
              <w:ind w:firstLine="0" w:firstLineChars="0"/>
              <w:jc w:val="center"/>
              <w:rPr>
                <w:sz w:val="21"/>
                <w:szCs w:val="21"/>
              </w:rPr>
            </w:pPr>
            <w:r>
              <w:rPr>
                <w:sz w:val="21"/>
                <w:szCs w:val="21"/>
              </w:rPr>
              <w:t>生产废水</w:t>
            </w:r>
          </w:p>
        </w:tc>
        <w:tc>
          <w:tcPr>
            <w:tcW w:w="1702" w:type="dxa"/>
            <w:vMerge w:val="restart"/>
            <w:vAlign w:val="center"/>
          </w:tcPr>
          <w:p>
            <w:pPr>
              <w:pStyle w:val="1737"/>
              <w:adjustRightInd w:val="0"/>
              <w:snapToGrid w:val="0"/>
              <w:spacing w:line="240" w:lineRule="auto"/>
              <w:ind w:firstLine="0" w:firstLineChars="0"/>
              <w:jc w:val="center"/>
              <w:rPr>
                <w:sz w:val="21"/>
                <w:szCs w:val="21"/>
              </w:rPr>
            </w:pPr>
            <w:r>
              <w:rPr>
                <w:sz w:val="21"/>
                <w:szCs w:val="21"/>
              </w:rPr>
              <w:t>污水处理站出现故障，MVR母液直接排放</w:t>
            </w:r>
          </w:p>
        </w:tc>
        <w:tc>
          <w:tcPr>
            <w:tcW w:w="152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15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332</w:t>
            </w:r>
          </w:p>
        </w:tc>
        <w:tc>
          <w:tcPr>
            <w:tcW w:w="1293"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6.67</w:t>
            </w:r>
          </w:p>
        </w:tc>
        <w:tc>
          <w:tcPr>
            <w:tcW w:w="1003" w:type="dxa"/>
            <w:vMerge w:val="restart"/>
            <w:vAlign w:val="center"/>
          </w:tcPr>
          <w:p>
            <w:pPr>
              <w:pStyle w:val="1737"/>
              <w:adjustRightInd w:val="0"/>
              <w:snapToGrid w:val="0"/>
              <w:spacing w:line="240" w:lineRule="auto"/>
              <w:ind w:firstLine="0" w:firstLineChars="0"/>
              <w:jc w:val="center"/>
              <w:rPr>
                <w:sz w:val="21"/>
                <w:szCs w:val="21"/>
              </w:rPr>
            </w:pPr>
            <w:r>
              <w:rPr>
                <w:sz w:val="21"/>
                <w:szCs w:val="21"/>
              </w:rPr>
              <w:t>2</w:t>
            </w:r>
          </w:p>
        </w:tc>
        <w:tc>
          <w:tcPr>
            <w:tcW w:w="983" w:type="dxa"/>
            <w:vMerge w:val="restart"/>
            <w:vAlign w:val="center"/>
          </w:tcPr>
          <w:p>
            <w:pPr>
              <w:pStyle w:val="1737"/>
              <w:adjustRightInd w:val="0"/>
              <w:snapToGrid w:val="0"/>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2" w:type="dxa"/>
            <w:vMerge w:val="continue"/>
            <w:vAlign w:val="center"/>
          </w:tcPr>
          <w:p>
            <w:pPr>
              <w:pStyle w:val="1737"/>
              <w:adjustRightInd w:val="0"/>
              <w:snapToGrid w:val="0"/>
              <w:spacing w:line="240" w:lineRule="auto"/>
              <w:ind w:firstLine="0" w:firstLineChars="0"/>
              <w:jc w:val="center"/>
              <w:rPr>
                <w:sz w:val="21"/>
                <w:szCs w:val="21"/>
              </w:rPr>
            </w:pPr>
          </w:p>
        </w:tc>
        <w:tc>
          <w:tcPr>
            <w:tcW w:w="1702" w:type="dxa"/>
            <w:vMerge w:val="continue"/>
            <w:vAlign w:val="center"/>
          </w:tcPr>
          <w:p>
            <w:pPr>
              <w:pStyle w:val="1737"/>
              <w:adjustRightInd w:val="0"/>
              <w:snapToGrid w:val="0"/>
              <w:spacing w:line="240" w:lineRule="auto"/>
              <w:ind w:firstLine="0" w:firstLineChars="0"/>
              <w:jc w:val="center"/>
              <w:rPr>
                <w:sz w:val="21"/>
                <w:szCs w:val="21"/>
              </w:rPr>
            </w:pPr>
          </w:p>
        </w:tc>
        <w:tc>
          <w:tcPr>
            <w:tcW w:w="152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1544" w:type="dxa"/>
            <w:vAlign w:val="center"/>
          </w:tcPr>
          <w:p>
            <w:pPr>
              <w:adjustRightInd w:val="0"/>
              <w:snapToGrid w:val="0"/>
              <w:jc w:val="center"/>
              <w:rPr>
                <w:rFonts w:ascii="Arial" w:hAnsi="Arial" w:eastAsia="宋体" w:cs="Arial"/>
                <w:kern w:val="0"/>
                <w:sz w:val="21"/>
              </w:rPr>
            </w:pPr>
            <w:r>
              <w:rPr>
                <w:rFonts w:ascii="Arial" w:hAnsi="Arial" w:eastAsia="宋体" w:cs="Arial"/>
                <w:kern w:val="0"/>
                <w:sz w:val="21"/>
              </w:rPr>
              <w:t>52</w:t>
            </w:r>
          </w:p>
        </w:tc>
        <w:tc>
          <w:tcPr>
            <w:tcW w:w="1293" w:type="dxa"/>
            <w:vMerge w:val="continue"/>
            <w:vAlign w:val="center"/>
          </w:tcPr>
          <w:p>
            <w:pPr>
              <w:adjustRightInd w:val="0"/>
              <w:snapToGrid w:val="0"/>
              <w:jc w:val="center"/>
              <w:rPr>
                <w:rFonts w:ascii="Arial" w:hAnsi="Arial" w:eastAsia="宋体" w:cs="Arial"/>
                <w:sz w:val="21"/>
                <w:szCs w:val="21"/>
              </w:rPr>
            </w:pPr>
          </w:p>
        </w:tc>
        <w:tc>
          <w:tcPr>
            <w:tcW w:w="1003" w:type="dxa"/>
            <w:vMerge w:val="continue"/>
            <w:vAlign w:val="center"/>
          </w:tcPr>
          <w:p>
            <w:pPr>
              <w:pStyle w:val="1737"/>
              <w:adjustRightInd w:val="0"/>
              <w:snapToGrid w:val="0"/>
              <w:spacing w:line="240" w:lineRule="auto"/>
              <w:ind w:firstLine="0" w:firstLineChars="0"/>
              <w:jc w:val="center"/>
              <w:rPr>
                <w:sz w:val="21"/>
                <w:szCs w:val="21"/>
              </w:rPr>
            </w:pPr>
          </w:p>
        </w:tc>
        <w:tc>
          <w:tcPr>
            <w:tcW w:w="983" w:type="dxa"/>
            <w:vMerge w:val="continue"/>
            <w:vAlign w:val="center"/>
          </w:tcPr>
          <w:p>
            <w:pPr>
              <w:pStyle w:val="1737"/>
              <w:adjustRightInd w:val="0"/>
              <w:snapToGrid w:val="0"/>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2" w:type="dxa"/>
            <w:vMerge w:val="continue"/>
            <w:vAlign w:val="center"/>
          </w:tcPr>
          <w:p>
            <w:pPr>
              <w:pStyle w:val="1737"/>
              <w:adjustRightInd w:val="0"/>
              <w:snapToGrid w:val="0"/>
              <w:spacing w:line="240" w:lineRule="auto"/>
              <w:ind w:firstLine="0" w:firstLineChars="0"/>
              <w:jc w:val="center"/>
              <w:rPr>
                <w:sz w:val="21"/>
                <w:szCs w:val="21"/>
              </w:rPr>
            </w:pPr>
          </w:p>
        </w:tc>
        <w:tc>
          <w:tcPr>
            <w:tcW w:w="1702" w:type="dxa"/>
            <w:vMerge w:val="continue"/>
            <w:vAlign w:val="center"/>
          </w:tcPr>
          <w:p>
            <w:pPr>
              <w:pStyle w:val="1737"/>
              <w:adjustRightInd w:val="0"/>
              <w:snapToGrid w:val="0"/>
              <w:spacing w:line="240" w:lineRule="auto"/>
              <w:ind w:firstLine="0" w:firstLineChars="0"/>
              <w:jc w:val="center"/>
              <w:rPr>
                <w:sz w:val="21"/>
                <w:szCs w:val="21"/>
              </w:rPr>
            </w:pPr>
          </w:p>
        </w:tc>
        <w:tc>
          <w:tcPr>
            <w:tcW w:w="152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1544" w:type="dxa"/>
            <w:vAlign w:val="center"/>
          </w:tcPr>
          <w:p>
            <w:pPr>
              <w:pStyle w:val="5"/>
              <w:adjustRightInd w:val="0"/>
              <w:snapToGrid w:val="0"/>
              <w:spacing w:line="240" w:lineRule="auto"/>
              <w:ind w:firstLine="0"/>
              <w:jc w:val="center"/>
              <w:rPr>
                <w:sz w:val="21"/>
                <w:szCs w:val="21"/>
              </w:rPr>
            </w:pPr>
            <w:r>
              <w:rPr>
                <w:rFonts w:hint="eastAsia"/>
                <w:sz w:val="21"/>
                <w:szCs w:val="21"/>
              </w:rPr>
              <w:t>18360</w:t>
            </w:r>
          </w:p>
        </w:tc>
        <w:tc>
          <w:tcPr>
            <w:tcW w:w="1293" w:type="dxa"/>
            <w:vMerge w:val="continue"/>
            <w:vAlign w:val="center"/>
          </w:tcPr>
          <w:p>
            <w:pPr>
              <w:pStyle w:val="5"/>
              <w:adjustRightInd w:val="0"/>
              <w:snapToGrid w:val="0"/>
              <w:spacing w:line="240" w:lineRule="auto"/>
              <w:ind w:firstLine="0"/>
              <w:jc w:val="center"/>
              <w:rPr>
                <w:sz w:val="21"/>
                <w:szCs w:val="21"/>
              </w:rPr>
            </w:pPr>
          </w:p>
        </w:tc>
        <w:tc>
          <w:tcPr>
            <w:tcW w:w="1003" w:type="dxa"/>
            <w:vMerge w:val="continue"/>
            <w:vAlign w:val="center"/>
          </w:tcPr>
          <w:p>
            <w:pPr>
              <w:pStyle w:val="1737"/>
              <w:adjustRightInd w:val="0"/>
              <w:snapToGrid w:val="0"/>
              <w:spacing w:line="240" w:lineRule="auto"/>
              <w:ind w:firstLine="0" w:firstLineChars="0"/>
              <w:jc w:val="center"/>
              <w:rPr>
                <w:sz w:val="21"/>
                <w:szCs w:val="21"/>
              </w:rPr>
            </w:pPr>
          </w:p>
        </w:tc>
        <w:tc>
          <w:tcPr>
            <w:tcW w:w="983" w:type="dxa"/>
            <w:vMerge w:val="continue"/>
            <w:vAlign w:val="center"/>
          </w:tcPr>
          <w:p>
            <w:pPr>
              <w:pStyle w:val="1737"/>
              <w:adjustRightInd w:val="0"/>
              <w:snapToGrid w:val="0"/>
              <w:spacing w:line="240" w:lineRule="auto"/>
              <w:ind w:firstLine="0" w:firstLineChars="0"/>
              <w:jc w:val="center"/>
              <w:rPr>
                <w:sz w:val="21"/>
                <w:szCs w:val="21"/>
              </w:rPr>
            </w:pPr>
          </w:p>
        </w:tc>
      </w:tr>
    </w:tbl>
    <w:p>
      <w:pPr>
        <w:pStyle w:val="4"/>
        <w:numPr>
          <w:ilvl w:val="1"/>
          <w:numId w:val="11"/>
        </w:numPr>
        <w:tabs>
          <w:tab w:val="left" w:pos="3217"/>
        </w:tabs>
        <w:spacing w:before="214" w:beforeLines="50" w:after="214" w:afterLines="50" w:line="500" w:lineRule="exact"/>
        <w:ind w:left="567"/>
        <w:rPr>
          <w:rFonts w:ascii="Arial" w:eastAsia="宋体" w:cs="Arial"/>
          <w:b/>
        </w:rPr>
      </w:pPr>
      <w:bookmarkStart w:id="264" w:name="_Toc104677268"/>
      <w:bookmarkStart w:id="265" w:name="_Toc185950218"/>
      <w:r>
        <w:rPr>
          <w:rFonts w:ascii="Arial" w:eastAsia="宋体" w:cs="Arial"/>
          <w:b/>
        </w:rPr>
        <w:t>变更工程污染因素及污染源强汇总</w:t>
      </w:r>
      <w:bookmarkEnd w:id="264"/>
      <w:bookmarkEnd w:id="265"/>
    </w:p>
    <w:p>
      <w:pPr>
        <w:pStyle w:val="6"/>
        <w:numPr>
          <w:ilvl w:val="2"/>
          <w:numId w:val="11"/>
        </w:numPr>
        <w:tabs>
          <w:tab w:val="left" w:pos="1080"/>
        </w:tabs>
        <w:spacing w:line="400" w:lineRule="exact"/>
        <w:rPr>
          <w:rFonts w:ascii="Arial" w:hAnsi="Arial" w:eastAsia="宋体" w:cs="Arial"/>
        </w:rPr>
      </w:pPr>
      <w:bookmarkStart w:id="266" w:name="_Toc104677269"/>
      <w:r>
        <w:rPr>
          <w:rFonts w:ascii="Arial" w:hAnsi="Arial" w:eastAsia="宋体" w:cs="Arial"/>
        </w:rPr>
        <w:t>污染因素汇总</w:t>
      </w:r>
      <w:bookmarkEnd w:id="266"/>
    </w:p>
    <w:p>
      <w:pPr>
        <w:pStyle w:val="5"/>
        <w:spacing w:line="500" w:lineRule="exact"/>
        <w:ind w:firstLine="490" w:firstLineChars="200"/>
      </w:pPr>
      <w:r>
        <w:t>变更工程污染因素汇总见表2-</w:t>
      </w:r>
      <w:r>
        <w:rPr>
          <w:rFonts w:hint="eastAsia"/>
        </w:rPr>
        <w:t>61</w:t>
      </w:r>
      <w:r>
        <w:t>。</w:t>
      </w:r>
    </w:p>
    <w:p>
      <w:pPr>
        <w:pStyle w:val="5"/>
        <w:keepNext/>
        <w:numPr>
          <w:ilvl w:val="0"/>
          <w:numId w:val="12"/>
        </w:numPr>
        <w:spacing w:line="480" w:lineRule="exact"/>
        <w:ind w:left="0" w:firstLine="0"/>
        <w:jc w:val="center"/>
        <w:outlineLvl w:val="4"/>
        <w:rPr>
          <w:b/>
        </w:rPr>
      </w:pPr>
      <w:r>
        <w:rPr>
          <w:b/>
        </w:rPr>
        <w:t>项目污染因素表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01"/>
        <w:gridCol w:w="1893"/>
        <w:gridCol w:w="2838"/>
        <w:gridCol w:w="3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shd w:val="clear" w:color="auto" w:fill="auto"/>
            <w:vAlign w:val="center"/>
          </w:tcPr>
          <w:p>
            <w:pPr>
              <w:pStyle w:val="5"/>
              <w:adjustRightInd w:val="0"/>
              <w:snapToGrid w:val="0"/>
              <w:spacing w:line="240" w:lineRule="auto"/>
              <w:ind w:firstLine="0"/>
              <w:jc w:val="center"/>
              <w:rPr>
                <w:sz w:val="21"/>
                <w:szCs w:val="21"/>
              </w:rPr>
            </w:pPr>
            <w:bookmarkStart w:id="267" w:name="_Toc104677270"/>
            <w:r>
              <w:rPr>
                <w:sz w:val="21"/>
                <w:szCs w:val="21"/>
              </w:rPr>
              <w:t>类别</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序号</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名称</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产生环节、装置</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废气</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合成反应废气</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反应釜</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压滤废气</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压滤机</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烘干粉尘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烘箱</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G1-4</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破碎间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包装间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颗粒物、钴及其化合物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2838" w:type="dxa"/>
            <w:shd w:val="clear" w:color="auto" w:fill="auto"/>
            <w:vAlign w:val="center"/>
          </w:tcPr>
          <w:p>
            <w:pPr>
              <w:pStyle w:val="5"/>
              <w:adjustRightInd w:val="0"/>
              <w:snapToGrid w:val="0"/>
              <w:ind w:firstLine="0"/>
              <w:jc w:val="center"/>
              <w:rPr>
                <w:sz w:val="21"/>
                <w:szCs w:val="21"/>
              </w:rPr>
            </w:pPr>
            <w:r>
              <w:rPr>
                <w:rFonts w:hint="eastAsia"/>
                <w:sz w:val="21"/>
                <w:szCs w:val="21"/>
              </w:rPr>
              <w:t>X19车间</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运输废气</w:t>
            </w:r>
          </w:p>
        </w:tc>
        <w:tc>
          <w:tcPr>
            <w:tcW w:w="2838" w:type="dxa"/>
            <w:shd w:val="clear" w:color="auto" w:fill="auto"/>
            <w:vAlign w:val="center"/>
          </w:tcPr>
          <w:p>
            <w:pPr>
              <w:pStyle w:val="5"/>
              <w:adjustRightInd w:val="0"/>
              <w:snapToGrid w:val="0"/>
              <w:ind w:firstLine="0"/>
              <w:jc w:val="center"/>
              <w:rPr>
                <w:sz w:val="21"/>
                <w:szCs w:val="21"/>
              </w:rPr>
            </w:pPr>
            <w:r>
              <w:rPr>
                <w:sz w:val="21"/>
                <w:szCs w:val="21"/>
              </w:rPr>
              <w:t>物料运输</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污水处理废气</w:t>
            </w:r>
          </w:p>
        </w:tc>
        <w:tc>
          <w:tcPr>
            <w:tcW w:w="2838" w:type="dxa"/>
            <w:shd w:val="clear" w:color="auto" w:fill="auto"/>
            <w:vAlign w:val="center"/>
          </w:tcPr>
          <w:p>
            <w:pPr>
              <w:pStyle w:val="5"/>
              <w:adjustRightInd w:val="0"/>
              <w:snapToGrid w:val="0"/>
              <w:ind w:firstLine="0"/>
              <w:jc w:val="center"/>
              <w:rPr>
                <w:sz w:val="21"/>
                <w:szCs w:val="21"/>
              </w:rPr>
            </w:pPr>
            <w:r>
              <w:rPr>
                <w:rFonts w:hint="eastAsia"/>
                <w:sz w:val="21"/>
                <w:szCs w:val="21"/>
              </w:rPr>
              <w:t>母液罐</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废水</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生产废水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压滤洗涤</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地面清洗</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喷淋废水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纯水站浓水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纯水站</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生活污水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员工生活</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初期雨水</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装置区</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 xml:space="preserve">SS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N</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设备噪声</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生产设备</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固废</w:t>
            </w: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S1-1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收集粉尘</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布袋除尘器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吸收塔</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c>
          <w:tcPr>
            <w:tcW w:w="283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精密过滤器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微孔过滤膜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c>
          <w:tcPr>
            <w:tcW w:w="283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滤渣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废包装袋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893"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车间沉降粉尘</w:t>
            </w:r>
          </w:p>
        </w:tc>
        <w:tc>
          <w:tcPr>
            <w:tcW w:w="2838" w:type="dxa"/>
            <w:shd w:val="clear" w:color="auto" w:fill="auto"/>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30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SS、钴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机械维修</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废润滑油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01" w:type="dxa"/>
            <w:shd w:val="clear" w:color="auto" w:fill="auto"/>
            <w:vAlign w:val="center"/>
          </w:tcPr>
          <w:p>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893"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c>
          <w:tcPr>
            <w:tcW w:w="2838" w:type="dxa"/>
            <w:shd w:val="clear" w:color="auto" w:fill="auto"/>
            <w:vAlign w:val="center"/>
          </w:tcPr>
          <w:p>
            <w:pPr>
              <w:pStyle w:val="5"/>
              <w:adjustRightInd w:val="0"/>
              <w:snapToGrid w:val="0"/>
              <w:spacing w:line="240" w:lineRule="auto"/>
              <w:ind w:firstLine="0"/>
              <w:jc w:val="center"/>
              <w:rPr>
                <w:sz w:val="21"/>
                <w:szCs w:val="21"/>
              </w:rPr>
            </w:pPr>
            <w:r>
              <w:rPr>
                <w:sz w:val="21"/>
                <w:szCs w:val="21"/>
              </w:rPr>
              <w:t>员工</w:t>
            </w:r>
          </w:p>
        </w:tc>
        <w:tc>
          <w:tcPr>
            <w:tcW w:w="3045"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r>
    </w:tbl>
    <w:p>
      <w:pPr>
        <w:pStyle w:val="6"/>
        <w:numPr>
          <w:ilvl w:val="2"/>
          <w:numId w:val="11"/>
        </w:numPr>
        <w:tabs>
          <w:tab w:val="left" w:pos="1080"/>
        </w:tabs>
        <w:spacing w:line="400" w:lineRule="exact"/>
        <w:rPr>
          <w:rFonts w:ascii="Arial" w:hAnsi="Arial" w:eastAsia="宋体" w:cs="Arial"/>
        </w:rPr>
      </w:pPr>
      <w:r>
        <w:rPr>
          <w:rFonts w:ascii="Arial" w:hAnsi="Arial" w:eastAsia="宋体" w:cs="Arial"/>
        </w:rPr>
        <w:t>大气污染源强汇总</w:t>
      </w:r>
      <w:bookmarkEnd w:id="267"/>
    </w:p>
    <w:p>
      <w:pPr>
        <w:pStyle w:val="5"/>
        <w:spacing w:line="500" w:lineRule="exact"/>
        <w:ind w:firstLine="0"/>
        <w:outlineLvl w:val="3"/>
        <w:rPr>
          <w:b/>
        </w:rPr>
      </w:pPr>
      <w:r>
        <w:rPr>
          <w:b/>
        </w:rPr>
        <w:t>2.</w:t>
      </w:r>
      <w:r>
        <w:rPr>
          <w:rFonts w:hint="eastAsia"/>
          <w:b/>
        </w:rPr>
        <w:t>5</w:t>
      </w:r>
      <w:r>
        <w:rPr>
          <w:b/>
        </w:rPr>
        <w:t>.2.1项目变更前大气污染源强汇总</w:t>
      </w:r>
    </w:p>
    <w:p>
      <w:pPr>
        <w:pStyle w:val="5"/>
        <w:spacing w:line="500" w:lineRule="exact"/>
        <w:ind w:firstLine="490" w:firstLineChars="200"/>
      </w:pPr>
      <w:r>
        <w:t>项目变更前废气</w:t>
      </w:r>
      <w:r>
        <w:rPr>
          <w:rFonts w:hint="eastAsia"/>
        </w:rPr>
        <w:t>排放情况</w:t>
      </w:r>
      <w:r>
        <w:t>见表2-</w:t>
      </w:r>
      <w:r>
        <w:rPr>
          <w:rFonts w:hint="eastAsia"/>
        </w:rPr>
        <w:t>62</w:t>
      </w:r>
      <w:r>
        <w:t>，汇总见表</w:t>
      </w:r>
      <w:r>
        <w:rPr>
          <w:rFonts w:hint="eastAsia"/>
        </w:rPr>
        <w:t>2-63</w:t>
      </w:r>
      <w:r>
        <w:t>。</w:t>
      </w:r>
    </w:p>
    <w:p>
      <w:pPr>
        <w:pStyle w:val="5"/>
        <w:keepNext/>
        <w:numPr>
          <w:ilvl w:val="0"/>
          <w:numId w:val="12"/>
        </w:numPr>
        <w:adjustRightInd w:val="0"/>
        <w:snapToGrid w:val="0"/>
        <w:spacing w:line="500" w:lineRule="exact"/>
        <w:ind w:left="0" w:firstLine="0"/>
        <w:jc w:val="center"/>
        <w:outlineLvl w:val="4"/>
        <w:rPr>
          <w:b/>
        </w:rPr>
      </w:pPr>
      <w:r>
        <w:rPr>
          <w:b/>
        </w:rPr>
        <w:t>项目变更前废气</w:t>
      </w:r>
      <w:r>
        <w:rPr>
          <w:rFonts w:hint="eastAsia"/>
          <w:b/>
        </w:rPr>
        <w:t>排放情况</w:t>
      </w:r>
      <w:r>
        <w:rPr>
          <w:b/>
        </w:rPr>
        <w:t>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870"/>
        <w:gridCol w:w="842"/>
        <w:gridCol w:w="1427"/>
        <w:gridCol w:w="780"/>
        <w:gridCol w:w="922"/>
        <w:gridCol w:w="935"/>
        <w:gridCol w:w="1150"/>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污染源</w:t>
            </w:r>
          </w:p>
        </w:tc>
        <w:tc>
          <w:tcPr>
            <w:tcW w:w="870"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842"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烟气量</w:t>
            </w:r>
          </w:p>
          <w:p>
            <w:pPr>
              <w:adjustRightInd w:val="0"/>
              <w:snapToGrid w:val="0"/>
              <w:jc w:val="center"/>
              <w:rPr>
                <w:rFonts w:ascii="Arial" w:hAnsi="Arial" w:eastAsia="宋体" w:cs="Arial"/>
                <w:sz w:val="21"/>
                <w:szCs w:val="24"/>
              </w:rPr>
            </w:pPr>
            <w:r>
              <w:rPr>
                <w:rFonts w:ascii="Arial" w:hAnsi="Arial" w:eastAsia="宋体" w:cs="Arial"/>
                <w:sz w:val="21"/>
                <w:szCs w:val="24"/>
              </w:rPr>
              <w:t>Nm</w:t>
            </w:r>
            <w:r>
              <w:rPr>
                <w:rFonts w:ascii="Arial" w:hAnsi="Arial" w:eastAsia="宋体" w:cs="Arial"/>
                <w:sz w:val="21"/>
                <w:szCs w:val="24"/>
                <w:vertAlign w:val="superscript"/>
              </w:rPr>
              <w:t>3</w:t>
            </w:r>
            <w:r>
              <w:rPr>
                <w:rFonts w:ascii="Arial" w:hAnsi="Arial" w:eastAsia="宋体" w:cs="Arial"/>
                <w:sz w:val="21"/>
                <w:szCs w:val="24"/>
              </w:rPr>
              <w:t>/h</w:t>
            </w:r>
          </w:p>
        </w:tc>
        <w:tc>
          <w:tcPr>
            <w:tcW w:w="1427"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2637" w:type="dxa"/>
            <w:gridSpan w:val="3"/>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c>
          <w:tcPr>
            <w:tcW w:w="1150"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治理措施</w:t>
            </w:r>
          </w:p>
        </w:tc>
        <w:tc>
          <w:tcPr>
            <w:tcW w:w="1297"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排气筒参数</w:t>
            </w:r>
          </w:p>
          <w:p>
            <w:pPr>
              <w:widowControl/>
              <w:adjustRightInd w:val="0"/>
              <w:snapToGrid w:val="0"/>
              <w:jc w:val="center"/>
              <w:rPr>
                <w:rFonts w:ascii="Arial" w:hAnsi="Arial" w:eastAsia="宋体" w:cs="Arial"/>
                <w:kern w:val="0"/>
                <w:sz w:val="21"/>
              </w:rPr>
            </w:pPr>
            <w:r>
              <w:rPr>
                <w:rFonts w:ascii="Arial" w:hAnsi="Arial" w:eastAsia="宋体" w:cs="Arial"/>
                <w:kern w:val="0"/>
                <w:sz w:val="21"/>
              </w:rPr>
              <w:t>高/内径/温度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continue"/>
            <w:vAlign w:val="center"/>
          </w:tcPr>
          <w:p>
            <w:pPr>
              <w:adjustRightInd w:val="0"/>
              <w:snapToGrid w:val="0"/>
              <w:jc w:val="center"/>
              <w:rPr>
                <w:rFonts w:ascii="Arial" w:hAnsi="Arial" w:eastAsia="宋体" w:cs="Arial"/>
                <w:sz w:val="21"/>
                <w:szCs w:val="24"/>
              </w:rPr>
            </w:pPr>
          </w:p>
        </w:tc>
        <w:tc>
          <w:tcPr>
            <w:tcW w:w="870" w:type="dxa"/>
            <w:vMerge w:val="continue"/>
            <w:vAlign w:val="center"/>
          </w:tcPr>
          <w:p>
            <w:pPr>
              <w:adjustRightInd w:val="0"/>
              <w:snapToGrid w:val="0"/>
              <w:jc w:val="center"/>
              <w:rPr>
                <w:rFonts w:ascii="Arial" w:hAnsi="Arial" w:eastAsia="宋体" w:cs="Arial"/>
                <w:sz w:val="21"/>
                <w:szCs w:val="24"/>
              </w:rPr>
            </w:pPr>
          </w:p>
        </w:tc>
        <w:tc>
          <w:tcPr>
            <w:tcW w:w="842" w:type="dxa"/>
            <w:vMerge w:val="continue"/>
            <w:vAlign w:val="center"/>
          </w:tcPr>
          <w:p>
            <w:pPr>
              <w:adjustRightInd w:val="0"/>
              <w:snapToGrid w:val="0"/>
              <w:jc w:val="center"/>
              <w:rPr>
                <w:rFonts w:ascii="Arial" w:hAnsi="Arial" w:eastAsia="宋体" w:cs="Arial"/>
                <w:sz w:val="21"/>
                <w:szCs w:val="24"/>
              </w:rPr>
            </w:pPr>
          </w:p>
        </w:tc>
        <w:tc>
          <w:tcPr>
            <w:tcW w:w="1427" w:type="dxa"/>
            <w:vMerge w:val="continue"/>
            <w:vAlign w:val="center"/>
          </w:tcPr>
          <w:p>
            <w:pPr>
              <w:adjustRightInd w:val="0"/>
              <w:snapToGrid w:val="0"/>
              <w:jc w:val="center"/>
              <w:rPr>
                <w:rFonts w:ascii="Arial" w:hAnsi="Arial" w:eastAsia="宋体" w:cs="Arial"/>
                <w:sz w:val="21"/>
                <w:szCs w:val="24"/>
              </w:rPr>
            </w:pPr>
          </w:p>
        </w:tc>
        <w:tc>
          <w:tcPr>
            <w:tcW w:w="780"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922"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935"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1150" w:type="dxa"/>
            <w:vMerge w:val="continue"/>
            <w:vAlign w:val="center"/>
          </w:tcPr>
          <w:p>
            <w:pPr>
              <w:widowControl/>
              <w:adjustRightInd w:val="0"/>
              <w:snapToGrid w:val="0"/>
              <w:jc w:val="center"/>
              <w:rPr>
                <w:rFonts w:ascii="Arial" w:hAnsi="Arial" w:eastAsia="宋体" w:cs="Arial"/>
                <w:kern w:val="0"/>
                <w:sz w:val="21"/>
              </w:rPr>
            </w:pPr>
          </w:p>
        </w:tc>
        <w:tc>
          <w:tcPr>
            <w:tcW w:w="1297" w:type="dxa"/>
            <w:vMerge w:val="continue"/>
            <w:vAlign w:val="center"/>
          </w:tcPr>
          <w:p>
            <w:pPr>
              <w:widowControl/>
              <w:adjustRightInd w:val="0"/>
              <w:snapToGrid w:val="0"/>
              <w:jc w:val="center"/>
              <w:rPr>
                <w:rFonts w:ascii="Arial" w:hAnsi="Arial" w:eastAsia="宋体" w:cs="Arial"/>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溶解废气</w:t>
            </w: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1-1#</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1427" w:type="dxa"/>
            <w:vAlign w:val="center"/>
          </w:tcPr>
          <w:p>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780"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4.2</w:t>
            </w:r>
          </w:p>
        </w:tc>
        <w:tc>
          <w:tcPr>
            <w:tcW w:w="922"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935"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continue"/>
            <w:vAlign w:val="center"/>
          </w:tcPr>
          <w:p>
            <w:pPr>
              <w:adjustRightInd w:val="0"/>
              <w:snapToGrid w:val="0"/>
              <w:jc w:val="center"/>
              <w:rPr>
                <w:rFonts w:ascii="Arial" w:hAnsi="Arial" w:eastAsia="宋体" w:cs="Arial"/>
                <w:sz w:val="21"/>
                <w:szCs w:val="24"/>
              </w:rPr>
            </w:pP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1-2#</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1427" w:type="dxa"/>
            <w:vAlign w:val="center"/>
          </w:tcPr>
          <w:p>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780"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4.2</w:t>
            </w:r>
          </w:p>
        </w:tc>
        <w:tc>
          <w:tcPr>
            <w:tcW w:w="922"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935"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continue"/>
            <w:vAlign w:val="center"/>
          </w:tcPr>
          <w:p>
            <w:pPr>
              <w:adjustRightInd w:val="0"/>
              <w:snapToGrid w:val="0"/>
              <w:jc w:val="center"/>
              <w:rPr>
                <w:rFonts w:ascii="Arial" w:hAnsi="Arial" w:eastAsia="宋体" w:cs="Arial"/>
                <w:sz w:val="21"/>
                <w:szCs w:val="24"/>
              </w:rPr>
            </w:pP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1-3#</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1427" w:type="dxa"/>
            <w:vAlign w:val="center"/>
          </w:tcPr>
          <w:p>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780"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4.2</w:t>
            </w:r>
          </w:p>
        </w:tc>
        <w:tc>
          <w:tcPr>
            <w:tcW w:w="922"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935"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continue"/>
            <w:vAlign w:val="center"/>
          </w:tcPr>
          <w:p>
            <w:pPr>
              <w:adjustRightInd w:val="0"/>
              <w:snapToGrid w:val="0"/>
              <w:jc w:val="center"/>
              <w:rPr>
                <w:rFonts w:ascii="Arial" w:hAnsi="Arial" w:eastAsia="宋体" w:cs="Arial"/>
                <w:sz w:val="21"/>
                <w:szCs w:val="24"/>
              </w:rPr>
            </w:pP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1-4#</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1427" w:type="dxa"/>
            <w:vAlign w:val="center"/>
          </w:tcPr>
          <w:p>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780"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4.2</w:t>
            </w:r>
          </w:p>
        </w:tc>
        <w:tc>
          <w:tcPr>
            <w:tcW w:w="922"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935" w:type="dxa"/>
            <w:vAlign w:val="center"/>
          </w:tcPr>
          <w:p>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净化废气</w:t>
            </w: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1-5#</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17500</w:t>
            </w:r>
          </w:p>
        </w:tc>
        <w:tc>
          <w:tcPr>
            <w:tcW w:w="142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780"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92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0.114</w:t>
            </w:r>
          </w:p>
        </w:tc>
        <w:tc>
          <w:tcPr>
            <w:tcW w:w="935"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0.902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0.7</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065" w:type="dxa"/>
            <w:vMerge w:val="continue"/>
            <w:vAlign w:val="center"/>
          </w:tcPr>
          <w:p>
            <w:pPr>
              <w:adjustRightInd w:val="0"/>
              <w:snapToGrid w:val="0"/>
              <w:jc w:val="center"/>
              <w:rPr>
                <w:rFonts w:ascii="Arial" w:hAnsi="Arial" w:eastAsia="宋体" w:cs="Arial"/>
                <w:sz w:val="21"/>
                <w:szCs w:val="24"/>
              </w:rPr>
            </w:pPr>
          </w:p>
        </w:tc>
        <w:tc>
          <w:tcPr>
            <w:tcW w:w="870"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1-6#</w:t>
            </w:r>
          </w:p>
        </w:tc>
        <w:tc>
          <w:tcPr>
            <w:tcW w:w="84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17500</w:t>
            </w:r>
          </w:p>
        </w:tc>
        <w:tc>
          <w:tcPr>
            <w:tcW w:w="142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780"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92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0.114</w:t>
            </w:r>
          </w:p>
        </w:tc>
        <w:tc>
          <w:tcPr>
            <w:tcW w:w="935"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0.902</w:t>
            </w:r>
          </w:p>
        </w:tc>
        <w:tc>
          <w:tcPr>
            <w:tcW w:w="1150"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1297" w:type="dxa"/>
            <w:vAlign w:val="center"/>
          </w:tcPr>
          <w:p>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0.7</w:t>
            </w:r>
            <w:r>
              <w:rPr>
                <w:rFonts w:ascii="Arial" w:hAnsi="Arial" w:eastAsia="宋体" w:cs="Arial"/>
                <w:spacing w:val="10"/>
                <w:sz w:val="21"/>
                <w:szCs w:val="21"/>
              </w:rPr>
              <w:t>/25</w:t>
            </w:r>
          </w:p>
        </w:tc>
      </w:tr>
    </w:tbl>
    <w:p>
      <w:pPr>
        <w:pStyle w:val="5"/>
        <w:keepNext/>
        <w:numPr>
          <w:ilvl w:val="0"/>
          <w:numId w:val="12"/>
        </w:numPr>
        <w:adjustRightInd w:val="0"/>
        <w:snapToGrid w:val="0"/>
        <w:spacing w:line="500" w:lineRule="exact"/>
        <w:ind w:left="0" w:firstLine="0"/>
        <w:jc w:val="center"/>
        <w:outlineLvl w:val="4"/>
        <w:rPr>
          <w:b/>
        </w:rPr>
      </w:pPr>
      <w:r>
        <w:rPr>
          <w:b/>
        </w:rPr>
        <w:t>项目变更前废气汇总表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4337"/>
        <w:gridCol w:w="3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3456"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1"/>
              </w:rPr>
              <w:t>硫酸雾</w:t>
            </w:r>
          </w:p>
        </w:tc>
        <w:tc>
          <w:tcPr>
            <w:tcW w:w="3456"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8.012</w:t>
            </w:r>
          </w:p>
        </w:tc>
      </w:tr>
    </w:tbl>
    <w:p>
      <w:pPr>
        <w:pStyle w:val="5"/>
        <w:spacing w:line="500" w:lineRule="exact"/>
        <w:ind w:firstLine="490" w:firstLineChars="200"/>
        <w:rPr>
          <w:highlight w:val="yellow"/>
        </w:rPr>
      </w:pPr>
    </w:p>
    <w:p>
      <w:pPr>
        <w:pStyle w:val="5"/>
        <w:spacing w:line="500" w:lineRule="exact"/>
        <w:ind w:firstLine="0"/>
        <w:outlineLvl w:val="3"/>
        <w:rPr>
          <w:b/>
          <w:highlight w:val="yellow"/>
        </w:rPr>
        <w:sectPr>
          <w:footerReference r:id="rId16" w:type="default"/>
          <w:pgSz w:w="11907" w:h="16840"/>
          <w:pgMar w:top="1678" w:right="1134" w:bottom="1899" w:left="1134" w:header="1134" w:footer="1134" w:gutter="567"/>
          <w:cols w:space="720" w:num="1"/>
          <w:docGrid w:type="linesAndChars" w:linePitch="428" w:charSpace="-3161"/>
        </w:sectPr>
      </w:pPr>
      <w:bookmarkStart w:id="268" w:name="_Toc104677271"/>
    </w:p>
    <w:p>
      <w:pPr>
        <w:pStyle w:val="5"/>
        <w:spacing w:line="500" w:lineRule="exact"/>
        <w:ind w:firstLine="0"/>
        <w:outlineLvl w:val="3"/>
        <w:rPr>
          <w:b/>
        </w:rPr>
      </w:pPr>
      <w:r>
        <w:rPr>
          <w:b/>
        </w:rPr>
        <w:t>2.</w:t>
      </w:r>
      <w:r>
        <w:rPr>
          <w:rFonts w:hint="eastAsia"/>
          <w:b/>
        </w:rPr>
        <w:t>5</w:t>
      </w:r>
      <w:r>
        <w:rPr>
          <w:b/>
        </w:rPr>
        <w:t>.2.2项目变更后大气污染源强汇总</w:t>
      </w:r>
    </w:p>
    <w:p>
      <w:pPr>
        <w:pStyle w:val="5"/>
        <w:keepNext/>
        <w:numPr>
          <w:ilvl w:val="0"/>
          <w:numId w:val="12"/>
        </w:numPr>
        <w:adjustRightInd w:val="0"/>
        <w:snapToGrid w:val="0"/>
        <w:spacing w:line="480" w:lineRule="exact"/>
        <w:ind w:left="0" w:firstLine="0"/>
        <w:jc w:val="center"/>
        <w:outlineLvl w:val="4"/>
        <w:rPr>
          <w:b/>
        </w:rPr>
      </w:pPr>
      <w:r>
        <w:rPr>
          <w:b/>
        </w:rPr>
        <w:t>项目变更后废气污染源强核算结果及相关参数一览表</w:t>
      </w:r>
    </w:p>
    <w:tbl>
      <w:tblPr>
        <w:tblStyle w:val="88"/>
        <w:tblW w:w="1439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2182"/>
        <w:gridCol w:w="849"/>
        <w:gridCol w:w="1275"/>
        <w:gridCol w:w="852"/>
        <w:gridCol w:w="849"/>
        <w:gridCol w:w="993"/>
        <w:gridCol w:w="1134"/>
        <w:gridCol w:w="708"/>
        <w:gridCol w:w="1273"/>
        <w:gridCol w:w="763"/>
        <w:gridCol w:w="890"/>
        <w:gridCol w:w="1106"/>
        <w:gridCol w:w="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工段</w:t>
            </w:r>
          </w:p>
        </w:tc>
        <w:tc>
          <w:tcPr>
            <w:tcW w:w="2182"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污染源</w:t>
            </w:r>
          </w:p>
        </w:tc>
        <w:tc>
          <w:tcPr>
            <w:tcW w:w="849"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w:t>
            </w:r>
          </w:p>
          <w:p>
            <w:pPr>
              <w:adjustRightInd w:val="0"/>
              <w:snapToGrid w:val="0"/>
              <w:jc w:val="center"/>
              <w:rPr>
                <w:rFonts w:ascii="Arial" w:hAnsi="Arial" w:eastAsia="宋体" w:cs="Arial"/>
                <w:sz w:val="21"/>
                <w:szCs w:val="21"/>
              </w:rPr>
            </w:pPr>
            <w:r>
              <w:rPr>
                <w:rFonts w:ascii="Arial" w:hAnsi="Arial" w:eastAsia="宋体" w:cs="Arial"/>
                <w:sz w:val="21"/>
                <w:szCs w:val="21"/>
              </w:rPr>
              <w:t>因子</w:t>
            </w:r>
          </w:p>
        </w:tc>
        <w:tc>
          <w:tcPr>
            <w:tcW w:w="3969" w:type="dxa"/>
            <w:gridSpan w:val="4"/>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污染产生情况</w:t>
            </w:r>
          </w:p>
        </w:tc>
        <w:tc>
          <w:tcPr>
            <w:tcW w:w="1842"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治理措施</w:t>
            </w:r>
          </w:p>
        </w:tc>
        <w:tc>
          <w:tcPr>
            <w:tcW w:w="4032" w:type="dxa"/>
            <w:gridSpan w:val="4"/>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污染排放情况</w:t>
            </w:r>
          </w:p>
        </w:tc>
        <w:tc>
          <w:tcPr>
            <w:tcW w:w="67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排放</w:t>
            </w:r>
          </w:p>
          <w:p>
            <w:pPr>
              <w:adjustRightInd w:val="0"/>
              <w:snapToGrid w:val="0"/>
              <w:jc w:val="center"/>
              <w:rPr>
                <w:rFonts w:ascii="Arial" w:hAnsi="Arial" w:eastAsia="宋体" w:cs="Arial"/>
                <w:sz w:val="21"/>
                <w:szCs w:val="21"/>
              </w:rPr>
            </w:pPr>
            <w:r>
              <w:rPr>
                <w:rFonts w:ascii="Arial" w:hAnsi="Arial" w:eastAsia="宋体" w:cs="Arial"/>
                <w:sz w:val="21"/>
                <w:szCs w:val="21"/>
              </w:rPr>
              <w:t>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Merge w:val="continue"/>
            <w:vAlign w:val="center"/>
          </w:tcPr>
          <w:p>
            <w:pPr>
              <w:adjustRightInd w:val="0"/>
              <w:snapToGrid w:val="0"/>
              <w:jc w:val="center"/>
              <w:rPr>
                <w:rFonts w:ascii="Arial" w:hAnsi="Arial" w:eastAsia="宋体" w:cs="Arial"/>
                <w:sz w:val="21"/>
                <w:szCs w:val="21"/>
              </w:rPr>
            </w:pPr>
          </w:p>
        </w:tc>
        <w:tc>
          <w:tcPr>
            <w:tcW w:w="2182" w:type="dxa"/>
            <w:vMerge w:val="continue"/>
            <w:vAlign w:val="center"/>
          </w:tcPr>
          <w:p>
            <w:pPr>
              <w:adjustRightInd w:val="0"/>
              <w:snapToGrid w:val="0"/>
              <w:jc w:val="center"/>
              <w:rPr>
                <w:rFonts w:ascii="Arial" w:hAnsi="Arial" w:eastAsia="宋体" w:cs="Arial"/>
                <w:sz w:val="21"/>
                <w:szCs w:val="21"/>
              </w:rPr>
            </w:pPr>
          </w:p>
        </w:tc>
        <w:tc>
          <w:tcPr>
            <w:tcW w:w="849" w:type="dxa"/>
            <w:vMerge w:val="continue"/>
            <w:vAlign w:val="center"/>
          </w:tcPr>
          <w:p>
            <w:pPr>
              <w:adjustRightInd w:val="0"/>
              <w:snapToGrid w:val="0"/>
              <w:jc w:val="center"/>
              <w:rPr>
                <w:rFonts w:ascii="Arial" w:hAnsi="Arial" w:eastAsia="宋体" w:cs="Arial"/>
                <w:sz w:val="21"/>
                <w:szCs w:val="21"/>
              </w:rPr>
            </w:pPr>
          </w:p>
        </w:tc>
        <w:tc>
          <w:tcPr>
            <w:tcW w:w="127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核算方法</w:t>
            </w:r>
          </w:p>
        </w:tc>
        <w:tc>
          <w:tcPr>
            <w:tcW w:w="85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产生气量</w:t>
            </w:r>
          </w:p>
          <w:p>
            <w:pPr>
              <w:adjustRightInd w:val="0"/>
              <w:snapToGrid w:val="0"/>
              <w:jc w:val="center"/>
              <w:rPr>
                <w:rFonts w:ascii="Arial" w:hAnsi="Arial" w:eastAsia="宋体" w:cs="Arial"/>
                <w:sz w:val="21"/>
                <w:szCs w:val="21"/>
              </w:rPr>
            </w:pPr>
            <w:r>
              <w:rPr>
                <w:rFonts w:ascii="Arial" w:hAnsi="Arial" w:eastAsia="宋体" w:cs="Arial"/>
                <w:sz w:val="21"/>
                <w:szCs w:val="21"/>
              </w:rPr>
              <w:t>Nm</w:t>
            </w:r>
            <w:r>
              <w:rPr>
                <w:rFonts w:ascii="Arial" w:hAnsi="Arial" w:eastAsia="宋体" w:cs="Arial"/>
                <w:sz w:val="21"/>
                <w:szCs w:val="21"/>
                <w:vertAlign w:val="superscript"/>
              </w:rPr>
              <w:t>3</w:t>
            </w:r>
            <w:r>
              <w:rPr>
                <w:rFonts w:ascii="Arial" w:hAnsi="Arial" w:eastAsia="宋体" w:cs="Arial"/>
                <w:sz w:val="21"/>
                <w:szCs w:val="21"/>
              </w:rPr>
              <w:t>/h</w:t>
            </w:r>
          </w:p>
        </w:tc>
        <w:tc>
          <w:tcPr>
            <w:tcW w:w="84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99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kg/h</w:t>
            </w:r>
          </w:p>
        </w:tc>
        <w:tc>
          <w:tcPr>
            <w:tcW w:w="113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工艺</w:t>
            </w:r>
          </w:p>
        </w:tc>
        <w:tc>
          <w:tcPr>
            <w:tcW w:w="70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效率</w:t>
            </w:r>
          </w:p>
        </w:tc>
        <w:tc>
          <w:tcPr>
            <w:tcW w:w="12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核算方法</w:t>
            </w:r>
          </w:p>
        </w:tc>
        <w:tc>
          <w:tcPr>
            <w:tcW w:w="76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排放气量</w:t>
            </w:r>
          </w:p>
          <w:p>
            <w:pPr>
              <w:adjustRightInd w:val="0"/>
              <w:snapToGrid w:val="0"/>
              <w:jc w:val="center"/>
              <w:rPr>
                <w:rFonts w:ascii="Arial" w:hAnsi="Arial" w:eastAsia="宋体" w:cs="Arial"/>
                <w:sz w:val="21"/>
                <w:szCs w:val="21"/>
              </w:rPr>
            </w:pPr>
            <w:r>
              <w:rPr>
                <w:rFonts w:ascii="Arial" w:hAnsi="Arial" w:eastAsia="宋体" w:cs="Arial"/>
                <w:sz w:val="21"/>
                <w:szCs w:val="21"/>
              </w:rPr>
              <w:t>m</w:t>
            </w:r>
            <w:r>
              <w:rPr>
                <w:rFonts w:ascii="Arial" w:hAnsi="Arial" w:eastAsia="宋体" w:cs="Arial"/>
                <w:sz w:val="21"/>
                <w:szCs w:val="21"/>
                <w:vertAlign w:val="superscript"/>
              </w:rPr>
              <w:t>3</w:t>
            </w:r>
            <w:r>
              <w:rPr>
                <w:rFonts w:ascii="Arial" w:hAnsi="Arial" w:eastAsia="宋体" w:cs="Arial"/>
                <w:sz w:val="21"/>
                <w:szCs w:val="21"/>
              </w:rPr>
              <w:t>/h</w:t>
            </w:r>
          </w:p>
        </w:tc>
        <w:tc>
          <w:tcPr>
            <w:tcW w:w="89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110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kg/h</w:t>
            </w:r>
          </w:p>
        </w:tc>
        <w:tc>
          <w:tcPr>
            <w:tcW w:w="671"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Align w:val="center"/>
          </w:tcPr>
          <w:p>
            <w:pPr>
              <w:pStyle w:val="5"/>
              <w:adjustRightInd w:val="0"/>
              <w:snapToGrid w:val="0"/>
              <w:spacing w:line="240" w:lineRule="auto"/>
              <w:ind w:firstLine="0"/>
              <w:jc w:val="center"/>
              <w:rPr>
                <w:sz w:val="21"/>
                <w:szCs w:val="21"/>
              </w:rPr>
            </w:pPr>
            <w:r>
              <w:rPr>
                <w:rFonts w:hint="eastAsia"/>
                <w:sz w:val="21"/>
                <w:szCs w:val="24"/>
              </w:rPr>
              <w:t>合成、</w:t>
            </w:r>
            <w:r>
              <w:rPr>
                <w:sz w:val="21"/>
                <w:szCs w:val="24"/>
              </w:rPr>
              <w:t>压滤</w:t>
            </w:r>
          </w:p>
        </w:tc>
        <w:tc>
          <w:tcPr>
            <w:tcW w:w="2182" w:type="dxa"/>
            <w:vAlign w:val="center"/>
          </w:tcPr>
          <w:p>
            <w:pPr>
              <w:pStyle w:val="5"/>
              <w:adjustRightInd w:val="0"/>
              <w:snapToGrid w:val="0"/>
              <w:spacing w:line="240" w:lineRule="auto"/>
              <w:ind w:firstLine="0"/>
              <w:jc w:val="center"/>
              <w:rPr>
                <w:sz w:val="21"/>
                <w:szCs w:val="21"/>
              </w:rPr>
            </w:pPr>
            <w:r>
              <w:rPr>
                <w:sz w:val="21"/>
                <w:szCs w:val="21"/>
              </w:rPr>
              <w:t>G1-</w:t>
            </w:r>
            <w:r>
              <w:rPr>
                <w:rFonts w:hint="eastAsia"/>
                <w:sz w:val="21"/>
                <w:szCs w:val="21"/>
              </w:rPr>
              <w:t>1合成反应</w:t>
            </w:r>
            <w:r>
              <w:rPr>
                <w:sz w:val="21"/>
                <w:szCs w:val="21"/>
              </w:rPr>
              <w:t>废气</w:t>
            </w:r>
          </w:p>
          <w:p>
            <w:pPr>
              <w:pStyle w:val="5"/>
              <w:adjustRightInd w:val="0"/>
              <w:snapToGrid w:val="0"/>
              <w:spacing w:line="240" w:lineRule="auto"/>
              <w:ind w:firstLine="0"/>
              <w:jc w:val="center"/>
              <w:rPr>
                <w:sz w:val="21"/>
                <w:szCs w:val="21"/>
              </w:rPr>
            </w:pPr>
            <w:r>
              <w:rPr>
                <w:rFonts w:hint="eastAsia"/>
                <w:sz w:val="21"/>
                <w:szCs w:val="21"/>
              </w:rPr>
              <w:t>G1-2压滤废气</w:t>
            </w:r>
          </w:p>
        </w:tc>
        <w:tc>
          <w:tcPr>
            <w:tcW w:w="849" w:type="dxa"/>
            <w:vAlign w:val="center"/>
          </w:tcPr>
          <w:p>
            <w:pPr>
              <w:pStyle w:val="470"/>
              <w:rPr>
                <w:rFonts w:ascii="Arial" w:hAnsi="Arial" w:cs="Arial"/>
                <w:sz w:val="21"/>
                <w:szCs w:val="21"/>
              </w:rPr>
            </w:pPr>
            <w:r>
              <w:rPr>
                <w:rFonts w:hint="eastAsia" w:ascii="Arial" w:hAnsi="Arial" w:cs="Arial"/>
                <w:sz w:val="21"/>
                <w:szCs w:val="21"/>
              </w:rPr>
              <w:t>氨气</w:t>
            </w:r>
          </w:p>
        </w:tc>
        <w:tc>
          <w:tcPr>
            <w:tcW w:w="127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85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993" w:type="dxa"/>
            <w:vAlign w:val="center"/>
          </w:tcPr>
          <w:p>
            <w:pPr>
              <w:adjustRightInd w:val="0"/>
              <w:snapToGrid w:val="0"/>
              <w:jc w:val="center"/>
              <w:rPr>
                <w:rFonts w:ascii="Arial" w:hAnsi="Arial" w:cs="Arial"/>
                <w:sz w:val="21"/>
                <w:szCs w:val="22"/>
              </w:rPr>
            </w:pPr>
            <w:r>
              <w:rPr>
                <w:rFonts w:hint="eastAsia" w:ascii="Arial" w:hAnsi="Arial" w:cs="Arial"/>
                <w:sz w:val="21"/>
                <w:szCs w:val="21"/>
              </w:rPr>
              <w:t>2.682</w:t>
            </w:r>
          </w:p>
        </w:tc>
        <w:tc>
          <w:tcPr>
            <w:tcW w:w="113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p>
        </w:tc>
        <w:tc>
          <w:tcPr>
            <w:tcW w:w="70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127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76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890"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1106" w:type="dxa"/>
            <w:vAlign w:val="center"/>
          </w:tcPr>
          <w:p>
            <w:pPr>
              <w:adjustRightInd w:val="0"/>
              <w:snapToGrid w:val="0"/>
              <w:jc w:val="center"/>
              <w:rPr>
                <w:rFonts w:ascii="Arial" w:hAnsi="Arial" w:cs="Arial"/>
                <w:sz w:val="21"/>
                <w:szCs w:val="22"/>
              </w:rPr>
            </w:pPr>
            <w:r>
              <w:rPr>
                <w:rFonts w:hint="eastAsia" w:ascii="Arial" w:hAnsi="Arial" w:cs="Arial"/>
                <w:sz w:val="21"/>
                <w:szCs w:val="21"/>
              </w:rPr>
              <w:t>0.2682</w:t>
            </w:r>
          </w:p>
        </w:tc>
        <w:tc>
          <w:tcPr>
            <w:tcW w:w="6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Merge w:val="restart"/>
            <w:vAlign w:val="center"/>
          </w:tcPr>
          <w:p>
            <w:pPr>
              <w:pStyle w:val="5"/>
              <w:adjustRightInd w:val="0"/>
              <w:snapToGrid w:val="0"/>
              <w:spacing w:line="240" w:lineRule="auto"/>
              <w:ind w:firstLine="0"/>
              <w:jc w:val="center"/>
              <w:rPr>
                <w:sz w:val="21"/>
                <w:szCs w:val="21"/>
              </w:rPr>
            </w:pPr>
            <w:r>
              <w:rPr>
                <w:rFonts w:hint="eastAsia"/>
                <w:sz w:val="21"/>
                <w:szCs w:val="21"/>
              </w:rPr>
              <w:t>烘干</w:t>
            </w:r>
            <w:r>
              <w:rPr>
                <w:sz w:val="21"/>
                <w:szCs w:val="21"/>
              </w:rPr>
              <w:t>、破碎、包装</w:t>
            </w:r>
          </w:p>
        </w:tc>
        <w:tc>
          <w:tcPr>
            <w:tcW w:w="2182" w:type="dxa"/>
            <w:vMerge w:val="restart"/>
            <w:vAlign w:val="center"/>
          </w:tcPr>
          <w:p>
            <w:pPr>
              <w:pStyle w:val="5"/>
              <w:adjustRightInd w:val="0"/>
              <w:snapToGrid w:val="0"/>
              <w:spacing w:line="240" w:lineRule="auto"/>
              <w:ind w:firstLine="0"/>
              <w:jc w:val="center"/>
              <w:rPr>
                <w:sz w:val="21"/>
                <w:szCs w:val="21"/>
              </w:rPr>
            </w:pPr>
            <w:r>
              <w:rPr>
                <w:sz w:val="21"/>
                <w:szCs w:val="21"/>
              </w:rPr>
              <w:t>G1-</w:t>
            </w:r>
            <w:r>
              <w:rPr>
                <w:rFonts w:hint="eastAsia"/>
                <w:sz w:val="21"/>
                <w:szCs w:val="21"/>
              </w:rPr>
              <w:t>3烘干粉尘</w:t>
            </w:r>
          </w:p>
          <w:p>
            <w:pPr>
              <w:pStyle w:val="5"/>
              <w:adjustRightInd w:val="0"/>
              <w:snapToGrid w:val="0"/>
              <w:spacing w:line="240" w:lineRule="auto"/>
              <w:ind w:firstLine="0"/>
              <w:jc w:val="center"/>
              <w:rPr>
                <w:sz w:val="21"/>
                <w:szCs w:val="21"/>
              </w:rPr>
            </w:pPr>
            <w:r>
              <w:rPr>
                <w:rFonts w:hint="eastAsia"/>
                <w:sz w:val="21"/>
                <w:szCs w:val="21"/>
              </w:rPr>
              <w:t>G1-4破碎粉尘</w:t>
            </w:r>
          </w:p>
          <w:p>
            <w:pPr>
              <w:pStyle w:val="5"/>
              <w:adjustRightInd w:val="0"/>
              <w:snapToGrid w:val="0"/>
              <w:spacing w:line="240" w:lineRule="auto"/>
              <w:ind w:firstLine="0"/>
              <w:jc w:val="center"/>
              <w:rPr>
                <w:sz w:val="21"/>
                <w:szCs w:val="21"/>
              </w:rPr>
            </w:pPr>
            <w:r>
              <w:rPr>
                <w:rFonts w:hint="eastAsia"/>
                <w:sz w:val="21"/>
                <w:szCs w:val="21"/>
              </w:rPr>
              <w:t>G1-5包装粉尘</w:t>
            </w:r>
          </w:p>
        </w:tc>
        <w:tc>
          <w:tcPr>
            <w:tcW w:w="849" w:type="dxa"/>
            <w:vAlign w:val="center"/>
          </w:tcPr>
          <w:p>
            <w:pPr>
              <w:pStyle w:val="470"/>
              <w:rPr>
                <w:rFonts w:ascii="Arial" w:hAnsi="Arial" w:cs="Arial"/>
                <w:sz w:val="21"/>
                <w:szCs w:val="21"/>
              </w:rPr>
            </w:pPr>
            <w:r>
              <w:rPr>
                <w:rFonts w:ascii="Arial" w:hAnsi="Arial" w:cs="Arial"/>
                <w:sz w:val="21"/>
                <w:szCs w:val="21"/>
              </w:rPr>
              <w:t>颗粒物</w:t>
            </w:r>
          </w:p>
        </w:tc>
        <w:tc>
          <w:tcPr>
            <w:tcW w:w="127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852" w:type="dxa"/>
            <w:vMerge w:val="restart"/>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47</w:t>
            </w:r>
          </w:p>
        </w:tc>
        <w:tc>
          <w:tcPr>
            <w:tcW w:w="993" w:type="dxa"/>
            <w:vAlign w:val="center"/>
          </w:tcPr>
          <w:p>
            <w:pPr>
              <w:adjustRightInd w:val="0"/>
              <w:snapToGrid w:val="0"/>
              <w:jc w:val="center"/>
              <w:rPr>
                <w:rFonts w:ascii="Arial" w:hAnsi="Arial" w:cs="Arial"/>
                <w:sz w:val="21"/>
                <w:szCs w:val="22"/>
              </w:rPr>
            </w:pPr>
            <w:r>
              <w:rPr>
                <w:rFonts w:hint="eastAsia" w:ascii="Arial" w:hAnsi="Arial" w:cs="Arial"/>
                <w:sz w:val="21"/>
                <w:szCs w:val="22"/>
              </w:rPr>
              <w:t>2.2152</w:t>
            </w:r>
          </w:p>
        </w:tc>
        <w:tc>
          <w:tcPr>
            <w:tcW w:w="1134"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布袋除尘器</w:t>
            </w:r>
            <w:r>
              <w:rPr>
                <w:rFonts w:hint="eastAsia" w:ascii="Arial" w:hAnsi="Arial" w:eastAsia="宋体" w:cs="Arial"/>
                <w:sz w:val="21"/>
                <w:szCs w:val="21"/>
              </w:rPr>
              <w:t>+</w:t>
            </w:r>
            <w:r>
              <w:rPr>
                <w:rFonts w:ascii="Arial" w:hAnsi="Arial" w:eastAsia="宋体" w:cs="Arial"/>
                <w:sz w:val="21"/>
                <w:szCs w:val="21"/>
              </w:rPr>
              <w:t>吸收塔</w:t>
            </w:r>
          </w:p>
        </w:tc>
        <w:tc>
          <w:tcPr>
            <w:tcW w:w="70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127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763" w:type="dxa"/>
            <w:vMerge w:val="restart"/>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890"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4.43</w:t>
            </w:r>
          </w:p>
        </w:tc>
        <w:tc>
          <w:tcPr>
            <w:tcW w:w="1106" w:type="dxa"/>
            <w:vAlign w:val="center"/>
          </w:tcPr>
          <w:p>
            <w:pPr>
              <w:adjustRightInd w:val="0"/>
              <w:snapToGrid w:val="0"/>
              <w:jc w:val="center"/>
              <w:rPr>
                <w:rFonts w:ascii="Arial" w:hAnsi="Arial" w:cs="Arial"/>
                <w:sz w:val="21"/>
                <w:szCs w:val="22"/>
              </w:rPr>
            </w:pPr>
            <w:r>
              <w:rPr>
                <w:rFonts w:hint="eastAsia" w:ascii="Arial" w:hAnsi="Arial" w:cs="Arial"/>
                <w:sz w:val="21"/>
                <w:szCs w:val="22"/>
              </w:rPr>
              <w:t>0.2081</w:t>
            </w:r>
          </w:p>
        </w:tc>
        <w:tc>
          <w:tcPr>
            <w:tcW w:w="671"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Merge w:val="continue"/>
            <w:vAlign w:val="center"/>
          </w:tcPr>
          <w:p>
            <w:pPr>
              <w:pStyle w:val="5"/>
              <w:adjustRightInd w:val="0"/>
              <w:snapToGrid w:val="0"/>
              <w:spacing w:line="240" w:lineRule="auto"/>
              <w:ind w:firstLine="0"/>
              <w:jc w:val="center"/>
              <w:rPr>
                <w:sz w:val="21"/>
                <w:szCs w:val="21"/>
              </w:rPr>
            </w:pPr>
          </w:p>
        </w:tc>
        <w:tc>
          <w:tcPr>
            <w:tcW w:w="2182" w:type="dxa"/>
            <w:vMerge w:val="continue"/>
            <w:vAlign w:val="center"/>
          </w:tcPr>
          <w:p>
            <w:pPr>
              <w:pStyle w:val="5"/>
              <w:adjustRightInd w:val="0"/>
              <w:snapToGrid w:val="0"/>
              <w:spacing w:line="240" w:lineRule="auto"/>
              <w:ind w:firstLine="0"/>
              <w:jc w:val="center"/>
              <w:rPr>
                <w:sz w:val="21"/>
                <w:szCs w:val="21"/>
              </w:rPr>
            </w:pPr>
          </w:p>
        </w:tc>
        <w:tc>
          <w:tcPr>
            <w:tcW w:w="849" w:type="dxa"/>
            <w:vAlign w:val="center"/>
          </w:tcPr>
          <w:p>
            <w:pPr>
              <w:pStyle w:val="470"/>
              <w:rPr>
                <w:rFonts w:ascii="Arial" w:hAnsi="Arial" w:cs="Arial"/>
                <w:sz w:val="21"/>
                <w:szCs w:val="21"/>
              </w:rPr>
            </w:pPr>
            <w:r>
              <w:rPr>
                <w:rFonts w:ascii="Arial" w:hAnsi="Arial" w:cs="Arial"/>
                <w:sz w:val="21"/>
                <w:szCs w:val="21"/>
              </w:rPr>
              <w:t>钴</w:t>
            </w:r>
          </w:p>
        </w:tc>
        <w:tc>
          <w:tcPr>
            <w:tcW w:w="127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852" w:type="dxa"/>
            <w:vMerge w:val="continue"/>
            <w:vAlign w:val="center"/>
          </w:tcPr>
          <w:p>
            <w:pPr>
              <w:adjustRightInd w:val="0"/>
              <w:snapToGrid w:val="0"/>
              <w:jc w:val="center"/>
              <w:rPr>
                <w:rFonts w:ascii="Arial" w:hAnsi="Arial" w:eastAsia="宋体" w:cs="Arial"/>
                <w:sz w:val="21"/>
                <w:szCs w:val="21"/>
              </w:rPr>
            </w:pP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29</w:t>
            </w:r>
          </w:p>
        </w:tc>
        <w:tc>
          <w:tcPr>
            <w:tcW w:w="993" w:type="dxa"/>
            <w:vAlign w:val="center"/>
          </w:tcPr>
          <w:p>
            <w:pPr>
              <w:adjustRightInd w:val="0"/>
              <w:snapToGrid w:val="0"/>
              <w:jc w:val="center"/>
              <w:rPr>
                <w:rFonts w:ascii="Arial" w:hAnsi="Arial" w:cs="Arial"/>
                <w:sz w:val="21"/>
                <w:szCs w:val="21"/>
              </w:rPr>
            </w:pPr>
            <w:r>
              <w:rPr>
                <w:rFonts w:hint="eastAsia" w:ascii="Arial" w:hAnsi="Arial" w:cs="Arial"/>
                <w:sz w:val="21"/>
                <w:szCs w:val="21"/>
              </w:rPr>
              <w:t>1.3847</w:t>
            </w:r>
          </w:p>
        </w:tc>
        <w:tc>
          <w:tcPr>
            <w:tcW w:w="1134" w:type="dxa"/>
            <w:vMerge w:val="continue"/>
            <w:vAlign w:val="center"/>
          </w:tcPr>
          <w:p>
            <w:pPr>
              <w:adjustRightInd w:val="0"/>
              <w:snapToGrid w:val="0"/>
              <w:jc w:val="center"/>
              <w:rPr>
                <w:rFonts w:ascii="Arial" w:hAnsi="Arial" w:eastAsia="宋体" w:cs="Arial"/>
                <w:sz w:val="21"/>
                <w:szCs w:val="21"/>
              </w:rPr>
            </w:pPr>
          </w:p>
        </w:tc>
        <w:tc>
          <w:tcPr>
            <w:tcW w:w="70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127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763" w:type="dxa"/>
            <w:vMerge w:val="continue"/>
            <w:vAlign w:val="center"/>
          </w:tcPr>
          <w:p>
            <w:pPr>
              <w:adjustRightInd w:val="0"/>
              <w:snapToGrid w:val="0"/>
              <w:jc w:val="center"/>
              <w:rPr>
                <w:rFonts w:ascii="Arial" w:hAnsi="Arial" w:eastAsia="宋体" w:cs="Arial"/>
                <w:sz w:val="21"/>
                <w:szCs w:val="21"/>
              </w:rPr>
            </w:pPr>
          </w:p>
        </w:tc>
        <w:tc>
          <w:tcPr>
            <w:tcW w:w="890"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2.77</w:t>
            </w:r>
          </w:p>
        </w:tc>
        <w:tc>
          <w:tcPr>
            <w:tcW w:w="1106" w:type="dxa"/>
            <w:vAlign w:val="center"/>
          </w:tcPr>
          <w:p>
            <w:pPr>
              <w:adjustRightInd w:val="0"/>
              <w:snapToGrid w:val="0"/>
              <w:jc w:val="center"/>
              <w:rPr>
                <w:rFonts w:ascii="Arial" w:hAnsi="Arial" w:cs="Arial"/>
                <w:sz w:val="21"/>
                <w:szCs w:val="21"/>
              </w:rPr>
            </w:pPr>
            <w:r>
              <w:rPr>
                <w:rFonts w:hint="eastAsia" w:ascii="Arial" w:hAnsi="Arial" w:cs="Arial"/>
                <w:sz w:val="21"/>
                <w:szCs w:val="21"/>
              </w:rPr>
              <w:t>0.1301</w:t>
            </w:r>
          </w:p>
        </w:tc>
        <w:tc>
          <w:tcPr>
            <w:tcW w:w="671" w:type="dxa"/>
            <w:vMerge w:val="continue"/>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50" w:type="dxa"/>
            <w:vAlign w:val="center"/>
          </w:tcPr>
          <w:p>
            <w:pPr>
              <w:pStyle w:val="5"/>
              <w:adjustRightInd w:val="0"/>
              <w:snapToGrid w:val="0"/>
              <w:spacing w:line="240" w:lineRule="auto"/>
              <w:ind w:firstLine="0"/>
              <w:jc w:val="center"/>
              <w:rPr>
                <w:sz w:val="21"/>
                <w:szCs w:val="21"/>
              </w:rPr>
            </w:pPr>
            <w:r>
              <w:rPr>
                <w:sz w:val="21"/>
                <w:szCs w:val="21"/>
              </w:rPr>
              <w:t>污水处理</w:t>
            </w:r>
          </w:p>
        </w:tc>
        <w:tc>
          <w:tcPr>
            <w:tcW w:w="2182" w:type="dxa"/>
            <w:vAlign w:val="center"/>
          </w:tcPr>
          <w:p>
            <w:pPr>
              <w:pStyle w:val="5"/>
              <w:adjustRightInd w:val="0"/>
              <w:snapToGrid w:val="0"/>
              <w:spacing w:line="240" w:lineRule="auto"/>
              <w:ind w:firstLine="0"/>
              <w:jc w:val="center"/>
              <w:rPr>
                <w:sz w:val="21"/>
                <w:szCs w:val="21"/>
              </w:rPr>
            </w:pPr>
            <w:r>
              <w:rPr>
                <w:sz w:val="21"/>
                <w:szCs w:val="21"/>
              </w:rPr>
              <w:t>G</w:t>
            </w:r>
            <w:r>
              <w:rPr>
                <w:rFonts w:hint="eastAsia"/>
                <w:sz w:val="21"/>
                <w:szCs w:val="21"/>
              </w:rPr>
              <w:t>3-1母液罐废气</w:t>
            </w:r>
          </w:p>
        </w:tc>
        <w:tc>
          <w:tcPr>
            <w:tcW w:w="849" w:type="dxa"/>
            <w:vAlign w:val="center"/>
          </w:tcPr>
          <w:p>
            <w:pPr>
              <w:pStyle w:val="470"/>
              <w:rPr>
                <w:rFonts w:ascii="Arial" w:hAnsi="Arial" w:cs="Arial"/>
                <w:sz w:val="21"/>
                <w:szCs w:val="21"/>
              </w:rPr>
            </w:pPr>
            <w:r>
              <w:rPr>
                <w:rFonts w:ascii="Arial" w:hAnsi="Arial" w:cs="Arial"/>
                <w:sz w:val="21"/>
                <w:szCs w:val="21"/>
              </w:rPr>
              <w:t>氨气</w:t>
            </w:r>
          </w:p>
        </w:tc>
        <w:tc>
          <w:tcPr>
            <w:tcW w:w="127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852"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3.58</w:t>
            </w:r>
          </w:p>
        </w:tc>
        <w:tc>
          <w:tcPr>
            <w:tcW w:w="993" w:type="dxa"/>
            <w:vAlign w:val="center"/>
          </w:tcPr>
          <w:p>
            <w:pPr>
              <w:pStyle w:val="5"/>
              <w:adjustRightInd w:val="0"/>
              <w:snapToGrid w:val="0"/>
              <w:spacing w:line="240" w:lineRule="auto"/>
              <w:ind w:firstLine="0"/>
              <w:jc w:val="center"/>
              <w:rPr>
                <w:sz w:val="21"/>
                <w:szCs w:val="21"/>
              </w:rPr>
            </w:pPr>
            <w:r>
              <w:rPr>
                <w:rFonts w:hint="eastAsia"/>
                <w:sz w:val="21"/>
                <w:szCs w:val="21"/>
              </w:rPr>
              <w:t>0.0466</w:t>
            </w:r>
          </w:p>
        </w:tc>
        <w:tc>
          <w:tcPr>
            <w:tcW w:w="113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70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127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763"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890"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1106" w:type="dxa"/>
            <w:vAlign w:val="center"/>
          </w:tcPr>
          <w:p>
            <w:pPr>
              <w:pStyle w:val="5"/>
              <w:adjustRightInd w:val="0"/>
              <w:snapToGrid w:val="0"/>
              <w:spacing w:line="240" w:lineRule="auto"/>
              <w:ind w:firstLine="0"/>
              <w:jc w:val="center"/>
              <w:rPr>
                <w:sz w:val="21"/>
                <w:szCs w:val="21"/>
              </w:rPr>
            </w:pPr>
            <w:r>
              <w:rPr>
                <w:rFonts w:hint="eastAsia"/>
                <w:sz w:val="21"/>
                <w:szCs w:val="21"/>
              </w:rPr>
              <w:t>0.0047</w:t>
            </w:r>
          </w:p>
        </w:tc>
        <w:tc>
          <w:tcPr>
            <w:tcW w:w="67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32" w:type="dxa"/>
            <w:gridSpan w:val="2"/>
            <w:vAlign w:val="center"/>
          </w:tcPr>
          <w:p>
            <w:pPr>
              <w:pStyle w:val="5"/>
              <w:adjustRightInd w:val="0"/>
              <w:snapToGrid w:val="0"/>
              <w:spacing w:line="240" w:lineRule="auto"/>
              <w:ind w:firstLine="0"/>
              <w:jc w:val="center"/>
              <w:rPr>
                <w:sz w:val="21"/>
                <w:szCs w:val="21"/>
              </w:rPr>
            </w:pPr>
            <w:r>
              <w:rPr>
                <w:rFonts w:hint="eastAsia"/>
                <w:sz w:val="21"/>
                <w:szCs w:val="21"/>
              </w:rPr>
              <w:t>X19车间</w:t>
            </w:r>
            <w:r>
              <w:rPr>
                <w:sz w:val="21"/>
                <w:szCs w:val="21"/>
              </w:rPr>
              <w:t>无组织废气</w:t>
            </w:r>
          </w:p>
        </w:tc>
        <w:tc>
          <w:tcPr>
            <w:tcW w:w="849" w:type="dxa"/>
            <w:vAlign w:val="center"/>
          </w:tcPr>
          <w:p>
            <w:pPr>
              <w:pStyle w:val="470"/>
              <w:rPr>
                <w:rFonts w:ascii="Arial" w:hAnsi="Arial" w:cs="Arial"/>
                <w:sz w:val="21"/>
                <w:szCs w:val="21"/>
              </w:rPr>
            </w:pPr>
            <w:r>
              <w:rPr>
                <w:rFonts w:hint="eastAsia" w:ascii="Arial" w:hAnsi="Arial" w:cs="Arial"/>
                <w:sz w:val="21"/>
                <w:szCs w:val="21"/>
              </w:rPr>
              <w:t>氨气</w:t>
            </w:r>
          </w:p>
        </w:tc>
        <w:tc>
          <w:tcPr>
            <w:tcW w:w="127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产污系数法</w:t>
            </w:r>
          </w:p>
        </w:tc>
        <w:tc>
          <w:tcPr>
            <w:tcW w:w="85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849" w:type="dxa"/>
            <w:vAlign w:val="center"/>
          </w:tcPr>
          <w:p>
            <w:pPr>
              <w:adjustRightInd w:val="0"/>
              <w:snapToGrid w:val="0"/>
              <w:jc w:val="center"/>
              <w:rPr>
                <w:rFonts w:ascii="Arial" w:hAnsi="Arial" w:eastAsia="宋体" w:cs="Arial"/>
                <w:kern w:val="0"/>
                <w:sz w:val="21"/>
              </w:rPr>
            </w:pPr>
            <w:r>
              <w:rPr>
                <w:rFonts w:ascii="Arial" w:hAnsi="Arial" w:eastAsia="宋体" w:cs="Arial"/>
                <w:sz w:val="21"/>
                <w:szCs w:val="21"/>
              </w:rPr>
              <w:t>/</w:t>
            </w:r>
          </w:p>
        </w:tc>
        <w:tc>
          <w:tcPr>
            <w:tcW w:w="993" w:type="dxa"/>
            <w:vAlign w:val="center"/>
          </w:tcPr>
          <w:p>
            <w:pPr>
              <w:adjustRightInd w:val="0"/>
              <w:snapToGrid w:val="0"/>
              <w:jc w:val="center"/>
              <w:rPr>
                <w:rFonts w:ascii="Arial" w:hAnsi="Arial" w:cs="Arial"/>
                <w:sz w:val="21"/>
                <w:szCs w:val="22"/>
              </w:rPr>
            </w:pPr>
            <w:r>
              <w:rPr>
                <w:rFonts w:ascii="Arial" w:hAnsi="Arial" w:eastAsia="宋体" w:cs="Arial"/>
                <w:sz w:val="21"/>
                <w:szCs w:val="21"/>
              </w:rPr>
              <w:t>0.</w:t>
            </w:r>
            <w:r>
              <w:rPr>
                <w:rFonts w:hint="eastAsia" w:ascii="Arial" w:hAnsi="Arial" w:eastAsia="宋体" w:cs="Arial"/>
                <w:sz w:val="21"/>
                <w:szCs w:val="21"/>
              </w:rPr>
              <w:t>2167</w:t>
            </w:r>
          </w:p>
        </w:tc>
        <w:tc>
          <w:tcPr>
            <w:tcW w:w="113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无</w:t>
            </w:r>
          </w:p>
        </w:tc>
        <w:tc>
          <w:tcPr>
            <w:tcW w:w="70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2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排污系数法</w:t>
            </w:r>
          </w:p>
        </w:tc>
        <w:tc>
          <w:tcPr>
            <w:tcW w:w="76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890"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106" w:type="dxa"/>
            <w:vAlign w:val="center"/>
          </w:tcPr>
          <w:p>
            <w:pPr>
              <w:adjustRightInd w:val="0"/>
              <w:snapToGrid w:val="0"/>
              <w:jc w:val="center"/>
              <w:rPr>
                <w:rFonts w:ascii="Arial" w:hAnsi="Arial" w:eastAsia="宋体" w:cs="Arial"/>
                <w:kern w:val="0"/>
                <w:sz w:val="21"/>
              </w:rPr>
            </w:pPr>
            <w:r>
              <w:rPr>
                <w:rFonts w:hint="eastAsia" w:ascii="Arial" w:hAnsi="Arial" w:eastAsia="宋体" w:cs="Arial"/>
                <w:sz w:val="21"/>
                <w:szCs w:val="21"/>
              </w:rPr>
              <w:t>0.2167</w:t>
            </w:r>
          </w:p>
        </w:tc>
        <w:tc>
          <w:tcPr>
            <w:tcW w:w="67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7920</w:t>
            </w:r>
          </w:p>
        </w:tc>
      </w:tr>
    </w:tbl>
    <w:p>
      <w:pPr>
        <w:pStyle w:val="5"/>
        <w:spacing w:line="500" w:lineRule="exact"/>
        <w:ind w:firstLine="0"/>
        <w:rPr>
          <w:b/>
          <w:highlight w:val="yellow"/>
        </w:rPr>
      </w:pPr>
    </w:p>
    <w:p>
      <w:pPr>
        <w:pStyle w:val="5"/>
        <w:keepNext/>
        <w:numPr>
          <w:ilvl w:val="0"/>
          <w:numId w:val="12"/>
        </w:numPr>
        <w:spacing w:line="480" w:lineRule="exact"/>
        <w:jc w:val="center"/>
        <w:outlineLvl w:val="4"/>
        <w:rPr>
          <w:b/>
        </w:rPr>
      </w:pPr>
      <w:r>
        <w:rPr>
          <w:b/>
        </w:rPr>
        <w:t>项目变更后有组织废气汇总表</w:t>
      </w:r>
    </w:p>
    <w:tbl>
      <w:tblPr>
        <w:tblStyle w:val="88"/>
        <w:tblW w:w="147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756"/>
        <w:gridCol w:w="1135"/>
        <w:gridCol w:w="991"/>
        <w:gridCol w:w="852"/>
        <w:gridCol w:w="991"/>
        <w:gridCol w:w="994"/>
        <w:gridCol w:w="1278"/>
        <w:gridCol w:w="852"/>
        <w:gridCol w:w="849"/>
        <w:gridCol w:w="991"/>
        <w:gridCol w:w="994"/>
        <w:gridCol w:w="852"/>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904"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1756"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废气来源</w:t>
            </w:r>
          </w:p>
        </w:tc>
        <w:tc>
          <w:tcPr>
            <w:tcW w:w="1135"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烟气量</w:t>
            </w:r>
          </w:p>
          <w:p>
            <w:pPr>
              <w:adjustRightInd w:val="0"/>
              <w:snapToGrid w:val="0"/>
              <w:jc w:val="center"/>
              <w:rPr>
                <w:rFonts w:ascii="Arial" w:hAnsi="Arial" w:eastAsia="宋体" w:cs="Arial"/>
                <w:sz w:val="21"/>
                <w:szCs w:val="24"/>
              </w:rPr>
            </w:pPr>
            <w:r>
              <w:rPr>
                <w:rFonts w:ascii="Arial" w:hAnsi="Arial" w:eastAsia="宋体" w:cs="Arial"/>
                <w:sz w:val="21"/>
                <w:szCs w:val="24"/>
              </w:rPr>
              <w:t>Nm</w:t>
            </w:r>
            <w:r>
              <w:rPr>
                <w:rFonts w:ascii="Arial" w:hAnsi="Arial" w:eastAsia="宋体" w:cs="Arial"/>
                <w:sz w:val="21"/>
                <w:szCs w:val="24"/>
                <w:vertAlign w:val="superscript"/>
              </w:rPr>
              <w:t>3</w:t>
            </w:r>
            <w:r>
              <w:rPr>
                <w:rFonts w:ascii="Arial" w:hAnsi="Arial" w:eastAsia="宋体" w:cs="Arial"/>
                <w:sz w:val="21"/>
                <w:szCs w:val="24"/>
              </w:rPr>
              <w:t>/h</w:t>
            </w:r>
          </w:p>
        </w:tc>
        <w:tc>
          <w:tcPr>
            <w:tcW w:w="991"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2837" w:type="dxa"/>
            <w:gridSpan w:val="3"/>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产生情况</w:t>
            </w:r>
          </w:p>
        </w:tc>
        <w:tc>
          <w:tcPr>
            <w:tcW w:w="2130" w:type="dxa"/>
            <w:gridSpan w:val="2"/>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治理措施</w:t>
            </w:r>
          </w:p>
        </w:tc>
        <w:tc>
          <w:tcPr>
            <w:tcW w:w="2834" w:type="dxa"/>
            <w:gridSpan w:val="3"/>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c>
          <w:tcPr>
            <w:tcW w:w="852"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标准</w:t>
            </w:r>
          </w:p>
          <w:p>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1349"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排气筒参数</w:t>
            </w:r>
          </w:p>
          <w:p>
            <w:pPr>
              <w:widowControl/>
              <w:adjustRightInd w:val="0"/>
              <w:snapToGrid w:val="0"/>
              <w:jc w:val="center"/>
              <w:rPr>
                <w:rFonts w:ascii="Arial" w:hAnsi="Arial" w:eastAsia="宋体" w:cs="Arial"/>
                <w:kern w:val="0"/>
                <w:sz w:val="21"/>
              </w:rPr>
            </w:pPr>
            <w:r>
              <w:rPr>
                <w:rFonts w:ascii="Arial" w:hAnsi="Arial" w:eastAsia="宋体" w:cs="Arial"/>
                <w:kern w:val="0"/>
                <w:sz w:val="21"/>
              </w:rPr>
              <w:t>高/内径/温度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904" w:type="dxa"/>
            <w:vMerge w:val="continue"/>
            <w:vAlign w:val="center"/>
          </w:tcPr>
          <w:p>
            <w:pPr>
              <w:adjustRightInd w:val="0"/>
              <w:snapToGrid w:val="0"/>
              <w:jc w:val="center"/>
              <w:rPr>
                <w:rFonts w:ascii="Arial" w:hAnsi="Arial" w:eastAsia="宋体" w:cs="Arial"/>
                <w:sz w:val="21"/>
                <w:szCs w:val="24"/>
              </w:rPr>
            </w:pPr>
          </w:p>
        </w:tc>
        <w:tc>
          <w:tcPr>
            <w:tcW w:w="1756" w:type="dxa"/>
            <w:vMerge w:val="continue"/>
            <w:vAlign w:val="center"/>
          </w:tcPr>
          <w:p>
            <w:pPr>
              <w:adjustRightInd w:val="0"/>
              <w:snapToGrid w:val="0"/>
              <w:jc w:val="center"/>
              <w:rPr>
                <w:rFonts w:ascii="Arial" w:hAnsi="Arial" w:eastAsia="宋体" w:cs="Arial"/>
                <w:sz w:val="21"/>
                <w:szCs w:val="24"/>
              </w:rPr>
            </w:pPr>
          </w:p>
        </w:tc>
        <w:tc>
          <w:tcPr>
            <w:tcW w:w="1135" w:type="dxa"/>
            <w:vMerge w:val="continue"/>
            <w:vAlign w:val="center"/>
          </w:tcPr>
          <w:p>
            <w:pPr>
              <w:adjustRightInd w:val="0"/>
              <w:snapToGrid w:val="0"/>
              <w:jc w:val="center"/>
              <w:rPr>
                <w:rFonts w:ascii="Arial" w:hAnsi="Arial" w:eastAsia="宋体" w:cs="Arial"/>
                <w:sz w:val="21"/>
                <w:szCs w:val="24"/>
              </w:rPr>
            </w:pPr>
          </w:p>
        </w:tc>
        <w:tc>
          <w:tcPr>
            <w:tcW w:w="991" w:type="dxa"/>
            <w:vMerge w:val="continue"/>
            <w:vAlign w:val="center"/>
          </w:tcPr>
          <w:p>
            <w:pPr>
              <w:adjustRightInd w:val="0"/>
              <w:snapToGrid w:val="0"/>
              <w:jc w:val="center"/>
              <w:rPr>
                <w:rFonts w:ascii="Arial" w:hAnsi="Arial" w:eastAsia="宋体" w:cs="Arial"/>
                <w:sz w:val="21"/>
                <w:szCs w:val="24"/>
              </w:rPr>
            </w:pP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991"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994"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1278"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工艺</w:t>
            </w: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效率</w:t>
            </w:r>
          </w:p>
        </w:tc>
        <w:tc>
          <w:tcPr>
            <w:tcW w:w="849"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991"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994"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852" w:type="dxa"/>
            <w:vMerge w:val="continue"/>
            <w:vAlign w:val="center"/>
          </w:tcPr>
          <w:p>
            <w:pPr>
              <w:widowControl/>
              <w:adjustRightInd w:val="0"/>
              <w:snapToGrid w:val="0"/>
              <w:jc w:val="center"/>
              <w:rPr>
                <w:rFonts w:ascii="Arial" w:hAnsi="Arial" w:eastAsia="宋体" w:cs="Arial"/>
                <w:kern w:val="0"/>
                <w:sz w:val="21"/>
              </w:rPr>
            </w:pPr>
          </w:p>
        </w:tc>
        <w:tc>
          <w:tcPr>
            <w:tcW w:w="1349" w:type="dxa"/>
            <w:vMerge w:val="continue"/>
            <w:vAlign w:val="center"/>
          </w:tcPr>
          <w:p>
            <w:pPr>
              <w:widowControl/>
              <w:adjustRightInd w:val="0"/>
              <w:snapToGrid w:val="0"/>
              <w:jc w:val="center"/>
              <w:rPr>
                <w:rFonts w:ascii="Arial" w:hAnsi="Arial" w:eastAsia="宋体" w:cs="Arial"/>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04"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1756"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1135"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47</w:t>
            </w:r>
            <w:r>
              <w:rPr>
                <w:rFonts w:ascii="Arial" w:hAnsi="Arial" w:eastAsia="宋体" w:cs="Arial"/>
                <w:sz w:val="21"/>
                <w:szCs w:val="24"/>
              </w:rPr>
              <w:t>000</w:t>
            </w:r>
          </w:p>
        </w:tc>
        <w:tc>
          <w:tcPr>
            <w:tcW w:w="991" w:type="dxa"/>
            <w:vAlign w:val="center"/>
          </w:tcPr>
          <w:p>
            <w:pPr>
              <w:pStyle w:val="470"/>
              <w:rPr>
                <w:rFonts w:ascii="Arial" w:hAnsi="Arial" w:cs="Arial"/>
                <w:sz w:val="21"/>
                <w:szCs w:val="21"/>
              </w:rPr>
            </w:pPr>
            <w:r>
              <w:rPr>
                <w:rFonts w:ascii="Arial" w:hAnsi="Arial" w:cs="Arial"/>
                <w:sz w:val="21"/>
                <w:szCs w:val="21"/>
              </w:rPr>
              <w:t>氨气</w:t>
            </w:r>
          </w:p>
        </w:tc>
        <w:tc>
          <w:tcPr>
            <w:tcW w:w="852"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2.682</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21.239</w:t>
            </w:r>
          </w:p>
        </w:tc>
        <w:tc>
          <w:tcPr>
            <w:tcW w:w="1278"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sz w:val="21"/>
                <w:szCs w:val="21"/>
              </w:rPr>
              <w:t>9</w:t>
            </w:r>
            <w:r>
              <w:rPr>
                <w:rFonts w:hint="eastAsia" w:ascii="Arial" w:hAnsi="Arial" w:eastAsia="宋体" w:cs="Arial"/>
                <w:sz w:val="21"/>
                <w:szCs w:val="21"/>
              </w:rPr>
              <w:t>0</w:t>
            </w:r>
            <w:r>
              <w:rPr>
                <w:rFonts w:ascii="Arial" w:hAnsi="Arial" w:eastAsia="宋体" w:cs="Arial"/>
                <w:sz w:val="21"/>
                <w:szCs w:val="21"/>
              </w:rPr>
              <w:t>%</w:t>
            </w: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0.2682</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2.1239</w:t>
            </w: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20</w:t>
            </w:r>
          </w:p>
        </w:tc>
        <w:tc>
          <w:tcPr>
            <w:tcW w:w="134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04" w:type="dxa"/>
            <w:vMerge w:val="restart"/>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1756" w:type="dxa"/>
            <w:vMerge w:val="restart"/>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烘干粉尘、破碎粉尘、包装粉尘</w:t>
            </w:r>
          </w:p>
        </w:tc>
        <w:tc>
          <w:tcPr>
            <w:tcW w:w="1135"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47000</w:t>
            </w:r>
          </w:p>
        </w:tc>
        <w:tc>
          <w:tcPr>
            <w:tcW w:w="991" w:type="dxa"/>
            <w:vAlign w:val="center"/>
          </w:tcPr>
          <w:p>
            <w:pPr>
              <w:pStyle w:val="470"/>
              <w:rPr>
                <w:rFonts w:ascii="Arial" w:hAnsi="Arial" w:cs="Arial"/>
                <w:sz w:val="21"/>
                <w:szCs w:val="21"/>
              </w:rPr>
            </w:pPr>
            <w:r>
              <w:rPr>
                <w:rFonts w:hint="eastAsia" w:ascii="Arial" w:hAnsi="Arial" w:cs="Arial"/>
                <w:sz w:val="21"/>
                <w:szCs w:val="21"/>
              </w:rPr>
              <w:t>颗粒物</w:t>
            </w:r>
          </w:p>
        </w:tc>
        <w:tc>
          <w:tcPr>
            <w:tcW w:w="852"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47</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2.2152</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17.5446</w:t>
            </w:r>
          </w:p>
        </w:tc>
        <w:tc>
          <w:tcPr>
            <w:tcW w:w="1278"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kern w:val="0"/>
                <w:sz w:val="21"/>
              </w:rPr>
              <w:t>布袋除尘器</w:t>
            </w:r>
            <w:r>
              <w:rPr>
                <w:rFonts w:hint="eastAsia" w:ascii="Arial" w:hAnsi="Arial" w:eastAsia="宋体" w:cs="Arial"/>
                <w:kern w:val="0"/>
                <w:sz w:val="21"/>
              </w:rPr>
              <w:t>+</w:t>
            </w:r>
            <w:r>
              <w:rPr>
                <w:rFonts w:ascii="Arial" w:hAnsi="Arial" w:eastAsia="宋体" w:cs="Arial"/>
                <w:kern w:val="0"/>
                <w:sz w:val="21"/>
              </w:rPr>
              <w:t>吸收塔</w:t>
            </w: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sz w:val="21"/>
                <w:szCs w:val="21"/>
              </w:rPr>
              <w:t>9</w:t>
            </w:r>
            <w:r>
              <w:rPr>
                <w:rFonts w:hint="eastAsia" w:ascii="Arial" w:hAnsi="Arial" w:eastAsia="宋体" w:cs="Arial"/>
                <w:sz w:val="21"/>
                <w:szCs w:val="21"/>
              </w:rPr>
              <w:t>1</w:t>
            </w:r>
            <w:r>
              <w:rPr>
                <w:rFonts w:ascii="Arial" w:hAnsi="Arial" w:eastAsia="宋体" w:cs="Arial"/>
                <w:sz w:val="21"/>
                <w:szCs w:val="21"/>
              </w:rPr>
              <w:t>%</w:t>
            </w:r>
          </w:p>
        </w:tc>
        <w:tc>
          <w:tcPr>
            <w:tcW w:w="849"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991"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0.2093</w:t>
            </w:r>
          </w:p>
        </w:tc>
        <w:tc>
          <w:tcPr>
            <w:tcW w:w="994"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852"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30</w:t>
            </w:r>
          </w:p>
        </w:tc>
        <w:tc>
          <w:tcPr>
            <w:tcW w:w="1349"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04" w:type="dxa"/>
            <w:vMerge w:val="continue"/>
            <w:vAlign w:val="center"/>
          </w:tcPr>
          <w:p>
            <w:pPr>
              <w:pStyle w:val="41"/>
              <w:adjustRightInd w:val="0"/>
              <w:snapToGrid w:val="0"/>
              <w:spacing w:after="0"/>
              <w:ind w:firstLine="0" w:firstLineChars="0"/>
              <w:jc w:val="center"/>
              <w:rPr>
                <w:rFonts w:ascii="Arial" w:hAnsi="Arial" w:cs="Arial"/>
                <w:sz w:val="21"/>
                <w:szCs w:val="21"/>
              </w:rPr>
            </w:pPr>
          </w:p>
        </w:tc>
        <w:tc>
          <w:tcPr>
            <w:tcW w:w="1756" w:type="dxa"/>
            <w:vMerge w:val="continue"/>
            <w:vAlign w:val="center"/>
          </w:tcPr>
          <w:p>
            <w:pPr>
              <w:adjustRightInd w:val="0"/>
              <w:snapToGrid w:val="0"/>
              <w:jc w:val="center"/>
              <w:rPr>
                <w:rFonts w:ascii="Arial" w:hAnsi="Arial" w:eastAsia="宋体" w:cs="Arial"/>
                <w:sz w:val="21"/>
                <w:szCs w:val="24"/>
              </w:rPr>
            </w:pPr>
          </w:p>
        </w:tc>
        <w:tc>
          <w:tcPr>
            <w:tcW w:w="1135" w:type="dxa"/>
            <w:vMerge w:val="continue"/>
            <w:vAlign w:val="center"/>
          </w:tcPr>
          <w:p>
            <w:pPr>
              <w:widowControl/>
              <w:adjustRightInd w:val="0"/>
              <w:snapToGrid w:val="0"/>
              <w:jc w:val="center"/>
              <w:rPr>
                <w:rFonts w:ascii="Arial" w:hAnsi="Arial" w:eastAsia="宋体" w:cs="Arial"/>
                <w:kern w:val="0"/>
                <w:sz w:val="21"/>
              </w:rPr>
            </w:pPr>
          </w:p>
        </w:tc>
        <w:tc>
          <w:tcPr>
            <w:tcW w:w="991" w:type="dxa"/>
            <w:vAlign w:val="center"/>
          </w:tcPr>
          <w:p>
            <w:pPr>
              <w:pStyle w:val="470"/>
              <w:rPr>
                <w:rFonts w:ascii="Arial" w:hAnsi="Arial" w:cs="Arial"/>
                <w:sz w:val="21"/>
                <w:szCs w:val="21"/>
              </w:rPr>
            </w:pPr>
            <w:r>
              <w:rPr>
                <w:rFonts w:hint="eastAsia" w:ascii="Arial" w:hAnsi="Arial" w:cs="Arial"/>
                <w:sz w:val="21"/>
                <w:szCs w:val="21"/>
              </w:rPr>
              <w:t>钴</w:t>
            </w:r>
          </w:p>
        </w:tc>
        <w:tc>
          <w:tcPr>
            <w:tcW w:w="852"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29</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1.3847</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10.9671</w:t>
            </w:r>
          </w:p>
        </w:tc>
        <w:tc>
          <w:tcPr>
            <w:tcW w:w="1278" w:type="dxa"/>
            <w:vMerge w:val="continue"/>
            <w:vAlign w:val="center"/>
          </w:tcPr>
          <w:p>
            <w:pPr>
              <w:adjustRightInd w:val="0"/>
              <w:snapToGrid w:val="0"/>
              <w:jc w:val="center"/>
              <w:rPr>
                <w:rFonts w:ascii="Arial" w:hAnsi="Arial" w:eastAsia="宋体" w:cs="Arial"/>
                <w:kern w:val="0"/>
                <w:sz w:val="21"/>
              </w:rPr>
            </w:pPr>
          </w:p>
        </w:tc>
        <w:tc>
          <w:tcPr>
            <w:tcW w:w="85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849"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991"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0.1299</w:t>
            </w:r>
          </w:p>
        </w:tc>
        <w:tc>
          <w:tcPr>
            <w:tcW w:w="994"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852"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5</w:t>
            </w:r>
          </w:p>
        </w:tc>
        <w:tc>
          <w:tcPr>
            <w:tcW w:w="1349" w:type="dxa"/>
            <w:vMerge w:val="continue"/>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04"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1756"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母液罐</w:t>
            </w:r>
            <w:r>
              <w:rPr>
                <w:rFonts w:ascii="Arial" w:hAnsi="Arial" w:eastAsia="宋体" w:cs="Arial"/>
                <w:sz w:val="21"/>
                <w:szCs w:val="24"/>
              </w:rPr>
              <w:t>废气</w:t>
            </w:r>
          </w:p>
        </w:tc>
        <w:tc>
          <w:tcPr>
            <w:tcW w:w="1135"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991" w:type="dxa"/>
            <w:vAlign w:val="center"/>
          </w:tcPr>
          <w:p>
            <w:pPr>
              <w:pStyle w:val="470"/>
              <w:rPr>
                <w:rFonts w:ascii="Arial" w:hAnsi="Arial" w:cs="Arial"/>
                <w:sz w:val="21"/>
                <w:szCs w:val="21"/>
              </w:rPr>
            </w:pPr>
            <w:r>
              <w:rPr>
                <w:rFonts w:ascii="Arial" w:hAnsi="Arial" w:cs="Arial"/>
                <w:sz w:val="21"/>
                <w:szCs w:val="21"/>
              </w:rPr>
              <w:t>氨气</w:t>
            </w:r>
          </w:p>
        </w:tc>
        <w:tc>
          <w:tcPr>
            <w:tcW w:w="852"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3.58</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0.0466</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0.369</w:t>
            </w:r>
          </w:p>
        </w:tc>
        <w:tc>
          <w:tcPr>
            <w:tcW w:w="1278" w:type="dxa"/>
            <w:vAlign w:val="center"/>
          </w:tcPr>
          <w:p>
            <w:pPr>
              <w:adjustRightInd w:val="0"/>
              <w:snapToGrid w:val="0"/>
              <w:jc w:val="center"/>
              <w:rPr>
                <w:rFonts w:ascii="Arial" w:hAnsi="Arial" w:eastAsia="宋体" w:cs="Arial"/>
                <w:kern w:val="0"/>
                <w:sz w:val="21"/>
              </w:rPr>
            </w:pPr>
            <w:r>
              <w:rPr>
                <w:rFonts w:ascii="Arial" w:hAnsi="Arial" w:eastAsia="宋体" w:cs="Arial"/>
                <w:kern w:val="0"/>
                <w:sz w:val="21"/>
              </w:rPr>
              <w:t>吸收塔</w:t>
            </w:r>
          </w:p>
        </w:tc>
        <w:tc>
          <w:tcPr>
            <w:tcW w:w="85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849"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991" w:type="dxa"/>
            <w:vAlign w:val="center"/>
          </w:tcPr>
          <w:p>
            <w:pPr>
              <w:pStyle w:val="5"/>
              <w:adjustRightInd w:val="0"/>
              <w:snapToGrid w:val="0"/>
              <w:spacing w:line="240" w:lineRule="auto"/>
              <w:ind w:firstLine="0"/>
              <w:jc w:val="center"/>
              <w:rPr>
                <w:sz w:val="21"/>
                <w:szCs w:val="21"/>
              </w:rPr>
            </w:pPr>
            <w:r>
              <w:rPr>
                <w:rFonts w:hint="eastAsia"/>
                <w:sz w:val="21"/>
                <w:szCs w:val="21"/>
              </w:rPr>
              <w:t>0.0047</w:t>
            </w:r>
          </w:p>
        </w:tc>
        <w:tc>
          <w:tcPr>
            <w:tcW w:w="994" w:type="dxa"/>
            <w:vAlign w:val="center"/>
          </w:tcPr>
          <w:p>
            <w:pPr>
              <w:pStyle w:val="5"/>
              <w:adjustRightInd w:val="0"/>
              <w:snapToGrid w:val="0"/>
              <w:spacing w:line="240" w:lineRule="auto"/>
              <w:ind w:firstLine="0"/>
              <w:jc w:val="center"/>
              <w:rPr>
                <w:sz w:val="21"/>
                <w:szCs w:val="21"/>
              </w:rPr>
            </w:pPr>
            <w:r>
              <w:rPr>
                <w:rFonts w:hint="eastAsia"/>
                <w:sz w:val="21"/>
                <w:szCs w:val="21"/>
              </w:rPr>
              <w:t>0.0369</w:t>
            </w:r>
          </w:p>
        </w:tc>
        <w:tc>
          <w:tcPr>
            <w:tcW w:w="852"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20</w:t>
            </w:r>
          </w:p>
        </w:tc>
        <w:tc>
          <w:tcPr>
            <w:tcW w:w="134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0.6</w:t>
            </w:r>
            <w:r>
              <w:rPr>
                <w:rFonts w:ascii="Arial" w:hAnsi="Arial" w:eastAsia="宋体" w:cs="Arial"/>
                <w:spacing w:val="10"/>
                <w:sz w:val="21"/>
                <w:szCs w:val="21"/>
              </w:rPr>
              <w:t>/25</w:t>
            </w:r>
          </w:p>
        </w:tc>
      </w:tr>
    </w:tbl>
    <w:p>
      <w:pPr>
        <w:pStyle w:val="5"/>
        <w:spacing w:line="500" w:lineRule="exact"/>
        <w:ind w:firstLine="490" w:firstLineChars="200"/>
        <w:rPr>
          <w:b/>
          <w:highlight w:val="yellow"/>
        </w:rPr>
      </w:pPr>
    </w:p>
    <w:p>
      <w:pPr>
        <w:pStyle w:val="5"/>
        <w:spacing w:line="500" w:lineRule="exact"/>
        <w:ind w:firstLine="0"/>
        <w:outlineLvl w:val="3"/>
        <w:rPr>
          <w:b/>
          <w:highlight w:val="yellow"/>
        </w:rPr>
        <w:sectPr>
          <w:pgSz w:w="16840" w:h="11907" w:orient="landscape"/>
          <w:pgMar w:top="1134" w:right="1134" w:bottom="1134" w:left="1134" w:header="1134" w:footer="1134" w:gutter="567"/>
          <w:cols w:space="720" w:num="1"/>
          <w:docGrid w:type="linesAndChars" w:linePitch="428" w:charSpace="-3161"/>
        </w:sectPr>
      </w:pPr>
    </w:p>
    <w:p>
      <w:pPr>
        <w:pStyle w:val="5"/>
        <w:keepNext/>
        <w:numPr>
          <w:ilvl w:val="0"/>
          <w:numId w:val="12"/>
        </w:numPr>
        <w:spacing w:line="480" w:lineRule="exact"/>
        <w:ind w:left="0" w:firstLine="0"/>
        <w:jc w:val="center"/>
        <w:outlineLvl w:val="4"/>
        <w:rPr>
          <w:b/>
        </w:rPr>
      </w:pPr>
      <w:r>
        <w:rPr>
          <w:b/>
        </w:rPr>
        <w:t>项目变更后无组织废气汇总表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0"/>
        <w:gridCol w:w="1536"/>
        <w:gridCol w:w="1828"/>
        <w:gridCol w:w="1375"/>
        <w:gridCol w:w="22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90" w:type="dxa"/>
            <w:shd w:val="clear" w:color="auto" w:fill="auto"/>
            <w:vAlign w:val="center"/>
          </w:tcPr>
          <w:p>
            <w:pPr>
              <w:pStyle w:val="5"/>
              <w:adjustRightInd w:val="0"/>
              <w:snapToGrid w:val="0"/>
              <w:spacing w:line="240" w:lineRule="auto"/>
              <w:ind w:firstLine="0"/>
              <w:jc w:val="center"/>
              <w:rPr>
                <w:sz w:val="21"/>
                <w:szCs w:val="21"/>
              </w:rPr>
            </w:pPr>
            <w:r>
              <w:rPr>
                <w:sz w:val="21"/>
                <w:szCs w:val="21"/>
              </w:rPr>
              <w:t>无组织源</w:t>
            </w:r>
          </w:p>
        </w:tc>
        <w:tc>
          <w:tcPr>
            <w:tcW w:w="1536" w:type="dxa"/>
            <w:shd w:val="clear" w:color="auto" w:fill="auto"/>
            <w:vAlign w:val="center"/>
          </w:tcPr>
          <w:p>
            <w:pPr>
              <w:pStyle w:val="5"/>
              <w:adjustRightInd w:val="0"/>
              <w:snapToGrid w:val="0"/>
              <w:spacing w:line="240" w:lineRule="auto"/>
              <w:ind w:firstLine="0"/>
              <w:jc w:val="center"/>
              <w:rPr>
                <w:sz w:val="21"/>
                <w:szCs w:val="21"/>
              </w:rPr>
            </w:pPr>
            <w:r>
              <w:rPr>
                <w:sz w:val="21"/>
                <w:szCs w:val="21"/>
              </w:rPr>
              <w:t>污染物</w:t>
            </w:r>
          </w:p>
        </w:tc>
        <w:tc>
          <w:tcPr>
            <w:tcW w:w="1828" w:type="dxa"/>
            <w:shd w:val="clear" w:color="auto" w:fill="auto"/>
            <w:vAlign w:val="center"/>
          </w:tcPr>
          <w:p>
            <w:pPr>
              <w:pStyle w:val="5"/>
              <w:adjustRightInd w:val="0"/>
              <w:snapToGrid w:val="0"/>
              <w:spacing w:line="240" w:lineRule="auto"/>
              <w:ind w:firstLine="0"/>
              <w:jc w:val="center"/>
              <w:rPr>
                <w:sz w:val="21"/>
                <w:szCs w:val="21"/>
              </w:rPr>
            </w:pPr>
            <w:r>
              <w:rPr>
                <w:sz w:val="21"/>
                <w:szCs w:val="21"/>
              </w:rPr>
              <w:t>排放速度kg/h</w:t>
            </w:r>
          </w:p>
        </w:tc>
        <w:tc>
          <w:tcPr>
            <w:tcW w:w="1375" w:type="dxa"/>
            <w:shd w:val="clear" w:color="auto" w:fill="auto"/>
            <w:vAlign w:val="center"/>
          </w:tcPr>
          <w:p>
            <w:pPr>
              <w:pStyle w:val="5"/>
              <w:adjustRightInd w:val="0"/>
              <w:snapToGrid w:val="0"/>
              <w:spacing w:line="240" w:lineRule="auto"/>
              <w:ind w:firstLine="0"/>
              <w:jc w:val="center"/>
              <w:rPr>
                <w:sz w:val="21"/>
                <w:szCs w:val="21"/>
              </w:rPr>
            </w:pPr>
            <w:r>
              <w:rPr>
                <w:sz w:val="21"/>
                <w:szCs w:val="21"/>
              </w:rPr>
              <w:t>排放量t/a</w:t>
            </w:r>
          </w:p>
        </w:tc>
        <w:tc>
          <w:tcPr>
            <w:tcW w:w="2259" w:type="dxa"/>
            <w:shd w:val="clear" w:color="auto" w:fill="auto"/>
            <w:vAlign w:val="center"/>
          </w:tcPr>
          <w:p>
            <w:pPr>
              <w:pStyle w:val="5"/>
              <w:adjustRightInd w:val="0"/>
              <w:snapToGrid w:val="0"/>
              <w:spacing w:line="240" w:lineRule="auto"/>
              <w:ind w:firstLine="0"/>
              <w:jc w:val="center"/>
              <w:rPr>
                <w:sz w:val="21"/>
                <w:szCs w:val="21"/>
              </w:rPr>
            </w:pPr>
            <w:r>
              <w:rPr>
                <w:sz w:val="21"/>
                <w:szCs w:val="21"/>
              </w:rPr>
              <w:t>排放源参数m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90" w:type="dxa"/>
            <w:shd w:val="clear" w:color="auto" w:fill="auto"/>
            <w:vAlign w:val="center"/>
          </w:tcPr>
          <w:p>
            <w:pPr>
              <w:pStyle w:val="5"/>
              <w:adjustRightInd w:val="0"/>
              <w:snapToGrid w:val="0"/>
              <w:spacing w:line="240" w:lineRule="auto"/>
              <w:ind w:firstLine="0"/>
              <w:jc w:val="center"/>
              <w:rPr>
                <w:sz w:val="21"/>
                <w:szCs w:val="21"/>
              </w:rPr>
            </w:pPr>
            <w:r>
              <w:rPr>
                <w:sz w:val="21"/>
                <w:szCs w:val="21"/>
              </w:rPr>
              <w:t>X</w:t>
            </w:r>
            <w:r>
              <w:rPr>
                <w:rFonts w:hint="eastAsia"/>
                <w:sz w:val="21"/>
                <w:szCs w:val="21"/>
              </w:rPr>
              <w:t>19车间</w:t>
            </w:r>
          </w:p>
        </w:tc>
        <w:tc>
          <w:tcPr>
            <w:tcW w:w="1536" w:type="dxa"/>
            <w:shd w:val="clear" w:color="auto" w:fill="auto"/>
            <w:vAlign w:val="center"/>
          </w:tcPr>
          <w:p>
            <w:pPr>
              <w:pStyle w:val="5"/>
              <w:adjustRightInd w:val="0"/>
              <w:snapToGrid w:val="0"/>
              <w:spacing w:line="240" w:lineRule="auto"/>
              <w:ind w:firstLine="0"/>
              <w:jc w:val="center"/>
              <w:rPr>
                <w:sz w:val="21"/>
                <w:szCs w:val="21"/>
              </w:rPr>
            </w:pPr>
            <w:r>
              <w:rPr>
                <w:sz w:val="21"/>
                <w:szCs w:val="21"/>
              </w:rPr>
              <w:t>氨气</w:t>
            </w:r>
          </w:p>
        </w:tc>
        <w:tc>
          <w:tcPr>
            <w:tcW w:w="182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0.2167</w:t>
            </w:r>
          </w:p>
        </w:tc>
        <w:tc>
          <w:tcPr>
            <w:tcW w:w="137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1.1791</w:t>
            </w:r>
          </w:p>
        </w:tc>
        <w:tc>
          <w:tcPr>
            <w:tcW w:w="2259"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85</w:t>
            </w:r>
            <w:r>
              <w:rPr>
                <w:sz w:val="21"/>
                <w:szCs w:val="21"/>
              </w:rPr>
              <w:t>×</w:t>
            </w:r>
            <w:r>
              <w:rPr>
                <w:rFonts w:hint="eastAsia"/>
                <w:sz w:val="21"/>
                <w:szCs w:val="21"/>
              </w:rPr>
              <w:t>22.5</w:t>
            </w:r>
            <w:r>
              <w:rPr>
                <w:sz w:val="21"/>
                <w:szCs w:val="21"/>
              </w:rPr>
              <w:t>×</w:t>
            </w:r>
            <w:r>
              <w:rPr>
                <w:rFonts w:hint="eastAsia"/>
                <w:sz w:val="21"/>
                <w:szCs w:val="21"/>
              </w:rPr>
              <w:t>13.2</w:t>
            </w:r>
          </w:p>
        </w:tc>
      </w:tr>
    </w:tbl>
    <w:p>
      <w:pPr>
        <w:pStyle w:val="5"/>
        <w:keepNext/>
        <w:numPr>
          <w:ilvl w:val="0"/>
          <w:numId w:val="12"/>
        </w:numPr>
        <w:adjustRightInd w:val="0"/>
        <w:snapToGrid w:val="0"/>
        <w:spacing w:line="500" w:lineRule="exact"/>
        <w:ind w:left="0" w:firstLine="0"/>
        <w:jc w:val="center"/>
        <w:outlineLvl w:val="4"/>
        <w:rPr>
          <w:b/>
        </w:rPr>
      </w:pPr>
      <w:r>
        <w:rPr>
          <w:b/>
        </w:rPr>
        <w:t>项目变更后废气汇总表</w:t>
      </w:r>
    </w:p>
    <w:tbl>
      <w:tblPr>
        <w:tblStyle w:val="88"/>
        <w:tblW w:w="9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4337"/>
        <w:gridCol w:w="3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3456"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3456"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3456"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149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433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3456"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bl>
    <w:p>
      <w:pPr>
        <w:pStyle w:val="5"/>
        <w:spacing w:line="500" w:lineRule="exact"/>
        <w:ind w:firstLine="0"/>
        <w:outlineLvl w:val="3"/>
        <w:rPr>
          <w:b/>
        </w:rPr>
      </w:pPr>
      <w:r>
        <w:rPr>
          <w:b/>
        </w:rPr>
        <w:t>2.</w:t>
      </w:r>
      <w:r>
        <w:rPr>
          <w:rFonts w:hint="eastAsia"/>
          <w:b/>
        </w:rPr>
        <w:t>5</w:t>
      </w:r>
      <w:r>
        <w:rPr>
          <w:b/>
        </w:rPr>
        <w:t>.2.3项目变更前后大气污染源强对比</w:t>
      </w:r>
    </w:p>
    <w:p>
      <w:pPr>
        <w:pStyle w:val="5"/>
        <w:keepNext/>
        <w:numPr>
          <w:ilvl w:val="0"/>
          <w:numId w:val="12"/>
        </w:numPr>
        <w:spacing w:line="480" w:lineRule="exact"/>
        <w:ind w:left="0" w:firstLine="0"/>
        <w:jc w:val="center"/>
        <w:outlineLvl w:val="4"/>
        <w:rPr>
          <w:b/>
        </w:rPr>
      </w:pPr>
      <w:r>
        <w:rPr>
          <w:b/>
        </w:rPr>
        <w:t>项目变更前后废气对比表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846"/>
        <w:gridCol w:w="810"/>
        <w:gridCol w:w="1854"/>
        <w:gridCol w:w="1854"/>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8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21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变更前后增减量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0" w:type="dxa"/>
            <w:vMerge w:val="restart"/>
            <w:tcBorders>
              <w:top w:val="single" w:color="auto" w:sz="4" w:space="0"/>
              <w:left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18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854"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2114"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0" w:type="dxa"/>
            <w:vMerge w:val="continue"/>
            <w:tcBorders>
              <w:top w:val="single" w:color="auto" w:sz="4" w:space="0"/>
              <w:left w:val="single" w:color="auto" w:sz="4" w:space="0"/>
              <w:right w:val="single" w:color="auto" w:sz="4" w:space="0"/>
            </w:tcBorders>
            <w:vAlign w:val="center"/>
          </w:tcPr>
          <w:p>
            <w:pPr>
              <w:adjustRightInd w:val="0"/>
              <w:snapToGrid w:val="0"/>
              <w:jc w:val="center"/>
              <w:rPr>
                <w:rFonts w:ascii="Arial" w:hAnsi="Arial" w:eastAsia="宋体" w:cs="Arial"/>
                <w:sz w:val="21"/>
                <w:szCs w:val="21"/>
              </w:rPr>
            </w:pPr>
          </w:p>
        </w:tc>
        <w:tc>
          <w:tcPr>
            <w:tcW w:w="18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w:t>
            </w:r>
            <w:r>
              <w:rPr>
                <w:rFonts w:hint="eastAsia" w:ascii="Arial" w:hAnsi="Arial" w:eastAsia="宋体" w:cs="Arial"/>
                <w:sz w:val="21"/>
                <w:szCs w:val="21"/>
              </w:rPr>
              <w:t>/a</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854"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2114"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0" w:type="dxa"/>
            <w:vMerge w:val="continue"/>
            <w:tcBorders>
              <w:left w:val="single" w:color="auto" w:sz="4" w:space="0"/>
              <w:right w:val="single" w:color="auto" w:sz="4" w:space="0"/>
            </w:tcBorders>
            <w:vAlign w:val="center"/>
          </w:tcPr>
          <w:p>
            <w:pPr>
              <w:widowControl/>
              <w:jc w:val="left"/>
              <w:rPr>
                <w:rFonts w:ascii="Arial" w:hAnsi="Arial" w:eastAsia="宋体" w:cs="Arial"/>
                <w:sz w:val="21"/>
                <w:szCs w:val="21"/>
              </w:rPr>
            </w:pPr>
          </w:p>
        </w:tc>
        <w:tc>
          <w:tcPr>
            <w:tcW w:w="18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85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c>
          <w:tcPr>
            <w:tcW w:w="211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0" w:type="dxa"/>
            <w:vMerge w:val="continue"/>
            <w:tcBorders>
              <w:left w:val="single" w:color="auto" w:sz="4" w:space="0"/>
              <w:right w:val="single" w:color="auto" w:sz="4" w:space="0"/>
            </w:tcBorders>
            <w:vAlign w:val="center"/>
          </w:tcPr>
          <w:p>
            <w:pPr>
              <w:widowControl/>
              <w:jc w:val="left"/>
              <w:rPr>
                <w:rFonts w:ascii="Arial" w:hAnsi="Arial" w:eastAsia="宋体" w:cs="Arial"/>
                <w:sz w:val="21"/>
                <w:szCs w:val="21"/>
              </w:rPr>
            </w:pPr>
          </w:p>
        </w:tc>
        <w:tc>
          <w:tcPr>
            <w:tcW w:w="184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8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8.012</w:t>
            </w:r>
          </w:p>
        </w:tc>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21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-8.012</w:t>
            </w:r>
          </w:p>
        </w:tc>
      </w:tr>
    </w:tbl>
    <w:p>
      <w:pPr>
        <w:pStyle w:val="6"/>
        <w:numPr>
          <w:ilvl w:val="2"/>
          <w:numId w:val="11"/>
        </w:numPr>
        <w:tabs>
          <w:tab w:val="left" w:pos="1080"/>
        </w:tabs>
        <w:spacing w:line="400" w:lineRule="exact"/>
        <w:rPr>
          <w:rFonts w:ascii="Arial" w:hAnsi="Arial" w:eastAsia="宋体" w:cs="Arial"/>
        </w:rPr>
      </w:pPr>
      <w:r>
        <w:rPr>
          <w:rFonts w:ascii="Arial" w:hAnsi="Arial" w:eastAsia="宋体" w:cs="Arial"/>
        </w:rPr>
        <w:t>废水污染源强汇总</w:t>
      </w:r>
      <w:bookmarkEnd w:id="268"/>
    </w:p>
    <w:p>
      <w:pPr>
        <w:pStyle w:val="5"/>
        <w:spacing w:line="500" w:lineRule="exact"/>
        <w:ind w:firstLine="0"/>
        <w:outlineLvl w:val="3"/>
        <w:rPr>
          <w:b/>
        </w:rPr>
      </w:pPr>
      <w:r>
        <w:rPr>
          <w:b/>
        </w:rPr>
        <w:t>2.</w:t>
      </w:r>
      <w:r>
        <w:rPr>
          <w:rFonts w:hint="eastAsia"/>
          <w:b/>
        </w:rPr>
        <w:t>5</w:t>
      </w:r>
      <w:r>
        <w:rPr>
          <w:b/>
        </w:rPr>
        <w:t>.3.1项目变更前废水源强汇总</w:t>
      </w:r>
    </w:p>
    <w:p>
      <w:pPr>
        <w:pStyle w:val="5"/>
        <w:spacing w:line="500" w:lineRule="exact"/>
        <w:ind w:firstLine="490" w:firstLineChars="200"/>
      </w:pPr>
      <w:r>
        <w:t>1、生产废水</w:t>
      </w:r>
    </w:p>
    <w:p>
      <w:pPr>
        <w:pStyle w:val="5"/>
        <w:spacing w:line="500" w:lineRule="exact"/>
        <w:ind w:firstLine="490" w:firstLineChars="200"/>
      </w:pPr>
      <w:r>
        <w:rPr>
          <w:rFonts w:hint="eastAsia"/>
        </w:rPr>
        <w:t>X19车间镍豆镍粉处置线变更前无生产废水排放。依托的纯水站</w:t>
      </w:r>
      <w:r>
        <w:t>浓水与综合污水处理站处理后的废水一同排入厂区总排口，依托大榄坪污水处理厂排海管道排入A2排污区。</w:t>
      </w:r>
    </w:p>
    <w:p>
      <w:pPr>
        <w:pStyle w:val="5"/>
        <w:keepNext/>
        <w:numPr>
          <w:ilvl w:val="0"/>
          <w:numId w:val="12"/>
        </w:numPr>
        <w:spacing w:line="480" w:lineRule="exact"/>
        <w:ind w:left="0" w:firstLine="0"/>
        <w:jc w:val="center"/>
        <w:outlineLvl w:val="4"/>
        <w:rPr>
          <w:b/>
        </w:rPr>
      </w:pPr>
      <w:r>
        <w:rPr>
          <w:b/>
        </w:rPr>
        <w:t>项目变更前生产废水排放表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2"/>
        <w:gridCol w:w="2502"/>
        <w:gridCol w:w="209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99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废水类别</w:t>
            </w:r>
          </w:p>
        </w:tc>
        <w:tc>
          <w:tcPr>
            <w:tcW w:w="250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209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排放浓度mg/L</w:t>
            </w:r>
          </w:p>
        </w:tc>
        <w:tc>
          <w:tcPr>
            <w:tcW w:w="170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restart"/>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4"/>
              </w:rPr>
              <w:t>纯水站供X</w:t>
            </w:r>
            <w:r>
              <w:rPr>
                <w:rFonts w:hint="eastAsia" w:ascii="Arial" w:hAnsi="Arial" w:eastAsia="宋体" w:cs="Arial"/>
                <w:sz w:val="21"/>
                <w:szCs w:val="24"/>
              </w:rPr>
              <w:t>19车间镍豆镍粉</w:t>
            </w:r>
            <w:r>
              <w:rPr>
                <w:rFonts w:ascii="Arial" w:hAnsi="Arial" w:eastAsia="宋体" w:cs="Arial"/>
                <w:sz w:val="21"/>
                <w:szCs w:val="24"/>
              </w:rPr>
              <w:t>处置线产生的浓水</w:t>
            </w: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2092" w:type="dxa"/>
            <w:vAlign w:val="center"/>
          </w:tcPr>
          <w:p>
            <w:pPr>
              <w:adjustRightInd w:val="0"/>
              <w:snapToGrid w:val="0"/>
              <w:jc w:val="center"/>
              <w:rPr>
                <w:rFonts w:ascii="Arial" w:hAnsi="Arial" w:eastAsia="宋体" w:cs="Arial"/>
                <w:sz w:val="21"/>
                <w:szCs w:val="21"/>
              </w:rPr>
            </w:pPr>
            <w:r>
              <w:rPr>
                <w:rFonts w:ascii="Arial" w:hAnsi="Arial" w:cs="Arial"/>
                <w:sz w:val="21"/>
                <w:szCs w:val="21"/>
              </w:rPr>
              <w:t>/</w:t>
            </w:r>
          </w:p>
        </w:tc>
        <w:tc>
          <w:tcPr>
            <w:tcW w:w="1702" w:type="dxa"/>
            <w:vAlign w:val="center"/>
          </w:tcPr>
          <w:p>
            <w:pPr>
              <w:adjustRightInd w:val="0"/>
              <w:snapToGrid w:val="0"/>
              <w:jc w:val="center"/>
              <w:rPr>
                <w:rFonts w:ascii="Arial" w:hAnsi="Arial" w:eastAsia="宋体" w:cs="Arial"/>
                <w:sz w:val="21"/>
                <w:szCs w:val="21"/>
                <w:highlight w:val="yellow"/>
              </w:rPr>
            </w:pPr>
            <w:r>
              <w:rPr>
                <w:rFonts w:ascii="Arial" w:hAnsi="Arial" w:eastAsia="宋体" w:cs="Arial"/>
                <w:sz w:val="21"/>
                <w:szCs w:val="21"/>
              </w:rPr>
              <w:t>144767.7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1702" w:type="dxa"/>
            <w:vAlign w:val="center"/>
          </w:tcPr>
          <w:p>
            <w:pPr>
              <w:adjustRightInd w:val="0"/>
              <w:snapToGrid w:val="0"/>
              <w:jc w:val="center"/>
              <w:rPr>
                <w:rFonts w:ascii="Arial" w:hAnsi="Arial" w:cs="Arial"/>
                <w:sz w:val="21"/>
                <w:szCs w:val="21"/>
              </w:rPr>
            </w:pPr>
            <w:r>
              <w:rPr>
                <w:rFonts w:hint="eastAsia" w:ascii="Arial" w:hAnsi="Arial" w:cs="Arial"/>
                <w:sz w:val="21"/>
                <w:szCs w:val="21"/>
              </w:rPr>
              <w:t>37.6396</w:t>
            </w:r>
          </w:p>
        </w:tc>
      </w:tr>
    </w:tbl>
    <w:p>
      <w:pPr>
        <w:pStyle w:val="5"/>
        <w:spacing w:line="500" w:lineRule="exact"/>
        <w:ind w:firstLine="490" w:firstLineChars="200"/>
      </w:pPr>
      <w:r>
        <w:t>2、生活污水</w:t>
      </w:r>
    </w:p>
    <w:p>
      <w:pPr>
        <w:pStyle w:val="5"/>
        <w:spacing w:line="500" w:lineRule="exact"/>
        <w:ind w:firstLine="490" w:firstLineChars="200"/>
      </w:pPr>
      <w:r>
        <w:t>生活污水经地埋式三级化粪池处理后排入园区污水管道，排向大榄坪污水处理厂处理。</w:t>
      </w:r>
    </w:p>
    <w:p>
      <w:pPr>
        <w:pStyle w:val="5"/>
        <w:keepNext/>
        <w:numPr>
          <w:ilvl w:val="0"/>
          <w:numId w:val="12"/>
        </w:numPr>
        <w:spacing w:line="480" w:lineRule="exact"/>
        <w:ind w:left="0" w:firstLine="0"/>
        <w:jc w:val="center"/>
        <w:outlineLvl w:val="4"/>
        <w:rPr>
          <w:b/>
        </w:rPr>
      </w:pPr>
      <w:r>
        <w:rPr>
          <w:b/>
        </w:rPr>
        <w:t>项目变更前生活污水排放表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4237"/>
        <w:gridCol w:w="3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项目</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排放浓度（mg/L）</w:t>
            </w:r>
          </w:p>
        </w:tc>
        <w:tc>
          <w:tcPr>
            <w:tcW w:w="3273" w:type="dxa"/>
            <w:shd w:val="clear" w:color="auto" w:fill="auto"/>
            <w:vAlign w:val="center"/>
          </w:tcPr>
          <w:p>
            <w:pPr>
              <w:pStyle w:val="5"/>
              <w:adjustRightInd w:val="0"/>
              <w:snapToGrid w:val="0"/>
              <w:spacing w:line="240" w:lineRule="auto"/>
              <w:ind w:firstLine="0"/>
              <w:jc w:val="center"/>
              <w:rPr>
                <w:sz w:val="21"/>
              </w:rPr>
            </w:pPr>
            <w:r>
              <w:rPr>
                <w:sz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水量</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1584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COD</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200</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BOD</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80</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28.3</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0.045</w:t>
            </w:r>
          </w:p>
        </w:tc>
      </w:tr>
    </w:tbl>
    <w:p>
      <w:pPr>
        <w:pStyle w:val="5"/>
        <w:spacing w:line="500" w:lineRule="exact"/>
        <w:ind w:firstLine="0"/>
        <w:outlineLvl w:val="3"/>
        <w:rPr>
          <w:b/>
        </w:rPr>
      </w:pPr>
      <w:r>
        <w:rPr>
          <w:b/>
        </w:rPr>
        <w:t>2.</w:t>
      </w:r>
      <w:r>
        <w:rPr>
          <w:rFonts w:hint="eastAsia"/>
          <w:b/>
        </w:rPr>
        <w:t>5</w:t>
      </w:r>
      <w:r>
        <w:rPr>
          <w:b/>
        </w:rPr>
        <w:t>.3.2项目变更后废水源强汇总</w:t>
      </w:r>
    </w:p>
    <w:p>
      <w:pPr>
        <w:pStyle w:val="5"/>
        <w:spacing w:line="500" w:lineRule="exact"/>
        <w:ind w:firstLine="490" w:firstLineChars="200"/>
      </w:pPr>
      <w:r>
        <w:t>1、生产线废水</w:t>
      </w:r>
    </w:p>
    <w:p>
      <w:pPr>
        <w:pStyle w:val="5"/>
        <w:spacing w:line="500" w:lineRule="exact"/>
        <w:ind w:firstLine="490" w:firstLineChars="200"/>
      </w:pPr>
      <w:r>
        <w:t>羟基钴生产线</w:t>
      </w:r>
      <w:r>
        <w:rPr>
          <w:rFonts w:hint="eastAsia"/>
        </w:rPr>
        <w:t>生产废水在X19车间经板框压滤预处理后，通过管道泵入S7污水处理车间，经脱氨、陶瓷膜过滤处理后，通过管道泵入S8、S9污水处理车间，经4#~12#MVR处理，MVR处理后的开路母液通过管道泵入厂区综合污水处理站，经臭氧催化氧化处理后排入废水总排口</w:t>
      </w:r>
      <w:r>
        <w:t>，依托大榄坪污水处理厂排海管道排入A2排污区。</w:t>
      </w:r>
    </w:p>
    <w:p>
      <w:pPr>
        <w:pStyle w:val="5"/>
        <w:keepNext/>
        <w:numPr>
          <w:ilvl w:val="0"/>
          <w:numId w:val="12"/>
        </w:numPr>
        <w:spacing w:line="480" w:lineRule="exact"/>
        <w:ind w:left="0" w:firstLine="0"/>
        <w:jc w:val="center"/>
        <w:outlineLvl w:val="4"/>
        <w:rPr>
          <w:b/>
        </w:rPr>
      </w:pPr>
      <w:r>
        <w:rPr>
          <w:b/>
        </w:rPr>
        <w:t>项目变更后生产废水排放表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2"/>
        <w:gridCol w:w="2502"/>
        <w:gridCol w:w="209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99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废水类别</w:t>
            </w:r>
          </w:p>
        </w:tc>
        <w:tc>
          <w:tcPr>
            <w:tcW w:w="250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209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排放浓度mg/L</w:t>
            </w:r>
          </w:p>
        </w:tc>
        <w:tc>
          <w:tcPr>
            <w:tcW w:w="1702" w:type="dxa"/>
            <w:vAlign w:val="center"/>
          </w:tcPr>
          <w:p>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restart"/>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羟基钴</w:t>
            </w:r>
            <w:r>
              <w:rPr>
                <w:rFonts w:ascii="Arial" w:hAnsi="Arial" w:eastAsia="宋体" w:cs="Arial"/>
                <w:sz w:val="21"/>
                <w:szCs w:val="24"/>
              </w:rPr>
              <w:t>生产线</w:t>
            </w:r>
            <w:r>
              <w:rPr>
                <w:rFonts w:hint="eastAsia" w:ascii="Arial" w:hAnsi="Arial" w:eastAsia="宋体" w:cs="Arial"/>
                <w:sz w:val="21"/>
                <w:szCs w:val="24"/>
              </w:rPr>
              <w:t>生产</w:t>
            </w:r>
            <w:r>
              <w:rPr>
                <w:rFonts w:ascii="Arial" w:hAnsi="Arial" w:eastAsia="宋体" w:cs="Arial"/>
                <w:sz w:val="21"/>
                <w:szCs w:val="24"/>
              </w:rPr>
              <w:t>废水MVR开路母液</w:t>
            </w:r>
          </w:p>
        </w:tc>
        <w:tc>
          <w:tcPr>
            <w:tcW w:w="2502"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2092" w:type="dxa"/>
            <w:vAlign w:val="center"/>
          </w:tcPr>
          <w:p>
            <w:pPr>
              <w:adjustRightInd w:val="0"/>
              <w:snapToGrid w:val="0"/>
              <w:jc w:val="center"/>
              <w:rPr>
                <w:rFonts w:ascii="Arial" w:hAnsi="Arial" w:eastAsia="宋体" w:cs="Arial"/>
                <w:sz w:val="21"/>
                <w:szCs w:val="21"/>
              </w:rPr>
            </w:pPr>
            <w:r>
              <w:rPr>
                <w:rFonts w:ascii="Arial" w:hAnsi="Arial"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38.5</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5.3</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209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18360</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86.1084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209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0.13</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restart"/>
            <w:vAlign w:val="center"/>
          </w:tcPr>
          <w:p>
            <w:pPr>
              <w:topLinePunct/>
              <w:autoSpaceDE w:val="0"/>
              <w:autoSpaceDN w:val="0"/>
              <w:adjustRightInd w:val="0"/>
              <w:snapToGrid w:val="0"/>
              <w:jc w:val="center"/>
              <w:rPr>
                <w:rFonts w:ascii="Arial" w:hAnsi="Arial" w:eastAsia="宋体" w:cs="Arial"/>
                <w:sz w:val="21"/>
                <w:szCs w:val="21"/>
                <w:highlight w:val="yellow"/>
              </w:rPr>
            </w:pPr>
            <w:r>
              <w:rPr>
                <w:rFonts w:ascii="Arial" w:hAnsi="Arial" w:eastAsia="宋体" w:cs="Arial"/>
                <w:sz w:val="21"/>
                <w:szCs w:val="24"/>
              </w:rPr>
              <w:t>纯水站供</w:t>
            </w:r>
            <w:r>
              <w:rPr>
                <w:rFonts w:hint="eastAsia" w:ascii="Arial" w:hAnsi="Arial" w:eastAsia="宋体" w:cs="Arial"/>
                <w:sz w:val="21"/>
                <w:szCs w:val="24"/>
              </w:rPr>
              <w:t>本项目</w:t>
            </w:r>
            <w:r>
              <w:rPr>
                <w:rFonts w:ascii="Arial" w:hAnsi="Arial" w:eastAsia="宋体" w:cs="Arial"/>
                <w:sz w:val="21"/>
                <w:szCs w:val="24"/>
              </w:rPr>
              <w:t>产生的浓水</w:t>
            </w: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2092" w:type="dxa"/>
            <w:vAlign w:val="center"/>
          </w:tcPr>
          <w:p>
            <w:pPr>
              <w:adjustRightInd w:val="0"/>
              <w:snapToGrid w:val="0"/>
              <w:jc w:val="center"/>
              <w:rPr>
                <w:rFonts w:ascii="Arial" w:hAnsi="Arial" w:eastAsia="宋体" w:cs="Arial"/>
                <w:sz w:val="21"/>
                <w:szCs w:val="21"/>
              </w:rPr>
            </w:pPr>
            <w:r>
              <w:rPr>
                <w:rFonts w:ascii="Arial" w:hAnsi="Arial"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21364.2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highlight w:val="yellow"/>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4.2728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highlight w:val="yellow"/>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4"/>
                <w:highlight w:val="yellow"/>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20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1702" w:type="dxa"/>
            <w:vAlign w:val="center"/>
          </w:tcPr>
          <w:p>
            <w:pPr>
              <w:adjustRightInd w:val="0"/>
              <w:snapToGrid w:val="0"/>
              <w:jc w:val="center"/>
              <w:rPr>
                <w:rFonts w:ascii="Arial" w:hAnsi="Arial" w:cs="Arial"/>
                <w:sz w:val="21"/>
                <w:szCs w:val="21"/>
              </w:rPr>
            </w:pPr>
            <w:r>
              <w:rPr>
                <w:rFonts w:hint="eastAsia" w:ascii="Arial" w:hAnsi="Arial" w:cs="Arial"/>
                <w:sz w:val="21"/>
                <w:szCs w:val="21"/>
              </w:rPr>
              <w:t>5.5547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restart"/>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合计</w:t>
            </w: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992" w:type="dxa"/>
            <w:vMerge w:val="continue"/>
            <w:vAlign w:val="center"/>
          </w:tcPr>
          <w:p>
            <w:pPr>
              <w:topLinePunct/>
              <w:autoSpaceDE w:val="0"/>
              <w:autoSpaceDN w:val="0"/>
              <w:adjustRightInd w:val="0"/>
              <w:snapToGrid w:val="0"/>
              <w:jc w:val="center"/>
              <w:rPr>
                <w:rFonts w:ascii="Arial" w:hAnsi="Arial" w:eastAsia="宋体" w:cs="Arial"/>
                <w:sz w:val="21"/>
                <w:szCs w:val="21"/>
              </w:rPr>
            </w:pPr>
          </w:p>
        </w:tc>
        <w:tc>
          <w:tcPr>
            <w:tcW w:w="250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2092"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0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bl>
    <w:p>
      <w:pPr>
        <w:pStyle w:val="5"/>
        <w:spacing w:line="500" w:lineRule="exact"/>
        <w:ind w:firstLine="490" w:firstLineChars="200"/>
      </w:pPr>
      <w:r>
        <w:t>2、生活污水</w:t>
      </w:r>
    </w:p>
    <w:p>
      <w:pPr>
        <w:pStyle w:val="5"/>
        <w:spacing w:line="500" w:lineRule="exact"/>
        <w:ind w:firstLine="490" w:firstLineChars="200"/>
      </w:pPr>
      <w:r>
        <w:t>生活污水经地埋式三级化粪池处理后排入园区污水管道，排向大榄坪污水处理厂处理。</w:t>
      </w:r>
    </w:p>
    <w:p>
      <w:pPr>
        <w:pStyle w:val="5"/>
        <w:keepNext/>
        <w:numPr>
          <w:ilvl w:val="0"/>
          <w:numId w:val="12"/>
        </w:numPr>
        <w:spacing w:line="480" w:lineRule="exact"/>
        <w:ind w:left="0" w:firstLine="0"/>
        <w:jc w:val="center"/>
        <w:outlineLvl w:val="4"/>
        <w:rPr>
          <w:b/>
        </w:rPr>
      </w:pPr>
      <w:r>
        <w:rPr>
          <w:b/>
        </w:rPr>
        <w:t>项目变更后生活污水排放表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4237"/>
        <w:gridCol w:w="3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项目</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排放浓度（mg/L）</w:t>
            </w:r>
          </w:p>
        </w:tc>
        <w:tc>
          <w:tcPr>
            <w:tcW w:w="3273" w:type="dxa"/>
            <w:shd w:val="clear" w:color="auto" w:fill="auto"/>
            <w:vAlign w:val="center"/>
          </w:tcPr>
          <w:p>
            <w:pPr>
              <w:pStyle w:val="5"/>
              <w:adjustRightInd w:val="0"/>
              <w:snapToGrid w:val="0"/>
              <w:spacing w:line="240" w:lineRule="auto"/>
              <w:ind w:firstLine="0"/>
              <w:jc w:val="center"/>
              <w:rPr>
                <w:sz w:val="21"/>
              </w:rPr>
            </w:pPr>
            <w:r>
              <w:rPr>
                <w:sz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水量</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1584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COD</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200</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BOD</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80</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78" w:type="dxa"/>
            <w:shd w:val="clear" w:color="auto" w:fill="auto"/>
            <w:vAlign w:val="center"/>
          </w:tcPr>
          <w:p>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4237" w:type="dxa"/>
            <w:shd w:val="clear" w:color="auto" w:fill="auto"/>
            <w:vAlign w:val="center"/>
          </w:tcPr>
          <w:p>
            <w:pPr>
              <w:pStyle w:val="5"/>
              <w:adjustRightInd w:val="0"/>
              <w:snapToGrid w:val="0"/>
              <w:spacing w:line="240" w:lineRule="auto"/>
              <w:ind w:firstLine="0"/>
              <w:jc w:val="center"/>
              <w:rPr>
                <w:sz w:val="21"/>
              </w:rPr>
            </w:pPr>
            <w:r>
              <w:rPr>
                <w:sz w:val="21"/>
              </w:rPr>
              <w:t>28.3</w:t>
            </w:r>
          </w:p>
        </w:tc>
        <w:tc>
          <w:tcPr>
            <w:tcW w:w="3273" w:type="dxa"/>
            <w:shd w:val="clear" w:color="auto" w:fill="auto"/>
            <w:vAlign w:val="center"/>
          </w:tcPr>
          <w:p>
            <w:pPr>
              <w:pStyle w:val="5"/>
              <w:adjustRightInd w:val="0"/>
              <w:snapToGrid w:val="0"/>
              <w:spacing w:line="240" w:lineRule="auto"/>
              <w:ind w:firstLine="0"/>
              <w:jc w:val="center"/>
              <w:rPr>
                <w:sz w:val="21"/>
              </w:rPr>
            </w:pPr>
            <w:r>
              <w:rPr>
                <w:rFonts w:hint="eastAsia"/>
                <w:sz w:val="21"/>
              </w:rPr>
              <w:t>0.045</w:t>
            </w:r>
          </w:p>
        </w:tc>
      </w:tr>
    </w:tbl>
    <w:p>
      <w:pPr>
        <w:pStyle w:val="5"/>
        <w:spacing w:line="500" w:lineRule="exact"/>
        <w:ind w:firstLine="0"/>
        <w:outlineLvl w:val="3"/>
        <w:rPr>
          <w:b/>
          <w:highlight w:val="yellow"/>
        </w:rPr>
      </w:pPr>
      <w:r>
        <w:rPr>
          <w:b/>
        </w:rPr>
        <w:t>2.</w:t>
      </w:r>
      <w:r>
        <w:rPr>
          <w:rFonts w:hint="eastAsia"/>
          <w:b/>
        </w:rPr>
        <w:t>5</w:t>
      </w:r>
      <w:r>
        <w:rPr>
          <w:b/>
        </w:rPr>
        <w:t>.3.3项目变更前后废水污染物源强对比</w:t>
      </w:r>
    </w:p>
    <w:p>
      <w:pPr>
        <w:pStyle w:val="5"/>
        <w:keepNext/>
        <w:numPr>
          <w:ilvl w:val="0"/>
          <w:numId w:val="12"/>
        </w:numPr>
        <w:spacing w:line="480" w:lineRule="exact"/>
        <w:ind w:left="0" w:firstLine="0"/>
        <w:jc w:val="center"/>
        <w:outlineLvl w:val="4"/>
        <w:rPr>
          <w:b/>
        </w:rPr>
      </w:pPr>
      <w:r>
        <w:rPr>
          <w:b/>
        </w:rPr>
        <w:t>项目变更前后废水源强对比表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8"/>
        <w:gridCol w:w="1378"/>
        <w:gridCol w:w="702"/>
        <w:gridCol w:w="1605"/>
        <w:gridCol w:w="1605"/>
        <w:gridCol w:w="1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6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变更前后增减量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restart"/>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r>
              <w:rPr>
                <w:rFonts w:ascii="Arial" w:hAnsi="Arial" w:eastAsia="宋体" w:cs="Arial"/>
                <w:sz w:val="21"/>
                <w:szCs w:val="21"/>
                <w:u w:val="single"/>
              </w:rPr>
              <w:t>生产废水</w:t>
            </w:r>
          </w:p>
          <w:p>
            <w:pPr>
              <w:widowControl/>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（MVR开路母液）</w:t>
            </w: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废水量</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4690</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COD</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氨氮</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硫酸盐</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u w:val="single"/>
              </w:rPr>
            </w:pPr>
            <w:r>
              <w:rPr>
                <w:rFonts w:hint="eastAsia" w:ascii="Arial" w:hAnsi="Arial" w:cs="Arial"/>
                <w:sz w:val="21"/>
                <w:szCs w:val="21"/>
                <w:u w:val="single"/>
              </w:rPr>
              <w:t>0</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86.1084</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+86.1084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钴</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restart"/>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r>
              <w:rPr>
                <w:rFonts w:ascii="Arial" w:hAnsi="Arial" w:eastAsia="宋体" w:cs="Arial"/>
                <w:sz w:val="21"/>
                <w:szCs w:val="21"/>
                <w:u w:val="single"/>
              </w:rPr>
              <w:t>纯水站浓水</w:t>
            </w: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144767.7</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21364.2</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-123403.5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28.9535</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4.2728</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-24.6807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氯化物</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8.6861</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1.2819</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-7.4042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u w:val="single"/>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u w:val="single"/>
              </w:rPr>
            </w:pPr>
            <w:r>
              <w:rPr>
                <w:rFonts w:hint="eastAsia" w:ascii="Arial" w:hAnsi="Arial" w:cs="Arial"/>
                <w:sz w:val="21"/>
                <w:szCs w:val="21"/>
                <w:u w:val="single"/>
              </w:rPr>
              <w:t>37.6396</w:t>
            </w:r>
          </w:p>
        </w:tc>
        <w:tc>
          <w:tcPr>
            <w:tcW w:w="160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u w:val="single"/>
              </w:rPr>
            </w:pPr>
            <w:r>
              <w:rPr>
                <w:rFonts w:hint="eastAsia" w:ascii="Arial" w:hAnsi="Arial" w:cs="Arial"/>
                <w:sz w:val="21"/>
                <w:szCs w:val="21"/>
                <w:u w:val="single"/>
              </w:rPr>
              <w:t>5.5547</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-32.0849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restart"/>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生活污水</w:t>
            </w: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1584</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1584</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0.317</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0.317</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BOD</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0.127</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0.127</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8" w:type="dxa"/>
            <w:vMerge w:val="continue"/>
            <w:tcBorders>
              <w:left w:val="single" w:color="auto" w:sz="4" w:space="0"/>
              <w:right w:val="single" w:color="auto" w:sz="4" w:space="0"/>
            </w:tcBorders>
            <w:vAlign w:val="center"/>
          </w:tcPr>
          <w:p>
            <w:pPr>
              <w:widowControl/>
              <w:adjustRightInd w:val="0"/>
              <w:snapToGrid w:val="0"/>
              <w:jc w:val="center"/>
              <w:rPr>
                <w:rFonts w:ascii="Arial" w:hAnsi="Arial" w:eastAsia="宋体" w:cs="Arial"/>
                <w:sz w:val="21"/>
                <w:szCs w:val="21"/>
              </w:rPr>
            </w:pPr>
          </w:p>
        </w:tc>
        <w:tc>
          <w:tcPr>
            <w:tcW w:w="1378"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-N</w:t>
            </w:r>
          </w:p>
        </w:tc>
        <w:tc>
          <w:tcPr>
            <w:tcW w:w="7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0.045</w:t>
            </w:r>
          </w:p>
        </w:tc>
        <w:tc>
          <w:tcPr>
            <w:tcW w:w="160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rPr>
            </w:pPr>
            <w:r>
              <w:rPr>
                <w:rFonts w:hint="eastAsia"/>
                <w:sz w:val="21"/>
              </w:rPr>
              <w:t>0.045</w:t>
            </w:r>
          </w:p>
        </w:tc>
        <w:tc>
          <w:tcPr>
            <w:tcW w:w="18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bl>
    <w:p>
      <w:pPr>
        <w:pStyle w:val="5"/>
        <w:spacing w:line="500" w:lineRule="exact"/>
        <w:ind w:firstLine="0"/>
        <w:outlineLvl w:val="3"/>
        <w:rPr>
          <w:b/>
        </w:rPr>
      </w:pPr>
      <w:bookmarkStart w:id="269" w:name="_Toc104677272"/>
      <w:r>
        <w:rPr>
          <w:b/>
        </w:rPr>
        <w:t>2.</w:t>
      </w:r>
      <w:r>
        <w:rPr>
          <w:rFonts w:hint="eastAsia"/>
          <w:b/>
        </w:rPr>
        <w:t>5</w:t>
      </w:r>
      <w:r>
        <w:rPr>
          <w:b/>
        </w:rPr>
        <w:t>.3.4项目变更后全厂废水总排口情况</w:t>
      </w:r>
    </w:p>
    <w:p>
      <w:pPr>
        <w:pStyle w:val="5"/>
        <w:spacing w:line="500" w:lineRule="exact"/>
        <w:ind w:firstLine="490" w:firstLineChars="200"/>
      </w:pPr>
      <w:r>
        <w:t>项目变更后全厂废水总排口情况见表2-</w:t>
      </w:r>
      <w:r>
        <w:rPr>
          <w:rFonts w:hint="eastAsia"/>
        </w:rPr>
        <w:t>74</w:t>
      </w:r>
      <w:r>
        <w:t>。</w:t>
      </w:r>
    </w:p>
    <w:p>
      <w:pPr>
        <w:pStyle w:val="5"/>
        <w:spacing w:line="500" w:lineRule="exact"/>
        <w:ind w:firstLine="0"/>
        <w:outlineLvl w:val="3"/>
        <w:rPr>
          <w:b/>
          <w:highlight w:val="yellow"/>
        </w:rPr>
        <w:sectPr>
          <w:pgSz w:w="11907" w:h="16840"/>
          <w:pgMar w:top="1678" w:right="1134" w:bottom="1899" w:left="1134" w:header="1134" w:footer="1134" w:gutter="567"/>
          <w:cols w:space="720" w:num="1"/>
          <w:docGrid w:type="linesAndChars" w:linePitch="428" w:charSpace="-3161"/>
        </w:sectPr>
      </w:pPr>
    </w:p>
    <w:p>
      <w:pPr>
        <w:pStyle w:val="5"/>
        <w:keepNext/>
        <w:numPr>
          <w:ilvl w:val="0"/>
          <w:numId w:val="12"/>
        </w:numPr>
        <w:spacing w:line="480" w:lineRule="exact"/>
        <w:jc w:val="center"/>
        <w:outlineLvl w:val="4"/>
        <w:rPr>
          <w:b/>
        </w:rPr>
      </w:pPr>
      <w:r>
        <w:rPr>
          <w:b/>
        </w:rPr>
        <w:t>全厂废水总排口排放情况表</w:t>
      </w:r>
    </w:p>
    <w:tbl>
      <w:tblPr>
        <w:tblStyle w:val="88"/>
        <w:tblW w:w="13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894"/>
        <w:gridCol w:w="1340"/>
        <w:gridCol w:w="1739"/>
        <w:gridCol w:w="1739"/>
        <w:gridCol w:w="882"/>
        <w:gridCol w:w="882"/>
        <w:gridCol w:w="1442"/>
        <w:gridCol w:w="1739"/>
        <w:gridCol w:w="1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项目</w:t>
            </w:r>
          </w:p>
        </w:tc>
        <w:tc>
          <w:tcPr>
            <w:tcW w:w="2234" w:type="dxa"/>
            <w:gridSpan w:val="2"/>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变更前排放口情况</w:t>
            </w:r>
          </w:p>
        </w:tc>
        <w:tc>
          <w:tcPr>
            <w:tcW w:w="1739"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本项目变更前</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1739"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本项目变更后</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3206" w:type="dxa"/>
            <w:gridSpan w:val="3"/>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变更</w:t>
            </w:r>
            <w:r>
              <w:rPr>
                <w:rFonts w:ascii="Arial" w:hAnsi="Arial" w:eastAsia="宋体" w:cs="Arial"/>
                <w:spacing w:val="10"/>
                <w:sz w:val="21"/>
                <w:szCs w:val="21"/>
              </w:rPr>
              <w:t>后排放口情况</w:t>
            </w:r>
          </w:p>
        </w:tc>
        <w:tc>
          <w:tcPr>
            <w:tcW w:w="1739"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变更前后对比</w:t>
            </w:r>
          </w:p>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t/a</w:t>
            </w:r>
          </w:p>
        </w:tc>
        <w:tc>
          <w:tcPr>
            <w:tcW w:w="1731"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原环评全厂</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894"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浓度</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1340"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1739"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739"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88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标准</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88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浓度</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144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排放量</w:t>
            </w:r>
          </w:p>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t/a</w:t>
            </w:r>
          </w:p>
        </w:tc>
        <w:tc>
          <w:tcPr>
            <w:tcW w:w="1739" w:type="dxa"/>
            <w:vMerge w:val="continue"/>
            <w:vAlign w:val="center"/>
          </w:tcPr>
          <w:p>
            <w:pPr>
              <w:adjustRightInd w:val="0"/>
              <w:snapToGrid w:val="0"/>
              <w:jc w:val="center"/>
              <w:rPr>
                <w:rFonts w:ascii="Arial" w:hAnsi="Arial" w:eastAsia="宋体" w:cs="Arial"/>
                <w:spacing w:val="10"/>
                <w:sz w:val="21"/>
                <w:szCs w:val="21"/>
              </w:rPr>
            </w:pPr>
          </w:p>
        </w:tc>
        <w:tc>
          <w:tcPr>
            <w:tcW w:w="1731" w:type="dxa"/>
            <w:vMerge w:val="continue"/>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2120900.34</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144767.7</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-118713.5</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3615711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28</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58.6509</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50</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29</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58.8315</w:t>
            </w:r>
          </w:p>
        </w:tc>
        <w:tc>
          <w:tcPr>
            <w:tcW w:w="1739"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0.1806</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122.831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2.8</w:t>
            </w:r>
            <w:r>
              <w:rPr>
                <w:rFonts w:hint="eastAsia" w:ascii="Arial" w:hAnsi="Arial" w:eastAsia="宋体" w:cs="Arial"/>
                <w:kern w:val="0"/>
                <w:sz w:val="21"/>
                <w:szCs w:val="21"/>
              </w:rPr>
              <w:t>6</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6.0564</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10</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3.0</w:t>
            </w:r>
            <w:r>
              <w:rPr>
                <w:rFonts w:hint="eastAsia" w:ascii="Arial" w:hAnsi="Arial" w:cs="Arial"/>
                <w:sz w:val="21"/>
                <w:szCs w:val="21"/>
              </w:rPr>
              <w:t>4</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6.0813</w:t>
            </w:r>
          </w:p>
        </w:tc>
        <w:tc>
          <w:tcPr>
            <w:tcW w:w="1739"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0.0249</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31.899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4722</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10014.7886</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5033</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10076.2163</w:t>
            </w:r>
          </w:p>
        </w:tc>
        <w:tc>
          <w:tcPr>
            <w:tcW w:w="1739"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61.4277</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2762</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5858.2194</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2922</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5850.8152</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-7.4042</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7</w:t>
            </w:r>
            <w:r>
              <w:rPr>
                <w:rFonts w:hint="eastAsia" w:ascii="Arial" w:hAnsi="Arial" w:eastAsia="宋体" w:cs="Arial"/>
                <w:kern w:val="0"/>
                <w:sz w:val="21"/>
                <w:szCs w:val="21"/>
              </w:rPr>
              <w:t>484</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15873.008</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37.6396</w:t>
            </w:r>
          </w:p>
        </w:tc>
        <w:tc>
          <w:tcPr>
            <w:tcW w:w="1739"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16700</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7952</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159</w:t>
            </w:r>
            <w:r>
              <w:rPr>
                <w:rFonts w:hint="eastAsia" w:ascii="Arial" w:hAnsi="Arial" w:cs="Arial"/>
                <w:sz w:val="21"/>
                <w:szCs w:val="21"/>
              </w:rPr>
              <w:t>27.0315</w:t>
            </w:r>
          </w:p>
        </w:tc>
        <w:tc>
          <w:tcPr>
            <w:tcW w:w="1739"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54.0235</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60486.344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镍</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0.12</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0.2502</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0.1</w:t>
            </w:r>
            <w:r>
              <w:rPr>
                <w:rFonts w:hint="eastAsia" w:ascii="Arial" w:hAnsi="Arial" w:cs="Arial"/>
                <w:sz w:val="21"/>
                <w:szCs w:val="21"/>
              </w:rPr>
              <w:t>2</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0.2502</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0</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w:t>
            </w:r>
            <w:r>
              <w:rPr>
                <w:rFonts w:hint="eastAsia" w:ascii="Arial" w:hAnsi="Arial" w:eastAsia="宋体" w:cs="Arial"/>
                <w:kern w:val="0"/>
                <w:sz w:val="21"/>
                <w:szCs w:val="21"/>
              </w:rPr>
              <w:t>4</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0.3061</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0.0006</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0.15</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0.3067</w:t>
            </w:r>
          </w:p>
        </w:tc>
        <w:tc>
          <w:tcPr>
            <w:tcW w:w="1739"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0.0006</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锰</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0.15</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0.3215</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0.16</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0.3215</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0</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0.632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铜</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0.01</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0.022</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0.5</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0.01</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0.022</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0</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石油类</w:t>
            </w:r>
          </w:p>
        </w:tc>
        <w:tc>
          <w:tcPr>
            <w:tcW w:w="894"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1.10</w:t>
            </w:r>
          </w:p>
        </w:tc>
        <w:tc>
          <w:tcPr>
            <w:tcW w:w="1340"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2.3282</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1739"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882"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3</w:t>
            </w:r>
          </w:p>
        </w:tc>
        <w:tc>
          <w:tcPr>
            <w:tcW w:w="88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1.1</w:t>
            </w:r>
            <w:r>
              <w:rPr>
                <w:rFonts w:hint="eastAsia" w:ascii="Arial" w:hAnsi="Arial" w:cs="Arial"/>
                <w:sz w:val="21"/>
                <w:szCs w:val="21"/>
              </w:rPr>
              <w:t>6</w:t>
            </w:r>
          </w:p>
        </w:tc>
        <w:tc>
          <w:tcPr>
            <w:tcW w:w="144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2.3282</w:t>
            </w:r>
          </w:p>
        </w:tc>
        <w:tc>
          <w:tcPr>
            <w:tcW w:w="1739" w:type="dxa"/>
            <w:vAlign w:val="center"/>
          </w:tcPr>
          <w:p>
            <w:pPr>
              <w:adjustRightInd w:val="0"/>
              <w:snapToGrid w:val="0"/>
              <w:jc w:val="center"/>
              <w:rPr>
                <w:rFonts w:ascii="Arial" w:hAnsi="Arial" w:eastAsia="宋体" w:cs="Arial"/>
                <w:sz w:val="21"/>
                <w:szCs w:val="21"/>
              </w:rPr>
            </w:pPr>
            <w:r>
              <w:rPr>
                <w:rFonts w:ascii="Arial" w:hAnsi="Arial" w:cs="Arial"/>
                <w:sz w:val="21"/>
                <w:szCs w:val="21"/>
              </w:rPr>
              <w:t>0</w:t>
            </w:r>
          </w:p>
        </w:tc>
        <w:tc>
          <w:tcPr>
            <w:tcW w:w="1731" w:type="dxa"/>
            <w:vAlign w:val="center"/>
          </w:tcPr>
          <w:p>
            <w:pPr>
              <w:adjustRightInd w:val="0"/>
              <w:snapToGrid w:val="0"/>
              <w:jc w:val="center"/>
              <w:rPr>
                <w:rFonts w:ascii="Arial" w:hAnsi="Arial" w:cs="Arial"/>
                <w:sz w:val="21"/>
                <w:szCs w:val="21"/>
              </w:rPr>
            </w:pPr>
            <w:r>
              <w:rPr>
                <w:rFonts w:ascii="Arial" w:hAnsi="Arial" w:cs="Arial"/>
                <w:sz w:val="21"/>
                <w:szCs w:val="21"/>
              </w:rPr>
              <w:t>4.556</w:t>
            </w:r>
          </w:p>
        </w:tc>
      </w:tr>
    </w:tbl>
    <w:p>
      <w:pPr>
        <w:pStyle w:val="5"/>
        <w:spacing w:line="500" w:lineRule="exact"/>
        <w:ind w:firstLine="490" w:firstLineChars="200"/>
      </w:pPr>
      <w:r>
        <w:t>根据上表可知，项目变更后废水总排放口满足《无机化学工业污染物排放标准》（GB31573-2015）直接排放限值要求。</w:t>
      </w:r>
    </w:p>
    <w:p>
      <w:pPr>
        <w:pStyle w:val="5"/>
        <w:spacing w:line="500" w:lineRule="exact"/>
        <w:ind w:firstLine="490" w:firstLineChars="200"/>
      </w:pPr>
    </w:p>
    <w:p>
      <w:pPr>
        <w:pStyle w:val="5"/>
        <w:spacing w:line="500" w:lineRule="exact"/>
        <w:ind w:firstLine="490" w:firstLineChars="200"/>
        <w:rPr>
          <w:highlight w:val="yellow"/>
        </w:rPr>
        <w:sectPr>
          <w:pgSz w:w="16840" w:h="11907" w:orient="landscape"/>
          <w:pgMar w:top="1134" w:right="1678" w:bottom="1134" w:left="1899" w:header="1134" w:footer="1134" w:gutter="567"/>
          <w:cols w:space="720" w:num="1"/>
          <w:docGrid w:type="linesAndChars" w:linePitch="428" w:charSpace="-3161"/>
        </w:sectPr>
      </w:pPr>
    </w:p>
    <w:p>
      <w:pPr>
        <w:pStyle w:val="5"/>
        <w:spacing w:line="500" w:lineRule="exact"/>
        <w:ind w:firstLine="0"/>
        <w:outlineLvl w:val="3"/>
        <w:rPr>
          <w:b/>
        </w:rPr>
      </w:pPr>
      <w:r>
        <w:rPr>
          <w:b/>
        </w:rPr>
        <w:t>2.4.3.</w:t>
      </w:r>
      <w:r>
        <w:rPr>
          <w:rFonts w:hint="eastAsia"/>
          <w:b/>
        </w:rPr>
        <w:t>5项目实施后全厂高盐废水盐回收率</w:t>
      </w:r>
    </w:p>
    <w:p>
      <w:pPr>
        <w:pStyle w:val="5"/>
      </w:pPr>
      <w:r>
        <w:rPr>
          <w:rFonts w:hint="eastAsia"/>
        </w:rPr>
        <w:t>根据《广西中伟新能源项目一期新能源材料一体化项目（重大变动）环境影响报告书（报批稿）》（以下简称“一体化项目变更”）对本项目变更前全厂全盐产生、排放量核算，全厂高盐废水全盐产生量为257702.2638t/a，全盐排放量为15873.008t/a，全厂盐回收率为93.8%。</w:t>
      </w:r>
    </w:p>
    <w:p>
      <w:pPr>
        <w:pStyle w:val="5"/>
      </w:pPr>
      <w:r>
        <w:rPr>
          <w:rFonts w:hint="eastAsia"/>
        </w:rPr>
        <w:t>根据上文工程分析可知，羟基钴生产线高盐废水中全盐产生量为1230.12t/a，排放量为86.1084t/a；本项目实施后，全厂高盐废水中全盐产生量为258932.3838t/a，排放量为15953.4454t/a，盐回收率93.8%，满足盐回收率＞90%的要求。</w:t>
      </w:r>
    </w:p>
    <w:p>
      <w:pPr>
        <w:pStyle w:val="6"/>
        <w:numPr>
          <w:ilvl w:val="2"/>
          <w:numId w:val="11"/>
        </w:numPr>
        <w:tabs>
          <w:tab w:val="left" w:pos="1080"/>
        </w:tabs>
        <w:spacing w:line="400" w:lineRule="exact"/>
        <w:rPr>
          <w:rFonts w:ascii="Arial" w:hAnsi="Arial" w:eastAsia="宋体" w:cs="Arial"/>
        </w:rPr>
      </w:pPr>
      <w:r>
        <w:rPr>
          <w:rFonts w:ascii="Arial" w:hAnsi="Arial" w:eastAsia="宋体" w:cs="Arial"/>
        </w:rPr>
        <w:t>噪声污染源强汇总</w:t>
      </w:r>
      <w:bookmarkEnd w:id="269"/>
    </w:p>
    <w:p>
      <w:pPr>
        <w:pStyle w:val="5"/>
        <w:keepNext/>
        <w:numPr>
          <w:ilvl w:val="0"/>
          <w:numId w:val="12"/>
        </w:numPr>
        <w:adjustRightInd w:val="0"/>
        <w:snapToGrid w:val="0"/>
        <w:spacing w:line="480" w:lineRule="exact"/>
        <w:ind w:left="0" w:firstLine="0"/>
        <w:jc w:val="center"/>
        <w:outlineLvl w:val="4"/>
        <w:rPr>
          <w:b/>
        </w:rPr>
      </w:pPr>
      <w:r>
        <w:rPr>
          <w:b/>
        </w:rPr>
        <w:t>项目变更前后噪声源</w:t>
      </w:r>
    </w:p>
    <w:tbl>
      <w:tblPr>
        <w:tblStyle w:val="88"/>
        <w:tblW w:w="9288" w:type="dxa"/>
        <w:tblInd w:w="0" w:type="dxa"/>
        <w:tblLayout w:type="fixed"/>
        <w:tblCellMar>
          <w:top w:w="0" w:type="dxa"/>
          <w:left w:w="108" w:type="dxa"/>
          <w:bottom w:w="0" w:type="dxa"/>
          <w:right w:w="108" w:type="dxa"/>
        </w:tblCellMar>
      </w:tblPr>
      <w:tblGrid>
        <w:gridCol w:w="674"/>
        <w:gridCol w:w="1418"/>
        <w:gridCol w:w="712"/>
        <w:gridCol w:w="1273"/>
        <w:gridCol w:w="1276"/>
        <w:gridCol w:w="990"/>
        <w:gridCol w:w="1561"/>
        <w:gridCol w:w="1384"/>
      </w:tblGrid>
      <w:tr>
        <w:tblPrEx>
          <w:tblLayout w:type="fixed"/>
          <w:tblCellMar>
            <w:top w:w="0" w:type="dxa"/>
            <w:left w:w="108" w:type="dxa"/>
            <w:bottom w:w="0" w:type="dxa"/>
            <w:right w:w="108" w:type="dxa"/>
          </w:tblCellMar>
        </w:tblPrEx>
        <w:trPr>
          <w:trHeight w:val="340" w:hRule="atLeast"/>
        </w:trPr>
        <w:tc>
          <w:tcPr>
            <w:tcW w:w="674" w:type="dxa"/>
            <w:vMerge w:val="restart"/>
            <w:tcBorders>
              <w:top w:val="single" w:color="000000" w:sz="4" w:space="0"/>
              <w:left w:val="single" w:color="000000" w:sz="4" w:space="0"/>
              <w:right w:val="single" w:color="000000" w:sz="4" w:space="0"/>
            </w:tcBorders>
            <w:noWrap/>
            <w:vAlign w:val="center"/>
          </w:tcPr>
          <w:p>
            <w:pPr>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序号</w:t>
            </w:r>
          </w:p>
        </w:tc>
        <w:tc>
          <w:tcPr>
            <w:tcW w:w="1418" w:type="dxa"/>
            <w:vMerge w:val="restart"/>
            <w:tcBorders>
              <w:top w:val="single" w:color="000000" w:sz="4" w:space="0"/>
              <w:left w:val="single" w:color="000000" w:sz="4" w:space="0"/>
              <w:right w:val="single" w:color="000000" w:sz="4" w:space="0"/>
            </w:tcBorders>
            <w:noWrap/>
            <w:vAlign w:val="center"/>
          </w:tcPr>
          <w:p>
            <w:pPr>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设备名称</w:t>
            </w:r>
          </w:p>
        </w:tc>
        <w:tc>
          <w:tcPr>
            <w:tcW w:w="3261" w:type="dxa"/>
            <w:gridSpan w:val="3"/>
            <w:tcBorders>
              <w:top w:val="single" w:color="000000" w:sz="4" w:space="0"/>
              <w:left w:val="single" w:color="000000" w:sz="4" w:space="0"/>
              <w:bottom w:val="single" w:color="000000" w:sz="4" w:space="0"/>
              <w:right w:val="single" w:color="000000" w:sz="4" w:space="0"/>
            </w:tcBorders>
            <w:noWrap/>
            <w:vAlign w:val="center"/>
          </w:tcPr>
          <w:p>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变更前</w:t>
            </w:r>
          </w:p>
        </w:tc>
        <w:tc>
          <w:tcPr>
            <w:tcW w:w="3935" w:type="dxa"/>
            <w:gridSpan w:val="3"/>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变更后</w:t>
            </w:r>
          </w:p>
        </w:tc>
      </w:tr>
      <w:tr>
        <w:tblPrEx>
          <w:tblLayout w:type="fixed"/>
          <w:tblCellMar>
            <w:top w:w="0" w:type="dxa"/>
            <w:left w:w="108" w:type="dxa"/>
            <w:bottom w:w="0" w:type="dxa"/>
            <w:right w:w="108" w:type="dxa"/>
          </w:tblCellMar>
        </w:tblPrEx>
        <w:trPr>
          <w:trHeight w:val="340" w:hRule="atLeast"/>
        </w:trPr>
        <w:tc>
          <w:tcPr>
            <w:tcW w:w="674" w:type="dxa"/>
            <w:vMerge w:val="continue"/>
            <w:tcBorders>
              <w:left w:val="single" w:color="000000" w:sz="4" w:space="0"/>
              <w:bottom w:val="single" w:color="000000" w:sz="4" w:space="0"/>
              <w:right w:val="single" w:color="000000" w:sz="4" w:space="0"/>
            </w:tcBorders>
            <w:noWrap/>
            <w:vAlign w:val="center"/>
          </w:tcPr>
          <w:p>
            <w:pPr>
              <w:widowControl/>
              <w:adjustRightInd w:val="0"/>
              <w:snapToGrid w:val="0"/>
              <w:jc w:val="center"/>
              <w:textAlignment w:val="center"/>
              <w:rPr>
                <w:rFonts w:ascii="Arial" w:hAnsi="Arial" w:eastAsia="宋体" w:cs="Arial"/>
                <w:b/>
                <w:bCs/>
                <w:sz w:val="21"/>
                <w:szCs w:val="21"/>
              </w:rPr>
            </w:pPr>
          </w:p>
        </w:tc>
        <w:tc>
          <w:tcPr>
            <w:tcW w:w="1418" w:type="dxa"/>
            <w:vMerge w:val="continue"/>
            <w:tcBorders>
              <w:left w:val="single" w:color="000000" w:sz="4" w:space="0"/>
              <w:bottom w:val="single" w:color="000000" w:sz="4" w:space="0"/>
              <w:right w:val="single" w:color="000000" w:sz="4" w:space="0"/>
            </w:tcBorders>
            <w:noWrap/>
            <w:vAlign w:val="center"/>
          </w:tcPr>
          <w:p>
            <w:pPr>
              <w:widowControl/>
              <w:adjustRightInd w:val="0"/>
              <w:snapToGrid w:val="0"/>
              <w:jc w:val="center"/>
              <w:textAlignment w:val="center"/>
              <w:rPr>
                <w:rFonts w:ascii="Arial" w:hAnsi="Arial" w:eastAsia="宋体" w:cs="Arial"/>
                <w:b/>
                <w:bCs/>
                <w:sz w:val="21"/>
                <w:szCs w:val="21"/>
              </w:rPr>
            </w:pPr>
          </w:p>
        </w:tc>
        <w:tc>
          <w:tcPr>
            <w:tcW w:w="712" w:type="dxa"/>
            <w:tcBorders>
              <w:top w:val="single" w:color="000000" w:sz="4" w:space="0"/>
              <w:left w:val="single" w:color="000000" w:sz="4" w:space="0"/>
              <w:bottom w:val="single" w:color="000000" w:sz="4" w:space="0"/>
              <w:right w:val="single" w:color="000000" w:sz="4" w:space="0"/>
            </w:tcBorders>
            <w:noWrap/>
            <w:vAlign w:val="center"/>
          </w:tcPr>
          <w:p>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数量</w:t>
            </w:r>
          </w:p>
        </w:tc>
        <w:tc>
          <w:tcPr>
            <w:tcW w:w="1273"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治理措施</w:t>
            </w:r>
          </w:p>
        </w:tc>
        <w:tc>
          <w:tcPr>
            <w:tcW w:w="1276"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sz w:val="21"/>
                <w:szCs w:val="24"/>
              </w:rPr>
              <w:t>降噪后噪声值</w:t>
            </w:r>
            <w:r>
              <w:rPr>
                <w:rFonts w:ascii="Arial" w:hAnsi="Arial" w:eastAsia="宋体" w:cs="Arial"/>
                <w:b/>
                <w:sz w:val="21"/>
                <w:szCs w:val="24"/>
                <w:lang w:val="zh-CN"/>
              </w:rPr>
              <w:t>dB(A)</w:t>
            </w:r>
          </w:p>
        </w:tc>
        <w:tc>
          <w:tcPr>
            <w:tcW w:w="99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sz w:val="21"/>
                <w:szCs w:val="24"/>
              </w:rPr>
            </w:pPr>
            <w:r>
              <w:rPr>
                <w:rFonts w:ascii="Arial" w:hAnsi="Arial" w:eastAsia="宋体" w:cs="Arial"/>
                <w:b/>
                <w:bCs/>
                <w:kern w:val="0"/>
                <w:sz w:val="21"/>
                <w:szCs w:val="21"/>
                <w:lang w:bidi="ar"/>
              </w:rPr>
              <w:t>数量</w:t>
            </w:r>
          </w:p>
        </w:tc>
        <w:tc>
          <w:tcPr>
            <w:tcW w:w="1561"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sz w:val="21"/>
                <w:szCs w:val="24"/>
              </w:rPr>
            </w:pPr>
            <w:r>
              <w:rPr>
                <w:rFonts w:ascii="Arial" w:hAnsi="Arial" w:eastAsia="宋体" w:cs="Arial"/>
                <w:b/>
                <w:bCs/>
                <w:kern w:val="0"/>
                <w:sz w:val="21"/>
                <w:szCs w:val="21"/>
                <w:lang w:bidi="ar"/>
              </w:rPr>
              <w:t>治理措施</w:t>
            </w:r>
          </w:p>
        </w:tc>
        <w:tc>
          <w:tcPr>
            <w:tcW w:w="1384"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降噪后噪声值</w:t>
            </w:r>
            <w:r>
              <w:rPr>
                <w:rFonts w:ascii="Arial" w:hAnsi="Arial" w:eastAsia="宋体" w:cs="Arial"/>
                <w:b/>
                <w:sz w:val="21"/>
                <w:szCs w:val="24"/>
                <w:lang w:val="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1418"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54</w:t>
            </w:r>
          </w:p>
        </w:tc>
        <w:tc>
          <w:tcPr>
            <w:tcW w:w="1273" w:type="dxa"/>
            <w:vMerge w:val="restart"/>
            <w:vAlign w:val="center"/>
          </w:tcPr>
          <w:p>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基础减振、厂房隔声</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44</w:t>
            </w:r>
          </w:p>
        </w:tc>
        <w:tc>
          <w:tcPr>
            <w:tcW w:w="1561" w:type="dxa"/>
            <w:vMerge w:val="restart"/>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kern w:val="0"/>
                <w:sz w:val="21"/>
                <w:szCs w:val="21"/>
                <w:lang w:bidi="ar"/>
              </w:rPr>
              <w:t>基础减振、厂房隔声</w:t>
            </w: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1418"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板框压滤机</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3</w:t>
            </w:r>
          </w:p>
        </w:tc>
        <w:tc>
          <w:tcPr>
            <w:tcW w:w="1273" w:type="dxa"/>
            <w:vMerge w:val="continue"/>
            <w:vAlign w:val="center"/>
          </w:tcPr>
          <w:p>
            <w:pPr>
              <w:topLinePunct/>
              <w:autoSpaceDE w:val="0"/>
              <w:autoSpaceDN w:val="0"/>
              <w:adjustRightInd w:val="0"/>
              <w:snapToGrid w:val="0"/>
              <w:jc w:val="center"/>
              <w:rPr>
                <w:rFonts w:ascii="Arial" w:hAnsi="Arial" w:eastAsia="宋体" w:cs="Arial"/>
                <w:sz w:val="21"/>
                <w:szCs w:val="24"/>
                <w:lang w:val="zh-CN"/>
              </w:rPr>
            </w:pP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1561"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1418"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风机</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6</w:t>
            </w:r>
          </w:p>
        </w:tc>
        <w:tc>
          <w:tcPr>
            <w:tcW w:w="1273"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2</w:t>
            </w:r>
          </w:p>
        </w:tc>
        <w:tc>
          <w:tcPr>
            <w:tcW w:w="1561"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w:t>
            </w:r>
          </w:p>
        </w:tc>
        <w:tc>
          <w:tcPr>
            <w:tcW w:w="1418"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kern w:val="0"/>
                <w:sz w:val="21"/>
                <w:szCs w:val="21"/>
              </w:rPr>
              <w:t>烘箱</w:t>
            </w:r>
          </w:p>
        </w:tc>
        <w:tc>
          <w:tcPr>
            <w:tcW w:w="712" w:type="dxa"/>
            <w:vAlign w:val="center"/>
          </w:tcPr>
          <w:p>
            <w:pPr>
              <w:adjustRightInd w:val="0"/>
              <w:snapToGrid w:val="0"/>
              <w:jc w:val="center"/>
              <w:rPr>
                <w:rFonts w:ascii="Arial" w:hAnsi="Arial" w:cs="Arial"/>
                <w:sz w:val="21"/>
                <w:szCs w:val="22"/>
              </w:rPr>
            </w:pPr>
            <w:r>
              <w:rPr>
                <w:rFonts w:hint="eastAsia" w:ascii="Arial" w:hAnsi="Arial" w:cs="Arial"/>
                <w:sz w:val="21"/>
                <w:szCs w:val="22"/>
              </w:rPr>
              <w:t>0</w:t>
            </w:r>
          </w:p>
        </w:tc>
        <w:tc>
          <w:tcPr>
            <w:tcW w:w="1273"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1561" w:type="dxa"/>
            <w:vMerge w:val="continue"/>
            <w:vAlign w:val="center"/>
          </w:tcPr>
          <w:p>
            <w:pPr>
              <w:topLinePunct/>
              <w:autoSpaceDE w:val="0"/>
              <w:autoSpaceDN w:val="0"/>
              <w:adjustRightInd w:val="0"/>
              <w:snapToGrid w:val="0"/>
              <w:jc w:val="center"/>
              <w:rPr>
                <w:rFonts w:ascii="Arial" w:hAnsi="Arial" w:eastAsia="宋体" w:cs="Arial"/>
                <w:sz w:val="21"/>
                <w:szCs w:val="24"/>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5</w:t>
            </w:r>
          </w:p>
        </w:tc>
        <w:tc>
          <w:tcPr>
            <w:tcW w:w="1418"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对辊机</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1273" w:type="dxa"/>
            <w:vAlign w:val="center"/>
          </w:tcPr>
          <w:p>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w:t>
            </w:r>
          </w:p>
        </w:tc>
        <w:tc>
          <w:tcPr>
            <w:tcW w:w="1561" w:type="dxa"/>
            <w:vMerge w:val="continue"/>
            <w:vAlign w:val="center"/>
          </w:tcPr>
          <w:p>
            <w:pPr>
              <w:topLinePunct/>
              <w:autoSpaceDE w:val="0"/>
              <w:autoSpaceDN w:val="0"/>
              <w:adjustRightInd w:val="0"/>
              <w:snapToGrid w:val="0"/>
              <w:jc w:val="center"/>
              <w:rPr>
                <w:rFonts w:ascii="Arial" w:hAnsi="Arial" w:eastAsia="宋体" w:cs="Arial"/>
                <w:bCs/>
                <w:kern w:val="0"/>
                <w:sz w:val="21"/>
                <w:szCs w:val="21"/>
                <w:lang w:bidi="ar"/>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w:t>
            </w:r>
          </w:p>
        </w:tc>
        <w:tc>
          <w:tcPr>
            <w:tcW w:w="1418"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气流磨</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1273" w:type="dxa"/>
            <w:vAlign w:val="center"/>
          </w:tcPr>
          <w:p>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w:t>
            </w:r>
          </w:p>
        </w:tc>
        <w:tc>
          <w:tcPr>
            <w:tcW w:w="1561" w:type="dxa"/>
            <w:vMerge w:val="continue"/>
            <w:vAlign w:val="center"/>
          </w:tcPr>
          <w:p>
            <w:pPr>
              <w:topLinePunct/>
              <w:autoSpaceDE w:val="0"/>
              <w:autoSpaceDN w:val="0"/>
              <w:adjustRightInd w:val="0"/>
              <w:snapToGrid w:val="0"/>
              <w:jc w:val="center"/>
              <w:rPr>
                <w:rFonts w:ascii="Arial" w:hAnsi="Arial" w:eastAsia="宋体" w:cs="Arial"/>
                <w:bCs/>
                <w:kern w:val="0"/>
                <w:sz w:val="21"/>
                <w:szCs w:val="21"/>
                <w:lang w:bidi="ar"/>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w:t>
            </w:r>
          </w:p>
        </w:tc>
        <w:tc>
          <w:tcPr>
            <w:tcW w:w="1418"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空压机</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1273" w:type="dxa"/>
            <w:vAlign w:val="center"/>
          </w:tcPr>
          <w:p>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11</w:t>
            </w:r>
          </w:p>
        </w:tc>
        <w:tc>
          <w:tcPr>
            <w:tcW w:w="1561" w:type="dxa"/>
            <w:vMerge w:val="continue"/>
            <w:vAlign w:val="center"/>
          </w:tcPr>
          <w:p>
            <w:pPr>
              <w:topLinePunct/>
              <w:autoSpaceDE w:val="0"/>
              <w:autoSpaceDN w:val="0"/>
              <w:adjustRightInd w:val="0"/>
              <w:snapToGrid w:val="0"/>
              <w:jc w:val="center"/>
              <w:rPr>
                <w:rFonts w:ascii="Arial" w:hAnsi="Arial" w:eastAsia="宋体" w:cs="Arial"/>
                <w:bCs/>
                <w:kern w:val="0"/>
                <w:sz w:val="21"/>
                <w:szCs w:val="21"/>
                <w:lang w:bidi="ar"/>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1418" w:type="dxa"/>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包装机</w:t>
            </w:r>
          </w:p>
        </w:tc>
        <w:tc>
          <w:tcPr>
            <w:tcW w:w="712" w:type="dxa"/>
            <w:vAlign w:val="center"/>
          </w:tcPr>
          <w:p>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1273" w:type="dxa"/>
            <w:vAlign w:val="center"/>
          </w:tcPr>
          <w:p>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1276"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990"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2</w:t>
            </w:r>
          </w:p>
        </w:tc>
        <w:tc>
          <w:tcPr>
            <w:tcW w:w="1561" w:type="dxa"/>
            <w:vMerge w:val="continue"/>
            <w:vAlign w:val="center"/>
          </w:tcPr>
          <w:p>
            <w:pPr>
              <w:topLinePunct/>
              <w:autoSpaceDE w:val="0"/>
              <w:autoSpaceDN w:val="0"/>
              <w:adjustRightInd w:val="0"/>
              <w:snapToGrid w:val="0"/>
              <w:jc w:val="center"/>
              <w:rPr>
                <w:rFonts w:ascii="Arial" w:hAnsi="Arial" w:eastAsia="宋体" w:cs="Arial"/>
                <w:bCs/>
                <w:kern w:val="0"/>
                <w:sz w:val="21"/>
                <w:szCs w:val="21"/>
                <w:lang w:bidi="ar"/>
              </w:rPr>
            </w:pPr>
          </w:p>
        </w:tc>
        <w:tc>
          <w:tcPr>
            <w:tcW w:w="1384" w:type="dxa"/>
            <w:vAlign w:val="center"/>
          </w:tcPr>
          <w:p>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bl>
    <w:p>
      <w:pPr>
        <w:pStyle w:val="6"/>
        <w:numPr>
          <w:ilvl w:val="2"/>
          <w:numId w:val="11"/>
        </w:numPr>
        <w:tabs>
          <w:tab w:val="left" w:pos="1080"/>
        </w:tabs>
        <w:spacing w:line="400" w:lineRule="exact"/>
        <w:rPr>
          <w:rFonts w:ascii="Arial" w:hAnsi="Arial" w:eastAsia="宋体" w:cs="Arial"/>
        </w:rPr>
      </w:pPr>
      <w:r>
        <w:rPr>
          <w:rFonts w:ascii="Arial" w:hAnsi="Arial" w:eastAsia="宋体" w:cs="Arial"/>
        </w:rPr>
        <w:t>固废污染源强汇总</w:t>
      </w:r>
    </w:p>
    <w:p>
      <w:pPr>
        <w:pStyle w:val="5"/>
        <w:spacing w:line="500" w:lineRule="exact"/>
        <w:ind w:firstLine="0"/>
        <w:outlineLvl w:val="3"/>
        <w:rPr>
          <w:b/>
        </w:rPr>
      </w:pPr>
      <w:r>
        <w:rPr>
          <w:b/>
        </w:rPr>
        <w:t>2.</w:t>
      </w:r>
      <w:r>
        <w:rPr>
          <w:rFonts w:hint="eastAsia"/>
          <w:b/>
        </w:rPr>
        <w:t>5</w:t>
      </w:r>
      <w:r>
        <w:rPr>
          <w:b/>
        </w:rPr>
        <w:t>.5.1项目变更前后固废源强汇总</w:t>
      </w:r>
    </w:p>
    <w:p>
      <w:pPr>
        <w:pStyle w:val="5"/>
        <w:keepNext/>
        <w:numPr>
          <w:ilvl w:val="0"/>
          <w:numId w:val="12"/>
        </w:numPr>
        <w:spacing w:line="480" w:lineRule="exact"/>
        <w:ind w:left="0" w:firstLine="0"/>
        <w:jc w:val="center"/>
        <w:outlineLvl w:val="4"/>
        <w:rPr>
          <w:b/>
        </w:rPr>
      </w:pPr>
      <w:r>
        <w:rPr>
          <w:b/>
        </w:rPr>
        <w:t>项目变更前后固废源强汇总表</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900"/>
        <w:gridCol w:w="834"/>
        <w:gridCol w:w="1908"/>
        <w:gridCol w:w="1906"/>
        <w:gridCol w:w="1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8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9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8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190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b/>
                <w:sz w:val="21"/>
                <w:szCs w:val="21"/>
              </w:rPr>
            </w:pPr>
            <w:r>
              <w:rPr>
                <w:rFonts w:ascii="Arial" w:hAnsi="Arial" w:eastAsia="宋体" w:cs="Arial"/>
                <w:b/>
                <w:sz w:val="21"/>
                <w:szCs w:val="21"/>
              </w:rPr>
              <w:t>变更前后对比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4" w:type="dxa"/>
            <w:vMerge w:val="restart"/>
            <w:tcBorders>
              <w:top w:val="single" w:color="auto" w:sz="4" w:space="0"/>
              <w:left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固废</w:t>
            </w:r>
          </w:p>
        </w:tc>
        <w:tc>
          <w:tcPr>
            <w:tcW w:w="19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一般工业固废</w:t>
            </w:r>
          </w:p>
        </w:tc>
        <w:tc>
          <w:tcPr>
            <w:tcW w:w="8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90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4" w:type="dxa"/>
            <w:vMerge w:val="continue"/>
            <w:tcBorders>
              <w:left w:val="single" w:color="auto" w:sz="4" w:space="0"/>
              <w:right w:val="single" w:color="auto" w:sz="4" w:space="0"/>
            </w:tcBorders>
            <w:vAlign w:val="center"/>
          </w:tcPr>
          <w:p>
            <w:pPr>
              <w:adjustRightInd w:val="0"/>
              <w:snapToGrid w:val="0"/>
              <w:jc w:val="center"/>
              <w:rPr>
                <w:rFonts w:ascii="Arial" w:hAnsi="Arial" w:eastAsia="宋体" w:cs="Arial"/>
                <w:sz w:val="21"/>
                <w:szCs w:val="21"/>
              </w:rPr>
            </w:pPr>
          </w:p>
        </w:tc>
        <w:tc>
          <w:tcPr>
            <w:tcW w:w="19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危险废物</w:t>
            </w:r>
          </w:p>
        </w:tc>
        <w:tc>
          <w:tcPr>
            <w:tcW w:w="8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90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0.5</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4" w:type="dxa"/>
            <w:vMerge w:val="continue"/>
            <w:tcBorders>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p>
        </w:tc>
        <w:tc>
          <w:tcPr>
            <w:tcW w:w="19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生活垃圾</w:t>
            </w:r>
          </w:p>
        </w:tc>
        <w:tc>
          <w:tcPr>
            <w:tcW w:w="8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90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9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r>
    </w:tbl>
    <w:p>
      <w:pPr>
        <w:pStyle w:val="5"/>
        <w:spacing w:line="500" w:lineRule="exact"/>
        <w:ind w:firstLine="0"/>
        <w:outlineLvl w:val="3"/>
        <w:rPr>
          <w:b/>
        </w:rPr>
      </w:pPr>
      <w:r>
        <w:rPr>
          <w:b/>
        </w:rPr>
        <w:t>2.</w:t>
      </w:r>
      <w:r>
        <w:rPr>
          <w:rFonts w:hint="eastAsia"/>
          <w:b/>
        </w:rPr>
        <w:t>5</w:t>
      </w:r>
      <w:r>
        <w:rPr>
          <w:b/>
        </w:rPr>
        <w:t>.5.2项目变更后危废产生情况汇总</w:t>
      </w:r>
    </w:p>
    <w:p>
      <w:pPr>
        <w:pStyle w:val="5"/>
        <w:adjustRightInd w:val="0"/>
        <w:snapToGrid w:val="0"/>
        <w:spacing w:line="500" w:lineRule="exact"/>
        <w:ind w:firstLine="490" w:firstLineChars="200"/>
        <w:rPr>
          <w:b/>
        </w:rPr>
      </w:pPr>
    </w:p>
    <w:p>
      <w:pPr>
        <w:pStyle w:val="5"/>
        <w:keepNext/>
        <w:numPr>
          <w:ilvl w:val="0"/>
          <w:numId w:val="12"/>
        </w:numPr>
        <w:adjustRightInd w:val="0"/>
        <w:snapToGrid w:val="0"/>
        <w:spacing w:line="480" w:lineRule="exact"/>
        <w:ind w:left="0" w:firstLine="0"/>
        <w:jc w:val="center"/>
        <w:outlineLvl w:val="4"/>
        <w:rPr>
          <w:b/>
        </w:rPr>
      </w:pPr>
      <w:r>
        <w:rPr>
          <w:b/>
        </w:rPr>
        <w:t>项目变更后危废排放情况</w:t>
      </w:r>
    </w:p>
    <w:tbl>
      <w:tblPr>
        <w:tblStyle w:val="88"/>
        <w:tblW w:w="928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3"/>
        <w:gridCol w:w="689"/>
        <w:gridCol w:w="676"/>
        <w:gridCol w:w="1215"/>
        <w:gridCol w:w="736"/>
        <w:gridCol w:w="737"/>
        <w:gridCol w:w="726"/>
        <w:gridCol w:w="411"/>
        <w:gridCol w:w="726"/>
        <w:gridCol w:w="856"/>
        <w:gridCol w:w="732"/>
        <w:gridCol w:w="648"/>
        <w:gridCol w:w="7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PrEx>
        <w:trPr>
          <w:trHeight w:val="340" w:hRule="atLeast"/>
          <w:jc w:val="center"/>
        </w:trPr>
        <w:tc>
          <w:tcPr>
            <w:tcW w:w="41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序号</w:t>
            </w:r>
          </w:p>
        </w:tc>
        <w:tc>
          <w:tcPr>
            <w:tcW w:w="68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名称</w:t>
            </w:r>
          </w:p>
        </w:tc>
        <w:tc>
          <w:tcPr>
            <w:tcW w:w="67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危废类别</w:t>
            </w:r>
          </w:p>
        </w:tc>
        <w:tc>
          <w:tcPr>
            <w:tcW w:w="1215"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代码</w:t>
            </w:r>
          </w:p>
        </w:tc>
        <w:tc>
          <w:tcPr>
            <w:tcW w:w="73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变更前排</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放量（t/a）</w:t>
            </w:r>
          </w:p>
        </w:tc>
        <w:tc>
          <w:tcPr>
            <w:tcW w:w="737"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变更后排</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放量（t/a）</w:t>
            </w:r>
          </w:p>
        </w:tc>
        <w:tc>
          <w:tcPr>
            <w:tcW w:w="72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产生工序</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及装置</w:t>
            </w:r>
          </w:p>
        </w:tc>
        <w:tc>
          <w:tcPr>
            <w:tcW w:w="41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形态</w:t>
            </w:r>
          </w:p>
        </w:tc>
        <w:tc>
          <w:tcPr>
            <w:tcW w:w="72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主要成分</w:t>
            </w:r>
          </w:p>
        </w:tc>
        <w:tc>
          <w:tcPr>
            <w:tcW w:w="85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有害成分</w:t>
            </w:r>
          </w:p>
        </w:tc>
        <w:tc>
          <w:tcPr>
            <w:tcW w:w="732"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产废周期</w:t>
            </w:r>
          </w:p>
        </w:tc>
        <w:tc>
          <w:tcPr>
            <w:tcW w:w="648"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危险特性</w:t>
            </w:r>
          </w:p>
        </w:tc>
        <w:tc>
          <w:tcPr>
            <w:tcW w:w="72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w:t>
            </w:r>
          </w:p>
        </w:tc>
        <w:tc>
          <w:tcPr>
            <w:tcW w:w="68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废润滑油</w:t>
            </w:r>
          </w:p>
        </w:tc>
        <w:tc>
          <w:tcPr>
            <w:tcW w:w="67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HW08</w:t>
            </w:r>
          </w:p>
        </w:tc>
        <w:tc>
          <w:tcPr>
            <w:tcW w:w="1215"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900-214-08</w:t>
            </w:r>
          </w:p>
        </w:tc>
        <w:tc>
          <w:tcPr>
            <w:tcW w:w="736" w:type="dxa"/>
            <w:vAlign w:val="center"/>
          </w:tcPr>
          <w:p>
            <w:pPr>
              <w:topLinePunct/>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737" w:type="dxa"/>
            <w:vAlign w:val="center"/>
          </w:tcPr>
          <w:p>
            <w:pPr>
              <w:topLinePunct/>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0.5</w:t>
            </w:r>
          </w:p>
        </w:tc>
        <w:tc>
          <w:tcPr>
            <w:tcW w:w="72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sz w:val="21"/>
                <w:szCs w:val="21"/>
              </w:rPr>
              <w:t>设备维修</w:t>
            </w:r>
          </w:p>
        </w:tc>
        <w:tc>
          <w:tcPr>
            <w:tcW w:w="41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液态</w:t>
            </w:r>
          </w:p>
        </w:tc>
        <w:tc>
          <w:tcPr>
            <w:tcW w:w="72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润滑油</w:t>
            </w:r>
          </w:p>
        </w:tc>
        <w:tc>
          <w:tcPr>
            <w:tcW w:w="856"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废油</w:t>
            </w:r>
          </w:p>
        </w:tc>
        <w:tc>
          <w:tcPr>
            <w:tcW w:w="732"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1次/半年</w:t>
            </w:r>
          </w:p>
        </w:tc>
        <w:tc>
          <w:tcPr>
            <w:tcW w:w="648"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T、I</w:t>
            </w:r>
          </w:p>
        </w:tc>
        <w:tc>
          <w:tcPr>
            <w:tcW w:w="72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危废间暂存，委托处置</w:t>
            </w:r>
          </w:p>
        </w:tc>
      </w:tr>
    </w:tbl>
    <w:p>
      <w:pPr>
        <w:pStyle w:val="5"/>
        <w:adjustRightInd w:val="0"/>
        <w:snapToGrid w:val="0"/>
        <w:spacing w:line="240" w:lineRule="auto"/>
        <w:ind w:firstLine="0"/>
        <w:rPr>
          <w:b/>
          <w:sz w:val="21"/>
        </w:rPr>
      </w:pPr>
      <w:r>
        <w:rPr>
          <w:b/>
          <w:sz w:val="21"/>
        </w:rPr>
        <w:t>*T：对生态环境和人体健康具有有害影响的毒性，I：易燃性。</w:t>
      </w:r>
    </w:p>
    <w:p>
      <w:pPr>
        <w:pStyle w:val="6"/>
        <w:numPr>
          <w:ilvl w:val="2"/>
          <w:numId w:val="11"/>
        </w:numPr>
        <w:tabs>
          <w:tab w:val="left" w:pos="1080"/>
        </w:tabs>
        <w:spacing w:line="400" w:lineRule="exact"/>
        <w:rPr>
          <w:rFonts w:ascii="Arial" w:hAnsi="Arial" w:eastAsia="宋体" w:cs="Arial"/>
        </w:rPr>
      </w:pPr>
      <w:bookmarkStart w:id="270" w:name="_Toc104677274"/>
      <w:r>
        <w:rPr>
          <w:rFonts w:ascii="Arial" w:hAnsi="Arial" w:eastAsia="宋体" w:cs="Arial"/>
        </w:rPr>
        <w:t>项目污染源强汇总</w:t>
      </w:r>
      <w:bookmarkEnd w:id="270"/>
    </w:p>
    <w:p>
      <w:pPr>
        <w:pStyle w:val="5"/>
        <w:keepNext/>
        <w:numPr>
          <w:ilvl w:val="0"/>
          <w:numId w:val="12"/>
        </w:numPr>
        <w:spacing w:line="480" w:lineRule="exact"/>
        <w:ind w:left="0" w:firstLine="0"/>
        <w:jc w:val="center"/>
        <w:outlineLvl w:val="4"/>
        <w:rPr>
          <w:b/>
        </w:rPr>
      </w:pPr>
      <w:r>
        <w:rPr>
          <w:b/>
        </w:rPr>
        <w:t>项目变更前后污染源强汇总表（t/a）</w:t>
      </w:r>
    </w:p>
    <w:tbl>
      <w:tblPr>
        <w:tblStyle w:val="8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1319"/>
        <w:gridCol w:w="1845"/>
        <w:gridCol w:w="1698"/>
        <w:gridCol w:w="1698"/>
        <w:gridCol w:w="1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类别</w:t>
            </w:r>
          </w:p>
        </w:tc>
        <w:tc>
          <w:tcPr>
            <w:tcW w:w="18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项目</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变更前排放量</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变更后排放量</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变更前后增减量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restart"/>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废气</w:t>
            </w:r>
          </w:p>
        </w:tc>
        <w:tc>
          <w:tcPr>
            <w:tcW w:w="1845" w:type="dxa"/>
            <w:shd w:val="clear" w:color="auto" w:fill="auto"/>
            <w:vAlign w:val="center"/>
          </w:tcPr>
          <w:p>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颗粒物</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1698"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936"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钴及其化合物</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98"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936"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氨气</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1698" w:type="dxa"/>
            <w:shd w:val="clear" w:color="auto" w:fill="auto"/>
            <w:noWrap/>
            <w:vAlign w:val="center"/>
          </w:tcPr>
          <w:p>
            <w:pPr>
              <w:widowControl/>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3.3399</w:t>
            </w:r>
          </w:p>
        </w:tc>
        <w:tc>
          <w:tcPr>
            <w:tcW w:w="1936" w:type="dxa"/>
            <w:shd w:val="clear" w:color="auto" w:fill="auto"/>
            <w:noWrap/>
            <w:vAlign w:val="center"/>
          </w:tcPr>
          <w:p>
            <w:pPr>
              <w:widowControl/>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+3.3399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硫酸雾</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8.012</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restart"/>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废水</w:t>
            </w:r>
          </w:p>
        </w:tc>
        <w:tc>
          <w:tcPr>
            <w:tcW w:w="1319" w:type="dxa"/>
            <w:vMerge w:val="restart"/>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生产废水</w:t>
            </w: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144767.7</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26054.2</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-118713.5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28.9535</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90.3812</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+61.4277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氯化物</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8.6861</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1.2819</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-7.4042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1698" w:type="dxa"/>
            <w:shd w:val="clear" w:color="auto" w:fill="auto"/>
            <w:noWrap/>
            <w:vAlign w:val="center"/>
          </w:tcPr>
          <w:p>
            <w:pPr>
              <w:adjustRightInd w:val="0"/>
              <w:snapToGrid w:val="0"/>
              <w:jc w:val="center"/>
              <w:rPr>
                <w:rFonts w:ascii="Arial" w:hAnsi="Arial" w:cs="Arial"/>
                <w:sz w:val="21"/>
                <w:szCs w:val="21"/>
                <w:u w:val="single"/>
              </w:rPr>
            </w:pPr>
            <w:r>
              <w:rPr>
                <w:rFonts w:hint="eastAsia" w:ascii="Arial" w:hAnsi="Arial" w:cs="Arial"/>
                <w:sz w:val="21"/>
                <w:szCs w:val="21"/>
                <w:u w:val="single"/>
              </w:rPr>
              <w:t>37.6396</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91.6631</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+54.0235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钴</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restart"/>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生活污水</w:t>
            </w: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1584</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1584</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0.317</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0.317</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BOD</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0.127</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0.127</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2"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319" w:type="dxa"/>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NH</w:t>
            </w:r>
            <w:r>
              <w:rPr>
                <w:rFonts w:ascii="Arial" w:hAnsi="Arial" w:eastAsia="宋体" w:cs="Arial"/>
                <w:sz w:val="21"/>
                <w:szCs w:val="21"/>
                <w:u w:val="single"/>
                <w:vertAlign w:val="subscript"/>
              </w:rPr>
              <w:t>3</w:t>
            </w:r>
            <w:r>
              <w:rPr>
                <w:rFonts w:ascii="Arial" w:hAnsi="Arial" w:eastAsia="宋体" w:cs="Arial"/>
                <w:sz w:val="21"/>
                <w:szCs w:val="21"/>
                <w:u w:val="single"/>
              </w:rPr>
              <w:t>-N</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0.045</w:t>
            </w:r>
          </w:p>
        </w:tc>
        <w:tc>
          <w:tcPr>
            <w:tcW w:w="1698" w:type="dxa"/>
            <w:shd w:val="clear" w:color="auto" w:fill="auto"/>
            <w:noWrap/>
            <w:vAlign w:val="center"/>
          </w:tcPr>
          <w:p>
            <w:pPr>
              <w:pStyle w:val="5"/>
              <w:adjustRightInd w:val="0"/>
              <w:snapToGrid w:val="0"/>
              <w:spacing w:line="240" w:lineRule="auto"/>
              <w:ind w:firstLine="0"/>
              <w:jc w:val="center"/>
              <w:rPr>
                <w:sz w:val="21"/>
                <w:u w:val="single"/>
              </w:rPr>
            </w:pPr>
            <w:r>
              <w:rPr>
                <w:rFonts w:hint="eastAsia"/>
                <w:sz w:val="21"/>
                <w:u w:val="single"/>
              </w:rPr>
              <w:t>0.045</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restart"/>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固废</w:t>
            </w:r>
          </w:p>
        </w:tc>
        <w:tc>
          <w:tcPr>
            <w:tcW w:w="18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一般工业固废</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危险废物</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0.5</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11" w:type="dxa"/>
            <w:gridSpan w:val="2"/>
            <w:vMerge w:val="continue"/>
            <w:shd w:val="clear" w:color="auto" w:fill="auto"/>
            <w:vAlign w:val="center"/>
          </w:tcPr>
          <w:p>
            <w:pPr>
              <w:pStyle w:val="5"/>
              <w:adjustRightInd w:val="0"/>
              <w:snapToGrid w:val="0"/>
              <w:spacing w:line="240" w:lineRule="auto"/>
              <w:ind w:firstLine="0"/>
              <w:jc w:val="center"/>
              <w:rPr>
                <w:sz w:val="21"/>
                <w:szCs w:val="21"/>
                <w:u w:val="single"/>
              </w:rPr>
            </w:pPr>
          </w:p>
        </w:tc>
        <w:tc>
          <w:tcPr>
            <w:tcW w:w="1845" w:type="dxa"/>
            <w:shd w:val="clear" w:color="auto" w:fill="auto"/>
            <w:vAlign w:val="center"/>
          </w:tcPr>
          <w:p>
            <w:pPr>
              <w:pStyle w:val="5"/>
              <w:adjustRightInd w:val="0"/>
              <w:snapToGrid w:val="0"/>
              <w:spacing w:line="240" w:lineRule="auto"/>
              <w:ind w:firstLine="0"/>
              <w:jc w:val="center"/>
              <w:rPr>
                <w:sz w:val="21"/>
                <w:szCs w:val="21"/>
                <w:u w:val="single"/>
              </w:rPr>
            </w:pPr>
            <w:r>
              <w:rPr>
                <w:sz w:val="21"/>
                <w:szCs w:val="21"/>
                <w:u w:val="single"/>
              </w:rPr>
              <w:t>生活垃圾</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1698"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1936" w:type="dxa"/>
            <w:shd w:val="clear" w:color="auto" w:fill="auto"/>
            <w:noWrap/>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r>
    </w:tbl>
    <w:p>
      <w:pPr>
        <w:pStyle w:val="4"/>
        <w:numPr>
          <w:ilvl w:val="1"/>
          <w:numId w:val="11"/>
        </w:numPr>
        <w:tabs>
          <w:tab w:val="left" w:pos="3217"/>
        </w:tabs>
        <w:spacing w:before="214" w:beforeLines="50" w:after="214" w:afterLines="50" w:line="500" w:lineRule="exact"/>
        <w:ind w:left="567"/>
        <w:rPr>
          <w:rFonts w:ascii="Arial" w:eastAsia="宋体" w:cs="Arial"/>
          <w:b/>
          <w:u w:val="single"/>
        </w:rPr>
      </w:pPr>
      <w:bookmarkStart w:id="271" w:name="_Toc185950219"/>
      <w:r>
        <w:rPr>
          <w:rFonts w:hint="eastAsia" w:ascii="Arial" w:eastAsia="宋体" w:cs="Arial"/>
          <w:b/>
          <w:u w:val="single"/>
        </w:rPr>
        <w:t>全厂污染源</w:t>
      </w:r>
      <w:r>
        <w:rPr>
          <w:rFonts w:ascii="Arial" w:eastAsia="宋体" w:cs="Arial"/>
          <w:b/>
          <w:u w:val="single"/>
        </w:rPr>
        <w:t>汇总</w:t>
      </w:r>
      <w:bookmarkEnd w:id="271"/>
    </w:p>
    <w:p>
      <w:pPr>
        <w:pStyle w:val="5"/>
        <w:rPr>
          <w:u w:val="single"/>
        </w:rPr>
      </w:pPr>
      <w:r>
        <w:rPr>
          <w:rFonts w:hint="eastAsia"/>
          <w:u w:val="single"/>
        </w:rPr>
        <w:t>本项目实施后，二阶段的镍豆镍粉生产线将被羟基钴生产线替代，全厂“以新带老”削减量为原镍豆镍粉生产线排放的污染源。全厂“三本账”见表2-79。</w:t>
      </w:r>
    </w:p>
    <w:p>
      <w:pPr>
        <w:pStyle w:val="5"/>
        <w:keepNext/>
        <w:numPr>
          <w:ilvl w:val="0"/>
          <w:numId w:val="12"/>
        </w:numPr>
        <w:spacing w:line="480" w:lineRule="exact"/>
        <w:ind w:left="0" w:firstLine="0"/>
        <w:jc w:val="center"/>
        <w:outlineLvl w:val="4"/>
        <w:rPr>
          <w:b/>
          <w:u w:val="single"/>
        </w:rPr>
      </w:pPr>
      <w:r>
        <w:rPr>
          <w:rFonts w:hint="eastAsia"/>
          <w:b/>
          <w:u w:val="single"/>
        </w:rPr>
        <w:t>全厂</w:t>
      </w:r>
      <w:r>
        <w:rPr>
          <w:b/>
          <w:u w:val="single"/>
        </w:rPr>
        <w:t>污染源汇总表（t/a）</w:t>
      </w:r>
    </w:p>
    <w:tbl>
      <w:tblPr>
        <w:tblStyle w:val="88"/>
        <w:tblW w:w="908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2"/>
        <w:gridCol w:w="1812"/>
        <w:gridCol w:w="1457"/>
        <w:gridCol w:w="1001"/>
        <w:gridCol w:w="1152"/>
        <w:gridCol w:w="1457"/>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项目</w:t>
            </w:r>
          </w:p>
        </w:tc>
        <w:tc>
          <w:tcPr>
            <w:tcW w:w="181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污染物名称</w:t>
            </w:r>
          </w:p>
        </w:tc>
        <w:tc>
          <w:tcPr>
            <w:tcW w:w="1457"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现有工程</w:t>
            </w:r>
          </w:p>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1001"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本项目</w:t>
            </w:r>
          </w:p>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115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以新带老</w:t>
            </w:r>
          </w:p>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削减量</w:t>
            </w:r>
          </w:p>
        </w:tc>
        <w:tc>
          <w:tcPr>
            <w:tcW w:w="1457"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全厂</w:t>
            </w:r>
          </w:p>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1101"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全厂排放</w:t>
            </w:r>
          </w:p>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Merge w:val="continue"/>
            <w:vAlign w:val="center"/>
          </w:tcPr>
          <w:p>
            <w:pPr>
              <w:adjustRightInd w:val="0"/>
              <w:snapToGrid w:val="0"/>
              <w:jc w:val="center"/>
              <w:rPr>
                <w:rFonts w:ascii="Arial" w:hAnsi="Arial" w:cs="Arial" w:eastAsiaTheme="minorEastAsia"/>
                <w:sz w:val="21"/>
                <w:szCs w:val="21"/>
                <w:u w:val="single"/>
              </w:rPr>
            </w:pPr>
          </w:p>
        </w:tc>
        <w:tc>
          <w:tcPr>
            <w:tcW w:w="1457" w:type="dxa"/>
            <w:vMerge w:val="continue"/>
            <w:vAlign w:val="center"/>
          </w:tcPr>
          <w:p>
            <w:pPr>
              <w:adjustRightInd w:val="0"/>
              <w:snapToGrid w:val="0"/>
              <w:jc w:val="center"/>
              <w:rPr>
                <w:rFonts w:ascii="Arial" w:hAnsi="Arial" w:cs="Arial" w:eastAsiaTheme="minorEastAsia"/>
                <w:sz w:val="21"/>
                <w:szCs w:val="21"/>
                <w:u w:val="single"/>
              </w:rPr>
            </w:pPr>
          </w:p>
        </w:tc>
        <w:tc>
          <w:tcPr>
            <w:tcW w:w="1001" w:type="dxa"/>
            <w:vMerge w:val="continue"/>
            <w:shd w:val="clear" w:color="auto" w:fill="auto"/>
            <w:vAlign w:val="center"/>
          </w:tcPr>
          <w:p>
            <w:pPr>
              <w:adjustRightInd w:val="0"/>
              <w:snapToGrid w:val="0"/>
              <w:jc w:val="center"/>
              <w:rPr>
                <w:rFonts w:ascii="Arial" w:hAnsi="Arial" w:cs="Arial" w:eastAsiaTheme="minorEastAsia"/>
                <w:sz w:val="21"/>
                <w:szCs w:val="21"/>
                <w:u w:val="single"/>
              </w:rPr>
            </w:pPr>
          </w:p>
        </w:tc>
        <w:tc>
          <w:tcPr>
            <w:tcW w:w="1152" w:type="dxa"/>
            <w:vMerge w:val="continue"/>
            <w:vAlign w:val="center"/>
          </w:tcPr>
          <w:p>
            <w:pPr>
              <w:adjustRightInd w:val="0"/>
              <w:snapToGrid w:val="0"/>
              <w:jc w:val="center"/>
              <w:rPr>
                <w:rFonts w:ascii="Arial" w:hAnsi="Arial" w:cs="Arial" w:eastAsiaTheme="minorEastAsia"/>
                <w:sz w:val="21"/>
                <w:szCs w:val="21"/>
                <w:u w:val="single"/>
              </w:rPr>
            </w:pPr>
          </w:p>
        </w:tc>
        <w:tc>
          <w:tcPr>
            <w:tcW w:w="1457" w:type="dxa"/>
            <w:vMerge w:val="continue"/>
            <w:vAlign w:val="center"/>
          </w:tcPr>
          <w:p>
            <w:pPr>
              <w:adjustRightInd w:val="0"/>
              <w:snapToGrid w:val="0"/>
              <w:jc w:val="center"/>
              <w:rPr>
                <w:rFonts w:ascii="Arial" w:hAnsi="Arial" w:cs="Arial" w:eastAsiaTheme="minorEastAsia"/>
                <w:sz w:val="21"/>
                <w:szCs w:val="21"/>
                <w:u w:val="single"/>
              </w:rPr>
            </w:pPr>
          </w:p>
        </w:tc>
        <w:tc>
          <w:tcPr>
            <w:tcW w:w="1101" w:type="dxa"/>
            <w:vMerge w:val="continue"/>
            <w:vAlign w:val="center"/>
          </w:tcPr>
          <w:p>
            <w:pPr>
              <w:adjustRightInd w:val="0"/>
              <w:snapToGrid w:val="0"/>
              <w:jc w:val="center"/>
              <w:rPr>
                <w:rFonts w:ascii="Arial" w:hAnsi="Arial" w:cs="Arial" w:eastAsiaTheme="minorEastAsia"/>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废气</w:t>
            </w: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SO</w:t>
            </w:r>
            <w:r>
              <w:rPr>
                <w:rFonts w:ascii="Arial" w:hAnsi="Arial" w:cs="Arial" w:eastAsiaTheme="minorEastAsia"/>
                <w:sz w:val="21"/>
                <w:szCs w:val="21"/>
                <w:u w:val="single"/>
                <w:vertAlign w:val="subscript"/>
              </w:rPr>
              <w:t>2</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127.2658</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127.2658</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NO</w:t>
            </w:r>
            <w:r>
              <w:rPr>
                <w:rFonts w:ascii="Arial" w:hAnsi="Arial" w:cs="Arial" w:eastAsiaTheme="minorEastAsia"/>
                <w:sz w:val="21"/>
                <w:szCs w:val="21"/>
                <w:u w:val="single"/>
                <w:vertAlign w:val="subscript"/>
              </w:rPr>
              <w:t>X</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139.7473</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139.7473</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颗粒物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188.1816</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1.6579</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189.8395</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锰及其化合物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0.3465</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0.3465</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镍及其化合物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14.0797</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14.0797</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铅及其化合物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0.0182</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0.0182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铬及其化合物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0.1287</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0.1287</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镉及其化合物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0.0232</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0.0232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汞及其化合物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0.0100</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0.01</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砷及其化合物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0.0233</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0.0233</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氟化物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1.3606</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1.3606</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硫化氢</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0.1265</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0.1265</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硫酸雾</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142.5801</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8.012</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134.5681</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-8.012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氯化氢</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3.9466</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3.9466</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非甲烷总烃</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2.4760</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2.476</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45.8952</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3.3399</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49.2351</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3.3399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生产废水</w:t>
            </w: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废水量</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2120900.34</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26054.2</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144767.7</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2002186.84</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-118713.5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全盐量</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15873.0080</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91.6631</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37.6396</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15927.0315</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54.0235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10014.7886</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90.3812</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28.9535</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10076.2163</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61.4277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5858.2194</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1.2819</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8.6861</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5850.8152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-7.4042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58.6509</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0.1806</w:t>
            </w:r>
          </w:p>
        </w:tc>
        <w:tc>
          <w:tcPr>
            <w:tcW w:w="1152" w:type="dxa"/>
            <w:vAlign w:val="center"/>
          </w:tcPr>
          <w:p>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58.8315</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氨氮</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6.0564</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0.0249</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6.0813</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pacing w:val="10"/>
                <w:sz w:val="21"/>
                <w:szCs w:val="21"/>
                <w:u w:val="single"/>
              </w:rPr>
              <w:t>镍</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0.2502</w:t>
            </w:r>
          </w:p>
        </w:tc>
        <w:tc>
          <w:tcPr>
            <w:tcW w:w="1001" w:type="dxa"/>
            <w:shd w:val="clear" w:color="auto" w:fill="auto"/>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152"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0.2502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pacing w:val="10"/>
                <w:sz w:val="21"/>
                <w:szCs w:val="21"/>
                <w:u w:val="single"/>
              </w:rPr>
              <w:t>钴</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0.3061</w:t>
            </w:r>
          </w:p>
        </w:tc>
        <w:tc>
          <w:tcPr>
            <w:tcW w:w="1001" w:type="dxa"/>
            <w:shd w:val="clear" w:color="auto" w:fill="auto"/>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0.3067</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锰</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0.3215</w:t>
            </w:r>
          </w:p>
        </w:tc>
        <w:tc>
          <w:tcPr>
            <w:tcW w:w="1001" w:type="dxa"/>
            <w:shd w:val="clear" w:color="auto" w:fill="auto"/>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152"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0.3215</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铜</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0.0220</w:t>
            </w:r>
          </w:p>
        </w:tc>
        <w:tc>
          <w:tcPr>
            <w:tcW w:w="1001" w:type="dxa"/>
            <w:shd w:val="clear" w:color="auto" w:fill="auto"/>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0.022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石油类</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2.3282</w:t>
            </w:r>
          </w:p>
        </w:tc>
        <w:tc>
          <w:tcPr>
            <w:tcW w:w="1001" w:type="dxa"/>
            <w:shd w:val="clear" w:color="auto" w:fill="auto"/>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152"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2.3282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生活污水</w:t>
            </w: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废水量</w:t>
            </w:r>
          </w:p>
        </w:tc>
        <w:tc>
          <w:tcPr>
            <w:tcW w:w="1457"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112045</w:t>
            </w:r>
          </w:p>
        </w:tc>
        <w:tc>
          <w:tcPr>
            <w:tcW w:w="1001" w:type="dxa"/>
            <w:shd w:val="clear" w:color="auto" w:fill="auto"/>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1584</w:t>
            </w:r>
          </w:p>
        </w:tc>
        <w:tc>
          <w:tcPr>
            <w:tcW w:w="1152"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1584</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112045</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1457"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28.2869</w:t>
            </w:r>
          </w:p>
        </w:tc>
        <w:tc>
          <w:tcPr>
            <w:tcW w:w="1001" w:type="dxa"/>
            <w:shd w:val="clear" w:color="auto" w:fill="auto"/>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0.451</w:t>
            </w:r>
          </w:p>
        </w:tc>
        <w:tc>
          <w:tcPr>
            <w:tcW w:w="1152"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0.451</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28.2869</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NH</w:t>
            </w:r>
            <w:r>
              <w:rPr>
                <w:rFonts w:ascii="Arial" w:hAnsi="Arial" w:cs="Arial" w:eastAsiaTheme="minorEastAsia"/>
                <w:sz w:val="21"/>
                <w:szCs w:val="21"/>
                <w:u w:val="single"/>
                <w:vertAlign w:val="subscript"/>
              </w:rPr>
              <w:t>3</w:t>
            </w:r>
            <w:r>
              <w:rPr>
                <w:rFonts w:ascii="Arial" w:hAnsi="Arial" w:cs="Arial" w:eastAsiaTheme="minorEastAsia"/>
                <w:sz w:val="21"/>
                <w:szCs w:val="21"/>
                <w:u w:val="single"/>
              </w:rPr>
              <w:t>-N</w:t>
            </w:r>
          </w:p>
        </w:tc>
        <w:tc>
          <w:tcPr>
            <w:tcW w:w="1457"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2.7114</w:t>
            </w:r>
          </w:p>
        </w:tc>
        <w:tc>
          <w:tcPr>
            <w:tcW w:w="1001" w:type="dxa"/>
            <w:shd w:val="clear" w:color="auto" w:fill="auto"/>
            <w:vAlign w:val="center"/>
          </w:tcPr>
          <w:p>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0.045</w:t>
            </w:r>
          </w:p>
        </w:tc>
        <w:tc>
          <w:tcPr>
            <w:tcW w:w="1152" w:type="dxa"/>
            <w:vAlign w:val="center"/>
          </w:tcPr>
          <w:p>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0.045</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2.7114</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restart"/>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固废</w:t>
            </w:r>
          </w:p>
        </w:tc>
        <w:tc>
          <w:tcPr>
            <w:tcW w:w="1812"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一般工业固废</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445603.24</w:t>
            </w:r>
          </w:p>
        </w:tc>
        <w:tc>
          <w:tcPr>
            <w:tcW w:w="1001"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29.74</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445632.98</w:t>
            </w:r>
          </w:p>
        </w:tc>
        <w:tc>
          <w:tcPr>
            <w:tcW w:w="1101" w:type="dxa"/>
            <w:vAlign w:val="center"/>
          </w:tcPr>
          <w:p>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危险废物</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2270.372</w:t>
            </w:r>
          </w:p>
        </w:tc>
        <w:tc>
          <w:tcPr>
            <w:tcW w:w="1001"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0.5</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60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2210.872</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102" w:type="dxa"/>
            <w:vMerge w:val="continue"/>
            <w:vAlign w:val="center"/>
          </w:tcPr>
          <w:p>
            <w:pPr>
              <w:adjustRightInd w:val="0"/>
              <w:snapToGrid w:val="0"/>
              <w:jc w:val="center"/>
              <w:rPr>
                <w:rFonts w:ascii="Arial" w:hAnsi="Arial" w:cs="Arial" w:eastAsiaTheme="minorEastAsia"/>
                <w:sz w:val="21"/>
                <w:szCs w:val="21"/>
                <w:u w:val="single"/>
              </w:rPr>
            </w:pPr>
          </w:p>
        </w:tc>
        <w:tc>
          <w:tcPr>
            <w:tcW w:w="1812"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生活垃圾</w:t>
            </w:r>
          </w:p>
        </w:tc>
        <w:tc>
          <w:tcPr>
            <w:tcW w:w="1457"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1721.87</w:t>
            </w:r>
          </w:p>
        </w:tc>
        <w:tc>
          <w:tcPr>
            <w:tcW w:w="1001" w:type="dxa"/>
            <w:vAlign w:val="center"/>
          </w:tcPr>
          <w:p>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10</w:t>
            </w:r>
          </w:p>
        </w:tc>
        <w:tc>
          <w:tcPr>
            <w:tcW w:w="1152" w:type="dxa"/>
            <w:vAlign w:val="center"/>
          </w:tcPr>
          <w:p>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10</w:t>
            </w:r>
          </w:p>
        </w:tc>
        <w:tc>
          <w:tcPr>
            <w:tcW w:w="1457"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1721.87</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bl>
    <w:p>
      <w:pPr>
        <w:pStyle w:val="4"/>
        <w:numPr>
          <w:ilvl w:val="1"/>
          <w:numId w:val="11"/>
        </w:numPr>
        <w:tabs>
          <w:tab w:val="left" w:pos="3217"/>
        </w:tabs>
        <w:spacing w:before="214" w:beforeLines="50" w:after="214" w:afterLines="50" w:line="500" w:lineRule="exact"/>
        <w:ind w:left="567"/>
        <w:rPr>
          <w:rFonts w:ascii="Arial" w:eastAsia="宋体" w:cs="Arial"/>
          <w:b/>
        </w:rPr>
      </w:pPr>
      <w:bookmarkStart w:id="272" w:name="_Toc185950220"/>
      <w:r>
        <w:rPr>
          <w:rFonts w:hint="eastAsia" w:ascii="Arial" w:eastAsia="宋体" w:cs="Arial"/>
          <w:b/>
        </w:rPr>
        <w:t>项目</w:t>
      </w:r>
      <w:r>
        <w:rPr>
          <w:rFonts w:ascii="Arial" w:eastAsia="宋体" w:cs="Arial"/>
          <w:b/>
        </w:rPr>
        <w:t>水平衡</w:t>
      </w:r>
      <w:bookmarkEnd w:id="272"/>
    </w:p>
    <w:p>
      <w:pPr>
        <w:pStyle w:val="5"/>
        <w:adjustRightInd w:val="0"/>
        <w:snapToGrid w:val="0"/>
        <w:ind w:firstLine="0"/>
        <w:jc w:val="center"/>
      </w:pPr>
    </w:p>
    <w:p>
      <w:pPr>
        <w:pStyle w:val="5"/>
        <w:ind w:firstLine="0"/>
        <w:jc w:val="center"/>
        <w:rPr>
          <w:u w:val="single"/>
        </w:rPr>
      </w:pPr>
      <w:r>
        <w:rPr>
          <w:b/>
          <w:u w:val="single"/>
        </w:rPr>
        <w:t>图2.</w:t>
      </w:r>
      <w:r>
        <w:rPr>
          <w:rFonts w:hint="eastAsia"/>
          <w:b/>
          <w:u w:val="single"/>
        </w:rPr>
        <w:t>7</w:t>
      </w:r>
      <w:r>
        <w:rPr>
          <w:b/>
          <w:u w:val="single"/>
        </w:rPr>
        <w:t>-1  本项目水平衡图（t</w:t>
      </w:r>
      <w:r>
        <w:rPr>
          <w:rFonts w:hint="eastAsia"/>
          <w:b/>
          <w:u w:val="single"/>
        </w:rPr>
        <w:t>/d</w:t>
      </w:r>
      <w:r>
        <w:rPr>
          <w:b/>
          <w:u w:val="single"/>
        </w:rPr>
        <w:t>）</w:t>
      </w:r>
    </w:p>
    <w:p>
      <w:pPr>
        <w:pStyle w:val="5"/>
        <w:spacing w:line="500" w:lineRule="exact"/>
        <w:ind w:firstLine="490" w:firstLineChars="200"/>
        <w:sectPr>
          <w:footerReference r:id="rId17" w:type="default"/>
          <w:pgSz w:w="11907" w:h="16840"/>
          <w:pgMar w:top="1678" w:right="1134" w:bottom="1899" w:left="1134" w:header="1134" w:footer="1134" w:gutter="567"/>
          <w:cols w:space="720" w:num="1"/>
          <w:docGrid w:type="linesAndChars" w:linePitch="428" w:charSpace="-3161"/>
        </w:sectPr>
      </w:pPr>
    </w:p>
    <w:p>
      <w:pPr>
        <w:pStyle w:val="5"/>
        <w:keepNext/>
        <w:numPr>
          <w:ilvl w:val="0"/>
          <w:numId w:val="12"/>
        </w:numPr>
        <w:spacing w:line="480" w:lineRule="exact"/>
        <w:ind w:left="0" w:firstLine="0"/>
        <w:jc w:val="center"/>
        <w:outlineLvl w:val="4"/>
        <w:rPr>
          <w:b/>
          <w:u w:val="single"/>
        </w:rPr>
      </w:pPr>
      <w:r>
        <w:rPr>
          <w:rFonts w:hint="eastAsia"/>
          <w:b/>
          <w:u w:val="single"/>
        </w:rPr>
        <w:t>本项目</w:t>
      </w:r>
      <w:r>
        <w:rPr>
          <w:b/>
          <w:u w:val="single"/>
        </w:rPr>
        <w:t>水平衡表</w:t>
      </w:r>
    </w:p>
    <w:tbl>
      <w:tblPr>
        <w:tblStyle w:val="88"/>
        <w:tblW w:w="13479" w:type="dxa"/>
        <w:tblInd w:w="0" w:type="dxa"/>
        <w:tblLayout w:type="fixed"/>
        <w:tblCellMar>
          <w:top w:w="0" w:type="dxa"/>
          <w:left w:w="108" w:type="dxa"/>
          <w:bottom w:w="0" w:type="dxa"/>
          <w:right w:w="108" w:type="dxa"/>
        </w:tblCellMar>
      </w:tblPr>
      <w:tblGrid>
        <w:gridCol w:w="1655"/>
        <w:gridCol w:w="838"/>
        <w:gridCol w:w="852"/>
        <w:gridCol w:w="852"/>
        <w:gridCol w:w="852"/>
        <w:gridCol w:w="1046"/>
        <w:gridCol w:w="739"/>
        <w:gridCol w:w="852"/>
        <w:gridCol w:w="852"/>
        <w:gridCol w:w="1043"/>
        <w:gridCol w:w="852"/>
        <w:gridCol w:w="1062"/>
        <w:gridCol w:w="838"/>
        <w:gridCol w:w="1146"/>
      </w:tblGrid>
      <w:tr>
        <w:tblPrEx>
          <w:tblLayout w:type="fixed"/>
          <w:tblCellMar>
            <w:top w:w="0" w:type="dxa"/>
            <w:left w:w="108" w:type="dxa"/>
            <w:bottom w:w="0" w:type="dxa"/>
            <w:right w:w="108" w:type="dxa"/>
          </w:tblCellMar>
        </w:tblPrEx>
        <w:trPr>
          <w:trHeight w:val="340" w:hRule="atLeast"/>
        </w:trPr>
        <w:tc>
          <w:tcPr>
            <w:tcW w:w="1655"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4440"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7384" w:type="dxa"/>
            <w:gridSpan w:val="8"/>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vMerge w:val="continue"/>
            <w:tcBorders>
              <w:top w:val="single" w:color="auto" w:sz="8" w:space="0"/>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38"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46"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739"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vMerge w:val="restart"/>
            <w:tcBorders>
              <w:top w:val="nil"/>
              <w:left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2957" w:type="dxa"/>
            <w:gridSpan w:val="3"/>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984" w:type="dxa"/>
            <w:gridSpan w:val="2"/>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vMerge w:val="continue"/>
            <w:tcBorders>
              <w:top w:val="single" w:color="auto" w:sz="8" w:space="0"/>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38"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46"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739"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vMerge w:val="continue"/>
            <w:tcBorders>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4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739"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739"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739"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739"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739"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4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6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3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655"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46"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739"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43"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5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62"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3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r>
    </w:tbl>
    <w:p>
      <w:pPr>
        <w:pStyle w:val="5"/>
        <w:spacing w:line="500" w:lineRule="exact"/>
        <w:ind w:firstLine="490" w:firstLineChars="200"/>
      </w:pPr>
    </w:p>
    <w:p>
      <w:pPr>
        <w:pStyle w:val="5"/>
        <w:rPr>
          <w:highlight w:val="yellow"/>
        </w:rPr>
        <w:sectPr>
          <w:pgSz w:w="16840" w:h="11907" w:orient="landscape"/>
          <w:pgMar w:top="1134" w:right="1678" w:bottom="1134" w:left="1899" w:header="1134" w:footer="1134" w:gutter="567"/>
          <w:cols w:space="720" w:num="1"/>
          <w:docGrid w:type="linesAndChars" w:linePitch="428" w:charSpace="-3161"/>
        </w:sectPr>
      </w:pP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73" w:name="_Toc185950221"/>
      <w:r>
        <w:rPr>
          <w:rFonts w:ascii="Arial" w:eastAsia="宋体" w:cs="Arial"/>
          <w:b/>
        </w:rPr>
        <w:t>变更后全厂水平衡</w:t>
      </w:r>
      <w:bookmarkEnd w:id="273"/>
    </w:p>
    <w:p>
      <w:pPr>
        <w:pStyle w:val="5"/>
        <w:keepNext/>
        <w:numPr>
          <w:ilvl w:val="0"/>
          <w:numId w:val="12"/>
        </w:numPr>
        <w:spacing w:line="480" w:lineRule="exact"/>
        <w:ind w:left="0" w:firstLine="0"/>
        <w:jc w:val="center"/>
        <w:outlineLvl w:val="4"/>
        <w:rPr>
          <w:b/>
          <w:u w:val="single"/>
        </w:rPr>
      </w:pPr>
      <w:r>
        <w:rPr>
          <w:b/>
          <w:u w:val="single"/>
        </w:rPr>
        <w:t>项目变更全厂水平衡表</w:t>
      </w:r>
    </w:p>
    <w:tbl>
      <w:tblPr>
        <w:tblStyle w:val="88"/>
        <w:tblW w:w="20453" w:type="dxa"/>
        <w:tblInd w:w="0" w:type="dxa"/>
        <w:tblLayout w:type="fixed"/>
        <w:tblCellMar>
          <w:top w:w="0" w:type="dxa"/>
          <w:left w:w="108" w:type="dxa"/>
          <w:bottom w:w="0" w:type="dxa"/>
          <w:right w:w="108" w:type="dxa"/>
        </w:tblCellMar>
      </w:tblPr>
      <w:tblGrid>
        <w:gridCol w:w="1882"/>
        <w:gridCol w:w="1096"/>
        <w:gridCol w:w="1096"/>
        <w:gridCol w:w="863"/>
        <w:gridCol w:w="1096"/>
        <w:gridCol w:w="1055"/>
        <w:gridCol w:w="978"/>
        <w:gridCol w:w="863"/>
        <w:gridCol w:w="1096"/>
        <w:gridCol w:w="1055"/>
        <w:gridCol w:w="1096"/>
        <w:gridCol w:w="851"/>
        <w:gridCol w:w="1190"/>
        <w:gridCol w:w="1628"/>
        <w:gridCol w:w="1542"/>
        <w:gridCol w:w="1056"/>
        <w:gridCol w:w="864"/>
        <w:gridCol w:w="1146"/>
      </w:tblGrid>
      <w:tr>
        <w:tblPrEx>
          <w:tblLayout w:type="fixed"/>
          <w:tblCellMar>
            <w:top w:w="0" w:type="dxa"/>
            <w:left w:w="108" w:type="dxa"/>
            <w:bottom w:w="0" w:type="dxa"/>
            <w:right w:w="108" w:type="dxa"/>
          </w:tblCellMar>
        </w:tblPrEx>
        <w:trPr>
          <w:trHeight w:val="340" w:hRule="atLeast"/>
        </w:trPr>
        <w:tc>
          <w:tcPr>
            <w:tcW w:w="1882"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5206"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3365" w:type="dxa"/>
            <w:gridSpan w:val="12"/>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vMerge w:val="continue"/>
            <w:tcBorders>
              <w:top w:val="single" w:color="auto" w:sz="8" w:space="0"/>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63"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55"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978"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863"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55" w:type="dxa"/>
            <w:vMerge w:val="restart"/>
            <w:tcBorders>
              <w:top w:val="nil"/>
              <w:left w:val="single" w:color="auto" w:sz="8" w:space="0"/>
              <w:bottom w:val="single" w:color="000000"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7363" w:type="dxa"/>
            <w:gridSpan w:val="6"/>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2010" w:type="dxa"/>
            <w:gridSpan w:val="2"/>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vMerge w:val="continue"/>
            <w:tcBorders>
              <w:top w:val="single" w:color="auto" w:sz="8" w:space="0"/>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63"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55"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978"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63"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55" w:type="dxa"/>
            <w:vMerge w:val="continue"/>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r>
        <w:tblPrEx>
          <w:tblLayout w:type="fixed"/>
          <w:tblCellMar>
            <w:top w:w="0" w:type="dxa"/>
            <w:left w:w="108" w:type="dxa"/>
            <w:bottom w:w="0" w:type="dxa"/>
            <w:right w:w="108" w:type="dxa"/>
          </w:tblCellMar>
        </w:tblPrEx>
        <w:trPr>
          <w:trHeight w:val="340" w:hRule="atLeast"/>
        </w:trPr>
        <w:tc>
          <w:tcPr>
            <w:tcW w:w="1882"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97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3"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5"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9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51"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190"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628"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542"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05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864"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c>
          <w:tcPr>
            <w:tcW w:w="1146" w:type="dxa"/>
            <w:tcBorders>
              <w:top w:val="nil"/>
              <w:left w:val="nil"/>
              <w:bottom w:val="single" w:color="auto" w:sz="8" w:space="0"/>
              <w:right w:val="single" w:color="auto" w:sz="8" w:space="0"/>
            </w:tcBorders>
            <w:shd w:val="clear" w:color="auto" w:fill="auto"/>
            <w:noWrap/>
            <w:vAlign w:val="center"/>
          </w:tcPr>
          <w:p>
            <w:pPr>
              <w:adjustRightInd w:val="0"/>
              <w:snapToGrid w:val="0"/>
              <w:jc w:val="center"/>
              <w:rPr>
                <w:rFonts w:ascii="Arial" w:hAnsi="Arial" w:eastAsia="宋体" w:cs="Arial"/>
                <w:sz w:val="21"/>
                <w:szCs w:val="21"/>
                <w:u w:val="single"/>
              </w:rPr>
            </w:pPr>
          </w:p>
        </w:tc>
      </w:tr>
    </w:tbl>
    <w:p>
      <w:pPr>
        <w:pStyle w:val="5"/>
        <w:spacing w:line="500" w:lineRule="exact"/>
        <w:ind w:firstLine="490" w:firstLineChars="200"/>
        <w:rPr>
          <w:highlight w:val="yellow"/>
        </w:rPr>
        <w:sectPr>
          <w:pgSz w:w="23814" w:h="16839" w:orient="landscape"/>
          <w:pgMar w:top="1134" w:right="1678" w:bottom="1134" w:left="1899" w:header="1134" w:footer="1134" w:gutter="567"/>
          <w:cols w:space="720" w:num="1"/>
          <w:docGrid w:type="linesAndChars" w:linePitch="428" w:charSpace="-3161"/>
        </w:sectPr>
      </w:pPr>
    </w:p>
    <w:p>
      <w:pPr>
        <w:pStyle w:val="5"/>
        <w:adjustRightInd w:val="0"/>
        <w:snapToGrid w:val="0"/>
        <w:spacing w:line="240" w:lineRule="auto"/>
        <w:ind w:firstLine="0"/>
        <w:jc w:val="center"/>
      </w:pPr>
    </w:p>
    <w:p>
      <w:pPr>
        <w:pStyle w:val="5"/>
        <w:spacing w:line="500" w:lineRule="exact"/>
        <w:ind w:firstLine="0"/>
        <w:jc w:val="center"/>
        <w:rPr>
          <w:b/>
          <w:u w:val="single"/>
        </w:rPr>
      </w:pPr>
      <w:r>
        <w:rPr>
          <w:b/>
          <w:u w:val="single"/>
        </w:rPr>
        <w:t>图2.</w:t>
      </w:r>
      <w:r>
        <w:rPr>
          <w:rFonts w:hint="eastAsia"/>
          <w:b/>
          <w:u w:val="single"/>
        </w:rPr>
        <w:t>8</w:t>
      </w:r>
      <w:r>
        <w:rPr>
          <w:b/>
          <w:u w:val="single"/>
        </w:rPr>
        <w:t>-1  项目变更后全厂水平衡图（单位：m</w:t>
      </w:r>
      <w:r>
        <w:rPr>
          <w:rFonts w:hint="eastAsia"/>
          <w:b/>
          <w:u w:val="single"/>
          <w:vertAlign w:val="superscript"/>
        </w:rPr>
        <w:t>3</w:t>
      </w:r>
      <w:r>
        <w:rPr>
          <w:rFonts w:hint="eastAsia"/>
          <w:b/>
          <w:u w:val="single"/>
        </w:rPr>
        <w:t>/d</w:t>
      </w:r>
      <w:r>
        <w:rPr>
          <w:b/>
          <w:u w:val="single"/>
        </w:rPr>
        <w:t>）</w:t>
      </w:r>
    </w:p>
    <w:p>
      <w:pPr>
        <w:pStyle w:val="5"/>
        <w:spacing w:line="500" w:lineRule="exact"/>
        <w:ind w:firstLine="490" w:firstLineChars="200"/>
        <w:jc w:val="center"/>
        <w:rPr>
          <w:highlight w:val="yellow"/>
        </w:rPr>
        <w:sectPr>
          <w:pgSz w:w="16839" w:h="23814"/>
          <w:pgMar w:top="1678" w:right="1134" w:bottom="1899" w:left="1134" w:header="1134" w:footer="1134" w:gutter="567"/>
          <w:cols w:space="720" w:num="1"/>
          <w:docGrid w:type="linesAndChars" w:linePitch="428" w:charSpace="-3161"/>
        </w:sectPr>
      </w:pP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74" w:name="_Toc185950222"/>
      <w:r>
        <w:rPr>
          <w:rFonts w:ascii="Arial" w:eastAsia="宋体" w:cs="Arial"/>
          <w:b/>
        </w:rPr>
        <w:t>总量控制</w:t>
      </w:r>
      <w:bookmarkEnd w:id="274"/>
    </w:p>
    <w:p>
      <w:pPr>
        <w:pStyle w:val="5"/>
        <w:adjustRightInd w:val="0"/>
        <w:snapToGrid w:val="0"/>
        <w:spacing w:line="500" w:lineRule="exact"/>
        <w:ind w:firstLine="490" w:firstLineChars="200"/>
      </w:pPr>
      <w:r>
        <w:t>本项目外排废水新增COD</w:t>
      </w:r>
      <w:r>
        <w:rPr>
          <w:rFonts w:hint="eastAsia"/>
        </w:rPr>
        <w:t xml:space="preserve"> 0.1806</w:t>
      </w:r>
      <w:r>
        <w:t>t/a</w:t>
      </w:r>
      <w:r>
        <w:rPr>
          <w:rFonts w:hint="eastAsia"/>
        </w:rPr>
        <w:t>、</w:t>
      </w:r>
      <w:r>
        <w:t>氨氮0.</w:t>
      </w:r>
      <w:r>
        <w:rPr>
          <w:rFonts w:hint="eastAsia"/>
        </w:rPr>
        <w:t>0249</w:t>
      </w:r>
      <w:r>
        <w:t>t/a</w:t>
      </w:r>
      <w:r>
        <w:rPr>
          <w:rFonts w:hint="eastAsia"/>
        </w:rPr>
        <w:t>；</w:t>
      </w:r>
      <w:r>
        <w:t>外排废气不含有机废气、氮氧化物。</w:t>
      </w:r>
    </w:p>
    <w:p>
      <w:pPr>
        <w:pStyle w:val="4"/>
        <w:numPr>
          <w:ilvl w:val="1"/>
          <w:numId w:val="11"/>
        </w:numPr>
        <w:tabs>
          <w:tab w:val="left" w:pos="709"/>
          <w:tab w:val="left" w:pos="3217"/>
        </w:tabs>
        <w:spacing w:before="214" w:beforeLines="50" w:after="214" w:afterLines="50" w:line="500" w:lineRule="exact"/>
        <w:ind w:left="567"/>
        <w:rPr>
          <w:rFonts w:ascii="Arial" w:eastAsia="宋体" w:cs="Arial"/>
          <w:b/>
        </w:rPr>
      </w:pPr>
      <w:bookmarkStart w:id="275" w:name="_Toc185950223"/>
      <w:r>
        <w:rPr>
          <w:rFonts w:ascii="Arial" w:eastAsia="宋体" w:cs="Arial"/>
          <w:b/>
        </w:rPr>
        <w:t>清洁生产</w:t>
      </w:r>
      <w:bookmarkEnd w:id="275"/>
    </w:p>
    <w:p>
      <w:pPr>
        <w:pStyle w:val="5"/>
        <w:adjustRightInd w:val="0"/>
        <w:snapToGrid w:val="0"/>
        <w:spacing w:line="500" w:lineRule="exact"/>
        <w:ind w:firstLine="490" w:firstLineChars="200"/>
      </w:pPr>
      <w:r>
        <w:t>清洁生产是将可持续发展的思想应用于环境保护的一种整体预防的战略。它是以节能、降耗、减污及增效为主要目标，以技术、管理为手段，通过产品的开发设计、原料的充分使用、良好的企业管理、合理的工艺流程、有效的物料循环以及综合利用等途径，实现工业生产中包括生产、产品和消费的全过程控制，使污染物的产生量和排放量最小化的一种综合性措施，其目的是使生产和消费过程产生的废物资源化、最小化、无害化，从而使企业获得最大的环境效益和经济效益。</w:t>
      </w:r>
    </w:p>
    <w:p>
      <w:pPr>
        <w:pStyle w:val="5"/>
        <w:adjustRightInd w:val="0"/>
        <w:snapToGrid w:val="0"/>
        <w:spacing w:line="500" w:lineRule="exact"/>
        <w:ind w:firstLine="490" w:firstLineChars="200"/>
      </w:pPr>
      <w:r>
        <w:t xml:space="preserve">2003 年 1 月 1 日施行的《中华人民共和国清洁生产促进法》中明确规定： 清洁生产是指不断采取改进设计、使用清洁的能源和原料、采用先进的工艺技术与设备、改善管理、综合利用等措施，从源头削减污染，提高资源利用率，减少或者避免生产、服务和产品使用过程中污染物的产生和排放，以减轻或者消除对 人类健康和环境的危害。 </w:t>
      </w:r>
    </w:p>
    <w:p>
      <w:pPr>
        <w:pStyle w:val="5"/>
        <w:adjustRightInd w:val="0"/>
        <w:snapToGrid w:val="0"/>
        <w:spacing w:line="500" w:lineRule="exact"/>
        <w:ind w:firstLine="490" w:firstLineChars="200"/>
      </w:pPr>
      <w:r>
        <w:t xml:space="preserve">对于工业企业来说，应在生产、产品和服务中最大限度地做到： </w:t>
      </w:r>
    </w:p>
    <w:p>
      <w:pPr>
        <w:pStyle w:val="5"/>
        <w:adjustRightInd w:val="0"/>
        <w:snapToGrid w:val="0"/>
        <w:spacing w:line="500" w:lineRule="exact"/>
        <w:ind w:firstLine="490" w:firstLineChars="200"/>
      </w:pPr>
      <w:r>
        <w:t xml:space="preserve">1、节约能源，利用可再生资源，利用清洁能源，开发新能源，实施各种节能技术和措施，节约原材料，利用无毒和无害原材料，减少使用稀有原材料，现场循环物料、废弃物。 </w:t>
      </w:r>
    </w:p>
    <w:p>
      <w:pPr>
        <w:pStyle w:val="5"/>
        <w:adjustRightInd w:val="0"/>
        <w:snapToGrid w:val="0"/>
        <w:spacing w:line="500" w:lineRule="exact"/>
        <w:ind w:firstLine="490" w:firstLineChars="200"/>
      </w:pPr>
      <w:r>
        <w:t xml:space="preserve">2、采用高效、少废或无废的生产技术和工艺，减少副产品，提高产品质量，合理安排生产制度。 </w:t>
      </w:r>
    </w:p>
    <w:p>
      <w:pPr>
        <w:pStyle w:val="5"/>
        <w:adjustRightInd w:val="0"/>
        <w:snapToGrid w:val="0"/>
        <w:spacing w:line="500" w:lineRule="exact"/>
        <w:ind w:firstLine="490" w:firstLineChars="200"/>
      </w:pPr>
      <w:r>
        <w:t>3、建立和执行完善的环保制度，树立良好的企业形象。</w:t>
      </w:r>
    </w:p>
    <w:p>
      <w:pPr>
        <w:pStyle w:val="5"/>
        <w:adjustRightInd w:val="0"/>
        <w:snapToGrid w:val="0"/>
        <w:spacing w:line="500" w:lineRule="exact"/>
        <w:ind w:firstLine="490" w:firstLineChars="200"/>
      </w:pPr>
      <w:r>
        <w:rPr>
          <w:rFonts w:hint="eastAsia"/>
        </w:rPr>
        <w:t>本项目清洁生产主要冲资源能源消耗、工艺技术与装备和污染控制进行分析。</w:t>
      </w:r>
    </w:p>
    <w:p>
      <w:pPr>
        <w:pStyle w:val="5"/>
        <w:adjustRightInd w:val="0"/>
        <w:snapToGrid w:val="0"/>
        <w:spacing w:line="500" w:lineRule="exact"/>
        <w:ind w:firstLine="490" w:firstLineChars="200"/>
      </w:pPr>
      <w:r>
        <w:t>1、资源和能源消耗</w:t>
      </w:r>
    </w:p>
    <w:p>
      <w:pPr>
        <w:pStyle w:val="5"/>
        <w:adjustRightInd w:val="0"/>
        <w:snapToGrid w:val="0"/>
        <w:spacing w:line="500" w:lineRule="exact"/>
        <w:ind w:firstLine="490" w:firstLineChars="200"/>
      </w:pPr>
      <w:r>
        <w:rPr>
          <w:rFonts w:hint="eastAsia"/>
        </w:rPr>
        <w:t>羟基钴</w:t>
      </w:r>
      <w:r>
        <w:t>生产线主要能源消耗为水、电、蒸汽。</w:t>
      </w:r>
    </w:p>
    <w:p>
      <w:pPr>
        <w:pStyle w:val="5"/>
        <w:keepNext/>
        <w:numPr>
          <w:ilvl w:val="0"/>
          <w:numId w:val="12"/>
        </w:numPr>
        <w:spacing w:line="480" w:lineRule="exact"/>
        <w:ind w:left="0" w:firstLine="0"/>
        <w:jc w:val="center"/>
        <w:outlineLvl w:val="4"/>
        <w:rPr>
          <w:b/>
        </w:rPr>
      </w:pPr>
      <w:r>
        <w:rPr>
          <w:rFonts w:hint="eastAsia"/>
          <w:b/>
        </w:rPr>
        <w:t>羟基钴</w:t>
      </w:r>
      <w:r>
        <w:rPr>
          <w:b/>
        </w:rPr>
        <w:t>生产线能耗指标表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799"/>
        <w:gridCol w:w="2236"/>
        <w:gridCol w:w="2801"/>
        <w:gridCol w:w="2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名称</w:t>
            </w:r>
          </w:p>
        </w:tc>
        <w:tc>
          <w:tcPr>
            <w:tcW w:w="2236"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数量</w:t>
            </w:r>
          </w:p>
        </w:tc>
        <w:tc>
          <w:tcPr>
            <w:tcW w:w="280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折算系数</w:t>
            </w:r>
          </w:p>
        </w:tc>
        <w:tc>
          <w:tcPr>
            <w:tcW w:w="2358"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折合标煤量（t/a）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水</w:t>
            </w:r>
          </w:p>
        </w:tc>
        <w:tc>
          <w:tcPr>
            <w:tcW w:w="2236"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30254.4</w:t>
            </w:r>
            <w:r>
              <w:rPr>
                <w:rFonts w:ascii="Arial" w:hAnsi="Arial" w:eastAsia="宋体" w:cs="Arial"/>
                <w:sz w:val="21"/>
                <w:szCs w:val="21"/>
              </w:rPr>
              <w:t>m</w:t>
            </w:r>
            <w:r>
              <w:rPr>
                <w:rFonts w:ascii="Arial" w:hAnsi="Arial" w:eastAsia="宋体" w:cs="Arial"/>
                <w:b/>
                <w:bCs/>
                <w:sz w:val="21"/>
                <w:szCs w:val="21"/>
                <w:vertAlign w:val="superscript"/>
              </w:rPr>
              <w:t>3</w:t>
            </w:r>
            <w:r>
              <w:rPr>
                <w:rFonts w:ascii="Arial" w:hAnsi="Arial" w:eastAsia="宋体" w:cs="Arial"/>
                <w:sz w:val="21"/>
                <w:szCs w:val="21"/>
              </w:rPr>
              <w:t>/a</w:t>
            </w:r>
          </w:p>
        </w:tc>
        <w:tc>
          <w:tcPr>
            <w:tcW w:w="280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0.0857kgce/t</w:t>
            </w:r>
          </w:p>
        </w:tc>
        <w:tc>
          <w:tcPr>
            <w:tcW w:w="2358"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电</w:t>
            </w:r>
          </w:p>
        </w:tc>
        <w:tc>
          <w:tcPr>
            <w:tcW w:w="2236"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860</w:t>
            </w:r>
            <w:r>
              <w:rPr>
                <w:rFonts w:ascii="Arial" w:hAnsi="Arial" w:eastAsia="宋体" w:cs="Arial"/>
                <w:sz w:val="21"/>
                <w:szCs w:val="21"/>
              </w:rPr>
              <w:t>万kW·h/a</w:t>
            </w:r>
          </w:p>
        </w:tc>
        <w:tc>
          <w:tcPr>
            <w:tcW w:w="280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0.1229kgce/（kW·h）</w:t>
            </w:r>
          </w:p>
        </w:tc>
        <w:tc>
          <w:tcPr>
            <w:tcW w:w="2358"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1056.94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w:t>
            </w:r>
          </w:p>
        </w:tc>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蒸汽</w:t>
            </w:r>
          </w:p>
        </w:tc>
        <w:tc>
          <w:tcPr>
            <w:tcW w:w="2236"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33115.5</w:t>
            </w:r>
            <w:r>
              <w:rPr>
                <w:rFonts w:ascii="Arial" w:hAnsi="Arial" w:eastAsia="宋体" w:cs="Arial"/>
                <w:sz w:val="21"/>
                <w:szCs w:val="21"/>
              </w:rPr>
              <w:t xml:space="preserve"> t/a</w:t>
            </w:r>
          </w:p>
        </w:tc>
        <w:tc>
          <w:tcPr>
            <w:tcW w:w="280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0.1086 kgce/t</w:t>
            </w:r>
          </w:p>
        </w:tc>
        <w:tc>
          <w:tcPr>
            <w:tcW w:w="2358"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合计</w:t>
            </w:r>
          </w:p>
        </w:tc>
        <w:tc>
          <w:tcPr>
            <w:tcW w:w="79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w:t>
            </w:r>
          </w:p>
        </w:tc>
        <w:tc>
          <w:tcPr>
            <w:tcW w:w="2236"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w:t>
            </w:r>
          </w:p>
        </w:tc>
        <w:tc>
          <w:tcPr>
            <w:tcW w:w="280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w:t>
            </w:r>
          </w:p>
        </w:tc>
        <w:tc>
          <w:tcPr>
            <w:tcW w:w="2358"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1063.129</w:t>
            </w:r>
          </w:p>
        </w:tc>
      </w:tr>
    </w:tbl>
    <w:p>
      <w:pPr>
        <w:pStyle w:val="5"/>
        <w:adjustRightInd w:val="0"/>
        <w:snapToGrid w:val="0"/>
        <w:spacing w:line="500" w:lineRule="exact"/>
        <w:ind w:firstLine="490" w:firstLineChars="200"/>
        <w:rPr>
          <w:bCs/>
          <w:kern w:val="0"/>
        </w:rPr>
      </w:pPr>
      <w:r>
        <w:rPr>
          <w:rFonts w:hint="eastAsia"/>
          <w:bCs/>
          <w:kern w:val="0"/>
        </w:rPr>
        <w:t>根据上表可知，本项目</w:t>
      </w:r>
      <w:r>
        <w:t>资源和能源消耗</w:t>
      </w:r>
      <w:r>
        <w:rPr>
          <w:rFonts w:hint="eastAsia"/>
        </w:rPr>
        <w:t>折合标煤量1063.129t/a。</w:t>
      </w:r>
    </w:p>
    <w:p>
      <w:pPr>
        <w:pStyle w:val="5"/>
        <w:adjustRightInd w:val="0"/>
        <w:snapToGrid w:val="0"/>
        <w:spacing w:line="500" w:lineRule="exact"/>
        <w:ind w:firstLine="490" w:firstLineChars="200"/>
        <w:rPr>
          <w:bCs/>
          <w:kern w:val="0"/>
        </w:rPr>
      </w:pPr>
      <w:r>
        <w:rPr>
          <w:bCs/>
          <w:kern w:val="0"/>
        </w:rPr>
        <w:t>2、工艺技术与装备</w:t>
      </w:r>
    </w:p>
    <w:p>
      <w:pPr>
        <w:pStyle w:val="5"/>
        <w:adjustRightInd w:val="0"/>
        <w:snapToGrid w:val="0"/>
        <w:spacing w:line="500" w:lineRule="exact"/>
        <w:ind w:firstLine="490" w:firstLineChars="200"/>
        <w:rPr>
          <w:bCs/>
          <w:kern w:val="0"/>
        </w:rPr>
      </w:pPr>
      <w:r>
        <w:rPr>
          <w:rFonts w:hint="eastAsia"/>
        </w:rPr>
        <w:t>羟基钴</w:t>
      </w:r>
      <w:r>
        <w:t>生产线</w:t>
      </w:r>
      <w:r>
        <w:rPr>
          <w:bCs/>
          <w:kern w:val="0"/>
        </w:rPr>
        <w:t>生产装置密闭性较好，装置产生的废气全部收集、处理后排放，减少污染物排放，</w:t>
      </w:r>
      <w:r>
        <w:t>同时减少无组织废气排放量</w:t>
      </w:r>
      <w:r>
        <w:rPr>
          <w:bCs/>
          <w:kern w:val="0"/>
        </w:rPr>
        <w:t>。因此，拟建项目所采取的工艺技术及装备可达到清洁生产国际先进水平。</w:t>
      </w:r>
    </w:p>
    <w:p>
      <w:pPr>
        <w:pStyle w:val="5"/>
        <w:adjustRightInd w:val="0"/>
        <w:snapToGrid w:val="0"/>
        <w:spacing w:line="500" w:lineRule="exact"/>
        <w:ind w:firstLine="490" w:firstLineChars="200"/>
      </w:pPr>
      <w:r>
        <w:t>3、污染控制</w:t>
      </w:r>
    </w:p>
    <w:p>
      <w:pPr>
        <w:pStyle w:val="5"/>
        <w:adjustRightInd w:val="0"/>
        <w:snapToGrid w:val="0"/>
        <w:spacing w:line="500" w:lineRule="exact"/>
        <w:ind w:firstLine="490" w:firstLineChars="200"/>
      </w:pPr>
      <w:r>
        <w:rPr>
          <w:rFonts w:hint="eastAsia"/>
        </w:rPr>
        <w:t>羟基钴</w:t>
      </w:r>
      <w:r>
        <w:t>生产线废气经收集、处理后通过达标排放；</w:t>
      </w:r>
      <w:r>
        <w:rPr>
          <w:kern w:val="0"/>
        </w:rPr>
        <w:t>运营期噪声主要来自泵机、风机、烘箱、对辊机、气流磨、空压机、包装机等，经减震降噪、距离衰减可达标排放；产生的各类固体废物分类收集处理，处置率达100%。</w:t>
      </w:r>
    </w:p>
    <w:p>
      <w:pPr>
        <w:pStyle w:val="5"/>
        <w:adjustRightInd w:val="0"/>
        <w:snapToGrid w:val="0"/>
        <w:spacing w:line="500" w:lineRule="exact"/>
        <w:ind w:firstLine="490" w:firstLineChars="200"/>
        <w:rPr>
          <w:kern w:val="0"/>
        </w:rPr>
      </w:pPr>
      <w:r>
        <w:rPr>
          <w:rFonts w:hint="eastAsia"/>
        </w:rPr>
        <w:t>羟基钴</w:t>
      </w:r>
      <w:r>
        <w:t>生产线</w:t>
      </w:r>
      <w:r>
        <w:rPr>
          <w:bCs/>
          <w:kern w:val="0"/>
        </w:rPr>
        <w:t>在能耗、工艺技术与装备、污染控制等方面</w:t>
      </w:r>
      <w:r>
        <w:rPr>
          <w:kern w:val="0"/>
        </w:rPr>
        <w:t>较好地贯彻了清洁生产的原则，从源头控制了污染物的产生与排放量，其清洁生产总体水平为国际同行业先进水平。</w:t>
      </w:r>
    </w:p>
    <w:p>
      <w:pPr>
        <w:pStyle w:val="5"/>
        <w:adjustRightInd w:val="0"/>
        <w:snapToGrid w:val="0"/>
        <w:spacing w:line="500" w:lineRule="exact"/>
        <w:ind w:firstLine="490" w:firstLineChars="200"/>
        <w:rPr>
          <w:kern w:val="0"/>
        </w:rPr>
      </w:pPr>
    </w:p>
    <w:bookmarkEnd w:id="224"/>
    <w:p>
      <w:pPr>
        <w:pStyle w:val="3"/>
        <w:numPr>
          <w:ilvl w:val="0"/>
          <w:numId w:val="1"/>
        </w:numPr>
        <w:tabs>
          <w:tab w:val="left" w:pos="1931"/>
          <w:tab w:val="clear" w:pos="3065"/>
        </w:tabs>
        <w:ind w:left="1276"/>
        <w:rPr>
          <w:rFonts w:ascii="Arial" w:hAnsi="Arial" w:cs="Arial"/>
          <w:spacing w:val="10"/>
        </w:rPr>
      </w:pPr>
      <w:bookmarkStart w:id="276" w:name="_Toc182491385"/>
      <w:bookmarkStart w:id="277" w:name="_Toc166675366"/>
      <w:bookmarkStart w:id="278" w:name="_Toc185950224"/>
      <w:bookmarkStart w:id="279" w:name="_Toc1742959"/>
      <w:bookmarkStart w:id="280" w:name="_Toc104677293"/>
      <w:r>
        <w:rPr>
          <w:rFonts w:ascii="Arial" w:hAnsi="Arial" w:cs="Arial"/>
          <w:spacing w:val="10"/>
        </w:rPr>
        <w:t>环境现状调查与评价</w:t>
      </w:r>
      <w:bookmarkEnd w:id="276"/>
      <w:bookmarkEnd w:id="277"/>
      <w:bookmarkEnd w:id="278"/>
    </w:p>
    <w:p>
      <w:pPr>
        <w:keepNext/>
        <w:keepLines/>
        <w:numPr>
          <w:ilvl w:val="1"/>
          <w:numId w:val="11"/>
        </w:numPr>
        <w:tabs>
          <w:tab w:val="left" w:pos="567"/>
          <w:tab w:val="left" w:pos="3217"/>
        </w:tabs>
        <w:spacing w:before="214" w:beforeLines="50" w:after="214" w:afterLines="50" w:line="500" w:lineRule="exact"/>
        <w:ind w:left="567"/>
        <w:outlineLvl w:val="1"/>
        <w:rPr>
          <w:rFonts w:ascii="Arial" w:hAnsi="Arial" w:eastAsia="宋体" w:cs="Arial"/>
          <w:b/>
        </w:rPr>
      </w:pPr>
      <w:bookmarkStart w:id="281" w:name="_Toc185950225"/>
      <w:bookmarkStart w:id="282" w:name="_Toc154599068"/>
      <w:bookmarkStart w:id="283" w:name="_Toc166675367"/>
      <w:bookmarkStart w:id="284" w:name="_Toc182491386"/>
      <w:r>
        <w:rPr>
          <w:rFonts w:ascii="Arial" w:hAnsi="Arial" w:eastAsia="宋体" w:cs="Arial"/>
          <w:b/>
        </w:rPr>
        <w:t>区域环境概况</w:t>
      </w:r>
      <w:bookmarkEnd w:id="281"/>
      <w:bookmarkEnd w:id="282"/>
      <w:bookmarkEnd w:id="283"/>
      <w:bookmarkEnd w:id="284"/>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地理位置</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钦州市位于广西南部，濒临北部湾畔，地理坐标北纬21°34′52″～22°28′01″，东经108°10′55″~109°09′12″。东与合浦、玉林相连，西与防城、上思接壤，北与邕宁毗邻，陆地总面积10843km</w:t>
      </w:r>
      <w:r>
        <w:rPr>
          <w:rFonts w:ascii="Arial" w:hAnsi="Arial" w:eastAsia="宋体" w:cs="Arial"/>
          <w:spacing w:val="10"/>
          <w:sz w:val="24"/>
          <w:vertAlign w:val="superscript"/>
        </w:rPr>
        <w:t>2</w:t>
      </w:r>
      <w:r>
        <w:rPr>
          <w:rFonts w:ascii="Arial" w:hAnsi="Arial" w:eastAsia="宋体" w:cs="Arial"/>
          <w:spacing w:val="10"/>
          <w:sz w:val="24"/>
        </w:rPr>
        <w:t>。</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钦州湾位于中国南海北部湾湾顶，背靠大西南、面向东南亚，水、陆、空交通发达，钦州港西起与防城港交界的龙门、东至与北海交界的大风江的港口陆域和海域。</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项目位于钦州市钦州港大榄坪物流加工区，中伟南部基地2#地块内，中心坐标东经108.</w:t>
      </w:r>
      <w:r>
        <w:rPr>
          <w:rFonts w:hint="eastAsia" w:ascii="Arial" w:hAnsi="Arial" w:eastAsia="宋体" w:cs="Arial"/>
          <w:spacing w:val="10"/>
          <w:sz w:val="24"/>
        </w:rPr>
        <w:t>672694</w:t>
      </w:r>
      <w:r>
        <w:rPr>
          <w:rFonts w:ascii="Arial" w:hAnsi="Arial" w:eastAsia="宋体" w:cs="Arial"/>
          <w:spacing w:val="10"/>
          <w:sz w:val="24"/>
        </w:rPr>
        <w:t>，北纬21.</w:t>
      </w:r>
      <w:r>
        <w:rPr>
          <w:rFonts w:hint="eastAsia" w:ascii="Arial" w:hAnsi="Arial" w:eastAsia="宋体" w:cs="Arial"/>
          <w:spacing w:val="10"/>
          <w:sz w:val="24"/>
        </w:rPr>
        <w:t>707490</w:t>
      </w:r>
      <w:r>
        <w:rPr>
          <w:rFonts w:ascii="Arial" w:hAnsi="Arial" w:eastAsia="宋体" w:cs="Arial"/>
          <w:spacing w:val="10"/>
          <w:sz w:val="24"/>
        </w:rPr>
        <w:t>。厂区东面为企业后期预留用地（现为空地及未造陆的水域）；南面为空地及大榄坪污水处理厂；西面紧邻陆海大道，道路西面为空地；北面紧邻鸡墩头村；项目具体地理位置详见附图1。</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自然环境概况</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地形地貌</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湾口朝南，东、北、西三面丘陵环抱，是一个半封闭的天然海湾。该湾由内湾（茅尾海）、龙门水道和外湾（狭义的钦州湾）构成，其特点是，中间狭窄、两端宽阔。钦州湾口门宽25km，纵深39km，自南向北逐渐减小，在北纬21°42′～21°48′自西向东发育成龙门港～茅尾海、金鼓江、鹿耳环江等海汊，并以龙门港～茅尾海为主，实为钦州湾的内湾，全湾岸线长336km。海湾面积约为380km</w:t>
      </w:r>
      <w:r>
        <w:rPr>
          <w:rFonts w:ascii="Arial" w:hAnsi="Arial" w:eastAsia="宋体" w:cs="Arial"/>
          <w:spacing w:val="10"/>
          <w:sz w:val="24"/>
          <w:vertAlign w:val="superscript"/>
        </w:rPr>
        <w:t>2</w:t>
      </w:r>
      <w:r>
        <w:rPr>
          <w:rFonts w:ascii="Arial" w:hAnsi="Arial" w:eastAsia="宋体" w:cs="Arial"/>
          <w:spacing w:val="10"/>
          <w:sz w:val="24"/>
        </w:rPr>
        <w:t>，其中滩涂面积为200km</w:t>
      </w:r>
      <w:r>
        <w:rPr>
          <w:rFonts w:ascii="Arial" w:hAnsi="Arial" w:eastAsia="宋体" w:cs="Arial"/>
          <w:spacing w:val="10"/>
          <w:sz w:val="24"/>
          <w:vertAlign w:val="superscript"/>
        </w:rPr>
        <w:t>2</w:t>
      </w:r>
      <w:r>
        <w:rPr>
          <w:rFonts w:ascii="Arial" w:hAnsi="Arial" w:eastAsia="宋体" w:cs="Arial"/>
          <w:spacing w:val="10"/>
          <w:sz w:val="24"/>
        </w:rPr>
        <w:t>。钦州市两条主要江河钦江和茅岭江，分别从东北、西北向汇入茅尾海。整个海湾呈低山丘陵、微斜平原及海漫滩地貌。钦州湾由于受地质构造影响以及海水长期浸蚀，基本上没有大片宽阔平坦陆域，湾内大多为砂砾质岩岸。</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地质构造</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钦州湾港区的构造体系有：</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（1）新华夏构造体系</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钦州向斜盆地，分布于规划港区北部，形态较完整，呈椭圆状，向斜轴向北东，由侏罗系组成，西北翼陡，倾角 30~36°，东南翼较缓，倾角 10~20°。</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鸡钉头向斜盆地，分布于大红排航道段一带，由侏罗系组成，仅出露东北段扬起端，中部据大红排航道段地质钻探成果，该向斜已延至大红排航道一带。</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断裂构造主要沿向斜盆地两翼分布，有一条断裂越港区，走向北东，倾向北西，倾角 50°左右，属压扭性断裂。在龙门~六墩一带从东西两侧的岩层走向错移看，该段海域存在一条北西向张扭性横断裂。</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（2）华夏构造体系</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主要有那丽背斜，由志留系组成，由于变新华夏构造体系断裂切割，形态不甚完整。轴向北东，两翼倾角较陡，为 50~60°，翼部的次级褶皱发育。该背斜出露于新华夏构造体系的两个向斜盆地之间，与其伴生的断裂多被新华夏构造体系的断裂利用改造，归属于新华夏构造体系成分之中。</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地层岩性</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据区域地质资料和交通</w:t>
      </w:r>
      <w:r>
        <w:rPr>
          <w:rFonts w:hint="eastAsia" w:ascii="Arial" w:hAnsi="Arial" w:eastAsia="宋体" w:cs="Arial"/>
          <w:spacing w:val="10"/>
          <w:sz w:val="24"/>
          <w:lang w:val="en-US" w:eastAsia="zh-CN"/>
        </w:rPr>
        <w:t>运输</w:t>
      </w:r>
      <w:r>
        <w:rPr>
          <w:rFonts w:ascii="Arial" w:hAnsi="Arial" w:eastAsia="宋体" w:cs="Arial"/>
          <w:spacing w:val="10"/>
          <w:sz w:val="24"/>
        </w:rPr>
        <w:t>部第三勘察设计院地质钻探成果，区域地层岩性有第四系、侏罗系和志留系，从上至下分述如下：</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第四系全新统海相沉积层(Q</w:t>
      </w:r>
      <w:r>
        <w:rPr>
          <w:rFonts w:ascii="Arial" w:hAnsi="Arial" w:eastAsia="宋体" w:cs="Arial"/>
          <w:spacing w:val="10"/>
          <w:sz w:val="24"/>
          <w:vertAlign w:val="superscript"/>
        </w:rPr>
        <w:t>bn</w:t>
      </w:r>
      <w:r>
        <w:rPr>
          <w:rFonts w:ascii="Arial" w:hAnsi="Arial" w:eastAsia="宋体" w:cs="Arial"/>
          <w:spacing w:val="10"/>
          <w:sz w:val="24"/>
          <w:vertAlign w:val="subscript"/>
        </w:rPr>
        <w:t>4</w:t>
      </w:r>
      <w:r>
        <w:rPr>
          <w:rFonts w:ascii="Arial" w:hAnsi="Arial" w:eastAsia="宋体" w:cs="Arial"/>
          <w:spacing w:val="10"/>
          <w:sz w:val="24"/>
        </w:rPr>
        <w:t>)，分布于钦州湾海底一带，为中一粉砂混淤泥及贝壳，厚度 0.7-10m；</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第四系全新统海漫滩堆积(Q</w:t>
      </w:r>
      <w:r>
        <w:rPr>
          <w:rFonts w:ascii="Arial" w:hAnsi="Arial" w:eastAsia="宋体" w:cs="Arial"/>
          <w:spacing w:val="10"/>
          <w:sz w:val="24"/>
          <w:vertAlign w:val="superscript"/>
        </w:rPr>
        <w:t>bn</w:t>
      </w:r>
      <w:r>
        <w:rPr>
          <w:rFonts w:ascii="Arial" w:hAnsi="Arial" w:eastAsia="宋体" w:cs="Arial"/>
          <w:spacing w:val="10"/>
          <w:sz w:val="24"/>
          <w:vertAlign w:val="subscript"/>
        </w:rPr>
        <w:t>4</w:t>
      </w:r>
      <w:r>
        <w:rPr>
          <w:rFonts w:ascii="Arial" w:hAnsi="Arial" w:eastAsia="宋体" w:cs="Arial"/>
          <w:spacing w:val="10"/>
          <w:sz w:val="24"/>
        </w:rPr>
        <w:t>)，分布于钦州湾海滨沿岸—带，为砂混淤泥及贝壳；</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侏罗系(J)，紫红色泥质粉砂岩夹砂岩及泥岩，局部为黄色、浅黄色；</w:t>
      </w:r>
    </w:p>
    <w:p>
      <w:pPr>
        <w:spacing w:line="500" w:lineRule="exact"/>
        <w:ind w:firstLine="490" w:firstLineChars="200"/>
        <w:rPr>
          <w:rFonts w:ascii="Arial" w:hAnsi="Arial" w:eastAsia="宋体" w:cs="Arial"/>
          <w:b/>
          <w:bCs/>
          <w:sz w:val="24"/>
          <w:szCs w:val="24"/>
        </w:rPr>
      </w:pPr>
      <w:r>
        <w:rPr>
          <w:rFonts w:hint="eastAsia" w:ascii="宋体" w:hAnsi="宋体" w:eastAsia="宋体" w:cs="宋体"/>
          <w:spacing w:val="10"/>
          <w:sz w:val="24"/>
        </w:rPr>
        <w:t>④</w:t>
      </w:r>
      <w:r>
        <w:rPr>
          <w:rFonts w:ascii="Arial" w:hAnsi="Arial" w:eastAsia="宋体" w:cs="Arial"/>
          <w:spacing w:val="10"/>
          <w:sz w:val="24"/>
        </w:rPr>
        <w:t>志留系(S)，黄色、灰黄色砂岩、粉砂岩、泥质粉砂岩和页岩。</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海洋水文特征</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1、余流</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广西近岸海域余流系统受风和外海水、地形以及径流的影响。其中，风场对余流系统影响最大，偏北风时，海流流向偏南；偏南风时，海流流向偏北。冬季主干流偏向与湾口东部，势力较弱，夏季主干流偏向于西部，势力较强。总的趋势是冬、夏季为逆时针方向环流，夏、秋季为顺时针方向环流。广西北部湾近岸海域冬、夏两季环流模式见图3.1-1及图3.1-2。</w:t>
      </w:r>
    </w:p>
    <w:p>
      <w:pPr>
        <w:rPr>
          <w:rFonts w:ascii="Arial" w:hAnsi="Arial" w:eastAsia="宋体" w:cs="Arial"/>
          <w:spacing w:val="10"/>
          <w:sz w:val="24"/>
        </w:rPr>
      </w:pPr>
      <w:r>
        <w:rPr>
          <w:rFonts w:ascii="Arial" w:hAnsi="Arial" w:eastAsia="宋体" w:cs="Arial"/>
          <w:spacing w:val="10"/>
          <w:sz w:val="24"/>
        </w:rPr>
        <w:drawing>
          <wp:inline distT="0" distB="0" distL="114300" distR="114300">
            <wp:extent cx="5267325" cy="2573020"/>
            <wp:effectExtent l="0" t="0" r="9525" b="17780"/>
            <wp:docPr id="241"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8"/>
                    <pic:cNvPicPr>
                      <a:picLocks noChangeAspect="1"/>
                    </pic:cNvPicPr>
                  </pic:nvPicPr>
                  <pic:blipFill>
                    <a:blip r:embed="rId38"/>
                    <a:stretch>
                      <a:fillRect/>
                    </a:stretch>
                  </pic:blipFill>
                  <pic:spPr>
                    <a:xfrm>
                      <a:off x="0" y="0"/>
                      <a:ext cx="5267325" cy="2573020"/>
                    </a:xfrm>
                    <a:prstGeom prst="rect">
                      <a:avLst/>
                    </a:prstGeom>
                    <a:noFill/>
                    <a:ln>
                      <a:noFill/>
                    </a:ln>
                  </pic:spPr>
                </pic:pic>
              </a:graphicData>
            </a:graphic>
          </wp:inline>
        </w:drawing>
      </w:r>
    </w:p>
    <w:p>
      <w:pPr>
        <w:adjustRightInd w:val="0"/>
        <w:snapToGrid w:val="0"/>
        <w:spacing w:line="500" w:lineRule="exact"/>
        <w:jc w:val="center"/>
        <w:rPr>
          <w:rFonts w:ascii="Arial" w:hAnsi="Arial" w:eastAsia="宋体" w:cs="Arial"/>
          <w:b/>
          <w:spacing w:val="10"/>
          <w:sz w:val="24"/>
        </w:rPr>
      </w:pPr>
      <w:r>
        <w:rPr>
          <w:rFonts w:ascii="Arial" w:hAnsi="Arial" w:eastAsia="宋体" w:cs="Arial"/>
          <w:b/>
          <w:spacing w:val="10"/>
          <w:sz w:val="24"/>
        </w:rPr>
        <w:t>图3.1-1  广西北部湾近岸海域冬季环流模式</w:t>
      </w:r>
    </w:p>
    <w:p>
      <w:pPr>
        <w:rPr>
          <w:rFonts w:ascii="Arial" w:hAnsi="Arial" w:eastAsia="宋体" w:cs="Arial"/>
          <w:spacing w:val="10"/>
          <w:sz w:val="24"/>
        </w:rPr>
      </w:pPr>
      <w:r>
        <w:rPr>
          <w:rFonts w:ascii="Arial" w:hAnsi="Arial" w:eastAsia="宋体" w:cs="Arial"/>
          <w:spacing w:val="10"/>
          <w:sz w:val="24"/>
        </w:rPr>
        <w:drawing>
          <wp:inline distT="0" distB="0" distL="114300" distR="114300">
            <wp:extent cx="5194300" cy="2512060"/>
            <wp:effectExtent l="0" t="0" r="6350" b="2540"/>
            <wp:docPr id="242"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3"/>
                    <pic:cNvPicPr>
                      <a:picLocks noChangeAspect="1"/>
                    </pic:cNvPicPr>
                  </pic:nvPicPr>
                  <pic:blipFill>
                    <a:blip r:embed="rId39"/>
                    <a:stretch>
                      <a:fillRect/>
                    </a:stretch>
                  </pic:blipFill>
                  <pic:spPr>
                    <a:xfrm>
                      <a:off x="0" y="0"/>
                      <a:ext cx="5194300" cy="2512060"/>
                    </a:xfrm>
                    <a:prstGeom prst="rect">
                      <a:avLst/>
                    </a:prstGeom>
                    <a:noFill/>
                    <a:ln>
                      <a:noFill/>
                    </a:ln>
                  </pic:spPr>
                </pic:pic>
              </a:graphicData>
            </a:graphic>
          </wp:inline>
        </w:drawing>
      </w:r>
    </w:p>
    <w:p>
      <w:pPr>
        <w:adjustRightInd w:val="0"/>
        <w:snapToGrid w:val="0"/>
        <w:spacing w:line="500" w:lineRule="exact"/>
        <w:jc w:val="center"/>
        <w:rPr>
          <w:rFonts w:ascii="Arial" w:hAnsi="Arial" w:eastAsia="宋体" w:cs="Arial"/>
          <w:b/>
          <w:spacing w:val="10"/>
          <w:sz w:val="24"/>
        </w:rPr>
      </w:pPr>
      <w:r>
        <w:rPr>
          <w:rFonts w:ascii="Arial" w:hAnsi="Arial" w:eastAsia="宋体" w:cs="Arial"/>
          <w:b/>
          <w:spacing w:val="10"/>
          <w:sz w:val="24"/>
        </w:rPr>
        <w:t>图3.1-2  广西北部湾近岸海域夏季环流模式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2、波浪</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广西近岸海域夏半年盛行南-东南风，冬半年盛行北-东北风，4月、5月和9月为季风过渡期，风向不稳定。波浪随季节变化十分明显，以西南偏南向为主，其次为东北向。多年平均波高为0.3-0.6m，其中夏季0.50-0.72m，冬季0.40-0.58m，春季0.35-0.51m，秋季0.45-0.50m。常见浪为0-3级，占全年波浪频率的96%。5-6级的波浪仅占0.07-0.09%，多出现于台风季节。最大实测波高4.1-5.0m，多年波浪平均周期1.8-3.4s；最大波浪周期为8.7s。</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3、海湾潮流和泥沙特征</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潮汐属于正规日潮类型，平均潮差2.40m，为强潮型海湾。该湾潮流的运动形式，属往复流性质，落潮流速明显大于涨潮流速，涨落潮流方向与深槽走向一致。一年中，全日潮的时间约为60%~70%，涨潮平均流速0.08~0.28m/s，落潮平均流速0.09~0.55m/s。整个钦州湾涨潮方向指北。落潮流由茅尾海向外，涨落潮流均与航道走向大体一致，落潮潮流可将携带的泥沙向外海推移。</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茅尾海的纳潮量大，潮汐通道潮流强劲，无大的风浪，最大涨潮流速为100cm/s，最大落潮流速为170cm/s。基岩上无淤积物覆盖，深槽水深达10m~20m。</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的余流场大体稳定，潮余流场是基本的，但其变化也十分明显。钦州湾海域泥沙来源大致包括陆相径流来沙、波浪侵蚀海岸来沙及海相来沙等三个方面，其中主要为陆相径流来沙，其次为波浪侵蚀海岸来沙，再者为海相来沙。</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入海河流主要有钦江、茅岭江，其次还有金鼓江、鹿耳环江等小溪注入。钦州湾岸线曲折，岛屿星罗棋布，港汊众多。海域沉积物中的部分泥沙是来源于波浪对海岸线母岩侵蚀或片流切割母岩而带来的产物；海相来沙甚微。海区含沙量较小，海水含沙量主要与水动力条件下底质细颗粒物质的再掀起悬浮和河流输沙的运移有关。来自钦州、茅岭江及其周围沿岸的细粒级泥沙（细粉砂以上粒级）在潮流作用下，一部分在内湾低能区沉积；另一部分在落潮流作用下，经湾颈部向外湾输移。由于湾口波浪作用强烈，海岸侵蚀较严重。</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地下水水文特征</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根据广西富吉工程技术有限公司2021年5月编制的《广西中伟新能源科技有限公司北部湾产业基地三元项目（一期一阶段）地下水环境影响评价专题报告》（以下简称一期工程地下水专题报告）：</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1、地形地貌</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港属滨海滩涂地貌，地势为北高南低，大部分区域为低山丘陵谷和浅滩。北部多为丘陵，丘陵山体不大，多为孤丘，坡度较小，平均高程为16～27m；南部为沿海涂滩，为填海区，地势平坦，地形起伏不大，地面高程4.04～6.25m。</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项目区位于钦州港经济开发区内。建设项目所在区域原始地貌上属滨海滩涂地貌，现状场地所在地及周边区域为填海区，场地地势平坦，地形起伏不大。建设场地现状已经进行平整，现状地面高程4.38～6.25m。场地距南侧钦州湾直线距离约4.5km。</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2、区域地质构造</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评估区属于华南褶皱系中的钦州残余地槽，古生代以来，经受了加里东、华力西—印支、燕山、喜马拉雅等多期构造运动，形成了一系列的褶皱、断裂和多个构造盆地。评估区最近的构造为位于评估区北部的那丽背斜和坪上村逆断层。</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那丽背斜：据区域资料，那丽背斜长度约 76km,宽度约 4～13km,倾角35～75°，组成的地层为</w:t>
      </w:r>
      <w:r>
        <w:rPr>
          <w:rFonts w:ascii="Arial" w:hAnsi="Arial" w:eastAsia="Times New Roman" w:cs="Arial"/>
          <w:spacing w:val="-4"/>
          <w:kern w:val="0"/>
          <w:sz w:val="22"/>
          <w:szCs w:val="22"/>
        </w:rPr>
        <w:t>S</w:t>
      </w:r>
      <w:r>
        <w:rPr>
          <w:rFonts w:ascii="Arial" w:hAnsi="Arial" w:eastAsia="Times New Roman" w:cs="Arial"/>
          <w:spacing w:val="-4"/>
          <w:kern w:val="0"/>
          <w:position w:val="-2"/>
          <w:sz w:val="16"/>
          <w:szCs w:val="22"/>
        </w:rPr>
        <w:t>1</w:t>
      </w:r>
      <w:r>
        <w:rPr>
          <w:rFonts w:ascii="Arial" w:hAnsi="Arial" w:eastAsia="Times New Roman" w:cs="Arial"/>
          <w:spacing w:val="-4"/>
          <w:kern w:val="0"/>
          <w:sz w:val="22"/>
          <w:szCs w:val="22"/>
        </w:rPr>
        <w:t>ln</w:t>
      </w:r>
      <w:r>
        <w:rPr>
          <w:rFonts w:ascii="Arial" w:hAnsi="Arial" w:eastAsia="Times New Roman" w:cs="Arial"/>
          <w:spacing w:val="-4"/>
          <w:kern w:val="0"/>
          <w:position w:val="11"/>
          <w:sz w:val="16"/>
          <w:szCs w:val="22"/>
        </w:rPr>
        <w:t>b</w:t>
      </w:r>
      <w:r>
        <w:rPr>
          <w:rFonts w:ascii="Arial" w:hAnsi="Arial" w:eastAsia="宋体" w:cs="Arial"/>
          <w:spacing w:val="-4"/>
          <w:kern w:val="0"/>
          <w:sz w:val="22"/>
          <w:szCs w:val="22"/>
        </w:rPr>
        <w:t>、</w:t>
      </w:r>
      <w:r>
        <w:rPr>
          <w:rFonts w:ascii="Arial" w:hAnsi="Arial" w:eastAsia="Times New Roman" w:cs="Arial"/>
          <w:spacing w:val="-4"/>
          <w:kern w:val="0"/>
          <w:sz w:val="22"/>
          <w:szCs w:val="22"/>
        </w:rPr>
        <w:t>S</w:t>
      </w:r>
      <w:r>
        <w:rPr>
          <w:rFonts w:ascii="Arial" w:hAnsi="Arial" w:eastAsia="Times New Roman" w:cs="Arial"/>
          <w:spacing w:val="-4"/>
          <w:kern w:val="0"/>
          <w:position w:val="-2"/>
          <w:sz w:val="16"/>
          <w:szCs w:val="22"/>
        </w:rPr>
        <w:t>1</w:t>
      </w:r>
      <w:r>
        <w:rPr>
          <w:rFonts w:ascii="Arial" w:hAnsi="Arial" w:eastAsia="Times New Roman" w:cs="Arial"/>
          <w:spacing w:val="-4"/>
          <w:kern w:val="0"/>
          <w:sz w:val="22"/>
          <w:szCs w:val="22"/>
        </w:rPr>
        <w:t>ln</w:t>
      </w:r>
      <w:r>
        <w:rPr>
          <w:rFonts w:ascii="Arial" w:hAnsi="Arial" w:eastAsia="Times New Roman" w:cs="Arial"/>
          <w:spacing w:val="-4"/>
          <w:kern w:val="0"/>
          <w:position w:val="11"/>
          <w:sz w:val="16"/>
          <w:szCs w:val="22"/>
        </w:rPr>
        <w:t>e</w:t>
      </w:r>
      <w:r>
        <w:rPr>
          <w:rFonts w:ascii="Arial" w:hAnsi="Arial" w:eastAsia="宋体" w:cs="Arial"/>
          <w:spacing w:val="-4"/>
          <w:kern w:val="0"/>
          <w:sz w:val="22"/>
          <w:szCs w:val="22"/>
        </w:rPr>
        <w:t>，</w:t>
      </w:r>
      <w:r>
        <w:rPr>
          <w:rFonts w:ascii="Arial" w:hAnsi="Arial" w:eastAsia="宋体" w:cs="Arial"/>
          <w:spacing w:val="10"/>
          <w:sz w:val="24"/>
        </w:rPr>
        <w:t>轴向略呈反“S”，次级褶皱发育，呈紧密线状，倾角较陡，局部倒转，该背斜距离评估区 6.5～8.0km，距离较远，对评估区没有影响。</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坪上村逆断层：坪上村逆断层倾向北西向，倾角 46～80°，切割寒武系地层，断</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层延伸长度约23km，断裂带岩石挤压破碎，硅化，强烈拖褶，具斜冲擦痕，为逆断层，该断裂距离评估区距离 5.5～6.0km，距离较远，对评估区没有影响。评估区内无断裂构造穿过，详见下图。</w:t>
      </w:r>
    </w:p>
    <w:p>
      <w:pPr>
        <w:rPr>
          <w:rFonts w:ascii="Arial" w:hAnsi="Arial" w:eastAsia="宋体" w:cs="Arial"/>
          <w:spacing w:val="10"/>
          <w:sz w:val="24"/>
          <w:lang w:val="zh-CN"/>
        </w:rPr>
      </w:pPr>
      <w:r>
        <w:rPr>
          <w:rFonts w:ascii="Arial" w:hAnsi="Arial" w:cs="Arial"/>
          <w:sz w:val="20"/>
        </w:rPr>
        <w:drawing>
          <wp:inline distT="0" distB="0" distL="114300" distR="114300">
            <wp:extent cx="5574030" cy="3832860"/>
            <wp:effectExtent l="0" t="0" r="7620" b="15240"/>
            <wp:docPr id="243" name="image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668.jpeg"/>
                    <pic:cNvPicPr>
                      <a:picLocks noChangeAspect="1"/>
                    </pic:cNvPicPr>
                  </pic:nvPicPr>
                  <pic:blipFill>
                    <a:blip r:embed="rId40"/>
                    <a:stretch>
                      <a:fillRect/>
                    </a:stretch>
                  </pic:blipFill>
                  <pic:spPr>
                    <a:xfrm>
                      <a:off x="0" y="0"/>
                      <a:ext cx="5574030" cy="3832860"/>
                    </a:xfrm>
                    <a:prstGeom prst="rect">
                      <a:avLst/>
                    </a:prstGeom>
                    <a:noFill/>
                    <a:ln>
                      <a:noFill/>
                    </a:ln>
                  </pic:spPr>
                </pic:pic>
              </a:graphicData>
            </a:graphic>
          </wp:inline>
        </w:drawing>
      </w:r>
    </w:p>
    <w:p>
      <w:pPr>
        <w:jc w:val="center"/>
        <w:rPr>
          <w:rFonts w:ascii="Arial" w:hAnsi="Arial" w:eastAsia="宋体" w:cs="Arial"/>
          <w:spacing w:val="10"/>
          <w:sz w:val="32"/>
          <w:lang w:val="zh-CN"/>
        </w:rPr>
      </w:pPr>
      <w:r>
        <w:rPr>
          <w:rFonts w:ascii="Arial" w:hAnsi="Arial" w:eastAsia="宋体" w:cs="Arial"/>
          <w:b/>
          <w:sz w:val="24"/>
        </w:rPr>
        <w:t>图3.1-3  区域地质构造</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3、区域地层岩性</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区域内出露的地层有：志留系、侏罗系及第四系。现由老到新分述如下：</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志留系下统连滩群第三组（S1ln</w:t>
      </w:r>
      <w:r>
        <w:rPr>
          <w:rFonts w:ascii="Arial" w:hAnsi="Arial" w:eastAsia="宋体" w:cs="Arial"/>
          <w:spacing w:val="10"/>
          <w:sz w:val="24"/>
          <w:vertAlign w:val="superscript"/>
        </w:rPr>
        <w:t>c</w:t>
      </w:r>
      <w:r>
        <w:rPr>
          <w:rFonts w:ascii="Arial" w:hAnsi="Arial" w:eastAsia="宋体" w:cs="Arial"/>
          <w:spacing w:val="10"/>
          <w:sz w:val="24"/>
        </w:rPr>
        <w:t>）、第四组（S1ln</w:t>
      </w:r>
      <w:r>
        <w:rPr>
          <w:rFonts w:ascii="Arial" w:hAnsi="Arial" w:eastAsia="宋体" w:cs="Arial"/>
          <w:spacing w:val="10"/>
          <w:sz w:val="24"/>
          <w:vertAlign w:val="superscript"/>
        </w:rPr>
        <w:t>d</w:t>
      </w:r>
      <w:r>
        <w:rPr>
          <w:rFonts w:ascii="Arial" w:hAnsi="Arial" w:eastAsia="宋体" w:cs="Arial"/>
          <w:spacing w:val="10"/>
          <w:sz w:val="24"/>
        </w:rPr>
        <w:t>）、第五组（S1ln</w:t>
      </w:r>
      <w:r>
        <w:rPr>
          <w:rFonts w:ascii="Arial" w:hAnsi="Arial" w:eastAsia="宋体" w:cs="Arial"/>
          <w:spacing w:val="10"/>
          <w:sz w:val="24"/>
          <w:vertAlign w:val="superscript"/>
        </w:rPr>
        <w:t>e</w:t>
      </w:r>
      <w:r>
        <w:rPr>
          <w:rFonts w:ascii="Arial" w:hAnsi="Arial" w:eastAsia="宋体" w:cs="Arial"/>
          <w:spacing w:val="10"/>
          <w:sz w:val="24"/>
        </w:rPr>
        <w:t>）：砂岩夹粉砂岩、泥岩、页岩。</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侏罗系下统（J1）：泥岩、粉砂岩、砂岩、砾岩；中统（J2）：砂岩夹粉砂岩。第四系(Q)全新统：砂、砂砾、亚粘土、亚砂土、淤泥。</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4、区域水文地质单元划分</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评价区为一相对完整、较简单的水文地质单元，总体呈由西北向东北展布、从东北向东南展布地带，以金鼓江、鹿耳环江以及钦州湾为水文地质单元边界。共由两个次级水文地质单元铁大坡顶水文地质单元I</w:t>
      </w:r>
      <w:r>
        <w:rPr>
          <w:rFonts w:ascii="Arial" w:hAnsi="Arial" w:eastAsia="宋体" w:cs="Arial"/>
          <w:spacing w:val="10"/>
          <w:sz w:val="24"/>
          <w:vertAlign w:val="subscript"/>
        </w:rPr>
        <w:t>1</w:t>
      </w:r>
      <w:r>
        <w:rPr>
          <w:rFonts w:ascii="Arial" w:hAnsi="Arial" w:eastAsia="宋体" w:cs="Arial"/>
          <w:spacing w:val="10"/>
          <w:sz w:val="24"/>
        </w:rPr>
        <w:t>、香炉墩水文地质单元I</w:t>
      </w:r>
      <w:r>
        <w:rPr>
          <w:rFonts w:ascii="Arial" w:hAnsi="Arial" w:eastAsia="宋体" w:cs="Arial"/>
          <w:spacing w:val="10"/>
          <w:sz w:val="24"/>
          <w:vertAlign w:val="subscript"/>
        </w:rPr>
        <w:t>2</w:t>
      </w:r>
      <w:r>
        <w:rPr>
          <w:rFonts w:ascii="Arial" w:hAnsi="Arial" w:eastAsia="宋体" w:cs="Arial"/>
          <w:spacing w:val="10"/>
          <w:sz w:val="24"/>
        </w:rPr>
        <w:t>组成。</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测区属于香炉墩水文地质单元I</w:t>
      </w:r>
      <w:r>
        <w:rPr>
          <w:rFonts w:ascii="Arial" w:hAnsi="Arial" w:eastAsia="宋体" w:cs="Arial"/>
          <w:spacing w:val="10"/>
          <w:sz w:val="24"/>
          <w:vertAlign w:val="subscript"/>
        </w:rPr>
        <w:t>2</w:t>
      </w:r>
      <w:r>
        <w:rPr>
          <w:rFonts w:ascii="Arial" w:hAnsi="Arial" w:eastAsia="宋体" w:cs="Arial"/>
          <w:spacing w:val="10"/>
          <w:sz w:val="24"/>
        </w:rPr>
        <w:t>，地下水总体由北往南径流最终排泄至钦州湾，局部地下水排泄至西侧、西南侧金鼓江，项目区地下水由西北向东南径流，排泄至鹿耳环江。评价区以淡水湾-鲎泊潭-大坑一带地下水分水岭为调查边界，分水岭以北的河流为排泄边界1，分水岭以南的西侧金鼓江为排泄边界2、东侧鹿耳环江为排泄边界3以及南侧钦州湾作为排泄边界4。地下水露头为评价区补给边界，地下水补给、径流、排泄系统独立完整。</w:t>
      </w:r>
    </w:p>
    <w:p>
      <w:pPr>
        <w:adjustRightInd w:val="0"/>
        <w:snapToGrid w:val="0"/>
        <w:spacing w:line="500" w:lineRule="exact"/>
        <w:ind w:firstLine="490" w:firstLineChars="200"/>
        <w:rPr>
          <w:rFonts w:ascii="Arial" w:hAnsi="Arial" w:eastAsia="宋体" w:cs="Arial"/>
          <w:spacing w:val="10"/>
          <w:sz w:val="24"/>
          <w:szCs w:val="24"/>
          <w:lang w:val="zh-CN"/>
        </w:rPr>
      </w:pPr>
      <w:r>
        <w:rPr>
          <w:rFonts w:ascii="Arial" w:hAnsi="Arial" w:eastAsia="宋体" w:cs="Arial"/>
          <w:spacing w:val="10"/>
          <w:sz w:val="24"/>
          <w:szCs w:val="24"/>
          <w:lang w:val="zh-CN"/>
        </w:rPr>
        <w:t>5、区域含水层划分及其富水性</w:t>
      </w:r>
    </w:p>
    <w:p>
      <w:pPr>
        <w:autoSpaceDE w:val="0"/>
        <w:autoSpaceDN w:val="0"/>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根据地层岩性及其组合特征、含水特征的差异，测区内含水岩层划分为松散岩类孔隙水、碎屑岩类裂隙孔隙水和构造裂隙水。</w:t>
      </w:r>
    </w:p>
    <w:p>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松散岩类孔隙水：主要赋存于第四系素填土及淤泥质砂中，结构疏松，具透水和贮水条件，含孔隙水，为建设项目的主要含水层。根据区域水文地质计算资料，单井涌水量小于100m</w:t>
      </w:r>
      <w:r>
        <w:rPr>
          <w:rFonts w:ascii="Arial" w:hAnsi="Arial" w:eastAsia="宋体" w:cs="Arial"/>
          <w:spacing w:val="10"/>
          <w:kern w:val="0"/>
          <w:sz w:val="24"/>
          <w:szCs w:val="24"/>
          <w:vertAlign w:val="superscript"/>
        </w:rPr>
        <w:t>3</w:t>
      </w:r>
      <w:r>
        <w:rPr>
          <w:rFonts w:ascii="Arial" w:hAnsi="Arial" w:eastAsia="宋体" w:cs="Arial"/>
          <w:spacing w:val="10"/>
          <w:kern w:val="0"/>
          <w:sz w:val="24"/>
          <w:szCs w:val="24"/>
        </w:rPr>
        <w:t>/d，水量贫乏，富水性弱。</w:t>
      </w:r>
    </w:p>
    <w:p>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碎屑岩类裂隙孔隙水：该类型地下水主要赋存于侏罗系上统（J1）及中统那荡组（J2）碎屑岩类砂岩、泥岩、泥质粉砂岩裂隙中,区内地质构造较发育。呈块状分布于调查区内，地貌上属低山地貌区，主要接受大气降雨补给。根据区域水文地质统计计算资料，单井涌水量小于100m</w:t>
      </w:r>
      <w:r>
        <w:rPr>
          <w:rFonts w:ascii="Arial" w:hAnsi="Arial" w:eastAsia="宋体" w:cs="Arial"/>
          <w:spacing w:val="10"/>
          <w:kern w:val="0"/>
          <w:sz w:val="24"/>
          <w:szCs w:val="24"/>
          <w:vertAlign w:val="superscript"/>
        </w:rPr>
        <w:t>3</w:t>
      </w:r>
      <w:r>
        <w:rPr>
          <w:rFonts w:ascii="Arial" w:hAnsi="Arial" w:eastAsia="宋体" w:cs="Arial"/>
          <w:spacing w:val="10"/>
          <w:kern w:val="0"/>
          <w:sz w:val="24"/>
          <w:szCs w:val="24"/>
        </w:rPr>
        <w:t>/d，水量贫乏，富水性弱。</w:t>
      </w:r>
    </w:p>
    <w:p>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构造裂隙水：主要分布于调查区北侧及东侧边缘地带，地貌上多为低ft地貌区，含</w:t>
      </w:r>
    </w:p>
    <w:p>
      <w:pPr>
        <w:adjustRightInd w:val="0"/>
        <w:snapToGrid w:val="0"/>
        <w:spacing w:line="500" w:lineRule="exact"/>
        <w:ind w:firstLine="490" w:firstLineChars="200"/>
        <w:rPr>
          <w:rFonts w:ascii="Arial" w:hAnsi="Arial" w:eastAsia="宋体" w:cs="Arial"/>
          <w:spacing w:val="10"/>
          <w:sz w:val="24"/>
          <w:szCs w:val="24"/>
          <w:lang w:val="zh-CN"/>
        </w:rPr>
      </w:pPr>
      <w:r>
        <w:rPr>
          <w:rFonts w:ascii="Arial" w:hAnsi="Arial" w:eastAsia="宋体" w:cs="Arial"/>
          <w:spacing w:val="10"/>
          <w:kern w:val="0"/>
          <w:sz w:val="24"/>
          <w:szCs w:val="24"/>
        </w:rPr>
        <w:t>水岩组为志留系连滩群第三组（S1ln</w:t>
      </w:r>
      <w:r>
        <w:rPr>
          <w:rFonts w:ascii="Arial" w:hAnsi="Arial" w:eastAsia="宋体" w:cs="Arial"/>
          <w:spacing w:val="10"/>
          <w:kern w:val="0"/>
          <w:sz w:val="24"/>
          <w:szCs w:val="24"/>
          <w:vertAlign w:val="superscript"/>
        </w:rPr>
        <w:t>c</w:t>
      </w:r>
      <w:r>
        <w:rPr>
          <w:rFonts w:ascii="Arial" w:hAnsi="Arial" w:eastAsia="宋体" w:cs="Arial"/>
          <w:spacing w:val="10"/>
          <w:kern w:val="0"/>
          <w:sz w:val="24"/>
          <w:szCs w:val="24"/>
        </w:rPr>
        <w:t>）、第四组（S</w:t>
      </w:r>
      <w:r>
        <w:rPr>
          <w:rFonts w:ascii="Arial" w:hAnsi="Arial" w:eastAsia="宋体" w:cs="Arial"/>
          <w:spacing w:val="10"/>
          <w:kern w:val="0"/>
          <w:sz w:val="24"/>
          <w:szCs w:val="24"/>
          <w:vertAlign w:val="subscript"/>
        </w:rPr>
        <w:t>1</w:t>
      </w:r>
      <w:r>
        <w:rPr>
          <w:rFonts w:ascii="Arial" w:hAnsi="Arial" w:eastAsia="宋体" w:cs="Arial"/>
          <w:spacing w:val="10"/>
          <w:kern w:val="0"/>
          <w:sz w:val="24"/>
          <w:szCs w:val="24"/>
        </w:rPr>
        <w:t>ln</w:t>
      </w:r>
      <w:r>
        <w:rPr>
          <w:rFonts w:ascii="Arial" w:hAnsi="Arial" w:eastAsia="宋体" w:cs="Arial"/>
          <w:spacing w:val="10"/>
          <w:kern w:val="0"/>
          <w:sz w:val="24"/>
          <w:szCs w:val="24"/>
          <w:vertAlign w:val="superscript"/>
        </w:rPr>
        <w:t>d</w:t>
      </w:r>
      <w:r>
        <w:rPr>
          <w:rFonts w:ascii="Arial" w:hAnsi="Arial" w:eastAsia="宋体" w:cs="Arial"/>
          <w:spacing w:val="10"/>
          <w:kern w:val="0"/>
          <w:sz w:val="24"/>
          <w:szCs w:val="24"/>
        </w:rPr>
        <w:t>）、第五组（S</w:t>
      </w:r>
      <w:r>
        <w:rPr>
          <w:rFonts w:ascii="Arial" w:hAnsi="Arial" w:eastAsia="宋体" w:cs="Arial"/>
          <w:spacing w:val="10"/>
          <w:kern w:val="0"/>
          <w:sz w:val="24"/>
          <w:szCs w:val="24"/>
          <w:vertAlign w:val="subscript"/>
        </w:rPr>
        <w:t>1</w:t>
      </w:r>
      <w:r>
        <w:rPr>
          <w:rFonts w:ascii="Arial" w:hAnsi="Arial" w:eastAsia="宋体" w:cs="Arial"/>
          <w:spacing w:val="10"/>
          <w:kern w:val="0"/>
          <w:sz w:val="24"/>
          <w:szCs w:val="24"/>
        </w:rPr>
        <w:t>ln</w:t>
      </w:r>
      <w:r>
        <w:rPr>
          <w:rFonts w:ascii="Arial" w:hAnsi="Arial" w:eastAsia="宋体" w:cs="Arial"/>
          <w:spacing w:val="10"/>
          <w:kern w:val="0"/>
          <w:sz w:val="24"/>
          <w:szCs w:val="24"/>
          <w:vertAlign w:val="superscript"/>
        </w:rPr>
        <w:t>e</w:t>
      </w:r>
      <w:r>
        <w:rPr>
          <w:rFonts w:ascii="Arial" w:hAnsi="Arial" w:eastAsia="宋体" w:cs="Arial"/>
          <w:spacing w:val="10"/>
          <w:kern w:val="0"/>
          <w:sz w:val="24"/>
          <w:szCs w:val="24"/>
        </w:rPr>
        <w:t>）泥质粉砂岩，区内地质构造较发育。地下水主要赋存于下伏泥质粉砂岩构造节理裂隙中。区内地下水径流模数＜6L/s·km，水量贫乏，富水性弱。</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6、区域地下水的补给、径流、排泄条件</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项目所在区域为回填区，补给来源主要为大气降雨，海水涨潮也会对近岸局部地下水补给产生影响。孔隙水主要沿孔隙作层流运动，以蒸发排泄为主，其次以下降泉或线状排泄排入海域，人工开采也是较重要的排泄方式。地下水径流排泄过程受到海水涨落潮影响，地下水位作小幅变动。</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碎屑岩类裂隙孔隙水、构造裂隙水的补给来源亦主要为大气降雨，测区低山区覆盖层较薄，基岩裂隙发育，但地形坡度较陡，降雨不易留存补给地下水。构造裂隙水通常作隙流运动，就近排入附近的河流、溪沟之中。</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7、区域地下水动态特征</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调查区内地下水动态以气象型为主：地下水受降雨补给控制，地下水位降雨则升，无雨则降，且年变幅较大；流量与降雨有较大的关系，大雨后流量剧增，</w:t>
      </w:r>
      <w:r>
        <w:rPr>
          <w:rFonts w:hint="eastAsia" w:ascii="Arial" w:hAnsi="Arial" w:eastAsia="宋体" w:cs="Arial"/>
          <w:spacing w:val="10"/>
          <w:sz w:val="24"/>
          <w:lang w:val="zh-CN"/>
        </w:rPr>
        <w:t>其他</w:t>
      </w:r>
      <w:r>
        <w:rPr>
          <w:rFonts w:ascii="Arial" w:hAnsi="Arial" w:eastAsia="宋体" w:cs="Arial"/>
          <w:spacing w:val="10"/>
          <w:sz w:val="24"/>
          <w:lang w:val="zh-CN"/>
        </w:rPr>
        <w:t>时段流量又逐渐减少。地下水位变化对降雨反应较灵敏，水位上升与降雨量成正相关。调查区内属低ft地貌区，地下水水位埋深较小，一般＜10m，年内地下水水位变幅也相对较小。</w:t>
      </w:r>
      <w:r>
        <w:rPr>
          <w:rFonts w:ascii="Arial" w:hAnsi="Arial" w:eastAsia="宋体" w:cs="Arial"/>
          <w:spacing w:val="10"/>
          <w:sz w:val="24"/>
        </w:rPr>
        <w:t>近海区</w:t>
      </w:r>
      <w:r>
        <w:rPr>
          <w:rFonts w:ascii="Arial" w:hAnsi="Arial" w:eastAsia="宋体" w:cs="Arial"/>
          <w:spacing w:val="10"/>
          <w:sz w:val="24"/>
          <w:lang w:val="zh-CN"/>
        </w:rPr>
        <w:t>地下水位受潮汐涨落影响</w:t>
      </w:r>
      <w:r>
        <w:rPr>
          <w:rFonts w:ascii="Arial" w:hAnsi="Arial" w:eastAsia="宋体" w:cs="Arial"/>
          <w:spacing w:val="10"/>
          <w:sz w:val="24"/>
        </w:rPr>
        <w:t>较明显</w:t>
      </w:r>
      <w:r>
        <w:rPr>
          <w:rFonts w:ascii="Arial" w:hAnsi="Arial" w:eastAsia="宋体" w:cs="Arial"/>
          <w:spacing w:val="10"/>
          <w:sz w:val="24"/>
          <w:lang w:val="zh-CN"/>
        </w:rPr>
        <w:t>，对</w:t>
      </w:r>
      <w:r>
        <w:rPr>
          <w:rFonts w:ascii="Arial" w:hAnsi="Arial" w:eastAsia="宋体" w:cs="Arial"/>
          <w:spacing w:val="10"/>
          <w:sz w:val="24"/>
        </w:rPr>
        <w:t>近海区</w:t>
      </w:r>
      <w:r>
        <w:rPr>
          <w:rFonts w:ascii="Arial" w:hAnsi="Arial" w:eastAsia="宋体" w:cs="Arial"/>
          <w:spacing w:val="10"/>
          <w:sz w:val="24"/>
          <w:lang w:val="zh-CN"/>
        </w:rPr>
        <w:t>地下水径流及排泄有一定的影响。</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根据地区经验及类比工程，枯水期泉流量和溪沟流量变小，丰水期泉流量和溪沟排泄的地下水量增大，年变化系数2.1-14倍。</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8、区域地下水化学类型</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测区地下水主要为矿化度极低的中性－弱酸性极软水。区域地下水主要以HCO</w:t>
      </w:r>
      <w:r>
        <w:rPr>
          <w:rFonts w:ascii="Arial" w:hAnsi="Arial" w:eastAsia="宋体" w:cs="Arial"/>
          <w:spacing w:val="10"/>
          <w:sz w:val="24"/>
          <w:vertAlign w:val="subscript"/>
          <w:lang w:val="zh-CN"/>
        </w:rPr>
        <w:t>3</w:t>
      </w:r>
      <w:r>
        <w:rPr>
          <w:rFonts w:ascii="Arial" w:hAnsi="Arial" w:eastAsia="宋体" w:cs="Arial"/>
          <w:spacing w:val="10"/>
          <w:sz w:val="24"/>
          <w:lang w:val="zh-CN"/>
        </w:rPr>
        <w:t>·Cl－Na·Ca(或 Ca·Na)型为主，其次为Cl－Na型、HCO</w:t>
      </w:r>
      <w:r>
        <w:rPr>
          <w:rFonts w:ascii="Arial" w:hAnsi="Arial" w:eastAsia="宋体" w:cs="Arial"/>
          <w:spacing w:val="10"/>
          <w:sz w:val="24"/>
          <w:vertAlign w:val="subscript"/>
          <w:lang w:val="zh-CN"/>
        </w:rPr>
        <w:t>3</w:t>
      </w:r>
      <w:r>
        <w:rPr>
          <w:rFonts w:ascii="Arial" w:hAnsi="Arial" w:eastAsia="宋体" w:cs="Arial"/>
          <w:spacing w:val="10"/>
          <w:sz w:val="24"/>
          <w:lang w:val="zh-CN"/>
        </w:rPr>
        <w:t>－Na Ca（或 Ca）型。水质以弱酸性水为主，硬度一般0.42～7.56 德度，矿化度0.016-0.309g/L，矿化度和总硬度都比较低。</w:t>
      </w:r>
    </w:p>
    <w:p>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项目区为填海区域，现场地内地下水与原海域海水关系密切。因此本项目地下水氯离子、钠离子、溶解性总固体等因子浓度含量较高，与区域非填海区的地下水化学类型有所不同。</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气象条件</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项目所在区域属南亚热带海洋气候，季风盛行，冬无严寒夏无酷暑，热量丰富，干湿分明，</w:t>
      </w:r>
      <w:r>
        <w:rPr>
          <w:rFonts w:hint="eastAsia" w:ascii="Arial" w:hAnsi="Arial" w:eastAsia="宋体" w:cs="Arial"/>
          <w:spacing w:val="10"/>
          <w:sz w:val="24"/>
          <w:u w:val="single"/>
        </w:rPr>
        <w:t>据钦州气象站（59632）统计的气象资料</w:t>
      </w:r>
      <w:r>
        <w:rPr>
          <w:rFonts w:hint="eastAsia" w:ascii="Arial" w:hAnsi="Arial" w:eastAsia="宋体" w:cs="Arial"/>
          <w:spacing w:val="10"/>
          <w:sz w:val="24"/>
        </w:rPr>
        <w:t xml:space="preserve">，本地气候特征如下： </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1、气温</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u w:val="single"/>
        </w:rPr>
        <w:t>近20年钦州年平均气温为22.9℃，累年极端最高气温为37.9℃，累年极端最低气温为1.6℃；</w:t>
      </w:r>
      <w:r>
        <w:rPr>
          <w:rFonts w:hint="eastAsia" w:ascii="Arial" w:hAnsi="Arial" w:eastAsia="宋体" w:cs="Arial"/>
          <w:spacing w:val="10"/>
          <w:sz w:val="24"/>
        </w:rPr>
        <w:t>钦州气象站07月气温最高（28.84℃），01月气温最低（14.07℃）。</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2、风况与相对湿度</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当地气候风显著，每年5－8月多偏向南向风，其中以6、7月份为最多，9月至翌年4月多偏北向风。钦州年主导风向为北风，频率为16.7%。多年平均风速2.1m/s，极大风速6.9m/s。区域相对湿度以春季3月和雨季6~8月为最大，10月到次年1月为相对湿度低值期。本地区多年平均相对湿度为77.4%。</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3、降雨</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市濒临海洋，夏秋两季常受热带风暴的影响，雨量充沛。据统计，钦州市多年平均降雨量为1764.5mm。年内降雨多集中在汛期4～9月份，这段时间的雨量一般可占全年总降雨量的80%以上，月最大降雨量多出现在七、八月份。由于多种因素的影响，降雨量年际变化较大，变差系数CV值约为0.2，最大与最小雨量差值在1000mm以上。灵山县灵东水库1961年降雨量为2434.3mm，而1989年降雨量仅为866.2mm，差值为1568.1mm。钦州市水面蒸发以七月份最大，二月份最小。钦南、钦北区多年平均水面蒸发量为860.2mm；灵山县多年平均水面蒸发量为875.9mm；浦北县多年平均水面蒸发量为848.0。全市陆面蒸发量为870.0mm。</w:t>
      </w:r>
    </w:p>
    <w:p>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动植物资源</w:t>
      </w:r>
    </w:p>
    <w:p>
      <w:pPr>
        <w:spacing w:line="500" w:lineRule="exact"/>
        <w:ind w:firstLine="480"/>
        <w:rPr>
          <w:rFonts w:ascii="Arial" w:hAnsi="Arial" w:eastAsia="宋体" w:cs="Arial"/>
          <w:spacing w:val="10"/>
          <w:sz w:val="24"/>
        </w:rPr>
      </w:pPr>
      <w:r>
        <w:rPr>
          <w:rFonts w:ascii="Arial" w:hAnsi="Arial" w:eastAsia="宋体" w:cs="Arial"/>
          <w:spacing w:val="10"/>
          <w:sz w:val="24"/>
        </w:rPr>
        <w:t>钦州港内陆现存的野生动物为常见的广布种，鸟类主要有大山雀、麻雀、了哥、燕子、画眉；爬行类主要有蜈蚣、南草蜥、蜗牛等；昆虫类主要有蜜蜂、蜻蜓、蝗、蝴蝶、蝉、蜘蛛、黑蜂、地老虎、蟋蟀等。</w:t>
      </w:r>
    </w:p>
    <w:p>
      <w:pPr>
        <w:spacing w:line="500" w:lineRule="exact"/>
        <w:ind w:firstLine="480"/>
        <w:rPr>
          <w:rFonts w:ascii="Arial" w:hAnsi="Arial" w:eastAsia="宋体" w:cs="Arial"/>
          <w:spacing w:val="10"/>
          <w:sz w:val="24"/>
        </w:rPr>
      </w:pPr>
      <w:r>
        <w:rPr>
          <w:rFonts w:ascii="Arial" w:hAnsi="Arial" w:eastAsia="宋体" w:cs="Arial"/>
          <w:spacing w:val="10"/>
          <w:sz w:val="24"/>
        </w:rPr>
        <w:t>钦州湾所在区域森林植被以松杉和天然阔叶林为主。由于土壤、气候、地形条件的不同，植被分布有区域性差异：东、西北部地区以桃金娘芒箕群落为主，草类以绒草为主，覆盖率80～90%，乔木以松杉为主；南部、中部地区以灌木、岗松及低草群落的鸭嘴草为主，覆盖率50～60%，乔木以松为主；沿海地区以矮生鹧鸪草群落为主，覆盖率30～40%，乔木以松为主。</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自然保护区、风景名胜区及文物古迹</w:t>
      </w:r>
    </w:p>
    <w:p>
      <w:pPr>
        <w:spacing w:line="500" w:lineRule="exact"/>
        <w:ind w:firstLine="480"/>
        <w:rPr>
          <w:rFonts w:ascii="Arial" w:hAnsi="Arial" w:eastAsia="宋体" w:cs="Arial"/>
          <w:spacing w:val="10"/>
          <w:sz w:val="24"/>
        </w:rPr>
      </w:pPr>
      <w:r>
        <w:rPr>
          <w:rFonts w:ascii="Arial" w:hAnsi="Arial" w:eastAsia="宋体" w:cs="Arial"/>
          <w:spacing w:val="10"/>
          <w:sz w:val="24"/>
        </w:rPr>
        <w:t>厂区周边不涉及风景名胜区及文物古迹，周边的自然保护区主要是广西茅尾海红树林自治区级自然保护区。根据《广西红树林资源保护规划（2020~2030年）》，厂区周边不涉及其他红树林保护小区，水井环及麻蓝头岛的红树林区为限制开发建设的红树林区域。</w:t>
      </w:r>
    </w:p>
    <w:p>
      <w:pPr>
        <w:numPr>
          <w:ilvl w:val="0"/>
          <w:numId w:val="14"/>
        </w:numPr>
        <w:spacing w:line="500" w:lineRule="exact"/>
        <w:outlineLvl w:val="3"/>
        <w:rPr>
          <w:rFonts w:ascii="Arial" w:hAnsi="Arial" w:eastAsia="宋体" w:cs="Arial"/>
          <w:b/>
          <w:spacing w:val="10"/>
          <w:sz w:val="24"/>
        </w:rPr>
      </w:pPr>
      <w:r>
        <w:rPr>
          <w:rFonts w:ascii="Arial" w:hAnsi="Arial" w:eastAsia="宋体" w:cs="Arial"/>
          <w:b/>
          <w:spacing w:val="10"/>
          <w:sz w:val="24"/>
        </w:rPr>
        <w:t>茅尾海红树林自然保护区</w:t>
      </w:r>
    </w:p>
    <w:p>
      <w:pPr>
        <w:spacing w:line="500" w:lineRule="exact"/>
        <w:ind w:firstLine="480"/>
        <w:rPr>
          <w:rFonts w:ascii="Arial" w:hAnsi="Arial" w:eastAsia="宋体" w:cs="Arial"/>
          <w:spacing w:val="10"/>
          <w:sz w:val="24"/>
        </w:rPr>
      </w:pPr>
      <w:r>
        <w:rPr>
          <w:rFonts w:ascii="Arial" w:hAnsi="Arial" w:eastAsia="宋体" w:cs="Arial"/>
          <w:spacing w:val="10"/>
          <w:sz w:val="24"/>
        </w:rPr>
        <w:t>根据广西壮族自治区人民政府发布的《广西壮族自治区人民政府关于同意广西茅尾海红树林自治区级自然保护区范围与功能区调整的批复》（桂政函〔2020〕14号），同意调整广西茅尾海红树林自治区级自然保护区（以下简称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pPr>
        <w:spacing w:line="500" w:lineRule="exact"/>
        <w:ind w:firstLine="480"/>
        <w:rPr>
          <w:rFonts w:ascii="Arial" w:hAnsi="Arial" w:eastAsia="宋体" w:cs="Arial"/>
          <w:spacing w:val="10"/>
          <w:sz w:val="24"/>
        </w:rPr>
      </w:pPr>
      <w:r>
        <w:rPr>
          <w:rFonts w:ascii="Arial" w:hAnsi="Arial" w:eastAsia="宋体" w:cs="Arial"/>
          <w:spacing w:val="10"/>
          <w:sz w:val="24"/>
        </w:rPr>
        <w:t>距项目较近的是七十二泾片区，该片区位于钦州港建成区西侧、松飞大岭以南，总面积217.42hm</w:t>
      </w:r>
      <w:r>
        <w:rPr>
          <w:rFonts w:ascii="Arial" w:hAnsi="Arial" w:eastAsia="宋体" w:cs="Arial"/>
          <w:spacing w:val="10"/>
          <w:sz w:val="24"/>
          <w:vertAlign w:val="superscript"/>
        </w:rPr>
        <w:t>2</w:t>
      </w:r>
      <w:r>
        <w:rPr>
          <w:rFonts w:ascii="Arial" w:hAnsi="Arial" w:eastAsia="宋体" w:cs="Arial"/>
          <w:spacing w:val="10"/>
          <w:sz w:val="24"/>
        </w:rPr>
        <w:t>，其中核心区面积96.81hm</w:t>
      </w:r>
      <w:r>
        <w:rPr>
          <w:rFonts w:ascii="Arial" w:hAnsi="Arial" w:eastAsia="宋体" w:cs="Arial"/>
          <w:spacing w:val="10"/>
          <w:sz w:val="24"/>
          <w:vertAlign w:val="superscript"/>
        </w:rPr>
        <w:t>2</w:t>
      </w:r>
      <w:r>
        <w:rPr>
          <w:rFonts w:ascii="Arial" w:hAnsi="Arial" w:eastAsia="宋体" w:cs="Arial"/>
          <w:spacing w:val="10"/>
          <w:sz w:val="24"/>
        </w:rPr>
        <w:t>，缓冲区面积56.40hm</w:t>
      </w:r>
      <w:r>
        <w:rPr>
          <w:rFonts w:ascii="Arial" w:hAnsi="Arial" w:eastAsia="宋体" w:cs="Arial"/>
          <w:spacing w:val="10"/>
          <w:sz w:val="24"/>
          <w:vertAlign w:val="superscript"/>
        </w:rPr>
        <w:t>2</w:t>
      </w:r>
      <w:r>
        <w:rPr>
          <w:rFonts w:ascii="Arial" w:hAnsi="Arial" w:eastAsia="宋体" w:cs="Arial"/>
          <w:spacing w:val="10"/>
          <w:sz w:val="24"/>
        </w:rPr>
        <w:t>，实验区面积64.21hm</w:t>
      </w:r>
      <w:r>
        <w:rPr>
          <w:rFonts w:ascii="Arial" w:hAnsi="Arial" w:eastAsia="宋体" w:cs="Arial"/>
          <w:spacing w:val="10"/>
          <w:sz w:val="24"/>
          <w:vertAlign w:val="superscript"/>
        </w:rPr>
        <w:t>2</w:t>
      </w:r>
      <w:r>
        <w:rPr>
          <w:rFonts w:ascii="Arial" w:hAnsi="Arial" w:eastAsia="宋体" w:cs="Arial"/>
          <w:spacing w:val="10"/>
          <w:sz w:val="24"/>
        </w:rPr>
        <w:t>。</w:t>
      </w:r>
    </w:p>
    <w:p>
      <w:pPr>
        <w:spacing w:line="500" w:lineRule="exact"/>
        <w:ind w:firstLine="480"/>
        <w:rPr>
          <w:rFonts w:ascii="Arial" w:hAnsi="Arial" w:eastAsia="宋体" w:cs="Arial"/>
          <w:spacing w:val="10"/>
          <w:sz w:val="24"/>
        </w:rPr>
      </w:pPr>
      <w:r>
        <w:rPr>
          <w:rFonts w:ascii="Arial" w:hAnsi="Arial" w:eastAsia="宋体" w:cs="Arial"/>
          <w:spacing w:val="10"/>
          <w:sz w:val="24"/>
        </w:rPr>
        <w:t>茅尾海红树林自治区级自然保护区保护区类型属于自然生态系统类海洋与海岸生态系统类型的自治区级自然保护区，自然保护区主要保护对象为红树林湿地生态系统。茅尾海红树林自治区级自然保护区是以保护红树林湿地生态系统为主，全面保护红树林生境、红树林湿地景观、湿地水禽等自然资源和自然环境，集保护、科研、教育、生态旅游和可持续利用等多功能于一体的综合性自然保护区。</w:t>
      </w:r>
    </w:p>
    <w:p>
      <w:pPr>
        <w:spacing w:line="500" w:lineRule="exact"/>
        <w:ind w:firstLine="480"/>
        <w:rPr>
          <w:rFonts w:ascii="Arial" w:hAnsi="Arial" w:eastAsia="宋体" w:cs="Arial"/>
          <w:spacing w:val="10"/>
          <w:sz w:val="24"/>
        </w:rPr>
      </w:pPr>
      <w:r>
        <w:rPr>
          <w:rFonts w:ascii="Arial" w:hAnsi="Arial" w:eastAsia="宋体" w:cs="Arial"/>
          <w:spacing w:val="10"/>
          <w:sz w:val="24"/>
        </w:rPr>
        <w:t>根据广西茅尾海红树林自治区级自然保护区范围与功能区调整图，项目</w:t>
      </w:r>
      <w:r>
        <w:rPr>
          <w:rFonts w:hint="eastAsia" w:ascii="Arial" w:hAnsi="Arial" w:eastAsia="宋体" w:cs="Arial"/>
          <w:spacing w:val="10"/>
          <w:sz w:val="24"/>
        </w:rPr>
        <w:t>厂区</w:t>
      </w:r>
      <w:r>
        <w:rPr>
          <w:rFonts w:ascii="Arial" w:hAnsi="Arial" w:eastAsia="宋体" w:cs="Arial"/>
          <w:spacing w:val="10"/>
          <w:sz w:val="24"/>
        </w:rPr>
        <w:t>与七十二泾片区最近距离约</w:t>
      </w:r>
      <w:r>
        <w:rPr>
          <w:rFonts w:hint="eastAsia" w:ascii="Arial" w:hAnsi="Arial" w:eastAsia="宋体" w:cs="Arial"/>
          <w:spacing w:val="10"/>
          <w:sz w:val="24"/>
        </w:rPr>
        <w:t>8.2</w:t>
      </w:r>
      <w:r>
        <w:rPr>
          <w:rFonts w:ascii="Arial" w:hAnsi="Arial" w:eastAsia="宋体" w:cs="Arial"/>
          <w:spacing w:val="10"/>
          <w:sz w:val="24"/>
        </w:rPr>
        <w:t>km。</w:t>
      </w:r>
    </w:p>
    <w:p>
      <w:pPr>
        <w:numPr>
          <w:ilvl w:val="0"/>
          <w:numId w:val="14"/>
        </w:numPr>
        <w:spacing w:line="500" w:lineRule="exact"/>
        <w:outlineLvl w:val="3"/>
        <w:rPr>
          <w:rFonts w:ascii="Arial" w:hAnsi="Arial" w:eastAsia="宋体" w:cs="Arial"/>
          <w:b/>
          <w:spacing w:val="10"/>
          <w:sz w:val="24"/>
        </w:rPr>
      </w:pPr>
      <w:r>
        <w:rPr>
          <w:rFonts w:ascii="Arial" w:hAnsi="Arial" w:eastAsia="宋体" w:cs="Arial"/>
          <w:b/>
          <w:spacing w:val="10"/>
          <w:sz w:val="24"/>
        </w:rPr>
        <w:t>七十二泾旅游风景区</w:t>
      </w:r>
    </w:p>
    <w:p>
      <w:pPr>
        <w:spacing w:line="500" w:lineRule="exact"/>
        <w:ind w:firstLine="480"/>
        <w:rPr>
          <w:rFonts w:ascii="Arial" w:hAnsi="Arial" w:eastAsia="宋体" w:cs="Arial"/>
          <w:spacing w:val="10"/>
          <w:sz w:val="24"/>
        </w:rPr>
      </w:pPr>
      <w:r>
        <w:rPr>
          <w:rFonts w:ascii="Arial" w:hAnsi="Arial" w:eastAsia="宋体" w:cs="Arial"/>
          <w:spacing w:val="10"/>
          <w:sz w:val="24"/>
        </w:rPr>
        <w:t>七十二泾旅游风景区位于钦州港经济技术开发区西北部，钦州著名的茅尾海内，距钦州市区约 25 公里，北起钦江出海口——沙井港，南至钦州湾内海的门户——三墩，是集自然景观和人文景观于一体的综合性生态旅游胜地。</w:t>
      </w:r>
    </w:p>
    <w:p>
      <w:pPr>
        <w:spacing w:line="500" w:lineRule="exact"/>
        <w:ind w:firstLine="480"/>
        <w:rPr>
          <w:rFonts w:ascii="Arial" w:hAnsi="Arial" w:eastAsia="宋体" w:cs="Arial"/>
          <w:spacing w:val="10"/>
          <w:sz w:val="24"/>
        </w:rPr>
      </w:pPr>
      <w:r>
        <w:rPr>
          <w:rFonts w:ascii="Arial" w:hAnsi="Arial" w:eastAsia="宋体" w:cs="Arial"/>
          <w:spacing w:val="10"/>
          <w:sz w:val="24"/>
        </w:rPr>
        <w:t>七十二泾是龙门港内海中的一片小岛群，长宽跨度约为 10 公里，共有大小岛屿 100多个，总面积约 9.8km 2 。各个岛屿表面风化强烈，多由志留系与侏罗粉砂岩和页岩构成，这些小岛屿使这一片海域形成无数环往复、曲折多变的水道，这些水道，被称为“泾”，“七十二泾”，是形容其多。自明清以来七十二泾就一直是钦州八景之一，古有“南国蓬莱”之称，今人们称之为“小澎湖”，可与中国台湾省的澎湖列岛相媲美。七十二泾区内还有近万亩连片生长的，被誉为海底活化石的红树林，青翠的红树林与湛蓝的海水相辉映，景色非常别致。</w:t>
      </w:r>
    </w:p>
    <w:p>
      <w:pPr>
        <w:spacing w:line="500" w:lineRule="exact"/>
        <w:ind w:firstLine="480"/>
        <w:rPr>
          <w:rFonts w:ascii="Arial" w:hAnsi="Arial" w:eastAsia="宋体" w:cs="Arial"/>
          <w:spacing w:val="10"/>
          <w:sz w:val="24"/>
        </w:rPr>
      </w:pPr>
      <w:r>
        <w:rPr>
          <w:rFonts w:ascii="Arial" w:hAnsi="Arial" w:eastAsia="宋体" w:cs="Arial"/>
          <w:spacing w:val="10"/>
          <w:sz w:val="24"/>
        </w:rPr>
        <w:t>岛上既有军港，也有颇具规模的渔港，所产大蚝、青蟹、对虾、石斑鱼是为“四大名产”，远销海内外。此外还有世界上最大的孙中山铜像以及仙岛公园、亚公山、鳄鱼石、麻兰岛、六墩岛等许多景点。</w:t>
      </w:r>
    </w:p>
    <w:p>
      <w:pPr>
        <w:spacing w:line="500" w:lineRule="exact"/>
        <w:ind w:firstLine="480"/>
        <w:rPr>
          <w:rFonts w:ascii="Arial" w:hAnsi="Arial" w:eastAsia="宋体" w:cs="Arial"/>
          <w:spacing w:val="10"/>
          <w:sz w:val="24"/>
        </w:rPr>
      </w:pPr>
      <w:r>
        <w:rPr>
          <w:rFonts w:ascii="Arial" w:hAnsi="Arial" w:eastAsia="宋体" w:cs="Arial"/>
          <w:spacing w:val="10"/>
          <w:sz w:val="24"/>
        </w:rPr>
        <w:t>项目位于七十二泾旅游风景区东南面约8.</w:t>
      </w:r>
      <w:r>
        <w:rPr>
          <w:rFonts w:hint="eastAsia" w:ascii="Arial" w:hAnsi="Arial" w:eastAsia="宋体" w:cs="Arial"/>
          <w:spacing w:val="10"/>
          <w:sz w:val="24"/>
        </w:rPr>
        <w:t>2</w:t>
      </w:r>
      <w:r>
        <w:rPr>
          <w:rFonts w:ascii="Arial" w:hAnsi="Arial" w:eastAsia="宋体" w:cs="Arial"/>
          <w:spacing w:val="10"/>
          <w:sz w:val="24"/>
        </w:rPr>
        <w:t>km。</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周边饮用水源调查</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据调查，项目周边居民饮用水为自来水，由钦州港水厂供水，水源为金窝水库。</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1、金窝水库饮用水水源保护区概况</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根据《广西壮族自治区人民政府关于同意调整钦州市有关饮用水水源保护区的批复》（桂政函〔2020〕87号），钦州市金窝水库饮用水水源保护区范围如下：</w:t>
      </w:r>
    </w:p>
    <w:p>
      <w:pPr>
        <w:adjustRightInd w:val="0"/>
        <w:snapToGrid w:val="0"/>
        <w:spacing w:line="500" w:lineRule="exact"/>
        <w:ind w:firstLine="476"/>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一级保护区</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水域范围：金窝水库钦州沿海工业园区取水口半径1380米范围内多年平均水位对应的高程线以下的全部水域；金窝水库第三水厂取水口半径300米范围内多年平均水位对应的高程线以下的全部水域；企山水库多年平均水位对应的高程线以下的全部水域。水域面积：0.6平方公里。</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陆域范围：一级保护区水域外200米范围内的陆域，但不超过流域分水岭范围。陆域面积：2.67平方公里。</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一级保护区总面积：3.27平方公里。</w:t>
      </w:r>
    </w:p>
    <w:p>
      <w:pPr>
        <w:adjustRightInd w:val="0"/>
        <w:snapToGrid w:val="0"/>
        <w:spacing w:line="500" w:lineRule="exact"/>
        <w:ind w:firstLine="476"/>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二级保护区</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水域范围：金窝水库一级保护区水域外多年平均水位对应的高程线以下的全部水域。水域面积：5.41平方公里。</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陆域范围：金窝水库、企山水库全部汇水区域(一级保护区陆域除外)；大风江连通渠长度为金窝水库与该连通渠交汇口向上延伸2000米，宽度为该连通渠水域沿岸纵深200米的陆域。陆域面积：22.09平方公里。</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二级保护区总面积：27.5平方公里。</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2、项目与金窝水库水源保护区位置关系</w:t>
      </w:r>
    </w:p>
    <w:p>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项目位于金窝水库西南面，与金窝水库水源保护区最近距离约4km，与金窝水库无水力联系。</w:t>
      </w:r>
    </w:p>
    <w:p>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区域现状污染源调查</w:t>
      </w:r>
    </w:p>
    <w:p>
      <w:pPr>
        <w:numPr>
          <w:ilvl w:val="0"/>
          <w:numId w:val="15"/>
        </w:numPr>
        <w:spacing w:line="500" w:lineRule="exact"/>
        <w:outlineLvl w:val="3"/>
        <w:rPr>
          <w:rFonts w:ascii="Arial" w:hAnsi="Arial" w:eastAsia="宋体" w:cs="Arial"/>
          <w:b/>
          <w:spacing w:val="10"/>
          <w:sz w:val="24"/>
        </w:rPr>
      </w:pPr>
      <w:r>
        <w:rPr>
          <w:rFonts w:ascii="Arial" w:hAnsi="Arial" w:eastAsia="宋体" w:cs="Arial"/>
          <w:b/>
          <w:spacing w:val="10"/>
          <w:sz w:val="24"/>
        </w:rPr>
        <w:t>大气污染源调查</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1、现有污染源</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项目</w:t>
      </w:r>
      <w:r>
        <w:rPr>
          <w:rFonts w:hint="eastAsia" w:ascii="Arial" w:hAnsi="Arial" w:eastAsia="宋体" w:cs="Arial"/>
          <w:spacing w:val="10"/>
          <w:kern w:val="0"/>
          <w:sz w:val="24"/>
          <w:szCs w:val="24"/>
        </w:rPr>
        <w:t>属新建项目，不调查现有污染源</w:t>
      </w:r>
      <w:r>
        <w:rPr>
          <w:rFonts w:ascii="Arial" w:hAnsi="Arial" w:eastAsia="宋体" w:cs="Arial"/>
          <w:spacing w:val="10"/>
          <w:kern w:val="0"/>
          <w:sz w:val="24"/>
          <w:szCs w:val="24"/>
        </w:rPr>
        <w:t>。</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2、被替代污染源</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区域无削减污染源。</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3、评价范围与项目排放污染物有关的在建、拟建项目污染源</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目前，项目大气评价范围内与项目排放同类污染物的在建、拟建项目主要有：中伟的</w:t>
      </w:r>
      <w:r>
        <w:rPr>
          <w:rFonts w:hint="eastAsia" w:ascii="Arial" w:hAnsi="Arial" w:eastAsia="宋体" w:cs="Arial"/>
          <w:spacing w:val="10"/>
          <w:kern w:val="0"/>
          <w:sz w:val="24"/>
          <w:szCs w:val="24"/>
        </w:rPr>
        <w:t>一阶段项目、</w:t>
      </w:r>
      <w:r>
        <w:rPr>
          <w:rFonts w:ascii="Arial" w:hAnsi="Arial" w:eastAsia="宋体" w:cs="Arial"/>
          <w:spacing w:val="10"/>
          <w:kern w:val="0"/>
          <w:sz w:val="24"/>
          <w:szCs w:val="24"/>
        </w:rPr>
        <w:t>三阶段项目、一体化</w:t>
      </w:r>
      <w:r>
        <w:rPr>
          <w:rFonts w:hint="eastAsia" w:ascii="Arial" w:hAnsi="Arial" w:eastAsia="宋体" w:cs="Arial"/>
          <w:spacing w:val="10"/>
          <w:kern w:val="0"/>
          <w:sz w:val="24"/>
          <w:szCs w:val="24"/>
        </w:rPr>
        <w:t>变更</w:t>
      </w:r>
      <w:r>
        <w:rPr>
          <w:rFonts w:ascii="Arial" w:hAnsi="Arial" w:eastAsia="宋体" w:cs="Arial"/>
          <w:spacing w:val="10"/>
          <w:kern w:val="0"/>
          <w:sz w:val="24"/>
          <w:szCs w:val="24"/>
        </w:rPr>
        <w:t>项目、燃气锅炉项目、</w:t>
      </w:r>
      <w:r>
        <w:rPr>
          <w:rFonts w:hint="eastAsia" w:ascii="Arial" w:hAnsi="Arial" w:eastAsia="宋体" w:cs="Arial"/>
          <w:spacing w:val="10"/>
          <w:kern w:val="0"/>
          <w:sz w:val="24"/>
          <w:szCs w:val="24"/>
        </w:rPr>
        <w:t>氨水项目、氢氧化钴技改项目</w:t>
      </w:r>
      <w:r>
        <w:rPr>
          <w:rFonts w:ascii="Arial" w:hAnsi="Arial" w:eastAsia="宋体" w:cs="Arial"/>
          <w:spacing w:val="10"/>
          <w:kern w:val="0"/>
          <w:sz w:val="24"/>
          <w:szCs w:val="24"/>
        </w:rPr>
        <w:t>；广西金桂浆纸业有限公司年产75万吨化机浆扩建项目；广西格派电池新材料有限公司格派新能源电池材料一体化项目（一期）</w:t>
      </w:r>
      <w:r>
        <w:rPr>
          <w:rFonts w:hint="eastAsia" w:ascii="Arial" w:hAnsi="Arial" w:eastAsia="宋体" w:cs="Arial"/>
          <w:spacing w:val="10"/>
          <w:kern w:val="0"/>
          <w:sz w:val="24"/>
          <w:szCs w:val="24"/>
        </w:rPr>
        <w:t>、广西自贸区元禾新材料有限公司年产10万吨玻璃基板原材料碳酸镁项目</w:t>
      </w:r>
      <w:r>
        <w:rPr>
          <w:rFonts w:ascii="Arial" w:hAnsi="Arial" w:eastAsia="宋体" w:cs="Arial"/>
          <w:spacing w:val="10"/>
          <w:kern w:val="0"/>
          <w:sz w:val="24"/>
          <w:szCs w:val="24"/>
        </w:rPr>
        <w:t>，其污染源详见表4-1</w:t>
      </w:r>
      <w:r>
        <w:rPr>
          <w:rFonts w:hint="eastAsia" w:ascii="Arial" w:hAnsi="Arial" w:eastAsia="宋体" w:cs="Arial"/>
          <w:spacing w:val="10"/>
          <w:kern w:val="0"/>
          <w:sz w:val="24"/>
          <w:szCs w:val="24"/>
        </w:rPr>
        <w:t>0、表4-11</w:t>
      </w:r>
      <w:r>
        <w:rPr>
          <w:rFonts w:ascii="Arial" w:hAnsi="Arial" w:eastAsia="宋体" w:cs="Arial"/>
          <w:spacing w:val="10"/>
          <w:kern w:val="0"/>
          <w:sz w:val="24"/>
          <w:szCs w:val="24"/>
        </w:rPr>
        <w:t>。</w:t>
      </w:r>
    </w:p>
    <w:p>
      <w:pPr>
        <w:numPr>
          <w:ilvl w:val="0"/>
          <w:numId w:val="15"/>
        </w:numPr>
        <w:spacing w:line="500" w:lineRule="exact"/>
        <w:outlineLvl w:val="3"/>
        <w:rPr>
          <w:rFonts w:ascii="Arial" w:hAnsi="Arial" w:eastAsia="宋体" w:cs="Arial"/>
          <w:b/>
          <w:spacing w:val="10"/>
          <w:sz w:val="24"/>
        </w:rPr>
      </w:pPr>
      <w:r>
        <w:rPr>
          <w:rFonts w:ascii="Arial" w:hAnsi="Arial" w:eastAsia="宋体" w:cs="Arial"/>
          <w:b/>
          <w:spacing w:val="10"/>
          <w:sz w:val="24"/>
        </w:rPr>
        <w:t>水污染源调查</w:t>
      </w:r>
    </w:p>
    <w:p>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根据调查，评价范围内现状主要企业有广西中伟新能源科技有限公司、广西金桂浆纸业有限公司、大榄坪污水处理厂等企业。其现状污染物排放情况具体详见表3-1。</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区域企业废水污染源排放情况</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4327"/>
        <w:gridCol w:w="1800"/>
        <w:gridCol w:w="1123"/>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序号</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企业名称</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废水量（万吨/年）</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COD（t/a）</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氨氮（t/a）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广西天宜环境科技有限公司（一期）</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1575</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882</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广西天宜环境科技有限公司（二期）</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875</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475.8</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钦州胜科水务有限公司</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574.5</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82.125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广西恒逸环境科技有限公司</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438</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438</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三墩污水处理厂</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1576.8</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946.1</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6</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广西金桂浆纸业有限公司</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2910.618</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1940.8</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大榄坪污水处理厂</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1825</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1825</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6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w:t>
            </w:r>
          </w:p>
        </w:tc>
        <w:tc>
          <w:tcPr>
            <w:tcW w:w="4327"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广西中伟新能源科技有限公司</w:t>
            </w:r>
          </w:p>
        </w:tc>
        <w:tc>
          <w:tcPr>
            <w:tcW w:w="1800"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361.571</w:t>
            </w:r>
          </w:p>
        </w:tc>
        <w:tc>
          <w:tcPr>
            <w:tcW w:w="112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122.831</w:t>
            </w:r>
          </w:p>
        </w:tc>
        <w:tc>
          <w:tcPr>
            <w:tcW w:w="1083" w:type="dxa"/>
            <w:shd w:val="clear" w:color="auto" w:fill="auto"/>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31.899</w:t>
            </w:r>
          </w:p>
        </w:tc>
      </w:tr>
    </w:tbl>
    <w:p>
      <w:pPr>
        <w:keepNext/>
        <w:keepLines/>
        <w:numPr>
          <w:ilvl w:val="1"/>
          <w:numId w:val="11"/>
        </w:numPr>
        <w:tabs>
          <w:tab w:val="left" w:pos="567"/>
          <w:tab w:val="left" w:pos="3217"/>
        </w:tabs>
        <w:spacing w:before="214" w:beforeLines="50" w:after="214" w:afterLines="50" w:line="500" w:lineRule="exact"/>
        <w:ind w:left="567"/>
        <w:outlineLvl w:val="1"/>
        <w:rPr>
          <w:rFonts w:ascii="Arial" w:hAnsi="Arial" w:eastAsia="宋体" w:cs="Arial"/>
          <w:b/>
        </w:rPr>
      </w:pPr>
      <w:bookmarkStart w:id="285" w:name="_Toc166675368"/>
      <w:bookmarkStart w:id="286" w:name="_Toc185950226"/>
      <w:bookmarkStart w:id="287" w:name="_Toc154599069"/>
      <w:bookmarkStart w:id="288" w:name="_Toc182491387"/>
      <w:r>
        <w:rPr>
          <w:rFonts w:ascii="Arial" w:hAnsi="Arial" w:eastAsia="宋体" w:cs="Arial"/>
          <w:b/>
        </w:rPr>
        <w:t>环境质量现状监测与评价</w:t>
      </w:r>
      <w:bookmarkEnd w:id="285"/>
      <w:bookmarkEnd w:id="286"/>
      <w:bookmarkEnd w:id="287"/>
      <w:bookmarkEnd w:id="288"/>
    </w:p>
    <w:p>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环境空气质量现状调查与评价</w:t>
      </w:r>
    </w:p>
    <w:p>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项目所在区域达标区判定</w:t>
      </w:r>
    </w:p>
    <w:p>
      <w:pPr>
        <w:spacing w:line="500" w:lineRule="exact"/>
        <w:ind w:firstLine="490" w:firstLineChars="200"/>
        <w:rPr>
          <w:rFonts w:ascii="Arial" w:hAnsi="Arial" w:eastAsia="宋体" w:cs="Arial"/>
          <w:spacing w:val="10"/>
          <w:kern w:val="0"/>
          <w:sz w:val="24"/>
          <w:szCs w:val="21"/>
        </w:rPr>
      </w:pPr>
      <w:r>
        <w:rPr>
          <w:rFonts w:ascii="Arial" w:hAnsi="Arial" w:eastAsia="宋体" w:cs="Arial"/>
          <w:spacing w:val="10"/>
          <w:kern w:val="0"/>
          <w:sz w:val="24"/>
          <w:szCs w:val="21"/>
        </w:rPr>
        <w:t>根据</w:t>
      </w:r>
      <w:r>
        <w:rPr>
          <w:rFonts w:ascii="Arial" w:hAnsi="Arial" w:eastAsia="宋体" w:cs="Arial"/>
          <w:spacing w:val="10"/>
          <w:kern w:val="0"/>
          <w:sz w:val="24"/>
          <w:szCs w:val="24"/>
        </w:rPr>
        <w:t>《自治区生态环境厅关于通报2022年设区城市及各县（市、区）环境空气质量的函》（桂环函〔2023〕13号），2022年钦州市二氧化硫、二氧化氮、可吸入颗粒物（PM</w:t>
      </w:r>
      <w:r>
        <w:rPr>
          <w:rFonts w:ascii="Arial" w:hAnsi="Arial" w:eastAsia="宋体" w:cs="Arial"/>
          <w:spacing w:val="10"/>
          <w:kern w:val="0"/>
          <w:sz w:val="24"/>
          <w:szCs w:val="24"/>
          <w:vertAlign w:val="subscript"/>
        </w:rPr>
        <w:t>10</w:t>
      </w:r>
      <w:r>
        <w:rPr>
          <w:rFonts w:ascii="Arial" w:hAnsi="Arial" w:eastAsia="宋体" w:cs="Arial"/>
          <w:spacing w:val="10"/>
          <w:kern w:val="0"/>
          <w:sz w:val="24"/>
          <w:szCs w:val="24"/>
        </w:rPr>
        <w:t>）、细颗粒物（PM</w:t>
      </w:r>
      <w:r>
        <w:rPr>
          <w:rFonts w:ascii="Arial" w:hAnsi="Arial" w:eastAsia="宋体" w:cs="Arial"/>
          <w:spacing w:val="10"/>
          <w:kern w:val="0"/>
          <w:sz w:val="24"/>
          <w:szCs w:val="24"/>
          <w:vertAlign w:val="subscript"/>
        </w:rPr>
        <w:t>2.5</w:t>
      </w:r>
      <w:r>
        <w:rPr>
          <w:rFonts w:ascii="Arial" w:hAnsi="Arial" w:eastAsia="宋体" w:cs="Arial"/>
          <w:spacing w:val="10"/>
          <w:kern w:val="0"/>
          <w:sz w:val="24"/>
          <w:szCs w:val="24"/>
        </w:rPr>
        <w:t>）、一氧化碳、臭氧浓度年评价指标均符合《环境空气质量标准》（GB3095-2012）二级标准。因此，项目所在区域属于达标区</w:t>
      </w:r>
      <w:r>
        <w:rPr>
          <w:rFonts w:ascii="Arial" w:hAnsi="Arial" w:eastAsia="宋体" w:cs="Arial"/>
          <w:spacing w:val="10"/>
          <w:kern w:val="0"/>
          <w:sz w:val="24"/>
          <w:szCs w:val="21"/>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区域空气质量现状评价表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7"/>
        <w:gridCol w:w="2957"/>
        <w:gridCol w:w="1389"/>
        <w:gridCol w:w="1302"/>
        <w:gridCol w:w="1113"/>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29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rFonts w:ascii="Arial" w:hAnsi="Arial" w:eastAsia="宋体" w:cs="Arial"/>
                <w:sz w:val="21"/>
                <w:szCs w:val="21"/>
              </w:rPr>
            </w:pPr>
          </w:p>
        </w:tc>
      </w:tr>
    </w:tbl>
    <w:p>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基本污染物环境质量现状</w:t>
      </w:r>
    </w:p>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项目引用钦州市常规监测站港区一小站点2022年逐日的监测数据作为区域基本污染物环境质量现状数据，数据来源于广西壮族自治区生态环境厅网站——数据中心公布的空气质量。项目与该站点距离约8.3km，两地所处区域地理位置邻近，地形、气候条件相近。监测数据满足《环境空气质量评价技术规范（试行）》（HJ663-2013）中数据有效性、数据完整性的要求。基本污染物环境质量现状见表3-3。</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基本污染物环境质量现状</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0"/>
        <w:gridCol w:w="804"/>
        <w:gridCol w:w="692"/>
        <w:gridCol w:w="685"/>
        <w:gridCol w:w="1498"/>
        <w:gridCol w:w="937"/>
        <w:gridCol w:w="919"/>
        <w:gridCol w:w="824"/>
        <w:gridCol w:w="800"/>
        <w:gridCol w:w="761"/>
        <w:gridCol w:w="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400" w:type="dxa"/>
            <w:vMerge w:val="restart"/>
            <w:vAlign w:val="center"/>
          </w:tcPr>
          <w:p>
            <w:pPr>
              <w:widowControl/>
              <w:adjustRightInd w:val="0"/>
              <w:snapToGrid w:val="0"/>
              <w:jc w:val="center"/>
              <w:rPr>
                <w:rFonts w:ascii="Arial" w:hAnsi="Arial" w:eastAsia="宋体" w:cs="Arial"/>
                <w:bCs/>
                <w:kern w:val="0"/>
                <w:sz w:val="18"/>
                <w:szCs w:val="18"/>
              </w:rPr>
            </w:pPr>
          </w:p>
        </w:tc>
        <w:tc>
          <w:tcPr>
            <w:tcW w:w="1496" w:type="dxa"/>
            <w:gridSpan w:val="2"/>
            <w:vAlign w:val="center"/>
          </w:tcPr>
          <w:p>
            <w:pPr>
              <w:widowControl/>
              <w:adjustRightInd w:val="0"/>
              <w:snapToGrid w:val="0"/>
              <w:jc w:val="center"/>
              <w:rPr>
                <w:rFonts w:ascii="Arial" w:hAnsi="Arial" w:eastAsia="宋体" w:cs="Arial"/>
                <w:bCs/>
                <w:kern w:val="0"/>
                <w:sz w:val="18"/>
                <w:szCs w:val="18"/>
              </w:rPr>
            </w:pPr>
          </w:p>
        </w:tc>
        <w:tc>
          <w:tcPr>
            <w:tcW w:w="685" w:type="dxa"/>
            <w:vMerge w:val="restart"/>
            <w:vAlign w:val="center"/>
          </w:tcPr>
          <w:p>
            <w:pPr>
              <w:widowControl/>
              <w:adjustRightInd w:val="0"/>
              <w:snapToGrid w:val="0"/>
              <w:jc w:val="center"/>
              <w:rPr>
                <w:rFonts w:ascii="Arial" w:hAnsi="Arial" w:eastAsia="宋体" w:cs="Arial"/>
                <w:bCs/>
                <w:kern w:val="0"/>
                <w:sz w:val="18"/>
                <w:szCs w:val="18"/>
              </w:rPr>
            </w:pPr>
          </w:p>
        </w:tc>
        <w:tc>
          <w:tcPr>
            <w:tcW w:w="1498" w:type="dxa"/>
            <w:vMerge w:val="restart"/>
            <w:vAlign w:val="center"/>
          </w:tcPr>
          <w:p>
            <w:pPr>
              <w:widowControl/>
              <w:adjustRightInd w:val="0"/>
              <w:snapToGrid w:val="0"/>
              <w:jc w:val="center"/>
              <w:rPr>
                <w:rFonts w:ascii="Arial" w:hAnsi="Arial" w:eastAsia="宋体" w:cs="Arial"/>
                <w:bCs/>
                <w:kern w:val="0"/>
                <w:sz w:val="18"/>
                <w:szCs w:val="18"/>
              </w:rPr>
            </w:pPr>
          </w:p>
        </w:tc>
        <w:tc>
          <w:tcPr>
            <w:tcW w:w="937" w:type="dxa"/>
            <w:vMerge w:val="restart"/>
            <w:vAlign w:val="center"/>
          </w:tcPr>
          <w:p>
            <w:pPr>
              <w:widowControl/>
              <w:adjustRightInd w:val="0"/>
              <w:snapToGrid w:val="0"/>
              <w:jc w:val="center"/>
              <w:rPr>
                <w:rFonts w:ascii="Arial" w:hAnsi="Arial" w:eastAsia="宋体" w:cs="Arial"/>
                <w:bCs/>
                <w:kern w:val="0"/>
                <w:sz w:val="18"/>
                <w:szCs w:val="18"/>
              </w:rPr>
            </w:pPr>
          </w:p>
        </w:tc>
        <w:tc>
          <w:tcPr>
            <w:tcW w:w="919" w:type="dxa"/>
            <w:vMerge w:val="restart"/>
            <w:vAlign w:val="center"/>
          </w:tcPr>
          <w:p>
            <w:pPr>
              <w:widowControl/>
              <w:adjustRightInd w:val="0"/>
              <w:snapToGrid w:val="0"/>
              <w:jc w:val="center"/>
              <w:rPr>
                <w:rFonts w:ascii="Arial" w:hAnsi="Arial" w:eastAsia="宋体" w:cs="Arial"/>
                <w:bCs/>
                <w:kern w:val="0"/>
                <w:sz w:val="18"/>
                <w:szCs w:val="18"/>
              </w:rPr>
            </w:pPr>
          </w:p>
        </w:tc>
        <w:tc>
          <w:tcPr>
            <w:tcW w:w="824" w:type="dxa"/>
            <w:vMerge w:val="restart"/>
            <w:vAlign w:val="center"/>
          </w:tcPr>
          <w:p>
            <w:pPr>
              <w:widowControl/>
              <w:adjustRightInd w:val="0"/>
              <w:snapToGrid w:val="0"/>
              <w:jc w:val="center"/>
              <w:rPr>
                <w:rFonts w:ascii="Arial" w:hAnsi="Arial" w:eastAsia="宋体" w:cs="Arial"/>
                <w:bCs/>
                <w:sz w:val="18"/>
                <w:szCs w:val="18"/>
              </w:rPr>
            </w:pPr>
          </w:p>
        </w:tc>
        <w:tc>
          <w:tcPr>
            <w:tcW w:w="800" w:type="dxa"/>
            <w:vMerge w:val="restart"/>
            <w:vAlign w:val="center"/>
          </w:tcPr>
          <w:p>
            <w:pPr>
              <w:widowControl/>
              <w:adjustRightInd w:val="0"/>
              <w:snapToGrid w:val="0"/>
              <w:jc w:val="center"/>
              <w:rPr>
                <w:rFonts w:ascii="Arial" w:hAnsi="Arial" w:eastAsia="宋体" w:cs="Arial"/>
                <w:bCs/>
                <w:sz w:val="18"/>
                <w:szCs w:val="18"/>
              </w:rPr>
            </w:pPr>
          </w:p>
        </w:tc>
        <w:tc>
          <w:tcPr>
            <w:tcW w:w="761" w:type="dxa"/>
            <w:vMerge w:val="restart"/>
            <w:vAlign w:val="center"/>
          </w:tcPr>
          <w:p>
            <w:pPr>
              <w:widowControl/>
              <w:adjustRightInd w:val="0"/>
              <w:snapToGrid w:val="0"/>
              <w:jc w:val="center"/>
              <w:rPr>
                <w:rFonts w:ascii="Arial" w:hAnsi="Arial" w:eastAsia="宋体" w:cs="Arial"/>
                <w:bCs/>
                <w:sz w:val="18"/>
                <w:szCs w:val="18"/>
              </w:rPr>
            </w:pPr>
          </w:p>
        </w:tc>
        <w:tc>
          <w:tcPr>
            <w:tcW w:w="673" w:type="dxa"/>
            <w:vMerge w:val="restart"/>
            <w:vAlign w:val="center"/>
          </w:tcPr>
          <w:p>
            <w:pPr>
              <w:widowControl/>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Align w:val="center"/>
          </w:tcPr>
          <w:p>
            <w:pPr>
              <w:adjustRightInd w:val="0"/>
              <w:snapToGrid w:val="0"/>
              <w:jc w:val="center"/>
              <w:rPr>
                <w:rFonts w:ascii="Arial" w:hAnsi="Arial" w:eastAsia="宋体" w:cs="Arial"/>
                <w:bCs/>
                <w:kern w:val="0"/>
                <w:sz w:val="18"/>
                <w:szCs w:val="18"/>
              </w:rPr>
            </w:pPr>
          </w:p>
        </w:tc>
        <w:tc>
          <w:tcPr>
            <w:tcW w:w="692" w:type="dxa"/>
            <w:vAlign w:val="center"/>
          </w:tcPr>
          <w:p>
            <w:pPr>
              <w:adjustRightInd w:val="0"/>
              <w:snapToGrid w:val="0"/>
              <w:jc w:val="center"/>
              <w:rPr>
                <w:rFonts w:ascii="Arial" w:hAnsi="Arial" w:eastAsia="宋体" w:cs="Arial"/>
                <w:bCs/>
                <w:kern w:val="0"/>
                <w:sz w:val="18"/>
                <w:szCs w:val="18"/>
              </w:rPr>
            </w:pPr>
          </w:p>
        </w:tc>
        <w:tc>
          <w:tcPr>
            <w:tcW w:w="685" w:type="dxa"/>
            <w:vMerge w:val="continue"/>
            <w:vAlign w:val="center"/>
          </w:tcPr>
          <w:p>
            <w:pPr>
              <w:widowControl/>
              <w:jc w:val="left"/>
              <w:rPr>
                <w:rFonts w:ascii="Arial" w:hAnsi="Arial" w:eastAsia="宋体" w:cs="Arial"/>
                <w:bCs/>
                <w:kern w:val="0"/>
                <w:sz w:val="18"/>
                <w:szCs w:val="18"/>
              </w:rPr>
            </w:pPr>
          </w:p>
        </w:tc>
        <w:tc>
          <w:tcPr>
            <w:tcW w:w="1498" w:type="dxa"/>
            <w:vMerge w:val="continue"/>
            <w:vAlign w:val="center"/>
          </w:tcPr>
          <w:p>
            <w:pPr>
              <w:widowControl/>
              <w:jc w:val="left"/>
              <w:rPr>
                <w:rFonts w:ascii="Arial" w:hAnsi="Arial" w:eastAsia="宋体" w:cs="Arial"/>
                <w:bCs/>
                <w:kern w:val="0"/>
                <w:sz w:val="18"/>
                <w:szCs w:val="18"/>
              </w:rPr>
            </w:pPr>
          </w:p>
        </w:tc>
        <w:tc>
          <w:tcPr>
            <w:tcW w:w="937" w:type="dxa"/>
            <w:vMerge w:val="continue"/>
            <w:vAlign w:val="center"/>
          </w:tcPr>
          <w:p>
            <w:pPr>
              <w:widowControl/>
              <w:jc w:val="left"/>
              <w:rPr>
                <w:rFonts w:ascii="Arial" w:hAnsi="Arial" w:eastAsia="宋体" w:cs="Arial"/>
                <w:bCs/>
                <w:kern w:val="0"/>
                <w:sz w:val="18"/>
                <w:szCs w:val="18"/>
              </w:rPr>
            </w:pPr>
          </w:p>
        </w:tc>
        <w:tc>
          <w:tcPr>
            <w:tcW w:w="919" w:type="dxa"/>
            <w:vMerge w:val="continue"/>
            <w:vAlign w:val="center"/>
          </w:tcPr>
          <w:p>
            <w:pPr>
              <w:widowControl/>
              <w:jc w:val="left"/>
              <w:rPr>
                <w:rFonts w:ascii="Arial" w:hAnsi="Arial" w:eastAsia="宋体" w:cs="Arial"/>
                <w:bCs/>
                <w:kern w:val="0"/>
                <w:sz w:val="18"/>
                <w:szCs w:val="18"/>
              </w:rPr>
            </w:pPr>
          </w:p>
        </w:tc>
        <w:tc>
          <w:tcPr>
            <w:tcW w:w="824" w:type="dxa"/>
            <w:vMerge w:val="continue"/>
            <w:vAlign w:val="center"/>
          </w:tcPr>
          <w:p>
            <w:pPr>
              <w:widowControl/>
              <w:jc w:val="left"/>
              <w:rPr>
                <w:rFonts w:ascii="Arial" w:hAnsi="Arial" w:eastAsia="宋体" w:cs="Arial"/>
                <w:bCs/>
                <w:sz w:val="18"/>
                <w:szCs w:val="18"/>
              </w:rPr>
            </w:pPr>
          </w:p>
        </w:tc>
        <w:tc>
          <w:tcPr>
            <w:tcW w:w="800" w:type="dxa"/>
            <w:vMerge w:val="continue"/>
            <w:vAlign w:val="center"/>
          </w:tcPr>
          <w:p>
            <w:pPr>
              <w:widowControl/>
              <w:jc w:val="left"/>
              <w:rPr>
                <w:rFonts w:ascii="Arial" w:hAnsi="Arial" w:eastAsia="宋体" w:cs="Arial"/>
                <w:bCs/>
                <w:sz w:val="18"/>
                <w:szCs w:val="18"/>
              </w:rPr>
            </w:pPr>
          </w:p>
        </w:tc>
        <w:tc>
          <w:tcPr>
            <w:tcW w:w="761" w:type="dxa"/>
            <w:vMerge w:val="continue"/>
            <w:vAlign w:val="center"/>
          </w:tcPr>
          <w:p>
            <w:pPr>
              <w:widowControl/>
              <w:jc w:val="left"/>
              <w:rPr>
                <w:rFonts w:ascii="Arial" w:hAnsi="Arial" w:eastAsia="宋体" w:cs="Arial"/>
                <w:bCs/>
                <w:sz w:val="18"/>
                <w:szCs w:val="18"/>
              </w:rPr>
            </w:pPr>
          </w:p>
        </w:tc>
        <w:tc>
          <w:tcPr>
            <w:tcW w:w="673" w:type="dxa"/>
            <w:vMerge w:val="continue"/>
            <w:vAlign w:val="center"/>
          </w:tcPr>
          <w:p>
            <w:pPr>
              <w:widowControl/>
              <w:jc w:val="left"/>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restart"/>
            <w:vAlign w:val="center"/>
          </w:tcPr>
          <w:p>
            <w:pPr>
              <w:widowControl/>
              <w:adjustRightInd w:val="0"/>
              <w:snapToGrid w:val="0"/>
              <w:jc w:val="center"/>
              <w:rPr>
                <w:rFonts w:ascii="Arial" w:hAnsi="Arial" w:eastAsia="宋体" w:cs="Arial"/>
                <w:bCs/>
                <w:kern w:val="0"/>
                <w:sz w:val="18"/>
                <w:szCs w:val="18"/>
              </w:rPr>
            </w:pPr>
          </w:p>
        </w:tc>
        <w:tc>
          <w:tcPr>
            <w:tcW w:w="804" w:type="dxa"/>
            <w:vMerge w:val="restart"/>
            <w:vAlign w:val="center"/>
          </w:tcPr>
          <w:p>
            <w:pPr>
              <w:widowControl/>
              <w:adjustRightInd w:val="0"/>
              <w:snapToGrid w:val="0"/>
              <w:jc w:val="center"/>
              <w:rPr>
                <w:rFonts w:ascii="Arial" w:hAnsi="Arial" w:eastAsia="宋体" w:cs="Arial"/>
                <w:bCs/>
                <w:kern w:val="0"/>
                <w:sz w:val="18"/>
                <w:szCs w:val="18"/>
              </w:rPr>
            </w:pPr>
          </w:p>
        </w:tc>
        <w:tc>
          <w:tcPr>
            <w:tcW w:w="692" w:type="dxa"/>
            <w:vMerge w:val="restart"/>
            <w:vAlign w:val="center"/>
          </w:tcPr>
          <w:p>
            <w:pPr>
              <w:widowControl/>
              <w:adjustRightInd w:val="0"/>
              <w:snapToGrid w:val="0"/>
              <w:jc w:val="center"/>
              <w:rPr>
                <w:rFonts w:ascii="Arial" w:hAnsi="Arial" w:eastAsia="宋体" w:cs="Arial"/>
                <w:bCs/>
                <w:kern w:val="0"/>
                <w:sz w:val="18"/>
                <w:szCs w:val="18"/>
              </w:rPr>
            </w:pPr>
          </w:p>
        </w:tc>
        <w:tc>
          <w:tcPr>
            <w:tcW w:w="685" w:type="dxa"/>
            <w:vMerge w:val="restart"/>
            <w:vAlign w:val="center"/>
          </w:tcPr>
          <w:p>
            <w:pPr>
              <w:widowControl/>
              <w:adjustRightInd w:val="0"/>
              <w:snapToGrid w:val="0"/>
              <w:jc w:val="center"/>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continue"/>
            <w:vAlign w:val="center"/>
          </w:tcPr>
          <w:p>
            <w:pPr>
              <w:widowControl/>
              <w:jc w:val="left"/>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restart"/>
            <w:vAlign w:val="center"/>
          </w:tcPr>
          <w:p>
            <w:pPr>
              <w:widowControl/>
              <w:adjustRightInd w:val="0"/>
              <w:snapToGrid w:val="0"/>
              <w:jc w:val="center"/>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continue"/>
            <w:vAlign w:val="center"/>
          </w:tcPr>
          <w:p>
            <w:pPr>
              <w:widowControl/>
              <w:jc w:val="left"/>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Align w:val="center"/>
          </w:tcPr>
          <w:p>
            <w:pPr>
              <w:widowControl/>
              <w:adjustRightInd w:val="0"/>
              <w:snapToGrid w:val="0"/>
              <w:jc w:val="center"/>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Align w:val="center"/>
          </w:tcPr>
          <w:p>
            <w:pPr>
              <w:widowControl/>
              <w:adjustRightInd w:val="0"/>
              <w:snapToGrid w:val="0"/>
              <w:jc w:val="center"/>
              <w:rPr>
                <w:rFonts w:ascii="Arial" w:hAnsi="Arial" w:eastAsia="宋体" w:cs="Arial"/>
                <w:bCs/>
                <w:kern w:val="0"/>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restart"/>
            <w:vAlign w:val="center"/>
          </w:tcPr>
          <w:p>
            <w:pPr>
              <w:widowControl/>
              <w:adjustRightInd w:val="0"/>
              <w:snapToGrid w:val="0"/>
              <w:jc w:val="center"/>
              <w:rPr>
                <w:rFonts w:ascii="Arial" w:hAnsi="Arial" w:eastAsia="宋体" w:cs="Arial"/>
                <w:bCs/>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continue"/>
            <w:vAlign w:val="center"/>
          </w:tcPr>
          <w:p>
            <w:pPr>
              <w:widowControl/>
              <w:jc w:val="left"/>
              <w:rPr>
                <w:rFonts w:ascii="Arial" w:hAnsi="Arial" w:eastAsia="宋体" w:cs="Arial"/>
                <w:bCs/>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restart"/>
            <w:vAlign w:val="center"/>
          </w:tcPr>
          <w:p>
            <w:pPr>
              <w:widowControl/>
              <w:adjustRightInd w:val="0"/>
              <w:snapToGrid w:val="0"/>
              <w:jc w:val="center"/>
              <w:rPr>
                <w:rFonts w:ascii="Arial" w:hAnsi="Arial" w:eastAsia="宋体" w:cs="Arial"/>
                <w:bCs/>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00" w:type="dxa"/>
            <w:vMerge w:val="continue"/>
            <w:vAlign w:val="center"/>
          </w:tcPr>
          <w:p>
            <w:pPr>
              <w:widowControl/>
              <w:jc w:val="left"/>
              <w:rPr>
                <w:rFonts w:ascii="Arial" w:hAnsi="Arial" w:eastAsia="宋体" w:cs="Arial"/>
                <w:bCs/>
                <w:kern w:val="0"/>
                <w:sz w:val="18"/>
                <w:szCs w:val="18"/>
              </w:rPr>
            </w:pPr>
          </w:p>
        </w:tc>
        <w:tc>
          <w:tcPr>
            <w:tcW w:w="804" w:type="dxa"/>
            <w:vMerge w:val="continue"/>
            <w:vAlign w:val="center"/>
          </w:tcPr>
          <w:p>
            <w:pPr>
              <w:widowControl/>
              <w:jc w:val="left"/>
              <w:rPr>
                <w:rFonts w:ascii="Arial" w:hAnsi="Arial" w:eastAsia="宋体" w:cs="Arial"/>
                <w:bCs/>
                <w:kern w:val="0"/>
                <w:sz w:val="18"/>
                <w:szCs w:val="18"/>
              </w:rPr>
            </w:pPr>
          </w:p>
        </w:tc>
        <w:tc>
          <w:tcPr>
            <w:tcW w:w="692" w:type="dxa"/>
            <w:vMerge w:val="continue"/>
            <w:vAlign w:val="center"/>
          </w:tcPr>
          <w:p>
            <w:pPr>
              <w:widowControl/>
              <w:jc w:val="left"/>
              <w:rPr>
                <w:rFonts w:ascii="Arial" w:hAnsi="Arial" w:eastAsia="宋体" w:cs="Arial"/>
                <w:bCs/>
                <w:kern w:val="0"/>
                <w:sz w:val="18"/>
                <w:szCs w:val="18"/>
              </w:rPr>
            </w:pPr>
          </w:p>
        </w:tc>
        <w:tc>
          <w:tcPr>
            <w:tcW w:w="685" w:type="dxa"/>
            <w:vMerge w:val="continue"/>
            <w:vAlign w:val="center"/>
          </w:tcPr>
          <w:p>
            <w:pPr>
              <w:widowControl/>
              <w:jc w:val="left"/>
              <w:rPr>
                <w:rFonts w:ascii="Arial" w:hAnsi="Arial" w:eastAsia="宋体" w:cs="Arial"/>
                <w:bCs/>
                <w:sz w:val="18"/>
                <w:szCs w:val="18"/>
              </w:rPr>
            </w:pPr>
          </w:p>
        </w:tc>
        <w:tc>
          <w:tcPr>
            <w:tcW w:w="1498" w:type="dxa"/>
            <w:vAlign w:val="center"/>
          </w:tcPr>
          <w:p>
            <w:pPr>
              <w:widowControl/>
              <w:adjustRightInd w:val="0"/>
              <w:snapToGrid w:val="0"/>
              <w:jc w:val="center"/>
              <w:rPr>
                <w:rFonts w:ascii="Arial" w:hAnsi="Arial" w:eastAsia="宋体" w:cs="Arial"/>
                <w:bCs/>
                <w:kern w:val="0"/>
                <w:sz w:val="18"/>
                <w:szCs w:val="18"/>
              </w:rPr>
            </w:pPr>
          </w:p>
        </w:tc>
        <w:tc>
          <w:tcPr>
            <w:tcW w:w="937" w:type="dxa"/>
            <w:vAlign w:val="center"/>
          </w:tcPr>
          <w:p>
            <w:pPr>
              <w:widowControl/>
              <w:adjustRightInd w:val="0"/>
              <w:snapToGrid w:val="0"/>
              <w:jc w:val="center"/>
              <w:rPr>
                <w:rFonts w:ascii="Arial" w:hAnsi="Arial" w:eastAsia="宋体" w:cs="Arial"/>
                <w:bCs/>
                <w:kern w:val="0"/>
                <w:sz w:val="18"/>
                <w:szCs w:val="18"/>
              </w:rPr>
            </w:pPr>
          </w:p>
        </w:tc>
        <w:tc>
          <w:tcPr>
            <w:tcW w:w="919" w:type="dxa"/>
            <w:vAlign w:val="center"/>
          </w:tcPr>
          <w:p>
            <w:pPr>
              <w:widowControl/>
              <w:adjustRightInd w:val="0"/>
              <w:snapToGrid w:val="0"/>
              <w:jc w:val="center"/>
              <w:rPr>
                <w:rFonts w:ascii="Arial" w:hAnsi="Arial" w:eastAsia="宋体" w:cs="Arial"/>
                <w:bCs/>
                <w:kern w:val="0"/>
                <w:sz w:val="18"/>
                <w:szCs w:val="18"/>
              </w:rPr>
            </w:pPr>
          </w:p>
        </w:tc>
        <w:tc>
          <w:tcPr>
            <w:tcW w:w="824" w:type="dxa"/>
            <w:vAlign w:val="center"/>
          </w:tcPr>
          <w:p>
            <w:pPr>
              <w:widowControl/>
              <w:adjustRightInd w:val="0"/>
              <w:snapToGrid w:val="0"/>
              <w:jc w:val="center"/>
              <w:rPr>
                <w:rFonts w:ascii="Arial" w:hAnsi="Arial" w:eastAsia="宋体" w:cs="Arial"/>
                <w:bCs/>
                <w:kern w:val="0"/>
                <w:sz w:val="18"/>
                <w:szCs w:val="18"/>
              </w:rPr>
            </w:pPr>
          </w:p>
        </w:tc>
        <w:tc>
          <w:tcPr>
            <w:tcW w:w="800" w:type="dxa"/>
            <w:vAlign w:val="center"/>
          </w:tcPr>
          <w:p>
            <w:pPr>
              <w:widowControl/>
              <w:adjustRightInd w:val="0"/>
              <w:snapToGrid w:val="0"/>
              <w:jc w:val="center"/>
              <w:rPr>
                <w:rFonts w:ascii="Arial" w:hAnsi="Arial" w:eastAsia="宋体" w:cs="Arial"/>
                <w:bCs/>
                <w:kern w:val="0"/>
                <w:sz w:val="18"/>
                <w:szCs w:val="18"/>
              </w:rPr>
            </w:pPr>
          </w:p>
        </w:tc>
        <w:tc>
          <w:tcPr>
            <w:tcW w:w="761" w:type="dxa"/>
            <w:vAlign w:val="center"/>
          </w:tcPr>
          <w:p>
            <w:pPr>
              <w:widowControl/>
              <w:adjustRightInd w:val="0"/>
              <w:snapToGrid w:val="0"/>
              <w:jc w:val="center"/>
              <w:rPr>
                <w:rFonts w:ascii="Arial" w:hAnsi="Arial" w:eastAsia="宋体" w:cs="Arial"/>
                <w:bCs/>
                <w:kern w:val="0"/>
                <w:sz w:val="18"/>
                <w:szCs w:val="18"/>
              </w:rPr>
            </w:pPr>
          </w:p>
        </w:tc>
        <w:tc>
          <w:tcPr>
            <w:tcW w:w="673" w:type="dxa"/>
            <w:vAlign w:val="center"/>
          </w:tcPr>
          <w:p>
            <w:pPr>
              <w:adjustRightInd w:val="0"/>
              <w:snapToGrid w:val="0"/>
              <w:jc w:val="center"/>
              <w:rPr>
                <w:rFonts w:ascii="Arial" w:hAnsi="Arial" w:eastAsia="宋体" w:cs="Arial"/>
                <w:bCs/>
                <w:sz w:val="18"/>
                <w:szCs w:val="18"/>
              </w:rPr>
            </w:pPr>
          </w:p>
        </w:tc>
      </w:tr>
    </w:tbl>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港区一小站点2021年~2023年基本污染物现状浓度见表3-4。</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港区一小近3年基本污染物现状浓度</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3110"/>
        <w:gridCol w:w="1732"/>
        <w:gridCol w:w="1700"/>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928" w:type="dxa"/>
            <w:vMerge w:val="restart"/>
            <w:vAlign w:val="center"/>
          </w:tcPr>
          <w:p>
            <w:pPr>
              <w:widowControl/>
              <w:adjustRightInd w:val="0"/>
              <w:snapToGrid w:val="0"/>
              <w:jc w:val="center"/>
              <w:rPr>
                <w:rFonts w:ascii="Arial" w:hAnsi="Arial" w:eastAsia="宋体" w:cs="Arial"/>
                <w:bCs/>
                <w:kern w:val="0"/>
                <w:sz w:val="21"/>
                <w:szCs w:val="21"/>
              </w:rPr>
            </w:pPr>
          </w:p>
        </w:tc>
        <w:tc>
          <w:tcPr>
            <w:tcW w:w="3110" w:type="dxa"/>
            <w:vMerge w:val="restart"/>
            <w:vAlign w:val="center"/>
          </w:tcPr>
          <w:p>
            <w:pPr>
              <w:widowControl/>
              <w:adjustRightInd w:val="0"/>
              <w:snapToGrid w:val="0"/>
              <w:jc w:val="center"/>
              <w:rPr>
                <w:rFonts w:ascii="Arial" w:hAnsi="Arial" w:eastAsia="宋体" w:cs="Arial"/>
                <w:bCs/>
                <w:kern w:val="0"/>
                <w:sz w:val="21"/>
                <w:szCs w:val="21"/>
              </w:rPr>
            </w:pPr>
          </w:p>
        </w:tc>
        <w:tc>
          <w:tcPr>
            <w:tcW w:w="4955" w:type="dxa"/>
            <w:gridSpan w:val="3"/>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928" w:type="dxa"/>
            <w:vMerge w:val="continue"/>
            <w:vAlign w:val="center"/>
          </w:tcPr>
          <w:p>
            <w:pPr>
              <w:widowControl/>
              <w:adjustRightInd w:val="0"/>
              <w:snapToGrid w:val="0"/>
              <w:jc w:val="center"/>
              <w:rPr>
                <w:rFonts w:ascii="Arial" w:hAnsi="Arial" w:eastAsia="宋体" w:cs="Arial"/>
                <w:bCs/>
                <w:sz w:val="21"/>
                <w:szCs w:val="21"/>
              </w:rPr>
            </w:pPr>
          </w:p>
        </w:tc>
        <w:tc>
          <w:tcPr>
            <w:tcW w:w="3110" w:type="dxa"/>
            <w:vMerge w:val="continue"/>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restart"/>
            <w:vAlign w:val="center"/>
          </w:tcPr>
          <w:p>
            <w:pPr>
              <w:widowControl/>
              <w:adjustRightInd w:val="0"/>
              <w:snapToGrid w:val="0"/>
              <w:jc w:val="center"/>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continue"/>
            <w:vAlign w:val="center"/>
          </w:tcPr>
          <w:p>
            <w:pPr>
              <w:widowControl/>
              <w:jc w:val="left"/>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restart"/>
            <w:vAlign w:val="center"/>
          </w:tcPr>
          <w:p>
            <w:pPr>
              <w:widowControl/>
              <w:adjustRightInd w:val="0"/>
              <w:snapToGrid w:val="0"/>
              <w:jc w:val="center"/>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continue"/>
            <w:vAlign w:val="center"/>
          </w:tcPr>
          <w:p>
            <w:pPr>
              <w:widowControl/>
              <w:jc w:val="left"/>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Align w:val="center"/>
          </w:tcPr>
          <w:p>
            <w:pPr>
              <w:widowControl/>
              <w:adjustRightInd w:val="0"/>
              <w:snapToGrid w:val="0"/>
              <w:jc w:val="center"/>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Align w:val="center"/>
          </w:tcPr>
          <w:p>
            <w:pPr>
              <w:widowControl/>
              <w:adjustRightInd w:val="0"/>
              <w:snapToGrid w:val="0"/>
              <w:jc w:val="center"/>
              <w:rPr>
                <w:rFonts w:ascii="Arial" w:hAnsi="Arial" w:eastAsia="宋体" w:cs="Arial"/>
                <w:bCs/>
                <w:kern w:val="0"/>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restart"/>
            <w:vAlign w:val="center"/>
          </w:tcPr>
          <w:p>
            <w:pPr>
              <w:widowControl/>
              <w:adjustRightInd w:val="0"/>
              <w:snapToGrid w:val="0"/>
              <w:jc w:val="center"/>
              <w:rPr>
                <w:rFonts w:ascii="Arial" w:hAnsi="Arial" w:eastAsia="宋体" w:cs="Arial"/>
                <w:bCs/>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continue"/>
            <w:vAlign w:val="center"/>
          </w:tcPr>
          <w:p>
            <w:pPr>
              <w:widowControl/>
              <w:jc w:val="left"/>
              <w:rPr>
                <w:rFonts w:ascii="Arial" w:hAnsi="Arial" w:eastAsia="宋体" w:cs="Arial"/>
                <w:bCs/>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restart"/>
            <w:vAlign w:val="center"/>
          </w:tcPr>
          <w:p>
            <w:pPr>
              <w:widowControl/>
              <w:adjustRightInd w:val="0"/>
              <w:snapToGrid w:val="0"/>
              <w:jc w:val="center"/>
              <w:rPr>
                <w:rFonts w:ascii="Arial" w:hAnsi="Arial" w:eastAsia="宋体" w:cs="Arial"/>
                <w:bCs/>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 w:type="dxa"/>
            <w:vMerge w:val="continue"/>
            <w:vAlign w:val="center"/>
          </w:tcPr>
          <w:p>
            <w:pPr>
              <w:widowControl/>
              <w:jc w:val="left"/>
              <w:rPr>
                <w:rFonts w:ascii="Arial" w:hAnsi="Arial" w:eastAsia="宋体" w:cs="Arial"/>
                <w:bCs/>
                <w:sz w:val="21"/>
                <w:szCs w:val="21"/>
              </w:rPr>
            </w:pPr>
          </w:p>
        </w:tc>
        <w:tc>
          <w:tcPr>
            <w:tcW w:w="3110" w:type="dxa"/>
            <w:vAlign w:val="center"/>
          </w:tcPr>
          <w:p>
            <w:pPr>
              <w:widowControl/>
              <w:adjustRightInd w:val="0"/>
              <w:snapToGrid w:val="0"/>
              <w:jc w:val="center"/>
              <w:rPr>
                <w:rFonts w:ascii="Arial" w:hAnsi="Arial" w:eastAsia="宋体" w:cs="Arial"/>
                <w:bCs/>
                <w:kern w:val="0"/>
                <w:sz w:val="21"/>
                <w:szCs w:val="21"/>
              </w:rPr>
            </w:pPr>
          </w:p>
        </w:tc>
        <w:tc>
          <w:tcPr>
            <w:tcW w:w="1732" w:type="dxa"/>
            <w:vAlign w:val="center"/>
          </w:tcPr>
          <w:p>
            <w:pPr>
              <w:widowControl/>
              <w:adjustRightInd w:val="0"/>
              <w:snapToGrid w:val="0"/>
              <w:jc w:val="center"/>
              <w:rPr>
                <w:rFonts w:ascii="Arial" w:hAnsi="Arial" w:eastAsia="宋体" w:cs="Arial"/>
                <w:bCs/>
                <w:kern w:val="0"/>
                <w:sz w:val="21"/>
                <w:szCs w:val="21"/>
              </w:rPr>
            </w:pPr>
          </w:p>
        </w:tc>
        <w:tc>
          <w:tcPr>
            <w:tcW w:w="1700" w:type="dxa"/>
            <w:vAlign w:val="center"/>
          </w:tcPr>
          <w:p>
            <w:pPr>
              <w:widowControl/>
              <w:adjustRightInd w:val="0"/>
              <w:snapToGrid w:val="0"/>
              <w:jc w:val="center"/>
              <w:rPr>
                <w:rFonts w:ascii="Arial" w:hAnsi="Arial" w:eastAsia="宋体" w:cs="Arial"/>
                <w:bCs/>
                <w:kern w:val="0"/>
                <w:sz w:val="21"/>
                <w:szCs w:val="21"/>
              </w:rPr>
            </w:pPr>
          </w:p>
        </w:tc>
        <w:tc>
          <w:tcPr>
            <w:tcW w:w="1523" w:type="dxa"/>
            <w:vAlign w:val="center"/>
          </w:tcPr>
          <w:p>
            <w:pPr>
              <w:widowControl/>
              <w:adjustRightInd w:val="0"/>
              <w:snapToGrid w:val="0"/>
              <w:jc w:val="center"/>
              <w:rPr>
                <w:rFonts w:ascii="Arial" w:hAnsi="Arial" w:eastAsia="宋体" w:cs="Arial"/>
                <w:bCs/>
                <w:kern w:val="0"/>
                <w:sz w:val="21"/>
                <w:szCs w:val="21"/>
              </w:rPr>
            </w:pPr>
          </w:p>
        </w:tc>
      </w:tr>
    </w:tbl>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由表3-4可知，港区一小站点近3年SO</w:t>
      </w:r>
      <w:r>
        <w:rPr>
          <w:rFonts w:hint="eastAsia" w:ascii="Arial" w:hAnsi="Arial" w:eastAsia="宋体" w:cs="Arial"/>
          <w:spacing w:val="10"/>
          <w:sz w:val="24"/>
          <w:vertAlign w:val="subscript"/>
        </w:rPr>
        <w:t>2</w:t>
      </w:r>
      <w:r>
        <w:rPr>
          <w:rFonts w:hint="eastAsia" w:ascii="Arial" w:hAnsi="Arial" w:eastAsia="宋体" w:cs="Arial"/>
          <w:spacing w:val="10"/>
          <w:sz w:val="24"/>
        </w:rPr>
        <w:t>日均百分位数浓度有所下降，2022年和2023年不变；NO</w:t>
      </w:r>
      <w:r>
        <w:rPr>
          <w:rFonts w:hint="eastAsia" w:ascii="Arial" w:hAnsi="Arial" w:eastAsia="宋体" w:cs="Arial"/>
          <w:spacing w:val="10"/>
          <w:sz w:val="24"/>
          <w:vertAlign w:val="subscript"/>
        </w:rPr>
        <w:t>2</w:t>
      </w:r>
      <w:r>
        <w:rPr>
          <w:rFonts w:hint="eastAsia" w:ascii="Arial" w:hAnsi="Arial" w:eastAsia="宋体" w:cs="Arial"/>
          <w:spacing w:val="10"/>
          <w:sz w:val="24"/>
        </w:rPr>
        <w:t>、PM</w:t>
      </w:r>
      <w:r>
        <w:rPr>
          <w:rFonts w:hint="eastAsia" w:ascii="Arial" w:hAnsi="Arial" w:eastAsia="宋体" w:cs="Arial"/>
          <w:spacing w:val="10"/>
          <w:sz w:val="24"/>
          <w:vertAlign w:val="subscript"/>
        </w:rPr>
        <w:t>10</w:t>
      </w:r>
      <w:r>
        <w:rPr>
          <w:rFonts w:hint="eastAsia" w:ascii="Arial" w:hAnsi="Arial" w:eastAsia="宋体" w:cs="Arial"/>
          <w:spacing w:val="10"/>
          <w:sz w:val="24"/>
        </w:rPr>
        <w:t>、PM</w:t>
      </w:r>
      <w:r>
        <w:rPr>
          <w:rFonts w:hint="eastAsia" w:ascii="Arial" w:hAnsi="Arial" w:eastAsia="宋体" w:cs="Arial"/>
          <w:spacing w:val="10"/>
          <w:sz w:val="24"/>
          <w:vertAlign w:val="subscript"/>
        </w:rPr>
        <w:t>2.5</w:t>
      </w:r>
      <w:r>
        <w:rPr>
          <w:rFonts w:hint="eastAsia" w:ascii="Arial" w:hAnsi="Arial" w:eastAsia="宋体" w:cs="Arial"/>
          <w:spacing w:val="10"/>
          <w:sz w:val="24"/>
        </w:rPr>
        <w:t>和CO日均百分位数浓度变化较小，O</w:t>
      </w:r>
      <w:r>
        <w:rPr>
          <w:rFonts w:hint="eastAsia" w:ascii="Arial" w:hAnsi="Arial" w:eastAsia="宋体" w:cs="Arial"/>
          <w:spacing w:val="10"/>
          <w:sz w:val="24"/>
          <w:vertAlign w:val="subscript"/>
        </w:rPr>
        <w:t>3</w:t>
      </w:r>
      <w:r>
        <w:rPr>
          <w:rFonts w:hint="eastAsia" w:ascii="Arial" w:hAnsi="Arial" w:eastAsia="宋体" w:cs="Arial"/>
          <w:spacing w:val="10"/>
          <w:sz w:val="24"/>
        </w:rPr>
        <w:t>日最大8小时均值百分位数浓度略有增加，2022年和2023年差异较小。总体来看，2022年和2023年6项基本污染物浓度变化较小。因此，本报告以2022年现状浓度作为背景值预测，数据可行。</w:t>
      </w:r>
    </w:p>
    <w:p>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其他污染物环境质量现状</w:t>
      </w:r>
    </w:p>
    <w:p>
      <w:pPr>
        <w:spacing w:line="500" w:lineRule="exact"/>
        <w:ind w:firstLine="490" w:firstLineChars="200"/>
        <w:rPr>
          <w:rFonts w:ascii="Arial" w:hAnsi="Arial" w:eastAsia="宋体" w:cs="Arial"/>
          <w:sz w:val="24"/>
        </w:rPr>
      </w:pPr>
      <w:r>
        <w:rPr>
          <w:rFonts w:ascii="Arial" w:hAnsi="Arial" w:eastAsia="宋体" w:cs="Arial"/>
          <w:spacing w:val="10"/>
          <w:sz w:val="24"/>
        </w:rPr>
        <w:t>根据《环境影响评价技术导则-大气环境》（HJ2.2-2018）对其他污染物进行补充监测，项目需要补充监测的因子</w:t>
      </w:r>
      <w:r>
        <w:rPr>
          <w:rFonts w:hint="eastAsia" w:ascii="Arial" w:hAnsi="Arial" w:eastAsia="宋体" w:cs="Arial"/>
          <w:spacing w:val="10"/>
          <w:sz w:val="24"/>
        </w:rPr>
        <w:t>为</w:t>
      </w:r>
      <w:r>
        <w:rPr>
          <w:rFonts w:ascii="Arial" w:hAnsi="Arial" w:eastAsia="宋体" w:cs="Arial"/>
          <w:spacing w:val="10"/>
          <w:sz w:val="24"/>
        </w:rPr>
        <w:t>氨</w:t>
      </w:r>
      <w:r>
        <w:rPr>
          <w:rFonts w:hint="eastAsia" w:ascii="Arial" w:hAnsi="Arial" w:eastAsia="宋体" w:cs="Arial"/>
          <w:spacing w:val="10"/>
          <w:sz w:val="24"/>
        </w:rPr>
        <w:t>、TSP（钴暂无质量标准及监测方法，未开展现状监测）</w:t>
      </w:r>
      <w:r>
        <w:rPr>
          <w:rFonts w:ascii="Arial" w:hAnsi="Arial" w:eastAsia="宋体" w:cs="Arial"/>
          <w:spacing w:val="10"/>
          <w:sz w:val="24"/>
        </w:rPr>
        <w:t>，</w:t>
      </w:r>
      <w:r>
        <w:rPr>
          <w:rFonts w:hint="eastAsia" w:ascii="Arial" w:hAnsi="Arial" w:eastAsia="宋体" w:cs="Arial"/>
          <w:spacing w:val="10"/>
          <w:sz w:val="24"/>
        </w:rPr>
        <w:t>通过</w:t>
      </w:r>
      <w:r>
        <w:rPr>
          <w:rFonts w:ascii="Arial" w:hAnsi="Arial" w:eastAsia="宋体" w:cs="Arial"/>
          <w:spacing w:val="10"/>
          <w:sz w:val="24"/>
        </w:rPr>
        <w:t>引用现有</w:t>
      </w:r>
      <w:r>
        <w:rPr>
          <w:rFonts w:hint="eastAsia" w:ascii="Arial" w:hAnsi="Arial" w:eastAsia="宋体" w:cs="Arial"/>
          <w:spacing w:val="10"/>
          <w:sz w:val="24"/>
        </w:rPr>
        <w:t>监测</w:t>
      </w:r>
      <w:r>
        <w:rPr>
          <w:rFonts w:ascii="Arial" w:hAnsi="Arial" w:eastAsia="宋体" w:cs="Arial"/>
          <w:spacing w:val="10"/>
          <w:sz w:val="24"/>
        </w:rPr>
        <w:t>数据</w:t>
      </w:r>
      <w:r>
        <w:rPr>
          <w:rFonts w:hint="eastAsia" w:ascii="Arial" w:hAnsi="Arial" w:eastAsia="宋体" w:cs="Arial"/>
          <w:spacing w:val="10"/>
          <w:sz w:val="24"/>
        </w:rPr>
        <w:t>进行评价</w:t>
      </w:r>
      <w:r>
        <w:rPr>
          <w:rFonts w:ascii="Arial" w:hAnsi="Arial" w:eastAsia="宋体" w:cs="Arial"/>
          <w:spacing w:val="10"/>
          <w:sz w:val="24"/>
        </w:rPr>
        <w:t>，</w:t>
      </w:r>
      <w:r>
        <w:rPr>
          <w:rFonts w:ascii="Arial" w:hAnsi="Arial" w:eastAsia="宋体" w:cs="Arial"/>
          <w:sz w:val="24"/>
        </w:rPr>
        <w:t>详见表3-</w:t>
      </w:r>
      <w:r>
        <w:rPr>
          <w:rFonts w:hint="eastAsia" w:ascii="Arial" w:hAnsi="Arial" w:eastAsia="宋体" w:cs="Arial"/>
          <w:sz w:val="24"/>
        </w:rPr>
        <w:t>5</w:t>
      </w:r>
      <w:r>
        <w:rPr>
          <w:rFonts w:ascii="Arial" w:hAnsi="Arial" w:eastAsia="宋体" w:cs="Arial"/>
          <w:sz w:val="24"/>
        </w:rPr>
        <w:t>。</w:t>
      </w:r>
    </w:p>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环境空气补充监测因子引用数据来源</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275"/>
        <w:gridCol w:w="1701"/>
        <w:gridCol w:w="1674"/>
        <w:gridCol w:w="3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3" w:type="dxa"/>
            <w:vAlign w:val="center"/>
          </w:tcPr>
          <w:p>
            <w:pPr>
              <w:widowControl/>
              <w:adjustRightInd w:val="0"/>
              <w:snapToGrid w:val="0"/>
              <w:jc w:val="center"/>
              <w:rPr>
                <w:rFonts w:ascii="Arial" w:hAnsi="Arial" w:eastAsia="宋体" w:cs="Arial"/>
                <w:bCs/>
                <w:kern w:val="0"/>
                <w:sz w:val="21"/>
                <w:szCs w:val="21"/>
              </w:rPr>
            </w:pPr>
          </w:p>
        </w:tc>
        <w:tc>
          <w:tcPr>
            <w:tcW w:w="1275" w:type="dxa"/>
            <w:vAlign w:val="center"/>
          </w:tcPr>
          <w:p>
            <w:pPr>
              <w:widowControl/>
              <w:adjustRightInd w:val="0"/>
              <w:snapToGrid w:val="0"/>
              <w:jc w:val="center"/>
              <w:rPr>
                <w:rFonts w:ascii="Arial" w:hAnsi="Arial" w:eastAsia="宋体" w:cs="Arial"/>
                <w:bCs/>
                <w:kern w:val="0"/>
                <w:sz w:val="21"/>
                <w:szCs w:val="21"/>
              </w:rPr>
            </w:pPr>
          </w:p>
        </w:tc>
        <w:tc>
          <w:tcPr>
            <w:tcW w:w="1701" w:type="dxa"/>
            <w:vAlign w:val="center"/>
          </w:tcPr>
          <w:p>
            <w:pPr>
              <w:widowControl/>
              <w:adjustRightInd w:val="0"/>
              <w:snapToGrid w:val="0"/>
              <w:jc w:val="center"/>
              <w:rPr>
                <w:rFonts w:ascii="Arial" w:hAnsi="Arial" w:eastAsia="宋体" w:cs="Arial"/>
                <w:bCs/>
                <w:kern w:val="0"/>
                <w:sz w:val="21"/>
                <w:szCs w:val="21"/>
              </w:rPr>
            </w:pPr>
          </w:p>
        </w:tc>
        <w:tc>
          <w:tcPr>
            <w:tcW w:w="1674" w:type="dxa"/>
            <w:vAlign w:val="center"/>
          </w:tcPr>
          <w:p>
            <w:pPr>
              <w:widowControl/>
              <w:adjustRightInd w:val="0"/>
              <w:snapToGrid w:val="0"/>
              <w:jc w:val="center"/>
              <w:rPr>
                <w:rFonts w:ascii="Arial" w:hAnsi="Arial" w:eastAsia="宋体" w:cs="Arial"/>
                <w:bCs/>
                <w:kern w:val="0"/>
                <w:sz w:val="21"/>
                <w:szCs w:val="21"/>
              </w:rPr>
            </w:pPr>
          </w:p>
        </w:tc>
        <w:tc>
          <w:tcPr>
            <w:tcW w:w="3240"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3" w:type="dxa"/>
            <w:vAlign w:val="center"/>
          </w:tcPr>
          <w:p>
            <w:pPr>
              <w:widowControl/>
              <w:adjustRightInd w:val="0"/>
              <w:snapToGrid w:val="0"/>
              <w:jc w:val="center"/>
              <w:rPr>
                <w:rFonts w:ascii="Arial" w:hAnsi="Arial" w:eastAsia="宋体" w:cs="Arial"/>
                <w:bCs/>
                <w:kern w:val="0"/>
                <w:sz w:val="21"/>
                <w:szCs w:val="21"/>
                <w:u w:val="single"/>
              </w:rPr>
            </w:pPr>
          </w:p>
        </w:tc>
        <w:tc>
          <w:tcPr>
            <w:tcW w:w="1275" w:type="dxa"/>
            <w:vAlign w:val="center"/>
          </w:tcPr>
          <w:p>
            <w:pPr>
              <w:widowControl/>
              <w:adjustRightInd w:val="0"/>
              <w:snapToGrid w:val="0"/>
              <w:jc w:val="center"/>
              <w:rPr>
                <w:rFonts w:ascii="Arial" w:hAnsi="Arial" w:eastAsia="宋体" w:cs="Arial"/>
                <w:bCs/>
                <w:kern w:val="0"/>
                <w:sz w:val="21"/>
                <w:szCs w:val="21"/>
                <w:u w:val="single"/>
              </w:rPr>
            </w:pPr>
          </w:p>
        </w:tc>
        <w:tc>
          <w:tcPr>
            <w:tcW w:w="1701" w:type="dxa"/>
            <w:vAlign w:val="center"/>
          </w:tcPr>
          <w:p>
            <w:pPr>
              <w:widowControl/>
              <w:adjustRightInd w:val="0"/>
              <w:snapToGrid w:val="0"/>
              <w:jc w:val="center"/>
              <w:rPr>
                <w:rFonts w:ascii="Arial" w:hAnsi="Arial" w:eastAsia="宋体" w:cs="Arial"/>
                <w:bCs/>
                <w:kern w:val="0"/>
                <w:sz w:val="21"/>
                <w:szCs w:val="21"/>
                <w:u w:val="single"/>
              </w:rPr>
            </w:pPr>
          </w:p>
        </w:tc>
        <w:tc>
          <w:tcPr>
            <w:tcW w:w="1674" w:type="dxa"/>
            <w:vAlign w:val="center"/>
          </w:tcPr>
          <w:p>
            <w:pPr>
              <w:adjustRightInd w:val="0"/>
              <w:snapToGrid w:val="0"/>
              <w:jc w:val="center"/>
              <w:rPr>
                <w:rFonts w:ascii="Arial" w:hAnsi="Arial" w:eastAsia="宋体" w:cs="Arial"/>
                <w:bCs/>
                <w:kern w:val="0"/>
                <w:sz w:val="21"/>
                <w:szCs w:val="21"/>
                <w:u w:val="single"/>
              </w:rPr>
            </w:pPr>
          </w:p>
        </w:tc>
        <w:tc>
          <w:tcPr>
            <w:tcW w:w="3240" w:type="dxa"/>
            <w:vAlign w:val="center"/>
          </w:tcPr>
          <w:p>
            <w:pPr>
              <w:adjustRightInd w:val="0"/>
              <w:snapToGrid w:val="0"/>
              <w:jc w:val="center"/>
              <w:rPr>
                <w:rFonts w:ascii="Arial" w:hAnsi="Arial" w:eastAsia="宋体" w:cs="Arial"/>
                <w:bCs/>
                <w:kern w:val="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3" w:type="dxa"/>
            <w:vAlign w:val="center"/>
          </w:tcPr>
          <w:p>
            <w:pPr>
              <w:widowControl/>
              <w:adjustRightInd w:val="0"/>
              <w:snapToGrid w:val="0"/>
              <w:jc w:val="center"/>
              <w:rPr>
                <w:rFonts w:ascii="Arial" w:hAnsi="Arial" w:eastAsia="宋体" w:cs="Arial"/>
                <w:bCs/>
                <w:kern w:val="0"/>
                <w:sz w:val="21"/>
                <w:szCs w:val="21"/>
              </w:rPr>
            </w:pPr>
          </w:p>
        </w:tc>
        <w:tc>
          <w:tcPr>
            <w:tcW w:w="1275" w:type="dxa"/>
            <w:vAlign w:val="center"/>
          </w:tcPr>
          <w:p>
            <w:pPr>
              <w:widowControl/>
              <w:adjustRightInd w:val="0"/>
              <w:snapToGrid w:val="0"/>
              <w:jc w:val="center"/>
              <w:rPr>
                <w:rFonts w:ascii="Arial" w:hAnsi="Arial" w:eastAsia="宋体" w:cs="Arial"/>
                <w:bCs/>
                <w:kern w:val="0"/>
                <w:sz w:val="21"/>
                <w:szCs w:val="21"/>
              </w:rPr>
            </w:pPr>
          </w:p>
        </w:tc>
        <w:tc>
          <w:tcPr>
            <w:tcW w:w="1701" w:type="dxa"/>
            <w:vAlign w:val="center"/>
          </w:tcPr>
          <w:p>
            <w:pPr>
              <w:widowControl/>
              <w:adjustRightInd w:val="0"/>
              <w:snapToGrid w:val="0"/>
              <w:jc w:val="center"/>
              <w:rPr>
                <w:rFonts w:ascii="Arial" w:hAnsi="Arial" w:eastAsia="宋体" w:cs="Arial"/>
                <w:bCs/>
                <w:kern w:val="0"/>
                <w:sz w:val="21"/>
                <w:szCs w:val="21"/>
              </w:rPr>
            </w:pPr>
          </w:p>
        </w:tc>
        <w:tc>
          <w:tcPr>
            <w:tcW w:w="1674" w:type="dxa"/>
            <w:vAlign w:val="center"/>
          </w:tcPr>
          <w:p>
            <w:pPr>
              <w:adjustRightInd w:val="0"/>
              <w:snapToGrid w:val="0"/>
              <w:jc w:val="center"/>
              <w:rPr>
                <w:rFonts w:ascii="Arial" w:hAnsi="Arial" w:eastAsia="宋体" w:cs="Arial"/>
                <w:bCs/>
                <w:kern w:val="0"/>
                <w:sz w:val="21"/>
                <w:szCs w:val="21"/>
              </w:rPr>
            </w:pPr>
          </w:p>
        </w:tc>
        <w:tc>
          <w:tcPr>
            <w:tcW w:w="3240" w:type="dxa"/>
            <w:vAlign w:val="center"/>
          </w:tcPr>
          <w:p>
            <w:pPr>
              <w:adjustRightInd w:val="0"/>
              <w:snapToGrid w:val="0"/>
              <w:jc w:val="center"/>
              <w:rPr>
                <w:rFonts w:ascii="Arial" w:hAnsi="Arial" w:eastAsia="宋体" w:cs="Arial"/>
                <w:bCs/>
                <w:kern w:val="0"/>
                <w:sz w:val="21"/>
                <w:szCs w:val="21"/>
              </w:rPr>
            </w:pP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1、补充监测基本信息</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引用的监测点位基本信息详见表3-</w:t>
      </w:r>
      <w:r>
        <w:rPr>
          <w:rFonts w:hint="eastAsia" w:ascii="Arial" w:hAnsi="Arial" w:eastAsia="宋体" w:cs="Arial"/>
          <w:spacing w:val="10"/>
          <w:sz w:val="24"/>
        </w:rPr>
        <w:t>6</w:t>
      </w:r>
      <w:r>
        <w:rPr>
          <w:rFonts w:ascii="Arial" w:hAnsi="Arial" w:eastAsia="宋体" w:cs="Arial"/>
          <w:spacing w:val="1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其他污染物补充监测点位基本信息</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962"/>
        <w:gridCol w:w="739"/>
        <w:gridCol w:w="872"/>
        <w:gridCol w:w="1536"/>
        <w:gridCol w:w="1984"/>
        <w:gridCol w:w="1133"/>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8" w:type="dxa"/>
            <w:vMerge w:val="restart"/>
            <w:vAlign w:val="center"/>
          </w:tcPr>
          <w:p>
            <w:pPr>
              <w:widowControl/>
              <w:adjustRightInd w:val="0"/>
              <w:snapToGrid w:val="0"/>
              <w:jc w:val="center"/>
              <w:rPr>
                <w:rFonts w:ascii="Arial" w:hAnsi="Arial" w:eastAsia="宋体" w:cs="Arial"/>
                <w:bCs/>
                <w:kern w:val="0"/>
                <w:sz w:val="21"/>
                <w:szCs w:val="21"/>
              </w:rPr>
            </w:pPr>
          </w:p>
        </w:tc>
        <w:tc>
          <w:tcPr>
            <w:tcW w:w="962" w:type="dxa"/>
            <w:vMerge w:val="restart"/>
            <w:vAlign w:val="center"/>
          </w:tcPr>
          <w:p>
            <w:pPr>
              <w:widowControl/>
              <w:adjustRightInd w:val="0"/>
              <w:snapToGrid w:val="0"/>
              <w:jc w:val="center"/>
              <w:rPr>
                <w:rFonts w:ascii="Arial" w:hAnsi="Arial" w:eastAsia="宋体" w:cs="Arial"/>
                <w:bCs/>
                <w:kern w:val="0"/>
                <w:sz w:val="21"/>
                <w:szCs w:val="21"/>
              </w:rPr>
            </w:pPr>
          </w:p>
        </w:tc>
        <w:tc>
          <w:tcPr>
            <w:tcW w:w="1611" w:type="dxa"/>
            <w:gridSpan w:val="2"/>
            <w:vAlign w:val="center"/>
          </w:tcPr>
          <w:p>
            <w:pPr>
              <w:widowControl/>
              <w:adjustRightInd w:val="0"/>
              <w:snapToGrid w:val="0"/>
              <w:jc w:val="center"/>
              <w:rPr>
                <w:rFonts w:ascii="Arial" w:hAnsi="Arial" w:eastAsia="宋体" w:cs="Arial"/>
                <w:bCs/>
                <w:kern w:val="0"/>
                <w:sz w:val="21"/>
                <w:szCs w:val="21"/>
              </w:rPr>
            </w:pPr>
          </w:p>
        </w:tc>
        <w:tc>
          <w:tcPr>
            <w:tcW w:w="1536" w:type="dxa"/>
            <w:vMerge w:val="restart"/>
            <w:vAlign w:val="center"/>
          </w:tcPr>
          <w:p>
            <w:pPr>
              <w:widowControl/>
              <w:adjustRightInd w:val="0"/>
              <w:snapToGrid w:val="0"/>
              <w:jc w:val="center"/>
              <w:rPr>
                <w:rFonts w:ascii="Arial" w:hAnsi="Arial" w:eastAsia="宋体" w:cs="Arial"/>
                <w:bCs/>
                <w:kern w:val="0"/>
                <w:sz w:val="21"/>
                <w:szCs w:val="21"/>
              </w:rPr>
            </w:pPr>
          </w:p>
        </w:tc>
        <w:tc>
          <w:tcPr>
            <w:tcW w:w="1984" w:type="dxa"/>
            <w:vMerge w:val="restart"/>
            <w:vAlign w:val="center"/>
          </w:tcPr>
          <w:p>
            <w:pPr>
              <w:widowControl/>
              <w:adjustRightInd w:val="0"/>
              <w:snapToGrid w:val="0"/>
              <w:jc w:val="center"/>
              <w:rPr>
                <w:rFonts w:ascii="Arial" w:hAnsi="Arial" w:eastAsia="宋体" w:cs="Arial"/>
                <w:bCs/>
                <w:sz w:val="21"/>
                <w:szCs w:val="21"/>
              </w:rPr>
            </w:pPr>
          </w:p>
        </w:tc>
        <w:tc>
          <w:tcPr>
            <w:tcW w:w="1133" w:type="dxa"/>
            <w:vMerge w:val="restart"/>
            <w:vAlign w:val="center"/>
          </w:tcPr>
          <w:p>
            <w:pPr>
              <w:widowControl/>
              <w:adjustRightInd w:val="0"/>
              <w:snapToGrid w:val="0"/>
              <w:jc w:val="center"/>
              <w:rPr>
                <w:rFonts w:ascii="Arial" w:hAnsi="Arial" w:eastAsia="宋体" w:cs="Arial"/>
                <w:bCs/>
                <w:sz w:val="21"/>
                <w:szCs w:val="21"/>
              </w:rPr>
            </w:pPr>
          </w:p>
        </w:tc>
        <w:tc>
          <w:tcPr>
            <w:tcW w:w="949" w:type="dxa"/>
            <w:vMerge w:val="restart"/>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8" w:type="dxa"/>
            <w:vMerge w:val="continue"/>
            <w:vAlign w:val="center"/>
          </w:tcPr>
          <w:p>
            <w:pPr>
              <w:widowControl/>
              <w:adjustRightInd w:val="0"/>
              <w:snapToGrid w:val="0"/>
              <w:jc w:val="center"/>
              <w:rPr>
                <w:rFonts w:ascii="Arial" w:hAnsi="Arial" w:eastAsia="宋体" w:cs="Arial"/>
                <w:bCs/>
                <w:kern w:val="0"/>
                <w:sz w:val="21"/>
                <w:szCs w:val="21"/>
              </w:rPr>
            </w:pPr>
          </w:p>
        </w:tc>
        <w:tc>
          <w:tcPr>
            <w:tcW w:w="962" w:type="dxa"/>
            <w:vMerge w:val="continue"/>
            <w:vAlign w:val="center"/>
          </w:tcPr>
          <w:p>
            <w:pPr>
              <w:widowControl/>
              <w:adjustRightInd w:val="0"/>
              <w:snapToGrid w:val="0"/>
              <w:jc w:val="center"/>
              <w:rPr>
                <w:rFonts w:ascii="Arial" w:hAnsi="Arial" w:eastAsia="宋体" w:cs="Arial"/>
                <w:bCs/>
                <w:kern w:val="0"/>
                <w:sz w:val="21"/>
                <w:szCs w:val="21"/>
              </w:rPr>
            </w:pPr>
          </w:p>
        </w:tc>
        <w:tc>
          <w:tcPr>
            <w:tcW w:w="739" w:type="dxa"/>
            <w:vAlign w:val="center"/>
          </w:tcPr>
          <w:p>
            <w:pPr>
              <w:adjustRightInd w:val="0"/>
              <w:snapToGrid w:val="0"/>
              <w:jc w:val="center"/>
              <w:rPr>
                <w:rFonts w:ascii="Arial" w:hAnsi="Arial" w:eastAsia="宋体" w:cs="Arial"/>
                <w:bCs/>
                <w:kern w:val="0"/>
                <w:sz w:val="21"/>
                <w:szCs w:val="21"/>
              </w:rPr>
            </w:pPr>
          </w:p>
        </w:tc>
        <w:tc>
          <w:tcPr>
            <w:tcW w:w="872" w:type="dxa"/>
            <w:vAlign w:val="center"/>
          </w:tcPr>
          <w:p>
            <w:pPr>
              <w:adjustRightInd w:val="0"/>
              <w:snapToGrid w:val="0"/>
              <w:jc w:val="center"/>
              <w:rPr>
                <w:rFonts w:ascii="Arial" w:hAnsi="Arial" w:eastAsia="宋体" w:cs="Arial"/>
                <w:bCs/>
                <w:kern w:val="0"/>
                <w:sz w:val="21"/>
                <w:szCs w:val="21"/>
              </w:rPr>
            </w:pPr>
          </w:p>
        </w:tc>
        <w:tc>
          <w:tcPr>
            <w:tcW w:w="1536" w:type="dxa"/>
            <w:vMerge w:val="continue"/>
            <w:vAlign w:val="center"/>
          </w:tcPr>
          <w:p>
            <w:pPr>
              <w:widowControl/>
              <w:adjustRightInd w:val="0"/>
              <w:snapToGrid w:val="0"/>
              <w:jc w:val="center"/>
              <w:rPr>
                <w:rFonts w:ascii="Arial" w:hAnsi="Arial" w:eastAsia="宋体" w:cs="Arial"/>
                <w:bCs/>
                <w:kern w:val="0"/>
                <w:sz w:val="21"/>
                <w:szCs w:val="21"/>
              </w:rPr>
            </w:pPr>
          </w:p>
        </w:tc>
        <w:tc>
          <w:tcPr>
            <w:tcW w:w="1984" w:type="dxa"/>
            <w:vMerge w:val="continue"/>
            <w:vAlign w:val="center"/>
          </w:tcPr>
          <w:p>
            <w:pPr>
              <w:widowControl/>
              <w:adjustRightInd w:val="0"/>
              <w:snapToGrid w:val="0"/>
              <w:jc w:val="center"/>
              <w:rPr>
                <w:rFonts w:ascii="Arial" w:hAnsi="Arial" w:eastAsia="宋体" w:cs="Arial"/>
                <w:bCs/>
                <w:sz w:val="21"/>
                <w:szCs w:val="21"/>
              </w:rPr>
            </w:pPr>
          </w:p>
        </w:tc>
        <w:tc>
          <w:tcPr>
            <w:tcW w:w="1133" w:type="dxa"/>
            <w:vMerge w:val="continue"/>
            <w:vAlign w:val="center"/>
          </w:tcPr>
          <w:p>
            <w:pPr>
              <w:widowControl/>
              <w:adjustRightInd w:val="0"/>
              <w:snapToGrid w:val="0"/>
              <w:jc w:val="center"/>
              <w:rPr>
                <w:rFonts w:ascii="Arial" w:hAnsi="Arial" w:eastAsia="宋体" w:cs="Arial"/>
                <w:bCs/>
                <w:sz w:val="21"/>
                <w:szCs w:val="21"/>
              </w:rPr>
            </w:pPr>
          </w:p>
        </w:tc>
        <w:tc>
          <w:tcPr>
            <w:tcW w:w="949" w:type="dxa"/>
            <w:vMerge w:val="continue"/>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8" w:type="dxa"/>
            <w:vAlign w:val="center"/>
          </w:tcPr>
          <w:p>
            <w:pPr>
              <w:widowControl/>
              <w:adjustRightInd w:val="0"/>
              <w:snapToGrid w:val="0"/>
              <w:jc w:val="center"/>
              <w:rPr>
                <w:rFonts w:ascii="Arial" w:hAnsi="Arial" w:eastAsia="宋体" w:cs="Arial"/>
                <w:bCs/>
                <w:kern w:val="0"/>
                <w:sz w:val="21"/>
                <w:szCs w:val="21"/>
              </w:rPr>
            </w:pPr>
          </w:p>
        </w:tc>
        <w:tc>
          <w:tcPr>
            <w:tcW w:w="962" w:type="dxa"/>
            <w:vAlign w:val="center"/>
          </w:tcPr>
          <w:p>
            <w:pPr>
              <w:widowControl/>
              <w:adjustRightInd w:val="0"/>
              <w:snapToGrid w:val="0"/>
              <w:jc w:val="center"/>
              <w:rPr>
                <w:rFonts w:ascii="Arial" w:hAnsi="Arial" w:eastAsia="宋体" w:cs="Arial"/>
                <w:bCs/>
                <w:kern w:val="0"/>
                <w:sz w:val="21"/>
                <w:szCs w:val="21"/>
              </w:rPr>
            </w:pPr>
          </w:p>
        </w:tc>
        <w:tc>
          <w:tcPr>
            <w:tcW w:w="739" w:type="dxa"/>
            <w:vAlign w:val="center"/>
          </w:tcPr>
          <w:p>
            <w:pPr>
              <w:adjustRightInd w:val="0"/>
              <w:snapToGrid w:val="0"/>
              <w:jc w:val="center"/>
              <w:rPr>
                <w:rFonts w:ascii="Arial" w:hAnsi="Arial" w:eastAsia="等线" w:cs="Arial"/>
                <w:sz w:val="21"/>
                <w:szCs w:val="21"/>
                <w:u w:val="single"/>
              </w:rPr>
            </w:pPr>
          </w:p>
        </w:tc>
        <w:tc>
          <w:tcPr>
            <w:tcW w:w="872" w:type="dxa"/>
            <w:vAlign w:val="center"/>
          </w:tcPr>
          <w:p>
            <w:pPr>
              <w:adjustRightInd w:val="0"/>
              <w:snapToGrid w:val="0"/>
              <w:jc w:val="center"/>
              <w:rPr>
                <w:rFonts w:ascii="Arial" w:hAnsi="Arial" w:eastAsia="等线" w:cs="Arial"/>
                <w:sz w:val="21"/>
                <w:szCs w:val="21"/>
                <w:u w:val="single"/>
              </w:rPr>
            </w:pPr>
          </w:p>
        </w:tc>
        <w:tc>
          <w:tcPr>
            <w:tcW w:w="1536" w:type="dxa"/>
            <w:vAlign w:val="center"/>
          </w:tcPr>
          <w:p>
            <w:pPr>
              <w:widowControl/>
              <w:adjustRightInd w:val="0"/>
              <w:snapToGrid w:val="0"/>
              <w:jc w:val="center"/>
              <w:rPr>
                <w:rFonts w:ascii="Arial" w:hAnsi="Arial" w:eastAsia="宋体" w:cs="Arial"/>
                <w:bCs/>
                <w:kern w:val="0"/>
                <w:sz w:val="21"/>
                <w:szCs w:val="21"/>
                <w:u w:val="single"/>
              </w:rPr>
            </w:pPr>
          </w:p>
        </w:tc>
        <w:tc>
          <w:tcPr>
            <w:tcW w:w="1984" w:type="dxa"/>
            <w:vAlign w:val="center"/>
          </w:tcPr>
          <w:p>
            <w:pPr>
              <w:adjustRightInd w:val="0"/>
              <w:snapToGrid w:val="0"/>
              <w:jc w:val="center"/>
              <w:rPr>
                <w:rFonts w:ascii="Arial" w:hAnsi="Arial" w:eastAsia="宋体" w:cs="Arial"/>
                <w:bCs/>
                <w:kern w:val="0"/>
                <w:sz w:val="21"/>
                <w:szCs w:val="21"/>
                <w:u w:val="single"/>
              </w:rPr>
            </w:pPr>
          </w:p>
        </w:tc>
        <w:tc>
          <w:tcPr>
            <w:tcW w:w="1133" w:type="dxa"/>
            <w:vAlign w:val="center"/>
          </w:tcPr>
          <w:p>
            <w:pPr>
              <w:adjustRightInd w:val="0"/>
              <w:snapToGrid w:val="0"/>
              <w:jc w:val="center"/>
              <w:rPr>
                <w:rFonts w:ascii="Arial" w:hAnsi="Arial" w:eastAsia="宋体" w:cs="Arial"/>
                <w:bCs/>
                <w:sz w:val="21"/>
                <w:szCs w:val="21"/>
                <w:u w:val="single"/>
              </w:rPr>
            </w:pPr>
          </w:p>
        </w:tc>
        <w:tc>
          <w:tcPr>
            <w:tcW w:w="949" w:type="dxa"/>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18" w:type="dxa"/>
            <w:vAlign w:val="center"/>
          </w:tcPr>
          <w:p>
            <w:pPr>
              <w:widowControl/>
              <w:adjustRightInd w:val="0"/>
              <w:snapToGrid w:val="0"/>
              <w:jc w:val="center"/>
              <w:rPr>
                <w:rFonts w:ascii="Arial" w:hAnsi="Arial" w:eastAsia="宋体" w:cs="Arial"/>
                <w:bCs/>
                <w:kern w:val="0"/>
                <w:sz w:val="21"/>
                <w:szCs w:val="21"/>
              </w:rPr>
            </w:pPr>
          </w:p>
        </w:tc>
        <w:tc>
          <w:tcPr>
            <w:tcW w:w="962" w:type="dxa"/>
            <w:vAlign w:val="center"/>
          </w:tcPr>
          <w:p>
            <w:pPr>
              <w:widowControl/>
              <w:adjustRightInd w:val="0"/>
              <w:snapToGrid w:val="0"/>
              <w:jc w:val="center"/>
              <w:rPr>
                <w:rFonts w:ascii="Arial" w:hAnsi="Arial" w:eastAsia="宋体" w:cs="Arial"/>
                <w:bCs/>
                <w:kern w:val="0"/>
                <w:sz w:val="21"/>
                <w:szCs w:val="21"/>
              </w:rPr>
            </w:pPr>
          </w:p>
        </w:tc>
        <w:tc>
          <w:tcPr>
            <w:tcW w:w="739" w:type="dxa"/>
            <w:vAlign w:val="center"/>
          </w:tcPr>
          <w:p>
            <w:pPr>
              <w:adjustRightInd w:val="0"/>
              <w:snapToGrid w:val="0"/>
              <w:jc w:val="center"/>
              <w:rPr>
                <w:rFonts w:ascii="Arial" w:hAnsi="Arial" w:cs="Arial"/>
                <w:sz w:val="21"/>
              </w:rPr>
            </w:pPr>
          </w:p>
        </w:tc>
        <w:tc>
          <w:tcPr>
            <w:tcW w:w="872" w:type="dxa"/>
            <w:vAlign w:val="center"/>
          </w:tcPr>
          <w:p>
            <w:pPr>
              <w:adjustRightInd w:val="0"/>
              <w:snapToGrid w:val="0"/>
              <w:jc w:val="center"/>
              <w:rPr>
                <w:rFonts w:ascii="Arial" w:hAnsi="Arial" w:cs="Arial"/>
                <w:sz w:val="21"/>
              </w:rPr>
            </w:pPr>
          </w:p>
        </w:tc>
        <w:tc>
          <w:tcPr>
            <w:tcW w:w="1536" w:type="dxa"/>
            <w:vAlign w:val="center"/>
          </w:tcPr>
          <w:p>
            <w:pPr>
              <w:widowControl/>
              <w:adjustRightInd w:val="0"/>
              <w:snapToGrid w:val="0"/>
              <w:jc w:val="center"/>
              <w:rPr>
                <w:rFonts w:ascii="Arial" w:hAnsi="Arial" w:eastAsia="宋体" w:cs="Arial"/>
                <w:bCs/>
                <w:kern w:val="0"/>
                <w:sz w:val="21"/>
                <w:szCs w:val="21"/>
              </w:rPr>
            </w:pPr>
          </w:p>
        </w:tc>
        <w:tc>
          <w:tcPr>
            <w:tcW w:w="1984" w:type="dxa"/>
            <w:vAlign w:val="center"/>
          </w:tcPr>
          <w:p>
            <w:pPr>
              <w:adjustRightInd w:val="0"/>
              <w:snapToGrid w:val="0"/>
              <w:jc w:val="center"/>
              <w:rPr>
                <w:rFonts w:ascii="Arial" w:hAnsi="Arial" w:eastAsia="宋体" w:cs="Arial"/>
                <w:bCs/>
                <w:kern w:val="0"/>
                <w:sz w:val="21"/>
                <w:szCs w:val="21"/>
              </w:rPr>
            </w:pPr>
          </w:p>
        </w:tc>
        <w:tc>
          <w:tcPr>
            <w:tcW w:w="1133" w:type="dxa"/>
            <w:vAlign w:val="center"/>
          </w:tcPr>
          <w:p>
            <w:pPr>
              <w:adjustRightInd w:val="0"/>
              <w:snapToGrid w:val="0"/>
              <w:jc w:val="center"/>
              <w:rPr>
                <w:rFonts w:ascii="Arial" w:hAnsi="Arial" w:eastAsia="宋体" w:cs="Arial"/>
                <w:bCs/>
                <w:sz w:val="21"/>
                <w:szCs w:val="21"/>
              </w:rPr>
            </w:pPr>
          </w:p>
        </w:tc>
        <w:tc>
          <w:tcPr>
            <w:tcW w:w="949" w:type="dxa"/>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2、采样频率及时间</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氨小时浓度采样时间1小时，每天监测4次，监测时间为当天02:00、08:00、14:00、20:00时</w:t>
      </w:r>
      <w:r>
        <w:rPr>
          <w:rFonts w:hint="eastAsia" w:ascii="Arial" w:hAnsi="Arial" w:eastAsia="宋体" w:cs="Arial"/>
          <w:spacing w:val="10"/>
          <w:sz w:val="24"/>
        </w:rPr>
        <w:t>，TSP日均值采样时间24h，</w:t>
      </w:r>
      <w:r>
        <w:rPr>
          <w:rFonts w:ascii="Arial" w:hAnsi="Arial" w:eastAsia="宋体" w:cs="Arial"/>
          <w:spacing w:val="10"/>
          <w:sz w:val="24"/>
        </w:rPr>
        <w:t>采样7天。同时观测气温、气压、湿度、风向、风速等气象要素。</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3、评价标准</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评价标准包括《环境影响评价技术导则-大气环境》（HJ2.2-2018）附录D</w:t>
      </w:r>
      <w:r>
        <w:rPr>
          <w:rFonts w:hint="eastAsia" w:ascii="Arial" w:hAnsi="Arial" w:eastAsia="宋体" w:cs="Arial"/>
          <w:spacing w:val="10"/>
          <w:sz w:val="24"/>
        </w:rPr>
        <w:t>、《环境空气质量标准》（GB3095-2012）及其修改单的二级标准</w:t>
      </w:r>
      <w:r>
        <w:rPr>
          <w:rFonts w:ascii="Arial" w:hAnsi="Arial" w:eastAsia="宋体" w:cs="Arial"/>
          <w:spacing w:val="10"/>
          <w:sz w:val="24"/>
        </w:rPr>
        <w:t>。</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4、监测结果</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其他污染物环境质量现状（监测结果）表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7"/>
        <w:gridCol w:w="710"/>
        <w:gridCol w:w="707"/>
        <w:gridCol w:w="869"/>
        <w:gridCol w:w="1038"/>
        <w:gridCol w:w="1095"/>
        <w:gridCol w:w="1559"/>
        <w:gridCol w:w="942"/>
        <w:gridCol w:w="826"/>
        <w:gridCol w:w="730"/>
      </w:tblGrid>
      <w:tr>
        <w:tblPrEx>
          <w:tblLayout w:type="fixed"/>
          <w:tblCellMar>
            <w:top w:w="0" w:type="dxa"/>
            <w:left w:w="108" w:type="dxa"/>
            <w:bottom w:w="0" w:type="dxa"/>
            <w:right w:w="108" w:type="dxa"/>
          </w:tblCellMar>
        </w:tblPrEx>
        <w:trPr>
          <w:cantSplit/>
          <w:trHeight w:val="340" w:hRule="atLeast"/>
          <w:jc w:val="center"/>
        </w:trPr>
        <w:tc>
          <w:tcPr>
            <w:tcW w:w="517" w:type="dxa"/>
            <w:vMerge w:val="restart"/>
            <w:vAlign w:val="center"/>
          </w:tcPr>
          <w:p>
            <w:pPr>
              <w:widowControl/>
              <w:adjustRightInd w:val="0"/>
              <w:snapToGrid w:val="0"/>
              <w:jc w:val="center"/>
              <w:rPr>
                <w:rFonts w:ascii="Arial" w:hAnsi="Arial" w:eastAsia="宋体" w:cs="Arial"/>
                <w:bCs/>
                <w:kern w:val="0"/>
                <w:sz w:val="21"/>
                <w:szCs w:val="21"/>
              </w:rPr>
            </w:pPr>
          </w:p>
        </w:tc>
        <w:tc>
          <w:tcPr>
            <w:tcW w:w="1417" w:type="dxa"/>
            <w:gridSpan w:val="2"/>
            <w:vAlign w:val="center"/>
          </w:tcPr>
          <w:p>
            <w:pPr>
              <w:widowControl/>
              <w:adjustRightInd w:val="0"/>
              <w:snapToGrid w:val="0"/>
              <w:jc w:val="center"/>
              <w:rPr>
                <w:rFonts w:ascii="Arial" w:hAnsi="Arial" w:eastAsia="宋体" w:cs="Arial"/>
                <w:bCs/>
                <w:kern w:val="0"/>
                <w:sz w:val="21"/>
                <w:szCs w:val="21"/>
              </w:rPr>
            </w:pPr>
          </w:p>
        </w:tc>
        <w:tc>
          <w:tcPr>
            <w:tcW w:w="869" w:type="dxa"/>
            <w:vMerge w:val="restart"/>
            <w:vAlign w:val="center"/>
          </w:tcPr>
          <w:p>
            <w:pPr>
              <w:widowControl/>
              <w:adjustRightInd w:val="0"/>
              <w:snapToGrid w:val="0"/>
              <w:jc w:val="center"/>
              <w:rPr>
                <w:rFonts w:ascii="Arial" w:hAnsi="Arial" w:eastAsia="宋体" w:cs="Arial"/>
                <w:bCs/>
                <w:kern w:val="0"/>
                <w:sz w:val="21"/>
                <w:szCs w:val="21"/>
              </w:rPr>
            </w:pPr>
          </w:p>
        </w:tc>
        <w:tc>
          <w:tcPr>
            <w:tcW w:w="1038" w:type="dxa"/>
            <w:vMerge w:val="restart"/>
            <w:vAlign w:val="center"/>
          </w:tcPr>
          <w:p>
            <w:pPr>
              <w:widowControl/>
              <w:adjustRightInd w:val="0"/>
              <w:snapToGrid w:val="0"/>
              <w:jc w:val="center"/>
              <w:rPr>
                <w:rFonts w:ascii="Arial" w:hAnsi="Arial" w:eastAsia="宋体" w:cs="Arial"/>
                <w:bCs/>
                <w:kern w:val="0"/>
                <w:sz w:val="21"/>
                <w:szCs w:val="21"/>
              </w:rPr>
            </w:pPr>
          </w:p>
        </w:tc>
        <w:tc>
          <w:tcPr>
            <w:tcW w:w="1095" w:type="dxa"/>
            <w:vMerge w:val="restart"/>
            <w:vAlign w:val="center"/>
          </w:tcPr>
          <w:p>
            <w:pPr>
              <w:widowControl/>
              <w:adjustRightInd w:val="0"/>
              <w:snapToGrid w:val="0"/>
              <w:jc w:val="center"/>
              <w:rPr>
                <w:rFonts w:ascii="Arial" w:hAnsi="Arial" w:eastAsia="宋体" w:cs="Arial"/>
                <w:bCs/>
                <w:kern w:val="0"/>
                <w:sz w:val="21"/>
                <w:szCs w:val="21"/>
              </w:rPr>
            </w:pPr>
          </w:p>
        </w:tc>
        <w:tc>
          <w:tcPr>
            <w:tcW w:w="1559" w:type="dxa"/>
            <w:vMerge w:val="restart"/>
            <w:vAlign w:val="center"/>
          </w:tcPr>
          <w:p>
            <w:pPr>
              <w:widowControl/>
              <w:adjustRightInd w:val="0"/>
              <w:snapToGrid w:val="0"/>
              <w:jc w:val="center"/>
              <w:rPr>
                <w:rFonts w:ascii="Arial" w:hAnsi="Arial" w:eastAsia="宋体" w:cs="Arial"/>
                <w:bCs/>
                <w:kern w:val="0"/>
                <w:sz w:val="21"/>
                <w:szCs w:val="21"/>
              </w:rPr>
            </w:pPr>
          </w:p>
        </w:tc>
        <w:tc>
          <w:tcPr>
            <w:tcW w:w="942" w:type="dxa"/>
            <w:vMerge w:val="restart"/>
            <w:vAlign w:val="center"/>
          </w:tcPr>
          <w:p>
            <w:pPr>
              <w:widowControl/>
              <w:adjustRightInd w:val="0"/>
              <w:snapToGrid w:val="0"/>
              <w:jc w:val="center"/>
              <w:rPr>
                <w:rFonts w:ascii="Arial" w:hAnsi="Arial" w:eastAsia="宋体" w:cs="Arial"/>
                <w:bCs/>
                <w:sz w:val="21"/>
                <w:szCs w:val="21"/>
              </w:rPr>
            </w:pPr>
          </w:p>
        </w:tc>
        <w:tc>
          <w:tcPr>
            <w:tcW w:w="826" w:type="dxa"/>
            <w:vMerge w:val="restart"/>
            <w:vAlign w:val="center"/>
          </w:tcPr>
          <w:p>
            <w:pPr>
              <w:widowControl/>
              <w:adjustRightInd w:val="0"/>
              <w:snapToGrid w:val="0"/>
              <w:jc w:val="center"/>
              <w:rPr>
                <w:rFonts w:ascii="Arial" w:hAnsi="Arial" w:eastAsia="宋体" w:cs="Arial"/>
                <w:bCs/>
                <w:sz w:val="21"/>
                <w:szCs w:val="21"/>
              </w:rPr>
            </w:pPr>
          </w:p>
        </w:tc>
        <w:tc>
          <w:tcPr>
            <w:tcW w:w="730" w:type="dxa"/>
            <w:vMerge w:val="restart"/>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517" w:type="dxa"/>
            <w:vMerge w:val="continue"/>
            <w:vAlign w:val="center"/>
          </w:tcPr>
          <w:p>
            <w:pPr>
              <w:widowControl/>
              <w:adjustRightInd w:val="0"/>
              <w:snapToGrid w:val="0"/>
              <w:jc w:val="center"/>
              <w:rPr>
                <w:rFonts w:ascii="Arial" w:hAnsi="Arial" w:eastAsia="宋体" w:cs="Arial"/>
                <w:bCs/>
                <w:kern w:val="0"/>
                <w:sz w:val="21"/>
                <w:szCs w:val="21"/>
              </w:rPr>
            </w:pPr>
          </w:p>
        </w:tc>
        <w:tc>
          <w:tcPr>
            <w:tcW w:w="710" w:type="dxa"/>
            <w:vAlign w:val="center"/>
          </w:tcPr>
          <w:p>
            <w:pPr>
              <w:adjustRightInd w:val="0"/>
              <w:snapToGrid w:val="0"/>
              <w:jc w:val="center"/>
              <w:rPr>
                <w:rFonts w:ascii="Arial" w:hAnsi="Arial" w:eastAsia="宋体" w:cs="Arial"/>
                <w:bCs/>
                <w:kern w:val="0"/>
                <w:sz w:val="21"/>
                <w:szCs w:val="21"/>
              </w:rPr>
            </w:pPr>
          </w:p>
        </w:tc>
        <w:tc>
          <w:tcPr>
            <w:tcW w:w="707" w:type="dxa"/>
            <w:vAlign w:val="center"/>
          </w:tcPr>
          <w:p>
            <w:pPr>
              <w:adjustRightInd w:val="0"/>
              <w:snapToGrid w:val="0"/>
              <w:jc w:val="center"/>
              <w:rPr>
                <w:rFonts w:ascii="Arial" w:hAnsi="Arial" w:eastAsia="宋体" w:cs="Arial"/>
                <w:bCs/>
                <w:kern w:val="0"/>
                <w:sz w:val="21"/>
                <w:szCs w:val="21"/>
              </w:rPr>
            </w:pPr>
          </w:p>
        </w:tc>
        <w:tc>
          <w:tcPr>
            <w:tcW w:w="869" w:type="dxa"/>
            <w:vMerge w:val="continue"/>
            <w:vAlign w:val="center"/>
          </w:tcPr>
          <w:p>
            <w:pPr>
              <w:widowControl/>
              <w:adjustRightInd w:val="0"/>
              <w:snapToGrid w:val="0"/>
              <w:jc w:val="center"/>
              <w:rPr>
                <w:rFonts w:ascii="Arial" w:hAnsi="Arial" w:eastAsia="宋体" w:cs="Arial"/>
                <w:bCs/>
                <w:kern w:val="0"/>
                <w:sz w:val="21"/>
                <w:szCs w:val="21"/>
              </w:rPr>
            </w:pPr>
          </w:p>
        </w:tc>
        <w:tc>
          <w:tcPr>
            <w:tcW w:w="1038" w:type="dxa"/>
            <w:vMerge w:val="continue"/>
            <w:vAlign w:val="center"/>
          </w:tcPr>
          <w:p>
            <w:pPr>
              <w:widowControl/>
              <w:adjustRightInd w:val="0"/>
              <w:snapToGrid w:val="0"/>
              <w:jc w:val="center"/>
              <w:rPr>
                <w:rFonts w:ascii="Arial" w:hAnsi="Arial" w:eastAsia="宋体" w:cs="Arial"/>
                <w:bCs/>
                <w:kern w:val="0"/>
                <w:sz w:val="21"/>
                <w:szCs w:val="21"/>
              </w:rPr>
            </w:pPr>
          </w:p>
        </w:tc>
        <w:tc>
          <w:tcPr>
            <w:tcW w:w="1095" w:type="dxa"/>
            <w:vMerge w:val="continue"/>
            <w:vAlign w:val="center"/>
          </w:tcPr>
          <w:p>
            <w:pPr>
              <w:widowControl/>
              <w:adjustRightInd w:val="0"/>
              <w:snapToGrid w:val="0"/>
              <w:jc w:val="center"/>
              <w:rPr>
                <w:rFonts w:ascii="Arial" w:hAnsi="Arial" w:eastAsia="宋体" w:cs="Arial"/>
                <w:bCs/>
                <w:kern w:val="0"/>
                <w:sz w:val="21"/>
                <w:szCs w:val="21"/>
              </w:rPr>
            </w:pPr>
          </w:p>
        </w:tc>
        <w:tc>
          <w:tcPr>
            <w:tcW w:w="1559" w:type="dxa"/>
            <w:vMerge w:val="continue"/>
            <w:vAlign w:val="center"/>
          </w:tcPr>
          <w:p>
            <w:pPr>
              <w:widowControl/>
              <w:adjustRightInd w:val="0"/>
              <w:snapToGrid w:val="0"/>
              <w:jc w:val="center"/>
              <w:rPr>
                <w:rFonts w:ascii="Arial" w:hAnsi="Arial" w:eastAsia="宋体" w:cs="Arial"/>
                <w:bCs/>
                <w:kern w:val="0"/>
                <w:sz w:val="21"/>
                <w:szCs w:val="21"/>
              </w:rPr>
            </w:pPr>
          </w:p>
        </w:tc>
        <w:tc>
          <w:tcPr>
            <w:tcW w:w="942" w:type="dxa"/>
            <w:vMerge w:val="continue"/>
            <w:vAlign w:val="center"/>
          </w:tcPr>
          <w:p>
            <w:pPr>
              <w:widowControl/>
              <w:adjustRightInd w:val="0"/>
              <w:snapToGrid w:val="0"/>
              <w:jc w:val="center"/>
              <w:rPr>
                <w:rFonts w:ascii="Arial" w:hAnsi="Arial" w:eastAsia="宋体" w:cs="Arial"/>
                <w:bCs/>
                <w:sz w:val="21"/>
                <w:szCs w:val="21"/>
              </w:rPr>
            </w:pPr>
          </w:p>
        </w:tc>
        <w:tc>
          <w:tcPr>
            <w:tcW w:w="826" w:type="dxa"/>
            <w:vMerge w:val="continue"/>
            <w:vAlign w:val="center"/>
          </w:tcPr>
          <w:p>
            <w:pPr>
              <w:widowControl/>
              <w:adjustRightInd w:val="0"/>
              <w:snapToGrid w:val="0"/>
              <w:jc w:val="center"/>
              <w:rPr>
                <w:rFonts w:ascii="Arial" w:hAnsi="Arial" w:eastAsia="宋体" w:cs="Arial"/>
                <w:bCs/>
                <w:sz w:val="21"/>
                <w:szCs w:val="21"/>
              </w:rPr>
            </w:pPr>
          </w:p>
        </w:tc>
        <w:tc>
          <w:tcPr>
            <w:tcW w:w="730" w:type="dxa"/>
            <w:vMerge w:val="continue"/>
            <w:vAlign w:val="center"/>
          </w:tcPr>
          <w:p>
            <w:pPr>
              <w:widowControl/>
              <w:adjustRightInd w:val="0"/>
              <w:snapToGrid w:val="0"/>
              <w:jc w:val="center"/>
              <w:rPr>
                <w:rFonts w:ascii="Arial" w:hAnsi="Arial" w:eastAsia="宋体" w:cs="Arial"/>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517" w:type="dxa"/>
            <w:vAlign w:val="center"/>
          </w:tcPr>
          <w:p>
            <w:pPr>
              <w:widowControl/>
              <w:adjustRightInd w:val="0"/>
              <w:snapToGrid w:val="0"/>
              <w:jc w:val="center"/>
              <w:rPr>
                <w:rFonts w:ascii="Arial" w:hAnsi="Arial" w:eastAsia="宋体" w:cs="Arial"/>
                <w:bCs/>
                <w:kern w:val="0"/>
                <w:sz w:val="21"/>
                <w:szCs w:val="21"/>
                <w:u w:val="single"/>
              </w:rPr>
            </w:pPr>
          </w:p>
        </w:tc>
        <w:tc>
          <w:tcPr>
            <w:tcW w:w="710" w:type="dxa"/>
            <w:vAlign w:val="center"/>
          </w:tcPr>
          <w:p>
            <w:pPr>
              <w:adjustRightInd w:val="0"/>
              <w:snapToGrid w:val="0"/>
              <w:jc w:val="center"/>
              <w:rPr>
                <w:rFonts w:ascii="Arial" w:hAnsi="Arial" w:eastAsia="等线" w:cs="Arial"/>
                <w:sz w:val="21"/>
                <w:szCs w:val="21"/>
                <w:u w:val="single"/>
              </w:rPr>
            </w:pPr>
          </w:p>
        </w:tc>
        <w:tc>
          <w:tcPr>
            <w:tcW w:w="707" w:type="dxa"/>
            <w:vAlign w:val="center"/>
          </w:tcPr>
          <w:p>
            <w:pPr>
              <w:adjustRightInd w:val="0"/>
              <w:snapToGrid w:val="0"/>
              <w:jc w:val="center"/>
              <w:rPr>
                <w:rFonts w:ascii="Arial" w:hAnsi="Arial" w:eastAsia="等线" w:cs="Arial"/>
                <w:sz w:val="21"/>
                <w:szCs w:val="21"/>
                <w:u w:val="single"/>
              </w:rPr>
            </w:pPr>
          </w:p>
        </w:tc>
        <w:tc>
          <w:tcPr>
            <w:tcW w:w="86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u w:val="single"/>
              </w:rPr>
            </w:pPr>
          </w:p>
        </w:tc>
        <w:tc>
          <w:tcPr>
            <w:tcW w:w="103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bCs/>
                <w:kern w:val="0"/>
                <w:sz w:val="21"/>
                <w:szCs w:val="21"/>
                <w:u w:val="single"/>
              </w:rPr>
            </w:pPr>
          </w:p>
        </w:tc>
        <w:tc>
          <w:tcPr>
            <w:tcW w:w="109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u w:val="single"/>
              </w:rPr>
            </w:pPr>
          </w:p>
        </w:tc>
        <w:tc>
          <w:tcPr>
            <w:tcW w:w="155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u w:val="single"/>
              </w:rPr>
            </w:pPr>
          </w:p>
        </w:tc>
        <w:tc>
          <w:tcPr>
            <w:tcW w:w="9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u w:val="single"/>
              </w:rPr>
            </w:pPr>
          </w:p>
        </w:tc>
        <w:tc>
          <w:tcPr>
            <w:tcW w:w="82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bCs/>
                <w:sz w:val="21"/>
                <w:szCs w:val="21"/>
                <w:u w:val="single"/>
              </w:rPr>
            </w:pPr>
          </w:p>
        </w:tc>
        <w:tc>
          <w:tcPr>
            <w:tcW w:w="730"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517" w:type="dxa"/>
            <w:vAlign w:val="center"/>
          </w:tcPr>
          <w:p>
            <w:pPr>
              <w:widowControl/>
              <w:adjustRightInd w:val="0"/>
              <w:snapToGrid w:val="0"/>
              <w:jc w:val="center"/>
              <w:rPr>
                <w:rFonts w:ascii="Arial" w:hAnsi="Arial" w:eastAsia="宋体" w:cs="Arial"/>
                <w:bCs/>
                <w:kern w:val="0"/>
                <w:sz w:val="21"/>
                <w:szCs w:val="21"/>
              </w:rPr>
            </w:pPr>
          </w:p>
        </w:tc>
        <w:tc>
          <w:tcPr>
            <w:tcW w:w="710" w:type="dxa"/>
            <w:vAlign w:val="center"/>
          </w:tcPr>
          <w:p>
            <w:pPr>
              <w:adjustRightInd w:val="0"/>
              <w:snapToGrid w:val="0"/>
              <w:jc w:val="center"/>
              <w:rPr>
                <w:rFonts w:ascii="Arial" w:hAnsi="Arial" w:eastAsia="宋体" w:cs="Arial"/>
                <w:bCs/>
                <w:kern w:val="0"/>
                <w:sz w:val="21"/>
                <w:szCs w:val="21"/>
              </w:rPr>
            </w:pPr>
          </w:p>
        </w:tc>
        <w:tc>
          <w:tcPr>
            <w:tcW w:w="707" w:type="dxa"/>
            <w:vAlign w:val="center"/>
          </w:tcPr>
          <w:p>
            <w:pPr>
              <w:adjustRightInd w:val="0"/>
              <w:snapToGrid w:val="0"/>
              <w:jc w:val="center"/>
              <w:rPr>
                <w:rFonts w:ascii="Arial" w:hAnsi="Arial" w:eastAsia="宋体" w:cs="Arial"/>
                <w:bCs/>
                <w:kern w:val="0"/>
                <w:sz w:val="21"/>
                <w:szCs w:val="21"/>
              </w:rPr>
            </w:pPr>
          </w:p>
        </w:tc>
        <w:tc>
          <w:tcPr>
            <w:tcW w:w="86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rPr>
            </w:pPr>
          </w:p>
        </w:tc>
        <w:tc>
          <w:tcPr>
            <w:tcW w:w="103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exact"/>
              <w:jc w:val="center"/>
              <w:rPr>
                <w:rFonts w:ascii="Arial" w:hAnsi="Arial" w:eastAsia="宋体" w:cs="Arial"/>
                <w:bCs/>
                <w:kern w:val="0"/>
                <w:sz w:val="21"/>
                <w:szCs w:val="21"/>
              </w:rPr>
            </w:pPr>
          </w:p>
        </w:tc>
        <w:tc>
          <w:tcPr>
            <w:tcW w:w="109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rPr>
            </w:pPr>
          </w:p>
        </w:tc>
        <w:tc>
          <w:tcPr>
            <w:tcW w:w="155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rPr>
            </w:pPr>
          </w:p>
        </w:tc>
        <w:tc>
          <w:tcPr>
            <w:tcW w:w="9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rPr>
            </w:pPr>
          </w:p>
        </w:tc>
        <w:tc>
          <w:tcPr>
            <w:tcW w:w="82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Arial" w:hAnsi="Arial" w:eastAsia="宋体" w:cs="Arial"/>
                <w:bCs/>
                <w:sz w:val="21"/>
                <w:szCs w:val="21"/>
              </w:rPr>
            </w:pPr>
          </w:p>
        </w:tc>
        <w:tc>
          <w:tcPr>
            <w:tcW w:w="730"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bCs/>
                <w:kern w:val="0"/>
                <w:sz w:val="21"/>
                <w:szCs w:val="21"/>
              </w:rPr>
            </w:pP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根据表3-</w:t>
      </w:r>
      <w:r>
        <w:rPr>
          <w:rFonts w:hint="eastAsia" w:ascii="Arial" w:hAnsi="Arial" w:eastAsia="宋体" w:cs="Arial"/>
          <w:spacing w:val="10"/>
          <w:sz w:val="24"/>
          <w:szCs w:val="24"/>
        </w:rPr>
        <w:t>7</w:t>
      </w:r>
      <w:r>
        <w:rPr>
          <w:rFonts w:ascii="Arial" w:hAnsi="Arial" w:eastAsia="宋体" w:cs="Arial"/>
          <w:spacing w:val="10"/>
          <w:sz w:val="24"/>
          <w:szCs w:val="24"/>
        </w:rPr>
        <w:t>，</w:t>
      </w:r>
      <w:r>
        <w:rPr>
          <w:rFonts w:ascii="Arial" w:hAnsi="Arial" w:eastAsia="宋体" w:cs="Arial"/>
          <w:spacing w:val="10"/>
          <w:sz w:val="24"/>
        </w:rPr>
        <w:t>补充监测的</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评价结论</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本次评价选取2022年作为评价基准年。根据桂环函〔2023〕13号，钦州市为达标区，各项基本污染物均能达到《环境空气质量标准》（GB3095-2012）中的二级标准要求。</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根据补充监测因子的监测结果，</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pPr>
        <w:numPr>
          <w:ilvl w:val="2"/>
          <w:numId w:val="17"/>
        </w:numPr>
        <w:spacing w:line="500" w:lineRule="exact"/>
        <w:ind w:left="564" w:leftChars="213" w:firstLine="0"/>
        <w:outlineLvl w:val="2"/>
        <w:rPr>
          <w:rFonts w:ascii="Arial" w:hAnsi="Arial" w:eastAsia="宋体" w:cs="Arial"/>
          <w:b/>
          <w:spacing w:val="10"/>
          <w:sz w:val="24"/>
        </w:rPr>
      </w:pPr>
      <w:r>
        <w:rPr>
          <w:rFonts w:hint="eastAsia" w:ascii="Arial" w:hAnsi="Arial" w:eastAsia="宋体" w:cs="Arial"/>
          <w:b/>
          <w:spacing w:val="10"/>
          <w:sz w:val="24"/>
        </w:rPr>
        <w:t>地表水环境现状调查</w:t>
      </w:r>
      <w:r>
        <w:rPr>
          <w:rFonts w:ascii="Arial" w:hAnsi="Arial" w:eastAsia="宋体" w:cs="Arial"/>
          <w:b/>
          <w:spacing w:val="10"/>
          <w:sz w:val="24"/>
        </w:rPr>
        <w:t>与评价</w:t>
      </w:r>
    </w:p>
    <w:p>
      <w:pPr>
        <w:spacing w:line="500" w:lineRule="exact"/>
        <w:ind w:firstLine="490" w:firstLineChars="200"/>
        <w:rPr>
          <w:rFonts w:ascii="Arial" w:hAnsi="Arial" w:eastAsia="宋体" w:cs="Arial"/>
          <w:b/>
          <w:spacing w:val="10"/>
          <w:sz w:val="24"/>
        </w:rPr>
      </w:pPr>
      <w:r>
        <w:rPr>
          <w:rFonts w:hint="eastAsia" w:ascii="Arial" w:hAnsi="Arial" w:eastAsia="宋体" w:cs="Arial"/>
          <w:spacing w:val="10"/>
          <w:sz w:val="24"/>
        </w:rPr>
        <w:t>项目地表水环境影响评价工作等级为三级A，本报告引用《钦州港大榄坪物流加工区总体规划修编（2022-2035）环境影响报告书》中的排污区A2区域H2（E108.65126°，N21.63548°）的海水监测结果进行评价。</w:t>
      </w:r>
    </w:p>
    <w:p>
      <w:pPr>
        <w:keepNext/>
        <w:keepLines/>
        <w:numPr>
          <w:ilvl w:val="0"/>
          <w:numId w:val="16"/>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水环境质量</w:t>
      </w:r>
      <w:r>
        <w:rPr>
          <w:rFonts w:ascii="Arial" w:hAnsi="Arial" w:eastAsia="宋体" w:cs="Arial"/>
          <w:b/>
          <w:sz w:val="24"/>
          <w:szCs w:val="24"/>
        </w:rPr>
        <w:t>引用数据</w:t>
      </w:r>
      <w:r>
        <w:rPr>
          <w:rFonts w:hint="eastAsia" w:ascii="Arial" w:hAnsi="Arial" w:eastAsia="宋体" w:cs="Arial"/>
          <w:b/>
          <w:sz w:val="24"/>
          <w:szCs w:val="24"/>
        </w:rPr>
        <w:t>详情</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3261"/>
        <w:gridCol w:w="1844"/>
        <w:gridCol w:w="1417"/>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43" w:type="dxa"/>
            <w:vAlign w:val="center"/>
          </w:tcPr>
          <w:p>
            <w:pPr>
              <w:widowControl/>
              <w:adjustRightInd w:val="0"/>
              <w:snapToGrid w:val="0"/>
              <w:jc w:val="center"/>
              <w:rPr>
                <w:rFonts w:ascii="Arial" w:hAnsi="Arial" w:eastAsia="宋体" w:cs="Arial"/>
                <w:bCs/>
                <w:kern w:val="0"/>
                <w:sz w:val="21"/>
                <w:szCs w:val="21"/>
              </w:rPr>
            </w:pPr>
          </w:p>
        </w:tc>
        <w:tc>
          <w:tcPr>
            <w:tcW w:w="3261" w:type="dxa"/>
            <w:vAlign w:val="center"/>
          </w:tcPr>
          <w:p>
            <w:pPr>
              <w:widowControl/>
              <w:adjustRightInd w:val="0"/>
              <w:snapToGrid w:val="0"/>
              <w:jc w:val="center"/>
              <w:rPr>
                <w:rFonts w:ascii="Arial" w:hAnsi="Arial" w:eastAsia="宋体" w:cs="Arial"/>
                <w:bCs/>
                <w:kern w:val="0"/>
                <w:sz w:val="21"/>
                <w:szCs w:val="21"/>
              </w:rPr>
            </w:pPr>
          </w:p>
        </w:tc>
        <w:tc>
          <w:tcPr>
            <w:tcW w:w="1844" w:type="dxa"/>
            <w:vAlign w:val="center"/>
          </w:tcPr>
          <w:p>
            <w:pPr>
              <w:widowControl/>
              <w:adjustRightInd w:val="0"/>
              <w:snapToGrid w:val="0"/>
              <w:jc w:val="center"/>
              <w:rPr>
                <w:rFonts w:ascii="Arial" w:hAnsi="Arial" w:eastAsia="宋体" w:cs="Arial"/>
                <w:bCs/>
                <w:kern w:val="0"/>
                <w:sz w:val="21"/>
                <w:szCs w:val="21"/>
              </w:rPr>
            </w:pPr>
          </w:p>
        </w:tc>
        <w:tc>
          <w:tcPr>
            <w:tcW w:w="1417" w:type="dxa"/>
            <w:vAlign w:val="center"/>
          </w:tcPr>
          <w:p>
            <w:pPr>
              <w:widowControl/>
              <w:adjustRightInd w:val="0"/>
              <w:snapToGrid w:val="0"/>
              <w:jc w:val="center"/>
              <w:rPr>
                <w:rFonts w:ascii="Arial" w:hAnsi="Arial" w:eastAsia="宋体" w:cs="Arial"/>
                <w:bCs/>
                <w:kern w:val="0"/>
                <w:sz w:val="21"/>
                <w:szCs w:val="21"/>
              </w:rPr>
            </w:pPr>
          </w:p>
        </w:tc>
        <w:tc>
          <w:tcPr>
            <w:tcW w:w="1228" w:type="dxa"/>
            <w:vAlign w:val="center"/>
          </w:tcPr>
          <w:p>
            <w:pPr>
              <w:widowControl/>
              <w:adjustRightInd w:val="0"/>
              <w:snapToGrid w:val="0"/>
              <w:jc w:val="center"/>
              <w:rPr>
                <w:rFonts w:ascii="Arial" w:hAnsi="Arial" w:eastAsia="宋体" w:cs="Arial"/>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43" w:type="dxa"/>
            <w:vAlign w:val="center"/>
          </w:tcPr>
          <w:p>
            <w:pPr>
              <w:widowControl/>
              <w:adjustRightInd w:val="0"/>
              <w:snapToGrid w:val="0"/>
              <w:jc w:val="center"/>
              <w:rPr>
                <w:rFonts w:ascii="Arial" w:hAnsi="Arial" w:eastAsia="宋体" w:cs="Arial"/>
                <w:bCs/>
                <w:kern w:val="0"/>
                <w:sz w:val="21"/>
                <w:szCs w:val="21"/>
              </w:rPr>
            </w:pPr>
          </w:p>
        </w:tc>
        <w:tc>
          <w:tcPr>
            <w:tcW w:w="3261" w:type="dxa"/>
            <w:vAlign w:val="center"/>
          </w:tcPr>
          <w:p>
            <w:pPr>
              <w:widowControl/>
              <w:adjustRightInd w:val="0"/>
              <w:snapToGrid w:val="0"/>
              <w:jc w:val="center"/>
              <w:rPr>
                <w:rFonts w:ascii="Arial" w:hAnsi="Arial" w:eastAsia="宋体" w:cs="Arial"/>
                <w:bCs/>
                <w:kern w:val="0"/>
                <w:sz w:val="21"/>
                <w:szCs w:val="21"/>
              </w:rPr>
            </w:pPr>
          </w:p>
        </w:tc>
        <w:tc>
          <w:tcPr>
            <w:tcW w:w="1844" w:type="dxa"/>
            <w:vAlign w:val="center"/>
          </w:tcPr>
          <w:p>
            <w:pPr>
              <w:adjustRightInd w:val="0"/>
              <w:snapToGrid w:val="0"/>
              <w:jc w:val="center"/>
              <w:rPr>
                <w:rFonts w:ascii="Arial" w:hAnsi="Arial" w:eastAsia="宋体" w:cs="Arial"/>
                <w:bCs/>
                <w:kern w:val="0"/>
                <w:sz w:val="21"/>
                <w:szCs w:val="21"/>
              </w:rPr>
            </w:pPr>
          </w:p>
        </w:tc>
        <w:tc>
          <w:tcPr>
            <w:tcW w:w="1417" w:type="dxa"/>
            <w:vAlign w:val="center"/>
          </w:tcPr>
          <w:p>
            <w:pPr>
              <w:adjustRightInd w:val="0"/>
              <w:snapToGrid w:val="0"/>
              <w:jc w:val="center"/>
              <w:rPr>
                <w:rFonts w:ascii="Arial" w:hAnsi="Arial" w:eastAsia="宋体" w:cs="Arial"/>
                <w:bCs/>
                <w:kern w:val="0"/>
                <w:sz w:val="21"/>
                <w:szCs w:val="21"/>
              </w:rPr>
            </w:pPr>
          </w:p>
        </w:tc>
        <w:tc>
          <w:tcPr>
            <w:tcW w:w="1228" w:type="dxa"/>
            <w:vAlign w:val="center"/>
          </w:tcPr>
          <w:p>
            <w:pPr>
              <w:adjustRightInd w:val="0"/>
              <w:snapToGrid w:val="0"/>
              <w:jc w:val="center"/>
              <w:rPr>
                <w:rFonts w:ascii="Arial" w:hAnsi="Arial" w:eastAsia="宋体" w:cs="Arial"/>
                <w:bCs/>
                <w:kern w:val="0"/>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海水环境质量监测结果</w:t>
      </w:r>
    </w:p>
    <w:tbl>
      <w:tblPr>
        <w:tblStyle w:val="88"/>
        <w:tblW w:w="8783" w:type="dxa"/>
        <w:tblInd w:w="0" w:type="dxa"/>
        <w:tblLayout w:type="fixed"/>
        <w:tblCellMar>
          <w:top w:w="0" w:type="dxa"/>
          <w:left w:w="0" w:type="dxa"/>
          <w:bottom w:w="0" w:type="dxa"/>
          <w:right w:w="0" w:type="dxa"/>
        </w:tblCellMar>
      </w:tblPr>
      <w:tblGrid>
        <w:gridCol w:w="2883"/>
        <w:gridCol w:w="1725"/>
        <w:gridCol w:w="1723"/>
        <w:gridCol w:w="2452"/>
      </w:tblGrid>
      <w:tr>
        <w:tblPrEx>
          <w:tblLayout w:type="fixed"/>
          <w:tblCellMar>
            <w:top w:w="0" w:type="dxa"/>
            <w:left w:w="0" w:type="dxa"/>
            <w:bottom w:w="0" w:type="dxa"/>
            <w:right w:w="0" w:type="dxa"/>
          </w:tblCellMar>
        </w:tblPrEx>
        <w:trPr>
          <w:trHeight w:val="340" w:hRule="atLeast"/>
        </w:trPr>
        <w:tc>
          <w:tcPr>
            <w:tcW w:w="2883" w:type="dxa"/>
            <w:vMerge w:val="restart"/>
            <w:tcBorders>
              <w:top w:val="single" w:color="000000" w:sz="2" w:space="0"/>
              <w:left w:val="single" w:color="000000" w:sz="2" w:space="0"/>
              <w:right w:val="single" w:color="000000" w:sz="2" w:space="0"/>
            </w:tcBorders>
            <w:vAlign w:val="center"/>
          </w:tcPr>
          <w:p>
            <w:pPr>
              <w:adjustRightInd w:val="0"/>
              <w:snapToGrid w:val="0"/>
              <w:ind w:right="-20"/>
              <w:jc w:val="center"/>
              <w:rPr>
                <w:rFonts w:ascii="Arial" w:hAnsi="Arial" w:eastAsia="宋体" w:cs="Arial"/>
                <w:bCs/>
                <w:kern w:val="0"/>
                <w:sz w:val="21"/>
                <w:szCs w:val="21"/>
              </w:rPr>
            </w:pPr>
          </w:p>
        </w:tc>
        <w:tc>
          <w:tcPr>
            <w:tcW w:w="3448" w:type="dxa"/>
            <w:gridSpan w:val="2"/>
            <w:tcBorders>
              <w:top w:val="single" w:color="000000" w:sz="2" w:space="0"/>
              <w:left w:val="single" w:color="000000" w:sz="2" w:space="0"/>
              <w:bottom w:val="single" w:color="000000" w:sz="2" w:space="0"/>
              <w:right w:val="single" w:color="000000" w:sz="2" w:space="0"/>
            </w:tcBorders>
            <w:vAlign w:val="center"/>
          </w:tcPr>
          <w:p>
            <w:pPr>
              <w:adjustRightInd w:val="0"/>
              <w:snapToGrid w:val="0"/>
              <w:ind w:right="-20"/>
              <w:jc w:val="center"/>
              <w:rPr>
                <w:rFonts w:ascii="Arial" w:hAnsi="Arial" w:eastAsia="宋体" w:cs="Arial"/>
                <w:bCs/>
                <w:kern w:val="0"/>
                <w:sz w:val="21"/>
                <w:szCs w:val="21"/>
              </w:rPr>
            </w:pPr>
          </w:p>
        </w:tc>
        <w:tc>
          <w:tcPr>
            <w:tcW w:w="2452" w:type="dxa"/>
            <w:vMerge w:val="restart"/>
            <w:tcBorders>
              <w:top w:val="single" w:color="000000" w:sz="2" w:space="0"/>
              <w:left w:val="single" w:color="000000" w:sz="2" w:space="0"/>
              <w:right w:val="single" w:color="000000" w:sz="2" w:space="0"/>
            </w:tcBorders>
            <w:vAlign w:val="center"/>
          </w:tcPr>
          <w:p>
            <w:pPr>
              <w:adjustRightInd w:val="0"/>
              <w:snapToGrid w:val="0"/>
              <w:ind w:left="796" w:right="92" w:hanging="629"/>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vMerge w:val="continue"/>
            <w:tcBorders>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334" w:lineRule="exact"/>
              <w:ind w:left="243" w:right="224"/>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334" w:lineRule="exact"/>
              <w:ind w:left="243" w:right="224"/>
              <w:jc w:val="center"/>
              <w:rPr>
                <w:rFonts w:ascii="Arial" w:hAnsi="Arial" w:eastAsia="宋体" w:cs="Arial"/>
                <w:bCs/>
                <w:kern w:val="0"/>
                <w:sz w:val="21"/>
                <w:szCs w:val="21"/>
              </w:rPr>
            </w:pPr>
          </w:p>
        </w:tc>
        <w:tc>
          <w:tcPr>
            <w:tcW w:w="2452" w:type="dxa"/>
            <w:vMerge w:val="continue"/>
            <w:tcBorders>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ind w:left="275" w:right="-2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ind w:left="477" w:right="455"/>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ind w:left="477" w:right="455"/>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ind w:left="104" w:right="-2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vMerge w:val="restart"/>
            <w:tcBorders>
              <w:top w:val="single" w:color="000000" w:sz="2" w:space="0"/>
              <w:left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vMerge w:val="continue"/>
            <w:tcBorders>
              <w:left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vMerge w:val="continue"/>
            <w:tcBorders>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r>
        <w:tblPrEx>
          <w:tblLayout w:type="fixed"/>
          <w:tblCellMar>
            <w:top w:w="0" w:type="dxa"/>
            <w:left w:w="0" w:type="dxa"/>
            <w:bottom w:w="0" w:type="dxa"/>
            <w:right w:w="0" w:type="dxa"/>
          </w:tblCellMar>
        </w:tblPrEx>
        <w:trPr>
          <w:trHeight w:val="340" w:hRule="atLeast"/>
        </w:trPr>
        <w:tc>
          <w:tcPr>
            <w:tcW w:w="288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5"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1723"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c>
          <w:tcPr>
            <w:tcW w:w="2452"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jc w:val="center"/>
              <w:rPr>
                <w:rFonts w:ascii="Arial" w:hAnsi="Arial" w:eastAsia="宋体" w:cs="Arial"/>
                <w:bCs/>
                <w:kern w:val="0"/>
                <w:sz w:val="21"/>
                <w:szCs w:val="21"/>
              </w:rPr>
            </w:pPr>
          </w:p>
        </w:tc>
      </w:tr>
    </w:tbl>
    <w:p>
      <w:pPr>
        <w:spacing w:line="500" w:lineRule="exact"/>
        <w:ind w:firstLine="490" w:firstLineChars="200"/>
        <w:rPr>
          <w:rFonts w:ascii="Arial" w:hAnsi="Arial" w:eastAsia="宋体" w:cs="Arial"/>
          <w:b/>
          <w:spacing w:val="10"/>
          <w:sz w:val="24"/>
        </w:rPr>
      </w:pPr>
      <w:r>
        <w:rPr>
          <w:rFonts w:hint="eastAsia" w:ascii="Arial" w:hAnsi="Arial" w:eastAsia="宋体" w:cs="Arial"/>
          <w:spacing w:val="10"/>
          <w:sz w:val="24"/>
        </w:rPr>
        <w:t>根据表3-9，海水监测点位pH值和无机氮能满足《海水水质标准》（GB3097-1997）三类标准限值要求，BOD</w:t>
      </w:r>
      <w:r>
        <w:rPr>
          <w:rFonts w:hint="eastAsia" w:ascii="Arial" w:hAnsi="Arial" w:eastAsia="宋体" w:cs="Arial"/>
          <w:spacing w:val="10"/>
          <w:sz w:val="24"/>
          <w:vertAlign w:val="subscript"/>
        </w:rPr>
        <w:t>5</w:t>
      </w:r>
      <w:r>
        <w:rPr>
          <w:rFonts w:hint="eastAsia" w:ascii="Arial" w:hAnsi="Arial" w:eastAsia="宋体" w:cs="Arial"/>
          <w:spacing w:val="10"/>
          <w:sz w:val="24"/>
        </w:rPr>
        <w:t>能满足《海水水质标准》（GB3097-1997）二类标准限值要求，其余监测因子可满足《海水水质标准》（GB3097-1997）一类标准限值要求。</w:t>
      </w:r>
    </w:p>
    <w:p>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地下水环境质量现状调查与评价</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3.2.3.1 场地包气带污染现状调查</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引用广西恒沁检测科技有限公司于2022年5月19日对已建污水处理站旁土壤包气带进行采样分析。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1、监测点布设：已建污水处理站旁（108.668375°，21.706434°）；</w:t>
      </w:r>
    </w:p>
    <w:p>
      <w:pPr>
        <w:spacing w:line="500" w:lineRule="exact"/>
        <w:ind w:firstLine="490" w:firstLineChars="200"/>
        <w:rPr>
          <w:rFonts w:ascii="Arial" w:hAnsi="Arial" w:eastAsia="宋体" w:cs="Arial"/>
          <w:bCs/>
          <w:spacing w:val="10"/>
          <w:sz w:val="24"/>
        </w:rPr>
      </w:pPr>
      <w:r>
        <w:rPr>
          <w:rFonts w:ascii="Arial" w:hAnsi="Arial" w:eastAsia="宋体" w:cs="Arial"/>
          <w:spacing w:val="10"/>
          <w:sz w:val="24"/>
        </w:rPr>
        <w:t>2、监测因子：</w:t>
      </w:r>
      <w:r>
        <w:rPr>
          <w:rFonts w:ascii="Arial" w:hAnsi="Arial" w:eastAsia="宋体" w:cs="Arial"/>
          <w:bCs/>
          <w:spacing w:val="10"/>
          <w:sz w:val="24"/>
        </w:rPr>
        <w:t>汞、镍、钴、砷、六价铬、铅、镉、氟化物；</w:t>
      </w:r>
    </w:p>
    <w:p>
      <w:pPr>
        <w:spacing w:line="500" w:lineRule="exact"/>
        <w:ind w:firstLine="490" w:firstLineChars="200"/>
        <w:rPr>
          <w:rFonts w:ascii="Arial" w:hAnsi="Arial" w:eastAsia="宋体" w:cs="Arial"/>
          <w:spacing w:val="10"/>
          <w:sz w:val="24"/>
        </w:rPr>
      </w:pPr>
      <w:r>
        <w:rPr>
          <w:rFonts w:ascii="Arial" w:hAnsi="Arial" w:eastAsia="宋体" w:cs="Arial"/>
          <w:bCs/>
          <w:spacing w:val="10"/>
          <w:sz w:val="24"/>
        </w:rPr>
        <w:t>3、采样深度：0~0.2m；</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4、监测时间：2022年5月19日，监测1天，采样一次；</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5、监测结果：监测结果见表3-</w:t>
      </w:r>
      <w:r>
        <w:rPr>
          <w:rFonts w:hint="eastAsia" w:ascii="Arial" w:hAnsi="Arial" w:eastAsia="宋体" w:cs="Arial"/>
          <w:spacing w:val="10"/>
          <w:sz w:val="24"/>
        </w:rPr>
        <w:t>10</w:t>
      </w:r>
      <w:r>
        <w:rPr>
          <w:rFonts w:ascii="Arial" w:hAnsi="Arial" w:eastAsia="宋体" w:cs="Arial"/>
          <w:spacing w:val="1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厂区包气带污染现状监测结果 单位：mg/L</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6"/>
        <w:gridCol w:w="4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rPr>
            </w:pPr>
          </w:p>
        </w:tc>
        <w:tc>
          <w:tcPr>
            <w:tcW w:w="4497" w:type="dxa"/>
            <w:vAlign w:val="center"/>
          </w:tcPr>
          <w:p>
            <w:pPr>
              <w:adjustRightInd w:val="0"/>
              <w:snapToGrid w:val="0"/>
              <w:jc w:val="center"/>
              <w:rPr>
                <w:rFonts w:ascii="Arial" w:hAnsi="Arial" w:eastAsia="宋体" w:cs="Arial"/>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496" w:type="dxa"/>
            <w:vAlign w:val="center"/>
          </w:tcPr>
          <w:p>
            <w:pPr>
              <w:adjustRightInd w:val="0"/>
              <w:snapToGrid w:val="0"/>
              <w:jc w:val="center"/>
              <w:rPr>
                <w:rFonts w:ascii="Arial" w:hAnsi="Arial" w:eastAsia="宋体" w:cs="Arial"/>
                <w:sz w:val="21"/>
                <w:szCs w:val="21"/>
              </w:rPr>
            </w:pPr>
          </w:p>
        </w:tc>
        <w:tc>
          <w:tcPr>
            <w:tcW w:w="4497" w:type="dxa"/>
            <w:vAlign w:val="center"/>
          </w:tcPr>
          <w:p>
            <w:pPr>
              <w:adjustRightInd w:val="0"/>
              <w:snapToGrid w:val="0"/>
              <w:jc w:val="center"/>
              <w:rPr>
                <w:rFonts w:ascii="Arial" w:hAnsi="Arial" w:eastAsia="宋体" w:cs="Arial"/>
                <w:sz w:val="21"/>
                <w:szCs w:val="21"/>
              </w:rPr>
            </w:pPr>
          </w:p>
        </w:tc>
      </w:tr>
    </w:tbl>
    <w:p>
      <w:pPr>
        <w:spacing w:line="500" w:lineRule="exact"/>
        <w:jc w:val="left"/>
        <w:outlineLvl w:val="3"/>
        <w:rPr>
          <w:rFonts w:ascii="Arial" w:hAnsi="Arial" w:eastAsia="宋体" w:cs="Arial"/>
          <w:b/>
          <w:spacing w:val="10"/>
          <w:sz w:val="24"/>
        </w:rPr>
      </w:pPr>
      <w:r>
        <w:rPr>
          <w:rFonts w:ascii="Arial" w:hAnsi="Arial" w:eastAsia="宋体" w:cs="Arial"/>
          <w:b/>
          <w:spacing w:val="10"/>
          <w:sz w:val="24"/>
        </w:rPr>
        <w:t>3.2.3.2 地下水开发现状</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据调查，厂区周边除分布了硫磺山村、鸡墩头村、过路山村等村庄外，主要是金桂浆纸业、格派电池、力顺公司、大榄坪污水处理厂、祥龙物流、中石油库区、北部湾国际云仓等企业单位。区域用水水源为钦州港自来水厂及钦州港第二水厂，不涉及地下水开采。</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3.2.3.3地下水敏感性调查</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厂区周边居民日常生活用水引自市政自来水生活给水管网，不涉及地下水开采，评价范围不涉及集中式饮用水水源、分散式饮用水水源、特殊地下水资源，厂区地下水下游向东南径流，排泄至鹿耳环江，不涉及其他补给径流区。因此，区域地下水敏感程度为不敏感。</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3.2.3.4 地下水环境质量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1、地下水水位调查</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w:t>
      </w:r>
      <w:r>
        <w:rPr>
          <w:rFonts w:hint="eastAsia" w:ascii="Arial" w:hAnsi="Arial" w:eastAsia="宋体" w:cs="Arial"/>
          <w:spacing w:val="10"/>
          <w:sz w:val="24"/>
        </w:rPr>
        <w:t>于</w:t>
      </w:r>
      <w:r>
        <w:rPr>
          <w:rFonts w:ascii="Arial" w:hAnsi="Arial" w:eastAsia="宋体" w:cs="Arial"/>
          <w:spacing w:val="10"/>
          <w:sz w:val="24"/>
        </w:rPr>
        <w:t>2022年5月9日</w:t>
      </w:r>
      <w:r>
        <w:rPr>
          <w:rFonts w:hint="eastAsia" w:ascii="Arial" w:hAnsi="Arial" w:eastAsia="宋体" w:cs="Arial"/>
          <w:spacing w:val="10"/>
          <w:sz w:val="24"/>
        </w:rPr>
        <w:t>对厂区内及周边</w:t>
      </w:r>
      <w:r>
        <w:rPr>
          <w:rFonts w:ascii="Arial" w:hAnsi="Arial" w:eastAsia="宋体" w:cs="Arial"/>
          <w:spacing w:val="10"/>
          <w:sz w:val="24"/>
        </w:rPr>
        <w:t>地下水水位调查，厂区位于</w:t>
      </w:r>
      <w:r>
        <w:rPr>
          <w:rFonts w:hint="eastAsia" w:ascii="Arial" w:hAnsi="Arial" w:eastAsia="宋体" w:cs="Arial"/>
          <w:spacing w:val="10"/>
          <w:sz w:val="24"/>
        </w:rPr>
        <w:t>属香炉墩水文地质单元。</w:t>
      </w:r>
      <w:r>
        <w:rPr>
          <w:rFonts w:ascii="Arial" w:hAnsi="Arial" w:eastAsia="宋体" w:cs="Arial"/>
          <w:spacing w:val="10"/>
          <w:sz w:val="24"/>
        </w:rPr>
        <w:t>地下水水位监测点位及水位调查结果见表3-</w:t>
      </w:r>
      <w:r>
        <w:rPr>
          <w:rFonts w:hint="eastAsia" w:ascii="Arial" w:hAnsi="Arial" w:eastAsia="宋体" w:cs="Arial"/>
          <w:spacing w:val="10"/>
          <w:sz w:val="24"/>
        </w:rPr>
        <w:t>11</w:t>
      </w:r>
      <w:r>
        <w:rPr>
          <w:rFonts w:ascii="Arial" w:hAnsi="Arial" w:eastAsia="宋体" w:cs="Arial"/>
          <w:spacing w:val="1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地下水水位监测点位情况表</w:t>
      </w:r>
    </w:p>
    <w:tbl>
      <w:tblPr>
        <w:tblStyle w:val="88"/>
        <w:tblW w:w="89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01"/>
        <w:gridCol w:w="1649"/>
        <w:gridCol w:w="1817"/>
        <w:gridCol w:w="1320"/>
        <w:gridCol w:w="16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trPr>
        <w:tc>
          <w:tcPr>
            <w:tcW w:w="2601" w:type="dxa"/>
            <w:vMerge w:val="restart"/>
            <w:vAlign w:val="center"/>
          </w:tcPr>
          <w:p>
            <w:pPr>
              <w:adjustRightInd w:val="0"/>
              <w:snapToGrid w:val="0"/>
              <w:jc w:val="center"/>
              <w:rPr>
                <w:rFonts w:ascii="Arial" w:hAnsi="Arial" w:eastAsia="宋体" w:cs="Arial"/>
                <w:sz w:val="21"/>
                <w:szCs w:val="21"/>
              </w:rPr>
            </w:pPr>
          </w:p>
        </w:tc>
        <w:tc>
          <w:tcPr>
            <w:tcW w:w="3466" w:type="dxa"/>
            <w:gridSpan w:val="2"/>
            <w:vAlign w:val="center"/>
          </w:tcPr>
          <w:p>
            <w:pPr>
              <w:adjustRightInd w:val="0"/>
              <w:snapToGrid w:val="0"/>
              <w:jc w:val="center"/>
              <w:rPr>
                <w:rFonts w:ascii="Arial" w:hAnsi="Arial" w:eastAsia="宋体" w:cs="Arial"/>
                <w:sz w:val="21"/>
                <w:szCs w:val="21"/>
              </w:rPr>
            </w:pPr>
          </w:p>
        </w:tc>
        <w:tc>
          <w:tcPr>
            <w:tcW w:w="2926" w:type="dxa"/>
            <w:gridSpan w:val="2"/>
            <w:tcBorders>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trPr>
        <w:tc>
          <w:tcPr>
            <w:tcW w:w="2601" w:type="dxa"/>
            <w:vMerge w:val="continue"/>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right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left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601" w:type="dxa"/>
            <w:vAlign w:val="center"/>
          </w:tcPr>
          <w:p>
            <w:pPr>
              <w:adjustRightInd w:val="0"/>
              <w:snapToGrid w:val="0"/>
              <w:jc w:val="center"/>
              <w:rPr>
                <w:rFonts w:ascii="Arial" w:hAnsi="Arial" w:eastAsia="宋体" w:cs="Arial"/>
                <w:sz w:val="21"/>
                <w:szCs w:val="21"/>
              </w:rPr>
            </w:pPr>
          </w:p>
        </w:tc>
        <w:tc>
          <w:tcPr>
            <w:tcW w:w="1649" w:type="dxa"/>
            <w:vAlign w:val="center"/>
          </w:tcPr>
          <w:p>
            <w:pPr>
              <w:adjustRightInd w:val="0"/>
              <w:snapToGrid w:val="0"/>
              <w:jc w:val="center"/>
              <w:rPr>
                <w:rFonts w:ascii="Arial" w:hAnsi="Arial" w:eastAsia="宋体" w:cs="Arial"/>
                <w:sz w:val="21"/>
                <w:szCs w:val="21"/>
              </w:rPr>
            </w:pPr>
          </w:p>
        </w:tc>
        <w:tc>
          <w:tcPr>
            <w:tcW w:w="1817" w:type="dxa"/>
            <w:vAlign w:val="center"/>
          </w:tcPr>
          <w:p>
            <w:pPr>
              <w:adjustRightInd w:val="0"/>
              <w:snapToGrid w:val="0"/>
              <w:jc w:val="center"/>
              <w:rPr>
                <w:rFonts w:ascii="Arial" w:hAnsi="Arial" w:eastAsia="宋体" w:cs="Arial"/>
                <w:sz w:val="21"/>
                <w:szCs w:val="21"/>
              </w:rPr>
            </w:pPr>
          </w:p>
        </w:tc>
        <w:tc>
          <w:tcPr>
            <w:tcW w:w="1320"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c>
          <w:tcPr>
            <w:tcW w:w="1606" w:type="dxa"/>
            <w:tcBorders>
              <w:top w:val="single" w:color="000000" w:sz="2" w:space="0"/>
              <w:bottom w:val="single" w:color="000000" w:sz="2" w:space="0"/>
            </w:tcBorders>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2、地下水水质调查</w:t>
      </w:r>
    </w:p>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地下水监测数据引用一体化项目环评报告及广西恒沁检测科技有限公司监测报告（报告编号HQHJ22091926）中的监测数据，监测时间在近</w:t>
      </w:r>
      <w:r>
        <w:rPr>
          <w:rFonts w:hint="eastAsia" w:ascii="Arial" w:hAnsi="Arial" w:eastAsia="宋体" w:cs="Arial"/>
          <w:spacing w:val="10"/>
          <w:sz w:val="24"/>
          <w:u w:val="single"/>
        </w:rPr>
        <w:t>3年内，</w:t>
      </w:r>
      <w:r>
        <w:rPr>
          <w:rFonts w:ascii="Arial" w:hAnsi="Arial" w:eastAsia="宋体" w:cs="Arial"/>
          <w:spacing w:val="10"/>
          <w:sz w:val="24"/>
          <w:u w:val="single"/>
        </w:rPr>
        <w:t>监测点位分布符合</w:t>
      </w:r>
      <w:r>
        <w:rPr>
          <w:rFonts w:hint="eastAsia" w:ascii="Arial" w:hAnsi="Arial" w:eastAsia="宋体" w:cs="Arial"/>
          <w:spacing w:val="10"/>
          <w:sz w:val="24"/>
          <w:u w:val="single"/>
        </w:rPr>
        <w:t>HJ610-2016地下水二级评价现状监测点</w:t>
      </w:r>
      <w:r>
        <w:rPr>
          <w:rFonts w:ascii="Arial" w:hAnsi="Arial" w:eastAsia="宋体" w:cs="Arial"/>
          <w:spacing w:val="10"/>
          <w:sz w:val="24"/>
          <w:u w:val="single"/>
        </w:rPr>
        <w:t>布点要求。</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地下水水质监测引用数据来源</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4"/>
        <w:gridCol w:w="1921"/>
        <w:gridCol w:w="4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4" w:type="dxa"/>
            <w:vAlign w:val="center"/>
          </w:tcPr>
          <w:p>
            <w:pPr>
              <w:adjustRightInd w:val="0"/>
              <w:snapToGrid w:val="0"/>
              <w:jc w:val="center"/>
              <w:rPr>
                <w:rFonts w:ascii="Arial" w:hAnsi="Arial" w:eastAsia="宋体" w:cs="Arial"/>
                <w:spacing w:val="10"/>
                <w:sz w:val="21"/>
                <w:szCs w:val="21"/>
                <w:u w:val="single"/>
              </w:rPr>
            </w:pPr>
          </w:p>
        </w:tc>
        <w:tc>
          <w:tcPr>
            <w:tcW w:w="1921" w:type="dxa"/>
            <w:vAlign w:val="center"/>
          </w:tcPr>
          <w:p>
            <w:pPr>
              <w:adjustRightInd w:val="0"/>
              <w:snapToGrid w:val="0"/>
              <w:jc w:val="center"/>
              <w:rPr>
                <w:rFonts w:ascii="Arial" w:hAnsi="Arial" w:eastAsia="宋体" w:cs="Arial"/>
                <w:spacing w:val="10"/>
                <w:sz w:val="21"/>
                <w:szCs w:val="21"/>
                <w:u w:val="single"/>
              </w:rPr>
            </w:pPr>
          </w:p>
        </w:tc>
        <w:tc>
          <w:tcPr>
            <w:tcW w:w="4908"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4" w:type="dxa"/>
            <w:vAlign w:val="center"/>
          </w:tcPr>
          <w:p>
            <w:pPr>
              <w:adjustRightInd w:val="0"/>
              <w:snapToGrid w:val="0"/>
              <w:jc w:val="center"/>
              <w:rPr>
                <w:rFonts w:ascii="Arial" w:hAnsi="Arial" w:eastAsia="宋体" w:cs="Arial"/>
                <w:spacing w:val="10"/>
                <w:sz w:val="21"/>
                <w:szCs w:val="21"/>
                <w:u w:val="single"/>
              </w:rPr>
            </w:pPr>
          </w:p>
        </w:tc>
        <w:tc>
          <w:tcPr>
            <w:tcW w:w="1921" w:type="dxa"/>
            <w:vAlign w:val="center"/>
          </w:tcPr>
          <w:p>
            <w:pPr>
              <w:adjustRightInd w:val="0"/>
              <w:snapToGrid w:val="0"/>
              <w:jc w:val="center"/>
              <w:rPr>
                <w:rFonts w:ascii="Arial" w:hAnsi="Arial" w:eastAsia="宋体" w:cs="Arial"/>
                <w:spacing w:val="10"/>
                <w:sz w:val="21"/>
                <w:szCs w:val="21"/>
                <w:u w:val="single"/>
              </w:rPr>
            </w:pPr>
          </w:p>
        </w:tc>
        <w:tc>
          <w:tcPr>
            <w:tcW w:w="4908"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4" w:type="dxa"/>
            <w:vAlign w:val="center"/>
          </w:tcPr>
          <w:p>
            <w:pPr>
              <w:adjustRightInd w:val="0"/>
              <w:snapToGrid w:val="0"/>
              <w:jc w:val="center"/>
              <w:rPr>
                <w:rFonts w:ascii="Arial" w:hAnsi="Arial" w:eastAsia="宋体" w:cs="Arial"/>
                <w:spacing w:val="10"/>
                <w:sz w:val="21"/>
                <w:szCs w:val="21"/>
                <w:u w:val="single"/>
              </w:rPr>
            </w:pPr>
          </w:p>
        </w:tc>
        <w:tc>
          <w:tcPr>
            <w:tcW w:w="1921" w:type="dxa"/>
            <w:vAlign w:val="center"/>
          </w:tcPr>
          <w:p>
            <w:pPr>
              <w:adjustRightInd w:val="0"/>
              <w:snapToGrid w:val="0"/>
              <w:jc w:val="center"/>
              <w:rPr>
                <w:rFonts w:ascii="Arial" w:hAnsi="Arial" w:eastAsia="宋体" w:cs="Arial"/>
                <w:spacing w:val="10"/>
                <w:sz w:val="21"/>
                <w:szCs w:val="21"/>
                <w:u w:val="single"/>
              </w:rPr>
            </w:pPr>
          </w:p>
        </w:tc>
        <w:tc>
          <w:tcPr>
            <w:tcW w:w="4908"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4" w:type="dxa"/>
            <w:vAlign w:val="center"/>
          </w:tcPr>
          <w:p>
            <w:pPr>
              <w:adjustRightInd w:val="0"/>
              <w:snapToGrid w:val="0"/>
              <w:jc w:val="center"/>
              <w:rPr>
                <w:rFonts w:ascii="Arial" w:hAnsi="Arial" w:eastAsia="宋体" w:cs="Arial"/>
                <w:spacing w:val="10"/>
                <w:sz w:val="21"/>
                <w:szCs w:val="21"/>
                <w:u w:val="single"/>
              </w:rPr>
            </w:pPr>
          </w:p>
        </w:tc>
        <w:tc>
          <w:tcPr>
            <w:tcW w:w="1921" w:type="dxa"/>
            <w:vAlign w:val="center"/>
          </w:tcPr>
          <w:p>
            <w:pPr>
              <w:adjustRightInd w:val="0"/>
              <w:snapToGrid w:val="0"/>
              <w:jc w:val="center"/>
              <w:rPr>
                <w:rFonts w:ascii="Arial" w:hAnsi="Arial" w:eastAsia="宋体" w:cs="Arial"/>
                <w:spacing w:val="10"/>
                <w:sz w:val="21"/>
                <w:szCs w:val="21"/>
                <w:u w:val="single"/>
              </w:rPr>
            </w:pPr>
          </w:p>
        </w:tc>
        <w:tc>
          <w:tcPr>
            <w:tcW w:w="4908" w:type="dxa"/>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64" w:type="dxa"/>
            <w:vAlign w:val="center"/>
          </w:tcPr>
          <w:p>
            <w:pPr>
              <w:adjustRightInd w:val="0"/>
              <w:snapToGrid w:val="0"/>
              <w:jc w:val="center"/>
              <w:rPr>
                <w:rFonts w:ascii="Arial" w:hAnsi="Arial" w:eastAsia="宋体" w:cs="Arial"/>
                <w:spacing w:val="10"/>
                <w:sz w:val="21"/>
                <w:szCs w:val="21"/>
                <w:u w:val="single"/>
              </w:rPr>
            </w:pPr>
          </w:p>
        </w:tc>
        <w:tc>
          <w:tcPr>
            <w:tcW w:w="1921" w:type="dxa"/>
            <w:vAlign w:val="center"/>
          </w:tcPr>
          <w:p>
            <w:pPr>
              <w:adjustRightInd w:val="0"/>
              <w:snapToGrid w:val="0"/>
              <w:jc w:val="center"/>
              <w:rPr>
                <w:rFonts w:ascii="Arial" w:hAnsi="Arial" w:eastAsia="宋体" w:cs="Arial"/>
                <w:spacing w:val="10"/>
                <w:sz w:val="21"/>
                <w:szCs w:val="21"/>
                <w:u w:val="single"/>
              </w:rPr>
            </w:pPr>
          </w:p>
        </w:tc>
        <w:tc>
          <w:tcPr>
            <w:tcW w:w="4908" w:type="dxa"/>
            <w:vAlign w:val="center"/>
          </w:tcPr>
          <w:p>
            <w:pPr>
              <w:adjustRightInd w:val="0"/>
              <w:snapToGrid w:val="0"/>
              <w:jc w:val="center"/>
              <w:rPr>
                <w:rFonts w:ascii="Arial" w:hAnsi="Arial" w:eastAsia="宋体" w:cs="Arial"/>
                <w:spacing w:val="10"/>
                <w:sz w:val="21"/>
                <w:szCs w:val="21"/>
                <w:u w:val="single"/>
              </w:rPr>
            </w:pPr>
          </w:p>
        </w:tc>
      </w:tr>
    </w:tbl>
    <w:p>
      <w:pPr>
        <w:numPr>
          <w:ilvl w:val="0"/>
          <w:numId w:val="19"/>
        </w:numPr>
        <w:spacing w:line="500" w:lineRule="exact"/>
        <w:rPr>
          <w:rFonts w:ascii="Arial" w:hAnsi="Arial" w:eastAsia="宋体" w:cs="Arial"/>
          <w:spacing w:val="10"/>
          <w:sz w:val="24"/>
          <w:szCs w:val="24"/>
          <w:u w:val="single"/>
        </w:rPr>
      </w:pPr>
      <w:r>
        <w:rPr>
          <w:rFonts w:ascii="Arial" w:hAnsi="Arial" w:eastAsia="宋体" w:cs="Arial"/>
          <w:spacing w:val="10"/>
          <w:sz w:val="24"/>
          <w:szCs w:val="24"/>
        </w:rPr>
        <w:t xml:space="preserve"> </w:t>
      </w:r>
      <w:r>
        <w:rPr>
          <w:rFonts w:ascii="Arial" w:hAnsi="Arial" w:eastAsia="宋体" w:cs="Arial"/>
          <w:spacing w:val="10"/>
          <w:sz w:val="24"/>
          <w:szCs w:val="24"/>
          <w:u w:val="single"/>
        </w:rPr>
        <w:t>监测点位</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项目</w:t>
      </w:r>
      <w:r>
        <w:rPr>
          <w:rFonts w:ascii="Arial" w:hAnsi="Arial" w:eastAsia="宋体" w:cs="Arial"/>
          <w:spacing w:val="10"/>
          <w:sz w:val="24"/>
          <w:u w:val="single"/>
        </w:rPr>
        <w:t>设5个地下水水质监测点位，具体见表3-</w:t>
      </w:r>
      <w:r>
        <w:rPr>
          <w:rFonts w:hint="eastAsia" w:ascii="Arial" w:hAnsi="Arial" w:eastAsia="宋体" w:cs="Arial"/>
          <w:spacing w:val="10"/>
          <w:sz w:val="24"/>
          <w:u w:val="single"/>
        </w:rPr>
        <w:t>13</w:t>
      </w:r>
      <w:r>
        <w:rPr>
          <w:rFonts w:ascii="Arial" w:hAnsi="Arial" w:eastAsia="宋体" w:cs="Arial"/>
          <w:spacing w:val="10"/>
          <w:sz w:val="24"/>
          <w:u w:val="single"/>
        </w:rPr>
        <w:t>。</w:t>
      </w:r>
    </w:p>
    <w:p>
      <w:pPr>
        <w:keepNext/>
        <w:keepLines/>
        <w:numPr>
          <w:ilvl w:val="0"/>
          <w:numId w:val="16"/>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地下水监测点位表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2547"/>
        <w:gridCol w:w="1020"/>
        <w:gridCol w:w="2356"/>
        <w:gridCol w:w="2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1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547"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1020"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6" w:type="dxa"/>
            <w:shd w:val="clear" w:color="auto" w:fill="auto"/>
            <w:vAlign w:val="center"/>
          </w:tcPr>
          <w:p>
            <w:pPr>
              <w:adjustRightInd w:val="0"/>
              <w:snapToGrid w:val="0"/>
              <w:jc w:val="center"/>
              <w:rPr>
                <w:rFonts w:ascii="Arial" w:hAnsi="Arial" w:eastAsia="宋体" w:cs="Arial"/>
                <w:spacing w:val="10"/>
                <w:sz w:val="21"/>
                <w:szCs w:val="21"/>
                <w:u w:val="single"/>
              </w:rPr>
            </w:pPr>
          </w:p>
        </w:tc>
        <w:tc>
          <w:tcPr>
            <w:tcW w:w="2354" w:type="dxa"/>
            <w:shd w:val="clear" w:color="auto" w:fill="auto"/>
            <w:vAlign w:val="center"/>
          </w:tcPr>
          <w:p>
            <w:pPr>
              <w:adjustRightInd w:val="0"/>
              <w:snapToGrid w:val="0"/>
              <w:jc w:val="center"/>
              <w:rPr>
                <w:rFonts w:ascii="Arial" w:hAnsi="Arial" w:eastAsia="宋体" w:cs="Arial"/>
                <w:spacing w:val="10"/>
                <w:sz w:val="21"/>
                <w:szCs w:val="21"/>
                <w:u w:val="single"/>
              </w:rPr>
            </w:pPr>
          </w:p>
        </w:tc>
      </w:tr>
    </w:tbl>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监测因子：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八大离子：K</w:t>
      </w:r>
      <w:r>
        <w:rPr>
          <w:rFonts w:ascii="Arial" w:hAnsi="Arial" w:eastAsia="宋体" w:cs="Arial"/>
          <w:spacing w:val="10"/>
          <w:sz w:val="24"/>
          <w:vertAlign w:val="superscript"/>
        </w:rPr>
        <w:t>+</w:t>
      </w:r>
      <w:r>
        <w:rPr>
          <w:rFonts w:ascii="Arial" w:hAnsi="Arial" w:eastAsia="宋体" w:cs="Arial"/>
          <w:spacing w:val="10"/>
          <w:sz w:val="24"/>
        </w:rPr>
        <w:t>、Na</w:t>
      </w:r>
      <w:r>
        <w:rPr>
          <w:rFonts w:ascii="Arial" w:hAnsi="Arial" w:eastAsia="宋体" w:cs="Arial"/>
          <w:spacing w:val="10"/>
          <w:sz w:val="24"/>
          <w:vertAlign w:val="superscript"/>
        </w:rPr>
        <w:t>+</w:t>
      </w:r>
      <w:r>
        <w:rPr>
          <w:rFonts w:ascii="Arial" w:hAnsi="Arial" w:eastAsia="宋体" w:cs="Arial"/>
          <w:spacing w:val="10"/>
          <w:sz w:val="24"/>
        </w:rPr>
        <w:t>、Ca</w:t>
      </w:r>
      <w:r>
        <w:rPr>
          <w:rFonts w:ascii="Arial" w:hAnsi="Arial" w:eastAsia="宋体" w:cs="Arial"/>
          <w:spacing w:val="10"/>
          <w:sz w:val="24"/>
          <w:vertAlign w:val="superscript"/>
        </w:rPr>
        <w:t>2+</w:t>
      </w:r>
      <w:r>
        <w:rPr>
          <w:rFonts w:ascii="Arial" w:hAnsi="Arial" w:eastAsia="宋体" w:cs="Arial"/>
          <w:spacing w:val="10"/>
          <w:sz w:val="24"/>
        </w:rPr>
        <w:t>、Mg</w:t>
      </w:r>
      <w:r>
        <w:rPr>
          <w:rFonts w:ascii="Arial" w:hAnsi="Arial" w:eastAsia="宋体" w:cs="Arial"/>
          <w:spacing w:val="10"/>
          <w:sz w:val="24"/>
          <w:vertAlign w:val="superscript"/>
        </w:rPr>
        <w:t>2+</w:t>
      </w:r>
      <w:r>
        <w:rPr>
          <w:rFonts w:ascii="Arial" w:hAnsi="Arial" w:eastAsia="宋体" w:cs="Arial"/>
          <w:spacing w:val="10"/>
          <w:sz w:val="24"/>
        </w:rPr>
        <w:t>、CO</w:t>
      </w:r>
      <w:r>
        <w:rPr>
          <w:rFonts w:ascii="Arial" w:hAnsi="Arial" w:eastAsia="宋体" w:cs="Arial"/>
          <w:spacing w:val="10"/>
          <w:sz w:val="24"/>
          <w:vertAlign w:val="subscript"/>
        </w:rPr>
        <w:t>3</w:t>
      </w:r>
      <w:r>
        <w:rPr>
          <w:rFonts w:ascii="Arial" w:hAnsi="Arial" w:eastAsia="宋体" w:cs="Arial"/>
          <w:spacing w:val="10"/>
          <w:sz w:val="24"/>
          <w:vertAlign w:val="superscript"/>
        </w:rPr>
        <w:t>2-</w:t>
      </w:r>
      <w:r>
        <w:rPr>
          <w:rFonts w:ascii="Arial" w:hAnsi="Arial" w:eastAsia="宋体" w:cs="Arial"/>
          <w:spacing w:val="10"/>
          <w:sz w:val="24"/>
        </w:rPr>
        <w:t>、HCO</w:t>
      </w:r>
      <w:r>
        <w:rPr>
          <w:rFonts w:ascii="Arial" w:hAnsi="Arial" w:eastAsia="宋体" w:cs="Arial"/>
          <w:spacing w:val="10"/>
          <w:sz w:val="24"/>
          <w:vertAlign w:val="subscript"/>
        </w:rPr>
        <w:t>3</w:t>
      </w:r>
      <w:r>
        <w:rPr>
          <w:rFonts w:ascii="Arial" w:hAnsi="Arial" w:eastAsia="宋体" w:cs="Arial"/>
          <w:spacing w:val="10"/>
          <w:sz w:val="24"/>
          <w:vertAlign w:val="superscript"/>
        </w:rPr>
        <w:t>-</w:t>
      </w:r>
      <w:r>
        <w:rPr>
          <w:rFonts w:ascii="Arial" w:hAnsi="Arial" w:eastAsia="宋体" w:cs="Arial"/>
          <w:spacing w:val="10"/>
          <w:sz w:val="24"/>
        </w:rPr>
        <w:t>、Cl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基本因子：pH值、总硬度、溶解性总固体、锰、铜、锌、耗氧量、硝酸盐氮、亚硝酸盐氮、挥发酚、氨氮、汞、镍、石油类、钴、铁、氟化物、硫化物、砷、六价铬、铅、镉。</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监测结果及评价</w:t>
      </w:r>
    </w:p>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地下水水质评价结果表   单位：mg/L</w:t>
      </w:r>
    </w:p>
    <w:tbl>
      <w:tblPr>
        <w:tblStyle w:val="88"/>
        <w:tblW w:w="8807" w:type="dxa"/>
        <w:jc w:val="center"/>
        <w:tblInd w:w="0" w:type="dxa"/>
        <w:tblLayout w:type="fixed"/>
        <w:tblCellMar>
          <w:top w:w="15" w:type="dxa"/>
          <w:left w:w="15" w:type="dxa"/>
          <w:bottom w:w="15" w:type="dxa"/>
          <w:right w:w="15" w:type="dxa"/>
        </w:tblCellMar>
      </w:tblPr>
      <w:tblGrid>
        <w:gridCol w:w="461"/>
        <w:gridCol w:w="1434"/>
        <w:gridCol w:w="845"/>
        <w:gridCol w:w="845"/>
        <w:gridCol w:w="845"/>
        <w:gridCol w:w="845"/>
        <w:gridCol w:w="845"/>
        <w:gridCol w:w="792"/>
        <w:gridCol w:w="950"/>
        <w:gridCol w:w="945"/>
      </w:tblGrid>
      <w:tr>
        <w:tblPrEx>
          <w:tblLayout w:type="fixed"/>
          <w:tblCellMar>
            <w:top w:w="15" w:type="dxa"/>
            <w:left w:w="15" w:type="dxa"/>
            <w:bottom w:w="15" w:type="dxa"/>
            <w:right w:w="15" w:type="dxa"/>
          </w:tblCellMar>
        </w:tblPrEx>
        <w:trPr>
          <w:cantSplit/>
          <w:trHeight w:val="340" w:hRule="atLeast"/>
          <w:tblHeader/>
          <w:jc w:val="center"/>
        </w:trPr>
        <w:tc>
          <w:tcPr>
            <w:tcW w:w="461" w:type="dxa"/>
            <w:vMerge w:val="restart"/>
            <w:tcBorders>
              <w:top w:val="single" w:color="000000" w:sz="4" w:space="0"/>
              <w:left w:val="single" w:color="000000" w:sz="4" w:space="0"/>
            </w:tcBorders>
            <w:vAlign w:val="center"/>
          </w:tcPr>
          <w:p>
            <w:pPr>
              <w:adjustRightInd w:val="0"/>
              <w:snapToGrid w:val="0"/>
              <w:jc w:val="center"/>
              <w:textAlignment w:val="center"/>
              <w:rPr>
                <w:rFonts w:ascii="Arial" w:hAnsi="Arial" w:eastAsia="宋体" w:cs="Arial"/>
                <w:bCs/>
                <w:sz w:val="21"/>
                <w:szCs w:val="21"/>
                <w:lang w:bidi="ar"/>
              </w:rPr>
            </w:pPr>
          </w:p>
        </w:tc>
        <w:tc>
          <w:tcPr>
            <w:tcW w:w="1434" w:type="dxa"/>
            <w:vMerge w:val="restart"/>
            <w:tcBorders>
              <w:top w:val="single" w:color="000000" w:sz="4" w:space="0"/>
              <w:left w:val="single" w:color="000000" w:sz="4" w:space="0"/>
              <w:right w:val="single" w:color="000000" w:sz="4" w:space="0"/>
            </w:tcBorders>
            <w:vAlign w:val="center"/>
          </w:tcPr>
          <w:p>
            <w:pPr>
              <w:adjustRightInd w:val="0"/>
              <w:snapToGrid w:val="0"/>
              <w:jc w:val="center"/>
              <w:textAlignment w:val="center"/>
              <w:rPr>
                <w:rFonts w:ascii="Arial" w:hAnsi="Arial" w:eastAsia="宋体" w:cs="Arial"/>
                <w:bCs/>
                <w:sz w:val="21"/>
                <w:szCs w:val="21"/>
                <w:lang w:bidi="ar"/>
              </w:rPr>
            </w:pPr>
          </w:p>
        </w:tc>
        <w:tc>
          <w:tcPr>
            <w:tcW w:w="4225" w:type="dxa"/>
            <w:gridSpan w:val="5"/>
            <w:tcBorders>
              <w:top w:val="single" w:color="000000" w:sz="4" w:space="0"/>
              <w:left w:val="single" w:color="000000" w:sz="4" w:space="0"/>
              <w:bottom w:val="single" w:color="000000" w:sz="4" w:space="0"/>
              <w:right w:val="single" w:color="auto" w:sz="4" w:space="0"/>
            </w:tcBorders>
            <w:vAlign w:val="center"/>
          </w:tcPr>
          <w:p>
            <w:pPr>
              <w:adjustRightInd w:val="0"/>
              <w:snapToGrid w:val="0"/>
              <w:jc w:val="center"/>
              <w:rPr>
                <w:rFonts w:ascii="Arial" w:hAnsi="Arial" w:eastAsia="宋体" w:cs="Arial"/>
                <w:bCs/>
                <w:sz w:val="21"/>
                <w:szCs w:val="21"/>
              </w:rPr>
            </w:pPr>
          </w:p>
        </w:tc>
        <w:tc>
          <w:tcPr>
            <w:tcW w:w="792" w:type="dxa"/>
            <w:vMerge w:val="restart"/>
            <w:tcBorders>
              <w:top w:val="single" w:color="000000" w:sz="4" w:space="0"/>
              <w:left w:val="single" w:color="auto" w:sz="4" w:space="0"/>
              <w:right w:val="single" w:color="000000" w:sz="4" w:space="0"/>
            </w:tcBorders>
            <w:vAlign w:val="center"/>
          </w:tcPr>
          <w:p>
            <w:pPr>
              <w:adjustRightInd w:val="0"/>
              <w:snapToGrid w:val="0"/>
              <w:jc w:val="center"/>
              <w:rPr>
                <w:rFonts w:ascii="Arial" w:hAnsi="Arial" w:eastAsia="宋体" w:cs="Arial"/>
                <w:bCs/>
                <w:sz w:val="21"/>
                <w:szCs w:val="21"/>
              </w:rPr>
            </w:pPr>
          </w:p>
        </w:tc>
        <w:tc>
          <w:tcPr>
            <w:tcW w:w="950"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c>
          <w:tcPr>
            <w:tcW w:w="945"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r>
      <w:tr>
        <w:tblPrEx>
          <w:tblLayout w:type="fixed"/>
          <w:tblCellMar>
            <w:top w:w="15" w:type="dxa"/>
            <w:left w:w="15" w:type="dxa"/>
            <w:bottom w:w="15" w:type="dxa"/>
            <w:right w:w="15" w:type="dxa"/>
          </w:tblCellMar>
        </w:tblPrEx>
        <w:trPr>
          <w:cantSplit/>
          <w:trHeight w:val="340" w:hRule="atLeast"/>
          <w:tblHeader/>
          <w:jc w:val="center"/>
        </w:trPr>
        <w:tc>
          <w:tcPr>
            <w:tcW w:w="461" w:type="dxa"/>
            <w:vMerge w:val="continue"/>
            <w:tcBorders>
              <w:left w:val="single" w:color="000000" w:sz="4" w:space="0"/>
              <w:bottom w:val="single" w:color="000000" w:sz="4" w:space="0"/>
            </w:tcBorders>
            <w:vAlign w:val="center"/>
          </w:tcPr>
          <w:p>
            <w:pPr>
              <w:adjustRightInd w:val="0"/>
              <w:snapToGrid w:val="0"/>
              <w:jc w:val="center"/>
              <w:textAlignment w:val="center"/>
              <w:rPr>
                <w:rFonts w:ascii="Arial" w:hAnsi="Arial" w:eastAsia="宋体" w:cs="Arial"/>
                <w:bCs/>
                <w:sz w:val="21"/>
                <w:szCs w:val="21"/>
              </w:rPr>
            </w:pPr>
          </w:p>
        </w:tc>
        <w:tc>
          <w:tcPr>
            <w:tcW w:w="1434" w:type="dxa"/>
            <w:vMerge w:val="continue"/>
            <w:tcBorders>
              <w:left w:val="single" w:color="000000" w:sz="4" w:space="0"/>
              <w:bottom w:val="single" w:color="000000" w:sz="4" w:space="0"/>
              <w:right w:val="single" w:color="000000" w:sz="4" w:space="0"/>
            </w:tcBorders>
            <w:vAlign w:val="center"/>
          </w:tcPr>
          <w:p>
            <w:pPr>
              <w:adjustRightInd w:val="0"/>
              <w:snapToGrid w:val="0"/>
              <w:jc w:val="center"/>
              <w:textAlignment w:val="center"/>
              <w:rPr>
                <w:rFonts w:ascii="Arial" w:hAnsi="Arial" w:eastAsia="宋体" w:cs="Arial"/>
                <w:bCs/>
                <w:sz w:val="21"/>
                <w:szCs w:val="21"/>
                <w:lang w:bidi="ar"/>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tabs>
                <w:tab w:val="left" w:pos="6900"/>
              </w:tabs>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tabs>
                <w:tab w:val="left" w:pos="6900"/>
              </w:tabs>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auto" w:sz="4" w:space="0"/>
            </w:tcBorders>
            <w:vAlign w:val="center"/>
          </w:tcPr>
          <w:p>
            <w:pPr>
              <w:adjustRightInd w:val="0"/>
              <w:snapToGrid w:val="0"/>
              <w:jc w:val="center"/>
              <w:rPr>
                <w:rFonts w:ascii="Arial" w:hAnsi="Arial" w:eastAsia="宋体" w:cs="Arial"/>
                <w:sz w:val="21"/>
                <w:szCs w:val="21"/>
              </w:rPr>
            </w:pPr>
          </w:p>
        </w:tc>
        <w:tc>
          <w:tcPr>
            <w:tcW w:w="792" w:type="dxa"/>
            <w:vMerge w:val="continue"/>
            <w:tcBorders>
              <w:left w:val="single" w:color="auto" w:sz="4" w:space="0"/>
              <w:bottom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c>
          <w:tcPr>
            <w:tcW w:w="950"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c>
          <w:tcPr>
            <w:tcW w:w="945"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Cs/>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r>
        <w:tblPrEx>
          <w:tblLayout w:type="fixed"/>
          <w:tblCellMar>
            <w:top w:w="15" w:type="dxa"/>
            <w:left w:w="15" w:type="dxa"/>
            <w:bottom w:w="15" w:type="dxa"/>
            <w:right w:w="15" w:type="dxa"/>
          </w:tblCellMar>
        </w:tblPrEx>
        <w:trPr>
          <w:cantSplit/>
          <w:trHeight w:val="340" w:hRule="atLeast"/>
          <w:jc w:val="center"/>
        </w:trPr>
        <w:tc>
          <w:tcPr>
            <w:tcW w:w="461" w:type="dxa"/>
            <w:tcBorders>
              <w:top w:val="single" w:color="000000" w:sz="4" w:space="0"/>
              <w:left w:val="single" w:color="000000" w:sz="4" w:space="0"/>
              <w:bottom w:val="single" w:color="000000" w:sz="4" w:space="0"/>
            </w:tcBorders>
            <w:vAlign w:val="center"/>
          </w:tcPr>
          <w:p>
            <w:pPr>
              <w:adjustRightInd w:val="0"/>
              <w:snapToGrid w:val="0"/>
              <w:jc w:val="center"/>
              <w:textAlignment w:val="center"/>
              <w:rPr>
                <w:rFonts w:ascii="Arial" w:hAnsi="Arial" w:eastAsia="宋体" w:cs="Arial"/>
                <w:sz w:val="21"/>
                <w:szCs w:val="21"/>
                <w:lang w:bidi="ar"/>
              </w:rPr>
            </w:pPr>
          </w:p>
        </w:tc>
        <w:tc>
          <w:tcPr>
            <w:tcW w:w="143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8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79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5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c>
          <w:tcPr>
            <w:tcW w:w="9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根据上表可知，Cl</w:t>
      </w:r>
      <w:r>
        <w:rPr>
          <w:rFonts w:ascii="Arial" w:hAnsi="Arial" w:eastAsia="宋体" w:cs="Arial"/>
          <w:spacing w:val="10"/>
          <w:sz w:val="24"/>
          <w:vertAlign w:val="superscript"/>
        </w:rPr>
        <w:t>-</w:t>
      </w:r>
      <w:r>
        <w:rPr>
          <w:rFonts w:ascii="Arial" w:hAnsi="Arial" w:eastAsia="宋体" w:cs="Arial"/>
          <w:spacing w:val="10"/>
          <w:sz w:val="24"/>
        </w:rPr>
        <w:t>、Na</w:t>
      </w:r>
      <w:r>
        <w:rPr>
          <w:rFonts w:ascii="Arial" w:hAnsi="Arial" w:eastAsia="宋体" w:cs="Arial"/>
          <w:spacing w:val="10"/>
          <w:sz w:val="24"/>
          <w:vertAlign w:val="superscript"/>
        </w:rPr>
        <w:t>+</w:t>
      </w:r>
      <w:r>
        <w:rPr>
          <w:rFonts w:ascii="Arial" w:hAnsi="Arial" w:eastAsia="宋体" w:cs="Arial"/>
          <w:spacing w:val="10"/>
          <w:sz w:val="24"/>
        </w:rPr>
        <w:t>离子浓度普遍偏高，项目位于海岸边，所在地块为填海区域，地下水为海水补给。地下水水质参照《地下水质量标准》（GB/T14848-2017）</w:t>
      </w:r>
      <w:r>
        <w:rPr>
          <w:rFonts w:hint="eastAsia" w:ascii="宋体" w:hAnsi="宋体" w:eastAsia="宋体" w:cs="宋体"/>
          <w:spacing w:val="10"/>
          <w:sz w:val="24"/>
        </w:rPr>
        <w:t>Ⅲ</w:t>
      </w:r>
      <w:r>
        <w:rPr>
          <w:rFonts w:ascii="Arial" w:hAnsi="Arial" w:eastAsia="宋体" w:cs="Arial"/>
          <w:spacing w:val="10"/>
          <w:sz w:val="24"/>
        </w:rPr>
        <w:t>类水质标准进行评价，根据监测结果可知，Cl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w:t>
      </w:r>
    </w:p>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对于超标的因子，经收集企业建厂前、一阶段项目验收期间、二阶段项目验收期间的相关监测数据（监测时间分别是2020.12.8、2022.5.26、2023.12.27~28），与本报告引用的数据进行对比，详见表3-15。</w:t>
      </w:r>
    </w:p>
    <w:p>
      <w:pPr>
        <w:keepNext/>
        <w:keepLines/>
        <w:numPr>
          <w:ilvl w:val="0"/>
          <w:numId w:val="16"/>
        </w:numPr>
        <w:spacing w:line="500" w:lineRule="exact"/>
        <w:jc w:val="center"/>
        <w:outlineLvl w:val="4"/>
        <w:rPr>
          <w:rFonts w:ascii="Arial" w:hAnsi="Arial" w:eastAsia="宋体" w:cs="Arial"/>
          <w:b/>
          <w:sz w:val="24"/>
          <w:szCs w:val="24"/>
          <w:u w:val="single"/>
        </w:rPr>
      </w:pPr>
      <w:r>
        <w:rPr>
          <w:rFonts w:hint="eastAsia" w:ascii="Arial" w:hAnsi="Arial" w:eastAsia="宋体" w:cs="Arial"/>
          <w:b/>
          <w:sz w:val="24"/>
          <w:szCs w:val="24"/>
          <w:u w:val="single"/>
        </w:rPr>
        <w:t>地下水监测数据对比表</w:t>
      </w:r>
    </w:p>
    <w:tbl>
      <w:tblPr>
        <w:tblStyle w:val="88"/>
        <w:tblW w:w="8807" w:type="dxa"/>
        <w:jc w:val="center"/>
        <w:tblInd w:w="0" w:type="dxa"/>
        <w:tblLayout w:type="fixed"/>
        <w:tblCellMar>
          <w:top w:w="15" w:type="dxa"/>
          <w:left w:w="15" w:type="dxa"/>
          <w:bottom w:w="15" w:type="dxa"/>
          <w:right w:w="15" w:type="dxa"/>
        </w:tblCellMar>
      </w:tblPr>
      <w:tblGrid>
        <w:gridCol w:w="866"/>
        <w:gridCol w:w="1700"/>
        <w:gridCol w:w="1249"/>
        <w:gridCol w:w="1249"/>
        <w:gridCol w:w="1249"/>
        <w:gridCol w:w="1249"/>
        <w:gridCol w:w="1245"/>
      </w:tblGrid>
      <w:tr>
        <w:tblPrEx>
          <w:tblLayout w:type="fixed"/>
          <w:tblCellMar>
            <w:top w:w="15" w:type="dxa"/>
            <w:left w:w="15" w:type="dxa"/>
            <w:bottom w:w="15" w:type="dxa"/>
            <w:right w:w="15" w:type="dxa"/>
          </w:tblCellMar>
        </w:tblPrEx>
        <w:trPr>
          <w:cantSplit/>
          <w:trHeight w:val="340" w:hRule="atLeast"/>
          <w:jc w:val="center"/>
        </w:trPr>
        <w:tc>
          <w:tcPr>
            <w:tcW w:w="2566" w:type="dxa"/>
            <w:gridSpan w:val="2"/>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bCs/>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tabs>
                <w:tab w:val="left" w:pos="6900"/>
              </w:tabs>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tabs>
                <w:tab w:val="left" w:pos="6900"/>
              </w:tabs>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restart"/>
            <w:tcBorders>
              <w:top w:val="single" w:color="000000" w:sz="4" w:space="0"/>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r>
        <w:tblPrEx>
          <w:tblLayout w:type="fixed"/>
          <w:tblCellMar>
            <w:top w:w="15" w:type="dxa"/>
            <w:left w:w="15" w:type="dxa"/>
            <w:bottom w:w="15" w:type="dxa"/>
            <w:right w:w="15" w:type="dxa"/>
          </w:tblCellMar>
        </w:tblPrEx>
        <w:trPr>
          <w:cantSplit/>
          <w:trHeight w:val="340" w:hRule="atLeast"/>
          <w:jc w:val="center"/>
        </w:trPr>
        <w:tc>
          <w:tcPr>
            <w:tcW w:w="866" w:type="dxa"/>
            <w:vMerge w:val="continue"/>
            <w:tcBorders>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70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c>
          <w:tcPr>
            <w:tcW w:w="124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Arial" w:hAnsi="Arial" w:eastAsia="宋体" w:cs="Arial"/>
                <w:sz w:val="21"/>
                <w:szCs w:val="21"/>
                <w:u w:val="single"/>
              </w:rPr>
            </w:pPr>
          </w:p>
        </w:tc>
      </w:tr>
    </w:tbl>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根据对比，企业建厂前，地下水中的</w:t>
      </w:r>
      <w:r>
        <w:rPr>
          <w:rFonts w:ascii="Arial" w:hAnsi="Arial" w:eastAsia="宋体" w:cs="Arial"/>
          <w:spacing w:val="10"/>
          <w:sz w:val="24"/>
          <w:u w:val="single"/>
        </w:rPr>
        <w:t>硫酸盐、氯化物</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溶解性固体</w:t>
      </w:r>
      <w:r>
        <w:rPr>
          <w:rFonts w:hint="eastAsia" w:ascii="Arial" w:hAnsi="Arial" w:eastAsia="宋体" w:cs="Arial"/>
          <w:spacing w:val="10"/>
          <w:sz w:val="24"/>
          <w:u w:val="single"/>
        </w:rPr>
        <w:t>等因子已超标，</w:t>
      </w:r>
      <w:r>
        <w:rPr>
          <w:rFonts w:ascii="Arial" w:hAnsi="Arial" w:eastAsia="宋体" w:cs="Arial"/>
          <w:spacing w:val="10"/>
          <w:sz w:val="24"/>
          <w:u w:val="single"/>
        </w:rPr>
        <w:t>硫酸盐</w:t>
      </w:r>
      <w:r>
        <w:rPr>
          <w:rFonts w:hint="eastAsia" w:ascii="Arial" w:hAnsi="Arial" w:eastAsia="宋体" w:cs="Arial"/>
          <w:spacing w:val="10"/>
          <w:sz w:val="24"/>
          <w:u w:val="single"/>
        </w:rPr>
        <w:t>的监测值有变小的趋势；同一点位的氨氮和耗氧量的监测值，有超标情况也有达标情况，厂内监测井最近一次监测的氨氮和耗氧量可达标。</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所在区域属于填海区域，填海区填土主要为周边建设场地开挖的岩土体及海沙，局部为周边建筑废弃混凝土料，渗透性强，底部淤泥质粘土层透水性弱，为相对隔水层，场区地下水补给来源主要为海水倒灌后滞留形成。</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3.2.3.5地下水环境现状调查与评价结论</w:t>
      </w:r>
    </w:p>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rPr>
        <w:t>厂区地下水由西北向东南径流，排泄至鹿耳环江；评价区域不涉及地下水开采，地下水敏感程度为不敏感；地下水水质监测结果显示，地下水中的Cl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类水质标准，其余监测因子达标。</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声环境质量现状调查与评价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1、监测布点</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厂界四周噪声</w:t>
      </w:r>
      <w:r>
        <w:rPr>
          <w:rFonts w:hint="eastAsia" w:ascii="Arial" w:hAnsi="Arial" w:eastAsia="宋体" w:cs="Arial"/>
          <w:spacing w:val="10"/>
          <w:sz w:val="24"/>
        </w:rPr>
        <w:t>现状引用氢氧化钴技改项目环评报告的噪声监测结果</w:t>
      </w:r>
      <w:r>
        <w:rPr>
          <w:rFonts w:ascii="Arial" w:hAnsi="Arial" w:eastAsia="宋体" w:cs="Arial"/>
          <w:spacing w:val="10"/>
          <w:sz w:val="24"/>
        </w:rPr>
        <w:t>，共设8个监测点位</w:t>
      </w:r>
      <w:r>
        <w:rPr>
          <w:rFonts w:hint="eastAsia" w:ascii="Arial" w:hAnsi="Arial" w:eastAsia="宋体" w:cs="Arial"/>
          <w:spacing w:val="10"/>
          <w:sz w:val="24"/>
        </w:rPr>
        <w:t>；</w:t>
      </w:r>
      <w:r>
        <w:rPr>
          <w:rFonts w:ascii="Arial" w:hAnsi="Arial" w:eastAsia="宋体" w:cs="Arial"/>
          <w:spacing w:val="10"/>
          <w:sz w:val="24"/>
        </w:rPr>
        <w:t>鸡墩头村声环境现状引用MSP变更项目的监测结果，详见表3-</w:t>
      </w:r>
      <w:r>
        <w:rPr>
          <w:rFonts w:hint="eastAsia" w:ascii="Arial" w:hAnsi="Arial" w:eastAsia="宋体" w:cs="Arial"/>
          <w:spacing w:val="10"/>
          <w:sz w:val="24"/>
        </w:rPr>
        <w:t>16</w:t>
      </w:r>
      <w:r>
        <w:rPr>
          <w:rFonts w:ascii="Arial" w:hAnsi="Arial" w:eastAsia="宋体" w:cs="Arial"/>
          <w:spacing w:val="10"/>
          <w:sz w:val="24"/>
        </w:rPr>
        <w:t>及附图5。</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声环境质量监测点位一览表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3119"/>
        <w:gridCol w:w="2270"/>
        <w:gridCol w:w="2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restart"/>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restart"/>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Merge w:val="continue"/>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83"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3119"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70"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2221"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bl>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据调查了解，2023年11月至今，</w:t>
      </w:r>
      <w:r>
        <w:rPr>
          <w:rFonts w:ascii="Arial" w:hAnsi="Arial" w:eastAsia="宋体" w:cs="Arial"/>
          <w:spacing w:val="10"/>
          <w:sz w:val="24"/>
        </w:rPr>
        <w:t>鸡墩头村</w:t>
      </w:r>
      <w:r>
        <w:rPr>
          <w:rFonts w:hint="eastAsia" w:ascii="Arial" w:hAnsi="Arial" w:eastAsia="宋体" w:cs="Arial"/>
          <w:spacing w:val="10"/>
          <w:sz w:val="24"/>
        </w:rPr>
        <w:t>周围200m范围未新增其他噪声污染源，因此报告引用</w:t>
      </w:r>
      <w:r>
        <w:rPr>
          <w:rFonts w:ascii="Arial" w:hAnsi="Arial" w:eastAsia="宋体" w:cs="Arial"/>
          <w:spacing w:val="10"/>
          <w:sz w:val="24"/>
        </w:rPr>
        <w:t>鸡墩头村</w:t>
      </w:r>
      <w:r>
        <w:rPr>
          <w:rFonts w:hint="eastAsia" w:ascii="Arial" w:hAnsi="Arial" w:eastAsia="宋体" w:cs="Arial"/>
          <w:spacing w:val="10"/>
          <w:sz w:val="24"/>
        </w:rPr>
        <w:t>2023年11月16日~17日的现状监测结果可行。</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2、监测方法及频次</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监测方法：按照《声环境质量标准》（GB/T3096-2008）相关方法进行。</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监测时间及频次：连续监测两天（昼间6:00～22:00；夜间22:00～次日6:00），每天昼、夜各监测一次。</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3、评价标准</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东、南面厂界按照《声环境质量标准》（GB3096-2008）3类区标准评价，西面厂界按照4a类区标准评价；鸡墩头村按2类区标准评价。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4、声环境现状监测结果评价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声环境质量现状监测与评价结果见表3-</w:t>
      </w:r>
      <w:r>
        <w:rPr>
          <w:rFonts w:hint="eastAsia" w:ascii="Arial" w:hAnsi="Arial" w:eastAsia="宋体" w:cs="Arial"/>
          <w:spacing w:val="10"/>
          <w:sz w:val="24"/>
        </w:rPr>
        <w:t>17</w:t>
      </w:r>
      <w:r>
        <w:rPr>
          <w:rFonts w:ascii="Arial" w:hAnsi="Arial" w:eastAsia="宋体" w:cs="Arial"/>
          <w:spacing w:val="1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声环境现状监测结果表   单位：dB（A）</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3"/>
        <w:gridCol w:w="1531"/>
        <w:gridCol w:w="1507"/>
        <w:gridCol w:w="1507"/>
        <w:gridCol w:w="1507"/>
        <w:gridCol w:w="1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433"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1531"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left"/>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restart"/>
            <w:vAlign w:val="center"/>
          </w:tcPr>
          <w:p>
            <w:pPr>
              <w:adjustRightInd w:val="0"/>
              <w:snapToGrid w:val="0"/>
              <w:jc w:val="center"/>
              <w:rPr>
                <w:rFonts w:ascii="Arial" w:hAnsi="Arial" w:eastAsia="宋体" w:cs="Arial"/>
                <w:spacing w:val="24"/>
                <w:kern w:val="0"/>
                <w:sz w:val="21"/>
                <w:szCs w:val="21"/>
              </w:rPr>
            </w:pPr>
          </w:p>
        </w:tc>
        <w:tc>
          <w:tcPr>
            <w:tcW w:w="1531" w:type="dxa"/>
            <w:vMerge w:val="restart"/>
            <w:vAlign w:val="center"/>
          </w:tcPr>
          <w:p>
            <w:pPr>
              <w:widowControl/>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widowControl/>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widowControl/>
              <w:adjustRightInd w:val="0"/>
              <w:snapToGrid w:val="0"/>
              <w:jc w:val="center"/>
              <w:rPr>
                <w:rFonts w:ascii="Arial" w:hAnsi="Arial" w:eastAsia="宋体" w:cs="Arial"/>
                <w:spacing w:val="24"/>
                <w:kern w:val="0"/>
                <w:sz w:val="21"/>
                <w:szCs w:val="21"/>
              </w:rPr>
            </w:pPr>
          </w:p>
        </w:tc>
        <w:tc>
          <w:tcPr>
            <w:tcW w:w="1531" w:type="dxa"/>
            <w:vMerge w:val="restart"/>
            <w:vAlign w:val="center"/>
          </w:tcPr>
          <w:p>
            <w:pPr>
              <w:widowControl/>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33" w:type="dxa"/>
            <w:vMerge w:val="continue"/>
            <w:vAlign w:val="center"/>
          </w:tcPr>
          <w:p>
            <w:pPr>
              <w:widowControl/>
              <w:adjustRightInd w:val="0"/>
              <w:snapToGrid w:val="0"/>
              <w:jc w:val="center"/>
              <w:rPr>
                <w:rFonts w:ascii="Arial" w:hAnsi="Arial" w:eastAsia="宋体" w:cs="Arial"/>
                <w:spacing w:val="24"/>
                <w:kern w:val="0"/>
                <w:sz w:val="21"/>
                <w:szCs w:val="21"/>
              </w:rPr>
            </w:pPr>
          </w:p>
        </w:tc>
        <w:tc>
          <w:tcPr>
            <w:tcW w:w="1531" w:type="dxa"/>
            <w:vMerge w:val="continue"/>
            <w:vAlign w:val="center"/>
          </w:tcPr>
          <w:p>
            <w:pPr>
              <w:widowControl/>
              <w:adjustRightInd w:val="0"/>
              <w:snapToGrid w:val="0"/>
              <w:jc w:val="center"/>
              <w:rPr>
                <w:rFonts w:ascii="Arial" w:hAnsi="Arial" w:eastAsia="宋体" w:cs="Arial"/>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7"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508" w:type="dxa"/>
            <w:vAlign w:val="center"/>
          </w:tcPr>
          <w:p>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bl>
    <w:p>
      <w:pPr>
        <w:spacing w:line="500" w:lineRule="exact"/>
        <w:ind w:firstLine="490" w:firstLineChars="200"/>
        <w:rPr>
          <w:rFonts w:ascii="Arial" w:hAnsi="Arial" w:eastAsia="宋体" w:cs="Arial"/>
          <w:spacing w:val="10"/>
          <w:sz w:val="24"/>
        </w:rPr>
      </w:pPr>
      <w:r>
        <w:rPr>
          <w:rFonts w:ascii="Arial" w:hAnsi="Arial" w:eastAsia="宋体" w:cs="Arial"/>
          <w:spacing w:val="10"/>
          <w:kern w:val="0"/>
          <w:sz w:val="24"/>
        </w:rPr>
        <w:t>根据监测结果，监测期间项目东、南、北面厂界昼、夜间声环境满足《声环境质量标准》（GB3096-2008）3类区标准，西面厂界昼、夜间声环境满足4a类区标准；</w:t>
      </w:r>
      <w:r>
        <w:rPr>
          <w:rFonts w:ascii="Arial" w:hAnsi="Arial" w:eastAsia="宋体" w:cs="Arial"/>
          <w:spacing w:val="10"/>
          <w:kern w:val="0"/>
          <w:sz w:val="24"/>
          <w:szCs w:val="24"/>
        </w:rPr>
        <w:t>北面</w:t>
      </w:r>
      <w:r>
        <w:rPr>
          <w:rFonts w:ascii="Arial" w:hAnsi="Arial" w:eastAsia="宋体" w:cs="Arial"/>
          <w:spacing w:val="24"/>
          <w:kern w:val="0"/>
          <w:sz w:val="24"/>
          <w:szCs w:val="24"/>
        </w:rPr>
        <w:t>鸡墩头村</w:t>
      </w:r>
      <w:r>
        <w:rPr>
          <w:rFonts w:ascii="Arial" w:hAnsi="Arial" w:eastAsia="宋体" w:cs="Arial"/>
          <w:spacing w:val="10"/>
          <w:kern w:val="0"/>
          <w:sz w:val="24"/>
        </w:rPr>
        <w:t>昼、夜间噪声满足2类区标准。</w:t>
      </w:r>
    </w:p>
    <w:p>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土壤环境质量现状调查与评价</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3.2.5.1土壤理化性质调查</w:t>
      </w:r>
    </w:p>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广西恒沁检测科技有限公司于2022年5月19日对厂区进行土壤理化特性调查，调查结果见表3-</w:t>
      </w:r>
      <w:r>
        <w:rPr>
          <w:rFonts w:hint="eastAsia" w:ascii="Arial" w:hAnsi="Arial" w:eastAsia="宋体" w:cs="Arial"/>
          <w:spacing w:val="10"/>
          <w:kern w:val="0"/>
          <w:sz w:val="24"/>
        </w:rPr>
        <w:t>18</w:t>
      </w:r>
      <w:r>
        <w:rPr>
          <w:rFonts w:ascii="Arial" w:hAnsi="Arial" w:eastAsia="宋体" w:cs="Arial"/>
          <w:spacing w:val="10"/>
          <w:kern w:val="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土壤理化特性调查表</w:t>
      </w:r>
    </w:p>
    <w:tbl>
      <w:tblPr>
        <w:tblStyle w:val="88"/>
        <w:tblW w:w="96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2835"/>
        <w:gridCol w:w="1804"/>
        <w:gridCol w:w="761"/>
        <w:gridCol w:w="1044"/>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djustRightInd w:val="0"/>
              <w:snapToGrid w:val="0"/>
              <w:jc w:val="center"/>
              <w:rPr>
                <w:rFonts w:ascii="Arial" w:hAnsi="Arial" w:eastAsia="宋体" w:cs="Arial"/>
                <w:spacing w:val="10"/>
                <w:sz w:val="21"/>
                <w:szCs w:val="21"/>
              </w:rPr>
            </w:pPr>
          </w:p>
        </w:tc>
        <w:tc>
          <w:tcPr>
            <w:tcW w:w="256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49"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56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49"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2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restart"/>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djustRightInd w:val="0"/>
              <w:snapToGrid w:val="0"/>
              <w:jc w:val="center"/>
              <w:rPr>
                <w:rFonts w:ascii="Arial" w:hAnsi="Arial" w:eastAsia="宋体" w:cs="Arial"/>
                <w:sz w:val="21"/>
                <w:szCs w:val="21"/>
              </w:rPr>
            </w:pPr>
          </w:p>
        </w:tc>
        <w:tc>
          <w:tcPr>
            <w:tcW w:w="1805" w:type="dxa"/>
            <w:gridSpan w:val="2"/>
            <w:shd w:val="clear" w:color="auto" w:fill="auto"/>
            <w:vAlign w:val="center"/>
          </w:tcPr>
          <w:p>
            <w:pPr>
              <w:adjustRightInd w:val="0"/>
              <w:snapToGrid w:val="0"/>
              <w:jc w:val="center"/>
              <w:rPr>
                <w:rFonts w:ascii="Arial" w:hAnsi="Arial" w:eastAsia="宋体" w:cs="Arial"/>
                <w:sz w:val="21"/>
                <w:szCs w:val="21"/>
              </w:rPr>
            </w:pPr>
          </w:p>
        </w:tc>
        <w:tc>
          <w:tcPr>
            <w:tcW w:w="1805" w:type="dxa"/>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djustRightInd w:val="0"/>
              <w:snapToGrid w:val="0"/>
              <w:jc w:val="center"/>
              <w:rPr>
                <w:rFonts w:ascii="Arial" w:hAnsi="Arial" w:eastAsia="宋体" w:cs="Arial"/>
                <w:sz w:val="21"/>
                <w:szCs w:val="21"/>
              </w:rPr>
            </w:pPr>
          </w:p>
        </w:tc>
        <w:tc>
          <w:tcPr>
            <w:tcW w:w="1805" w:type="dxa"/>
            <w:gridSpan w:val="2"/>
            <w:shd w:val="clear" w:color="auto" w:fill="auto"/>
            <w:vAlign w:val="center"/>
          </w:tcPr>
          <w:p>
            <w:pPr>
              <w:adjustRightInd w:val="0"/>
              <w:snapToGrid w:val="0"/>
              <w:jc w:val="center"/>
              <w:rPr>
                <w:rFonts w:ascii="Arial" w:hAnsi="Arial" w:eastAsia="宋体" w:cs="Arial"/>
                <w:sz w:val="21"/>
                <w:szCs w:val="21"/>
              </w:rPr>
            </w:pPr>
          </w:p>
        </w:tc>
        <w:tc>
          <w:tcPr>
            <w:tcW w:w="1805" w:type="dxa"/>
            <w:shd w:val="clear" w:color="auto" w:fill="auto"/>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restart"/>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p>
        </w:tc>
      </w:tr>
    </w:tbl>
    <w:p>
      <w:pPr>
        <w:adjustRightInd w:val="0"/>
        <w:snapToGrid w:val="0"/>
        <w:jc w:val="center"/>
        <w:rPr>
          <w:rFonts w:ascii="Arial" w:hAnsi="Arial" w:eastAsia="宋体" w:cs="Arial"/>
          <w:b/>
          <w:spacing w:val="10"/>
          <w:sz w:val="24"/>
          <w:u w:val="single"/>
        </w:rPr>
      </w:pPr>
    </w:p>
    <w:p>
      <w:pPr>
        <w:adjustRightInd w:val="0"/>
        <w:snapToGrid w:val="0"/>
        <w:jc w:val="center"/>
        <w:rPr>
          <w:rFonts w:ascii="Arial" w:hAnsi="Arial" w:eastAsia="宋体" w:cs="Arial"/>
          <w:b/>
          <w:spacing w:val="10"/>
          <w:sz w:val="24"/>
        </w:rPr>
      </w:pPr>
      <w:r>
        <w:rPr>
          <w:rFonts w:ascii="Arial" w:hAnsi="Arial" w:eastAsia="宋体" w:cs="Arial"/>
          <w:b/>
          <w:spacing w:val="10"/>
          <w:sz w:val="24"/>
        </w:rPr>
        <w:t>图3.2-1  土壤剖面图</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3.2.5.2土壤环境质量现状调查</w:t>
      </w:r>
    </w:p>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项目土壤环境质量现状调查引用2022年</w:t>
      </w:r>
      <w:r>
        <w:rPr>
          <w:rFonts w:hint="eastAsia" w:ascii="Arial" w:hAnsi="Arial" w:eastAsia="宋体" w:cs="Arial"/>
          <w:spacing w:val="10"/>
          <w:kern w:val="0"/>
          <w:sz w:val="24"/>
        </w:rPr>
        <w:t>、</w:t>
      </w:r>
      <w:r>
        <w:rPr>
          <w:rFonts w:ascii="Arial" w:hAnsi="Arial" w:eastAsia="宋体" w:cs="Arial"/>
          <w:spacing w:val="10"/>
          <w:kern w:val="0"/>
          <w:sz w:val="24"/>
        </w:rPr>
        <w:t>2023年已有监测数据进行调查，共11个土壤监测点，其中厂区内7个，厂区外4个，详见表3-</w:t>
      </w:r>
      <w:r>
        <w:rPr>
          <w:rFonts w:hint="eastAsia" w:ascii="Arial" w:hAnsi="Arial" w:eastAsia="宋体" w:cs="Arial"/>
          <w:spacing w:val="10"/>
          <w:kern w:val="0"/>
          <w:sz w:val="24"/>
        </w:rPr>
        <w:t>19</w:t>
      </w:r>
      <w:r>
        <w:rPr>
          <w:rFonts w:ascii="Arial" w:hAnsi="Arial" w:eastAsia="宋体" w:cs="Arial"/>
          <w:spacing w:val="10"/>
          <w:kern w:val="0"/>
          <w:sz w:val="24"/>
        </w:rPr>
        <w:t>。</w:t>
      </w:r>
    </w:p>
    <w:p>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土壤环境质量监测信息表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993"/>
        <w:gridCol w:w="1707"/>
        <w:gridCol w:w="937"/>
        <w:gridCol w:w="1977"/>
        <w:gridCol w:w="2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93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utoSpaceDE w:val="0"/>
              <w:autoSpaceDN w:val="0"/>
              <w:spacing w:line="240" w:lineRule="exact"/>
              <w:ind w:left="164" w:right="163"/>
              <w:jc w:val="center"/>
              <w:rPr>
                <w:rFonts w:ascii="Arial" w:hAnsi="Arial" w:eastAsia="宋体" w:cs="Arial"/>
                <w:kern w:val="0"/>
                <w:sz w:val="21"/>
                <w:szCs w:val="21"/>
                <w:lang w:eastAsia="en-US"/>
              </w:rPr>
            </w:pPr>
          </w:p>
        </w:tc>
        <w:tc>
          <w:tcPr>
            <w:tcW w:w="937" w:type="dxa"/>
            <w:vMerge w:val="continue"/>
            <w:shd w:val="clear" w:color="auto" w:fill="auto"/>
            <w:vAlign w:val="center"/>
          </w:tcPr>
          <w:p>
            <w:pPr>
              <w:autoSpaceDE w:val="0"/>
              <w:autoSpaceDN w:val="0"/>
              <w:spacing w:line="240" w:lineRule="exact"/>
              <w:ind w:left="164" w:right="163"/>
              <w:jc w:val="center"/>
              <w:rPr>
                <w:rFonts w:ascii="Arial" w:hAnsi="Arial" w:eastAsia="宋体" w:cs="Arial"/>
                <w:kern w:val="0"/>
                <w:sz w:val="21"/>
                <w:szCs w:val="21"/>
                <w:lang w:eastAsia="en-US"/>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utoSpaceDE w:val="0"/>
              <w:autoSpaceDN w:val="0"/>
              <w:spacing w:line="240" w:lineRule="exact"/>
              <w:ind w:left="163" w:right="163"/>
              <w:jc w:val="center"/>
              <w:rPr>
                <w:rFonts w:ascii="Arial" w:hAnsi="Arial" w:eastAsia="宋体" w:cs="Arial"/>
                <w:kern w:val="0"/>
                <w:sz w:val="21"/>
                <w:szCs w:val="21"/>
                <w:lang w:eastAsia="en-US"/>
              </w:rPr>
            </w:pPr>
          </w:p>
        </w:tc>
        <w:tc>
          <w:tcPr>
            <w:tcW w:w="937" w:type="dxa"/>
            <w:vMerge w:val="continue"/>
            <w:shd w:val="clear" w:color="auto" w:fill="auto"/>
            <w:vAlign w:val="center"/>
          </w:tcPr>
          <w:p>
            <w:pPr>
              <w:autoSpaceDE w:val="0"/>
              <w:autoSpaceDN w:val="0"/>
              <w:spacing w:line="240" w:lineRule="exact"/>
              <w:ind w:left="163" w:right="163"/>
              <w:jc w:val="center"/>
              <w:rPr>
                <w:rFonts w:ascii="Arial" w:hAnsi="Arial" w:eastAsia="宋体" w:cs="Arial"/>
                <w:kern w:val="0"/>
                <w:sz w:val="21"/>
                <w:szCs w:val="21"/>
                <w:lang w:eastAsia="en-US"/>
              </w:rPr>
            </w:pPr>
          </w:p>
        </w:tc>
        <w:tc>
          <w:tcPr>
            <w:tcW w:w="1977" w:type="dxa"/>
            <w:vMerge w:val="restart"/>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96"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993" w:type="dxa"/>
            <w:shd w:val="clear" w:color="auto" w:fill="auto"/>
            <w:vAlign w:val="center"/>
          </w:tcPr>
          <w:p>
            <w:pPr>
              <w:adjustRightInd w:val="0"/>
              <w:snapToGrid w:val="0"/>
              <w:spacing w:line="240" w:lineRule="exact"/>
              <w:jc w:val="center"/>
              <w:rPr>
                <w:rFonts w:ascii="Arial" w:hAnsi="Arial" w:eastAsia="宋体" w:cs="Arial"/>
                <w:sz w:val="21"/>
                <w:szCs w:val="21"/>
              </w:rPr>
            </w:pPr>
          </w:p>
        </w:tc>
        <w:tc>
          <w:tcPr>
            <w:tcW w:w="1707" w:type="dxa"/>
            <w:shd w:val="clear" w:color="auto" w:fill="auto"/>
            <w:vAlign w:val="center"/>
          </w:tcPr>
          <w:p>
            <w:pPr>
              <w:autoSpaceDE w:val="0"/>
              <w:autoSpaceDN w:val="0"/>
              <w:spacing w:line="240" w:lineRule="exact"/>
              <w:ind w:left="165" w:right="163"/>
              <w:jc w:val="center"/>
              <w:rPr>
                <w:rFonts w:ascii="Arial" w:hAnsi="Arial" w:eastAsia="宋体" w:cs="Arial"/>
                <w:kern w:val="0"/>
                <w:sz w:val="21"/>
                <w:szCs w:val="21"/>
                <w:lang w:eastAsia="en-US"/>
              </w:rPr>
            </w:pPr>
          </w:p>
        </w:tc>
        <w:tc>
          <w:tcPr>
            <w:tcW w:w="937" w:type="dxa"/>
            <w:vMerge w:val="continue"/>
            <w:shd w:val="clear" w:color="auto" w:fill="auto"/>
            <w:vAlign w:val="center"/>
          </w:tcPr>
          <w:p>
            <w:pPr>
              <w:autoSpaceDE w:val="0"/>
              <w:autoSpaceDN w:val="0"/>
              <w:spacing w:line="240" w:lineRule="exact"/>
              <w:ind w:left="165" w:right="163"/>
              <w:jc w:val="center"/>
              <w:rPr>
                <w:rFonts w:ascii="Arial" w:hAnsi="Arial" w:eastAsia="宋体" w:cs="Arial"/>
                <w:kern w:val="0"/>
                <w:sz w:val="21"/>
                <w:szCs w:val="21"/>
                <w:lang w:eastAsia="en-US"/>
              </w:rPr>
            </w:pPr>
          </w:p>
        </w:tc>
        <w:tc>
          <w:tcPr>
            <w:tcW w:w="1977"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c>
          <w:tcPr>
            <w:tcW w:w="2583" w:type="dxa"/>
            <w:vMerge w:val="continue"/>
            <w:shd w:val="clear" w:color="auto" w:fill="auto"/>
            <w:vAlign w:val="center"/>
          </w:tcPr>
          <w:p>
            <w:pPr>
              <w:adjustRightInd w:val="0"/>
              <w:snapToGrid w:val="0"/>
              <w:spacing w:line="240" w:lineRule="exact"/>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监测结果见表3-</w:t>
      </w:r>
      <w:r>
        <w:rPr>
          <w:rFonts w:hint="eastAsia" w:ascii="Arial" w:hAnsi="Arial" w:eastAsia="宋体" w:cs="Arial"/>
          <w:spacing w:val="10"/>
          <w:kern w:val="0"/>
          <w:sz w:val="24"/>
        </w:rPr>
        <w:t>20</w:t>
      </w:r>
      <w:r>
        <w:rPr>
          <w:rFonts w:ascii="Arial" w:hAnsi="Arial" w:eastAsia="宋体" w:cs="Arial"/>
          <w:spacing w:val="10"/>
          <w:kern w:val="0"/>
          <w:sz w:val="24"/>
        </w:rPr>
        <w:t>~表3-</w:t>
      </w:r>
      <w:r>
        <w:rPr>
          <w:rFonts w:hint="eastAsia" w:ascii="Arial" w:hAnsi="Arial" w:eastAsia="宋体" w:cs="Arial"/>
          <w:spacing w:val="10"/>
          <w:kern w:val="0"/>
          <w:sz w:val="24"/>
        </w:rPr>
        <w:t>26</w:t>
      </w:r>
      <w:r>
        <w:rPr>
          <w:rFonts w:ascii="Arial" w:hAnsi="Arial" w:eastAsia="宋体" w:cs="Arial"/>
          <w:spacing w:val="10"/>
          <w:kern w:val="0"/>
          <w:sz w:val="24"/>
        </w:rPr>
        <w:t>。</w:t>
      </w:r>
    </w:p>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T1羟基钴车间旁土壤现状监测结果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1595"/>
        <w:gridCol w:w="1631"/>
        <w:gridCol w:w="1630"/>
        <w:gridCol w:w="118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restart"/>
            <w:vAlign w:val="center"/>
          </w:tcPr>
          <w:p>
            <w:pPr>
              <w:adjustRightInd w:val="0"/>
              <w:snapToGrid w:val="0"/>
              <w:jc w:val="center"/>
              <w:rPr>
                <w:rFonts w:ascii="Arial" w:hAnsi="Arial" w:eastAsia="宋体" w:cs="Arial"/>
                <w:kern w:val="0"/>
                <w:sz w:val="21"/>
                <w:szCs w:val="21"/>
              </w:rPr>
            </w:pPr>
          </w:p>
        </w:tc>
        <w:tc>
          <w:tcPr>
            <w:tcW w:w="4856" w:type="dxa"/>
            <w:gridSpan w:val="3"/>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continue"/>
            <w:vAlign w:val="center"/>
          </w:tcPr>
          <w:p>
            <w:pPr>
              <w:widowControl/>
              <w:adjustRightInd w:val="0"/>
              <w:snapToGrid w:val="0"/>
              <w:jc w:val="center"/>
              <w:rPr>
                <w:rFonts w:ascii="Arial" w:hAnsi="Arial" w:eastAsia="宋体" w:cs="Arial"/>
                <w:kern w:val="0"/>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eastAsiaTheme="minorEastAsia"/>
                <w:sz w:val="21"/>
                <w:szCs w:val="21"/>
              </w:rPr>
            </w:pPr>
          </w:p>
        </w:tc>
        <w:tc>
          <w:tcPr>
            <w:tcW w:w="1631" w:type="dxa"/>
            <w:vAlign w:val="center"/>
          </w:tcPr>
          <w:p>
            <w:pPr>
              <w:adjustRightInd w:val="0"/>
              <w:snapToGrid w:val="0"/>
              <w:jc w:val="center"/>
              <w:rPr>
                <w:rFonts w:ascii="Arial" w:hAnsi="Arial" w:cs="Arial" w:eastAsiaTheme="minorEastAsia"/>
                <w:sz w:val="21"/>
                <w:szCs w:val="21"/>
              </w:rPr>
            </w:pPr>
          </w:p>
        </w:tc>
        <w:tc>
          <w:tcPr>
            <w:tcW w:w="1630"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T2MSP萃取车间旁土壤现状监测结果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1595"/>
        <w:gridCol w:w="1631"/>
        <w:gridCol w:w="1630"/>
        <w:gridCol w:w="118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restart"/>
            <w:vAlign w:val="center"/>
          </w:tcPr>
          <w:p>
            <w:pPr>
              <w:adjustRightInd w:val="0"/>
              <w:snapToGrid w:val="0"/>
              <w:jc w:val="center"/>
              <w:rPr>
                <w:rFonts w:ascii="Arial" w:hAnsi="Arial" w:eastAsia="宋体" w:cs="Arial"/>
                <w:kern w:val="0"/>
                <w:sz w:val="21"/>
                <w:szCs w:val="21"/>
              </w:rPr>
            </w:pPr>
          </w:p>
        </w:tc>
        <w:tc>
          <w:tcPr>
            <w:tcW w:w="4856" w:type="dxa"/>
            <w:gridSpan w:val="3"/>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continue"/>
            <w:vAlign w:val="center"/>
          </w:tcPr>
          <w:p>
            <w:pPr>
              <w:widowControl/>
              <w:adjustRightInd w:val="0"/>
              <w:snapToGrid w:val="0"/>
              <w:jc w:val="center"/>
              <w:rPr>
                <w:rFonts w:ascii="Arial" w:hAnsi="Arial" w:eastAsia="宋体" w:cs="Arial"/>
                <w:kern w:val="0"/>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cs="Arial" w:eastAsiaTheme="minorEastAsia"/>
                <w:sz w:val="21"/>
                <w:szCs w:val="21"/>
              </w:rPr>
            </w:pPr>
          </w:p>
        </w:tc>
        <w:tc>
          <w:tcPr>
            <w:tcW w:w="1595" w:type="dxa"/>
            <w:vAlign w:val="center"/>
          </w:tcPr>
          <w:p>
            <w:pPr>
              <w:adjustRightInd w:val="0"/>
              <w:snapToGrid w:val="0"/>
              <w:jc w:val="center"/>
              <w:rPr>
                <w:rFonts w:ascii="Arial" w:hAnsi="Arial" w:cs="Arial" w:eastAsiaTheme="minorEastAsia"/>
                <w:sz w:val="21"/>
                <w:szCs w:val="21"/>
              </w:rPr>
            </w:pPr>
          </w:p>
        </w:tc>
        <w:tc>
          <w:tcPr>
            <w:tcW w:w="1631" w:type="dxa"/>
            <w:vAlign w:val="center"/>
          </w:tcPr>
          <w:p>
            <w:pPr>
              <w:adjustRightInd w:val="0"/>
              <w:snapToGrid w:val="0"/>
              <w:jc w:val="center"/>
              <w:rPr>
                <w:rFonts w:ascii="Arial" w:hAnsi="Arial" w:cs="Arial" w:eastAsiaTheme="minorEastAsia"/>
                <w:sz w:val="21"/>
                <w:szCs w:val="21"/>
              </w:rPr>
            </w:pPr>
          </w:p>
        </w:tc>
        <w:tc>
          <w:tcPr>
            <w:tcW w:w="1630"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T3电积镍车间旁土壤现状监测结果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1595"/>
        <w:gridCol w:w="1631"/>
        <w:gridCol w:w="1630"/>
        <w:gridCol w:w="118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restart"/>
            <w:vAlign w:val="center"/>
          </w:tcPr>
          <w:p>
            <w:pPr>
              <w:adjustRightInd w:val="0"/>
              <w:snapToGrid w:val="0"/>
              <w:jc w:val="center"/>
              <w:rPr>
                <w:rFonts w:ascii="Arial" w:hAnsi="Arial" w:eastAsia="宋体" w:cs="Arial"/>
                <w:kern w:val="0"/>
                <w:sz w:val="21"/>
                <w:szCs w:val="21"/>
              </w:rPr>
            </w:pPr>
          </w:p>
        </w:tc>
        <w:tc>
          <w:tcPr>
            <w:tcW w:w="4856" w:type="dxa"/>
            <w:gridSpan w:val="3"/>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continue"/>
            <w:vAlign w:val="center"/>
          </w:tcPr>
          <w:p>
            <w:pPr>
              <w:widowControl/>
              <w:adjustRightInd w:val="0"/>
              <w:snapToGrid w:val="0"/>
              <w:jc w:val="center"/>
              <w:rPr>
                <w:rFonts w:ascii="Arial" w:hAnsi="Arial" w:eastAsia="宋体" w:cs="Arial"/>
                <w:kern w:val="0"/>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cs="Arial" w:eastAsiaTheme="minorEastAsia"/>
                <w:sz w:val="21"/>
                <w:szCs w:val="21"/>
              </w:rPr>
            </w:pPr>
          </w:p>
        </w:tc>
        <w:tc>
          <w:tcPr>
            <w:tcW w:w="1595" w:type="dxa"/>
            <w:vAlign w:val="center"/>
          </w:tcPr>
          <w:p>
            <w:pPr>
              <w:adjustRightInd w:val="0"/>
              <w:snapToGrid w:val="0"/>
              <w:jc w:val="center"/>
              <w:rPr>
                <w:rFonts w:ascii="Arial" w:hAnsi="Arial" w:cs="Arial" w:eastAsiaTheme="minorEastAsia"/>
                <w:sz w:val="21"/>
                <w:szCs w:val="21"/>
              </w:rPr>
            </w:pPr>
          </w:p>
        </w:tc>
        <w:tc>
          <w:tcPr>
            <w:tcW w:w="1631" w:type="dxa"/>
            <w:vAlign w:val="center"/>
          </w:tcPr>
          <w:p>
            <w:pPr>
              <w:adjustRightInd w:val="0"/>
              <w:snapToGrid w:val="0"/>
              <w:jc w:val="center"/>
              <w:rPr>
                <w:rFonts w:ascii="Arial" w:hAnsi="Arial" w:cs="Arial" w:eastAsiaTheme="minorEastAsia"/>
                <w:sz w:val="21"/>
                <w:szCs w:val="21"/>
              </w:rPr>
            </w:pPr>
          </w:p>
        </w:tc>
        <w:tc>
          <w:tcPr>
            <w:tcW w:w="1630"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T4加油站旁土壤现状监测结果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1595"/>
        <w:gridCol w:w="1631"/>
        <w:gridCol w:w="1630"/>
        <w:gridCol w:w="118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restart"/>
            <w:vAlign w:val="center"/>
          </w:tcPr>
          <w:p>
            <w:pPr>
              <w:adjustRightInd w:val="0"/>
              <w:snapToGrid w:val="0"/>
              <w:jc w:val="center"/>
              <w:rPr>
                <w:rFonts w:ascii="Arial" w:hAnsi="Arial" w:eastAsia="宋体" w:cs="Arial"/>
                <w:kern w:val="0"/>
                <w:sz w:val="21"/>
                <w:szCs w:val="21"/>
              </w:rPr>
            </w:pPr>
          </w:p>
        </w:tc>
        <w:tc>
          <w:tcPr>
            <w:tcW w:w="4856" w:type="dxa"/>
            <w:gridSpan w:val="3"/>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continue"/>
            <w:vAlign w:val="center"/>
          </w:tcPr>
          <w:p>
            <w:pPr>
              <w:widowControl/>
              <w:adjustRightInd w:val="0"/>
              <w:snapToGrid w:val="0"/>
              <w:jc w:val="center"/>
              <w:rPr>
                <w:rFonts w:ascii="Arial" w:hAnsi="Arial" w:eastAsia="宋体" w:cs="Arial"/>
                <w:kern w:val="0"/>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cs="Arial" w:eastAsiaTheme="minorEastAsia"/>
                <w:sz w:val="21"/>
                <w:szCs w:val="21"/>
              </w:rPr>
            </w:pPr>
          </w:p>
        </w:tc>
        <w:tc>
          <w:tcPr>
            <w:tcW w:w="1595" w:type="dxa"/>
            <w:vAlign w:val="center"/>
          </w:tcPr>
          <w:p>
            <w:pPr>
              <w:adjustRightInd w:val="0"/>
              <w:snapToGrid w:val="0"/>
              <w:jc w:val="center"/>
              <w:rPr>
                <w:rFonts w:ascii="Arial" w:hAnsi="Arial" w:cs="Arial" w:eastAsiaTheme="minorEastAsia"/>
                <w:sz w:val="21"/>
                <w:szCs w:val="21"/>
              </w:rPr>
            </w:pPr>
          </w:p>
        </w:tc>
        <w:tc>
          <w:tcPr>
            <w:tcW w:w="1631" w:type="dxa"/>
            <w:vAlign w:val="center"/>
          </w:tcPr>
          <w:p>
            <w:pPr>
              <w:adjustRightInd w:val="0"/>
              <w:snapToGrid w:val="0"/>
              <w:jc w:val="center"/>
              <w:rPr>
                <w:rFonts w:ascii="Arial" w:hAnsi="Arial" w:cs="Arial" w:eastAsiaTheme="minorEastAsia"/>
                <w:sz w:val="21"/>
                <w:szCs w:val="21"/>
              </w:rPr>
            </w:pPr>
          </w:p>
        </w:tc>
        <w:tc>
          <w:tcPr>
            <w:tcW w:w="1630"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cs="Arial"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T5吹炼车间旁土壤现状监测结果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1595"/>
        <w:gridCol w:w="1631"/>
        <w:gridCol w:w="1630"/>
        <w:gridCol w:w="118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restart"/>
            <w:vAlign w:val="center"/>
          </w:tcPr>
          <w:p>
            <w:pPr>
              <w:adjustRightInd w:val="0"/>
              <w:snapToGrid w:val="0"/>
              <w:jc w:val="center"/>
              <w:rPr>
                <w:rFonts w:ascii="Arial" w:hAnsi="Arial" w:eastAsia="宋体" w:cs="Arial"/>
                <w:kern w:val="0"/>
                <w:sz w:val="21"/>
                <w:szCs w:val="21"/>
              </w:rPr>
            </w:pPr>
          </w:p>
        </w:tc>
        <w:tc>
          <w:tcPr>
            <w:tcW w:w="4856" w:type="dxa"/>
            <w:gridSpan w:val="3"/>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2"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3" w:type="dxa"/>
            <w:vMerge w:val="continue"/>
            <w:vAlign w:val="center"/>
          </w:tcPr>
          <w:p>
            <w:pPr>
              <w:widowControl/>
              <w:adjustRightInd w:val="0"/>
              <w:snapToGrid w:val="0"/>
              <w:jc w:val="center"/>
              <w:rPr>
                <w:rFonts w:ascii="Arial" w:hAnsi="Arial" w:eastAsia="宋体" w:cs="Arial"/>
                <w:kern w:val="0"/>
                <w:sz w:val="21"/>
                <w:szCs w:val="21"/>
              </w:rPr>
            </w:pPr>
          </w:p>
        </w:tc>
        <w:tc>
          <w:tcPr>
            <w:tcW w:w="1595" w:type="dxa"/>
            <w:vAlign w:val="center"/>
          </w:tcPr>
          <w:p>
            <w:pPr>
              <w:adjustRightInd w:val="0"/>
              <w:snapToGrid w:val="0"/>
              <w:jc w:val="center"/>
              <w:rPr>
                <w:rFonts w:ascii="Arial" w:hAnsi="Arial" w:eastAsia="宋体" w:cs="Arial"/>
                <w:sz w:val="21"/>
                <w:szCs w:val="21"/>
              </w:rPr>
            </w:pPr>
          </w:p>
        </w:tc>
        <w:tc>
          <w:tcPr>
            <w:tcW w:w="1631" w:type="dxa"/>
            <w:vAlign w:val="center"/>
          </w:tcPr>
          <w:p>
            <w:pPr>
              <w:adjustRightInd w:val="0"/>
              <w:snapToGrid w:val="0"/>
              <w:jc w:val="center"/>
              <w:rPr>
                <w:rFonts w:ascii="Arial" w:hAnsi="Arial" w:eastAsia="宋体" w:cs="Arial"/>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adjustRightInd w:val="0"/>
              <w:snapToGrid w:val="0"/>
              <w:jc w:val="center"/>
              <w:rPr>
                <w:rFonts w:ascii="Arial" w:hAnsi="Arial" w:cs="Arial"/>
                <w:sz w:val="21"/>
                <w:szCs w:val="21"/>
              </w:rPr>
            </w:pPr>
          </w:p>
        </w:tc>
        <w:tc>
          <w:tcPr>
            <w:tcW w:w="1631" w:type="dxa"/>
            <w:vAlign w:val="center"/>
          </w:tcPr>
          <w:p>
            <w:pPr>
              <w:adjustRightInd w:val="0"/>
              <w:snapToGrid w:val="0"/>
              <w:jc w:val="center"/>
              <w:rPr>
                <w:rFonts w:ascii="Arial" w:hAnsi="Arial" w:cs="Arial"/>
                <w:sz w:val="21"/>
                <w:szCs w:val="21"/>
              </w:rPr>
            </w:pPr>
          </w:p>
        </w:tc>
        <w:tc>
          <w:tcPr>
            <w:tcW w:w="1630" w:type="dxa"/>
            <w:vAlign w:val="center"/>
          </w:tcPr>
          <w:p>
            <w:pPr>
              <w:adjustRightInd w:val="0"/>
              <w:snapToGrid w:val="0"/>
              <w:jc w:val="center"/>
              <w:rPr>
                <w:rFonts w:ascii="Arial" w:hAnsi="Arial"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adjustRightInd w:val="0"/>
              <w:snapToGrid w:val="0"/>
              <w:jc w:val="center"/>
              <w:rPr>
                <w:rFonts w:ascii="Arial" w:hAnsi="Arial" w:eastAsia="宋体" w:cs="Arial"/>
                <w:sz w:val="21"/>
                <w:szCs w:val="21"/>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595" w:type="dxa"/>
            <w:vAlign w:val="center"/>
          </w:tcPr>
          <w:p>
            <w:pPr>
              <w:adjustRightInd w:val="0"/>
              <w:snapToGrid w:val="0"/>
              <w:jc w:val="center"/>
              <w:rPr>
                <w:rFonts w:ascii="Arial" w:hAnsi="Arial" w:eastAsia="宋体" w:cs="Arial"/>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595" w:type="dxa"/>
            <w:vAlign w:val="center"/>
          </w:tcPr>
          <w:p>
            <w:pPr>
              <w:adjustRightInd w:val="0"/>
              <w:snapToGrid w:val="0"/>
              <w:jc w:val="center"/>
              <w:rPr>
                <w:rFonts w:ascii="Arial" w:hAnsi="Arial" w:eastAsia="宋体" w:cs="Arial"/>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595" w:type="dxa"/>
            <w:vAlign w:val="center"/>
          </w:tcPr>
          <w:p>
            <w:pPr>
              <w:adjustRightInd w:val="0"/>
              <w:snapToGrid w:val="0"/>
              <w:jc w:val="center"/>
              <w:rPr>
                <w:rFonts w:ascii="Arial" w:hAnsi="Arial" w:eastAsia="宋体" w:cs="Arial"/>
                <w:sz w:val="21"/>
                <w:szCs w:val="21"/>
                <w:lang w:bidi="ar"/>
              </w:rPr>
            </w:pPr>
          </w:p>
        </w:tc>
        <w:tc>
          <w:tcPr>
            <w:tcW w:w="1631" w:type="dxa"/>
            <w:vAlign w:val="center"/>
          </w:tcPr>
          <w:p>
            <w:pPr>
              <w:adjustRightInd w:val="0"/>
              <w:snapToGrid w:val="0"/>
              <w:jc w:val="center"/>
              <w:rPr>
                <w:rFonts w:ascii="Arial" w:hAnsi="Arial" w:eastAsia="宋体" w:cs="Arial"/>
                <w:sz w:val="21"/>
                <w:szCs w:val="21"/>
                <w:lang w:bidi="ar"/>
              </w:rPr>
            </w:pPr>
          </w:p>
        </w:tc>
        <w:tc>
          <w:tcPr>
            <w:tcW w:w="1630" w:type="dxa"/>
            <w:vAlign w:val="center"/>
          </w:tcPr>
          <w:p>
            <w:pPr>
              <w:adjustRightInd w:val="0"/>
              <w:snapToGrid w:val="0"/>
              <w:jc w:val="center"/>
              <w:rPr>
                <w:rFonts w:ascii="Arial" w:hAnsi="Arial" w:eastAsia="宋体" w:cs="Arial"/>
                <w:sz w:val="21"/>
                <w:szCs w:val="21"/>
                <w:lang w:bidi="ar"/>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3"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59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631" w:type="dxa"/>
            <w:vAlign w:val="center"/>
          </w:tcPr>
          <w:p>
            <w:pPr>
              <w:adjustRightInd w:val="0"/>
              <w:snapToGrid w:val="0"/>
              <w:jc w:val="center"/>
              <w:rPr>
                <w:rFonts w:ascii="Arial" w:hAnsi="Arial" w:eastAsia="宋体" w:cs="Arial"/>
                <w:kern w:val="0"/>
                <w:sz w:val="21"/>
                <w:szCs w:val="21"/>
              </w:rPr>
            </w:pPr>
          </w:p>
        </w:tc>
        <w:tc>
          <w:tcPr>
            <w:tcW w:w="1630" w:type="dxa"/>
            <w:vAlign w:val="center"/>
          </w:tcPr>
          <w:p>
            <w:pPr>
              <w:adjustRightInd w:val="0"/>
              <w:snapToGrid w:val="0"/>
              <w:jc w:val="center"/>
              <w:rPr>
                <w:rFonts w:ascii="Arial" w:hAnsi="Arial" w:eastAsia="宋体" w:cs="Arial"/>
                <w:kern w:val="0"/>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T6~T9土壤现状监测结果   单位：mg/kg（pH除外）</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5"/>
        <w:gridCol w:w="1214"/>
        <w:gridCol w:w="1214"/>
        <w:gridCol w:w="1214"/>
        <w:gridCol w:w="1214"/>
        <w:gridCol w:w="1182"/>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5" w:type="dxa"/>
            <w:vMerge w:val="restart"/>
            <w:vAlign w:val="center"/>
          </w:tcPr>
          <w:p>
            <w:pPr>
              <w:adjustRightInd w:val="0"/>
              <w:snapToGrid w:val="0"/>
              <w:jc w:val="center"/>
              <w:rPr>
                <w:rFonts w:ascii="Arial" w:hAnsi="Arial" w:eastAsia="宋体" w:cs="Arial"/>
                <w:kern w:val="0"/>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Merge w:val="restart"/>
            <w:vAlign w:val="center"/>
          </w:tcPr>
          <w:p>
            <w:pPr>
              <w:adjustRightInd w:val="0"/>
              <w:snapToGrid w:val="0"/>
              <w:jc w:val="center"/>
              <w:rPr>
                <w:rFonts w:ascii="Arial" w:hAnsi="Arial" w:eastAsia="宋体" w:cs="Arial"/>
                <w:kern w:val="0"/>
                <w:sz w:val="21"/>
                <w:szCs w:val="21"/>
              </w:rPr>
            </w:pPr>
          </w:p>
        </w:tc>
        <w:tc>
          <w:tcPr>
            <w:tcW w:w="1180" w:type="dxa"/>
            <w:vMerge w:val="restart"/>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75" w:type="dxa"/>
            <w:vMerge w:val="continue"/>
            <w:vAlign w:val="center"/>
          </w:tcPr>
          <w:p>
            <w:pPr>
              <w:widowControl/>
              <w:adjustRightInd w:val="0"/>
              <w:snapToGrid w:val="0"/>
              <w:jc w:val="center"/>
              <w:rPr>
                <w:rFonts w:ascii="Arial" w:hAnsi="Arial" w:eastAsia="宋体" w:cs="Arial"/>
                <w:kern w:val="0"/>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Merge w:val="continue"/>
            <w:vAlign w:val="center"/>
          </w:tcPr>
          <w:p>
            <w:pPr>
              <w:widowControl/>
              <w:adjustRightInd w:val="0"/>
              <w:snapToGrid w:val="0"/>
              <w:jc w:val="center"/>
              <w:rPr>
                <w:rFonts w:ascii="Arial" w:hAnsi="Arial" w:eastAsia="宋体" w:cs="Arial"/>
                <w:kern w:val="0"/>
                <w:sz w:val="21"/>
                <w:szCs w:val="21"/>
              </w:rPr>
            </w:pPr>
          </w:p>
        </w:tc>
        <w:tc>
          <w:tcPr>
            <w:tcW w:w="1180"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214" w:type="dxa"/>
            <w:vAlign w:val="center"/>
          </w:tcPr>
          <w:p>
            <w:pPr>
              <w:adjustRightInd w:val="0"/>
              <w:snapToGrid w:val="0"/>
              <w:jc w:val="center"/>
              <w:rPr>
                <w:rFonts w:ascii="Arial" w:hAnsi="Arial" w:cs="Arial" w:eastAsiaTheme="minorEastAsia"/>
                <w:sz w:val="21"/>
                <w:szCs w:val="21"/>
              </w:rPr>
            </w:pPr>
          </w:p>
        </w:tc>
        <w:tc>
          <w:tcPr>
            <w:tcW w:w="1214" w:type="dxa"/>
            <w:vAlign w:val="center"/>
          </w:tcPr>
          <w:p>
            <w:pPr>
              <w:adjustRightInd w:val="0"/>
              <w:snapToGrid w:val="0"/>
              <w:jc w:val="center"/>
              <w:rPr>
                <w:rFonts w:ascii="Arial" w:hAnsi="Arial" w:cs="Arial" w:eastAsiaTheme="minorEastAsia"/>
                <w:sz w:val="21"/>
                <w:szCs w:val="21"/>
              </w:rPr>
            </w:pPr>
          </w:p>
        </w:tc>
        <w:tc>
          <w:tcPr>
            <w:tcW w:w="1214" w:type="dxa"/>
            <w:vAlign w:val="center"/>
          </w:tcPr>
          <w:p>
            <w:pPr>
              <w:adjustRightInd w:val="0"/>
              <w:snapToGrid w:val="0"/>
              <w:jc w:val="center"/>
              <w:rPr>
                <w:rFonts w:ascii="Arial" w:hAnsi="Arial" w:cs="Arial" w:eastAsiaTheme="minorEastAsia"/>
                <w:sz w:val="21"/>
                <w:szCs w:val="21"/>
              </w:rPr>
            </w:pPr>
          </w:p>
        </w:tc>
        <w:tc>
          <w:tcPr>
            <w:tcW w:w="1214" w:type="dxa"/>
            <w:vAlign w:val="center"/>
          </w:tcPr>
          <w:p>
            <w:pPr>
              <w:adjustRightInd w:val="0"/>
              <w:snapToGrid w:val="0"/>
              <w:jc w:val="center"/>
              <w:rPr>
                <w:rFonts w:ascii="Arial" w:hAnsi="Arial" w:cs="Arial" w:eastAsiaTheme="minorEastAsia"/>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75" w:type="dxa"/>
            <w:vAlign w:val="center"/>
          </w:tcPr>
          <w:p>
            <w:pPr>
              <w:widowControl/>
              <w:adjustRightInd w:val="0"/>
              <w:snapToGrid w:val="0"/>
              <w:jc w:val="center"/>
              <w:textAlignment w:val="center"/>
              <w:rPr>
                <w:rFonts w:ascii="Arial" w:hAnsi="Arial" w:eastAsia="宋体" w:cs="Arial"/>
                <w:kern w:val="0"/>
                <w:sz w:val="21"/>
                <w:szCs w:val="21"/>
                <w:lang w:bidi="ar"/>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214" w:type="dxa"/>
            <w:vAlign w:val="center"/>
          </w:tcPr>
          <w:p>
            <w:pPr>
              <w:adjustRightInd w:val="0"/>
              <w:snapToGrid w:val="0"/>
              <w:jc w:val="center"/>
              <w:rPr>
                <w:rFonts w:ascii="Arial" w:hAnsi="Arial" w:eastAsia="宋体" w:cs="Arial"/>
                <w:sz w:val="21"/>
                <w:szCs w:val="21"/>
              </w:rPr>
            </w:pPr>
          </w:p>
        </w:tc>
        <w:tc>
          <w:tcPr>
            <w:tcW w:w="1182" w:type="dxa"/>
            <w:vAlign w:val="center"/>
          </w:tcPr>
          <w:p>
            <w:pPr>
              <w:adjustRightInd w:val="0"/>
              <w:snapToGrid w:val="0"/>
              <w:jc w:val="center"/>
              <w:rPr>
                <w:rFonts w:ascii="Arial" w:hAnsi="Arial" w:eastAsia="宋体" w:cs="Arial"/>
                <w:sz w:val="21"/>
                <w:szCs w:val="21"/>
              </w:rPr>
            </w:pPr>
          </w:p>
        </w:tc>
        <w:tc>
          <w:tcPr>
            <w:tcW w:w="1180" w:type="dxa"/>
            <w:vAlign w:val="center"/>
          </w:tcPr>
          <w:p>
            <w:pPr>
              <w:adjustRightInd w:val="0"/>
              <w:snapToGrid w:val="0"/>
              <w:jc w:val="center"/>
              <w:rPr>
                <w:rFonts w:ascii="Arial" w:hAnsi="Arial" w:eastAsia="宋体" w:cs="Arial"/>
                <w:sz w:val="21"/>
                <w:szCs w:val="21"/>
              </w:rPr>
            </w:pPr>
          </w:p>
        </w:tc>
      </w:tr>
    </w:tbl>
    <w:p>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T10、T11土壤现状监测结果   单位：mg/kg（pH除外）</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8"/>
        <w:gridCol w:w="2309"/>
        <w:gridCol w:w="2203"/>
        <w:gridCol w:w="1642"/>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vMerge w:val="restart"/>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Merge w:val="restart"/>
            <w:vAlign w:val="center"/>
          </w:tcPr>
          <w:p>
            <w:pPr>
              <w:widowControl/>
              <w:adjustRightInd w:val="0"/>
              <w:snapToGrid w:val="0"/>
              <w:jc w:val="center"/>
              <w:rPr>
                <w:rFonts w:ascii="Arial" w:hAnsi="Arial" w:eastAsia="宋体" w:cs="Arial"/>
                <w:kern w:val="0"/>
                <w:sz w:val="21"/>
                <w:szCs w:val="21"/>
              </w:rPr>
            </w:pPr>
          </w:p>
        </w:tc>
        <w:tc>
          <w:tcPr>
            <w:tcW w:w="1361" w:type="dxa"/>
            <w:vMerge w:val="restart"/>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vMerge w:val="continue"/>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Merge w:val="continue"/>
            <w:vAlign w:val="center"/>
          </w:tcPr>
          <w:p>
            <w:pPr>
              <w:widowControl/>
              <w:adjustRightInd w:val="0"/>
              <w:snapToGrid w:val="0"/>
              <w:jc w:val="center"/>
              <w:rPr>
                <w:rFonts w:ascii="Arial" w:hAnsi="Arial" w:eastAsia="宋体" w:cs="Arial"/>
                <w:kern w:val="0"/>
                <w:sz w:val="21"/>
                <w:szCs w:val="21"/>
              </w:rPr>
            </w:pPr>
          </w:p>
        </w:tc>
        <w:tc>
          <w:tcPr>
            <w:tcW w:w="1361" w:type="dxa"/>
            <w:vMerge w:val="continue"/>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309"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2203" w:type="dxa"/>
            <w:shd w:val="clear" w:color="auto" w:fill="auto"/>
            <w:vAlign w:val="center"/>
          </w:tcPr>
          <w:p>
            <w:pPr>
              <w:widowControl/>
              <w:adjustRightInd w:val="0"/>
              <w:snapToGrid w:val="0"/>
              <w:jc w:val="center"/>
              <w:rPr>
                <w:rFonts w:ascii="Arial" w:hAnsi="Arial" w:eastAsia="宋体" w:cs="Arial"/>
                <w:kern w:val="0"/>
                <w:sz w:val="21"/>
                <w:szCs w:val="21"/>
              </w:rPr>
            </w:pPr>
          </w:p>
        </w:tc>
        <w:tc>
          <w:tcPr>
            <w:tcW w:w="1642" w:type="dxa"/>
            <w:vAlign w:val="center"/>
          </w:tcPr>
          <w:p>
            <w:pPr>
              <w:widowControl/>
              <w:adjustRightInd w:val="0"/>
              <w:snapToGrid w:val="0"/>
              <w:jc w:val="center"/>
              <w:rPr>
                <w:rFonts w:ascii="Arial" w:hAnsi="Arial" w:eastAsia="宋体" w:cs="Arial"/>
                <w:kern w:val="0"/>
                <w:sz w:val="21"/>
                <w:szCs w:val="21"/>
              </w:rPr>
            </w:pPr>
          </w:p>
        </w:tc>
        <w:tc>
          <w:tcPr>
            <w:tcW w:w="1361" w:type="dxa"/>
            <w:vAlign w:val="center"/>
          </w:tcPr>
          <w:p>
            <w:pPr>
              <w:widowControl/>
              <w:adjustRightInd w:val="0"/>
              <w:snapToGrid w:val="0"/>
              <w:jc w:val="center"/>
              <w:rPr>
                <w:rFonts w:ascii="Arial" w:hAnsi="Arial" w:eastAsia="宋体" w:cs="Arial"/>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textAlignment w:val="center"/>
              <w:rPr>
                <w:rFonts w:ascii="Arial" w:hAnsi="Arial" w:eastAsia="宋体" w:cs="Arial"/>
                <w:kern w:val="0"/>
                <w:sz w:val="21"/>
                <w:szCs w:val="21"/>
                <w:lang w:bidi="ar"/>
              </w:rPr>
            </w:pPr>
          </w:p>
        </w:tc>
        <w:tc>
          <w:tcPr>
            <w:tcW w:w="2309" w:type="dxa"/>
            <w:shd w:val="clear" w:color="auto" w:fill="auto"/>
            <w:vAlign w:val="center"/>
          </w:tcPr>
          <w:p>
            <w:pPr>
              <w:adjustRightInd w:val="0"/>
              <w:snapToGrid w:val="0"/>
              <w:jc w:val="center"/>
              <w:rPr>
                <w:rFonts w:ascii="Arial" w:hAnsi="Arial" w:eastAsia="宋体" w:cs="Arial"/>
                <w:sz w:val="21"/>
                <w:szCs w:val="21"/>
              </w:rPr>
            </w:pPr>
          </w:p>
        </w:tc>
        <w:tc>
          <w:tcPr>
            <w:tcW w:w="2203" w:type="dxa"/>
            <w:shd w:val="clear" w:color="auto" w:fill="auto"/>
            <w:vAlign w:val="center"/>
          </w:tcPr>
          <w:p>
            <w:pPr>
              <w:adjustRightInd w:val="0"/>
              <w:snapToGrid w:val="0"/>
              <w:jc w:val="center"/>
              <w:rPr>
                <w:rFonts w:ascii="Arial" w:hAnsi="Arial" w:eastAsia="宋体" w:cs="Arial"/>
                <w:sz w:val="21"/>
                <w:szCs w:val="21"/>
              </w:rPr>
            </w:pPr>
          </w:p>
        </w:tc>
        <w:tc>
          <w:tcPr>
            <w:tcW w:w="1642" w:type="dxa"/>
            <w:vAlign w:val="center"/>
          </w:tcPr>
          <w:p>
            <w:pPr>
              <w:adjustRightInd w:val="0"/>
              <w:snapToGrid w:val="0"/>
              <w:jc w:val="center"/>
              <w:rPr>
                <w:rFonts w:ascii="Arial" w:hAnsi="Arial" w:eastAsia="宋体" w:cs="Arial"/>
                <w:sz w:val="21"/>
                <w:szCs w:val="21"/>
              </w:rPr>
            </w:pPr>
          </w:p>
        </w:tc>
        <w:tc>
          <w:tcPr>
            <w:tcW w:w="1361"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textAlignment w:val="center"/>
              <w:rPr>
                <w:rFonts w:ascii="Arial" w:hAnsi="Arial" w:eastAsia="宋体" w:cs="Arial"/>
                <w:kern w:val="0"/>
                <w:sz w:val="21"/>
                <w:szCs w:val="21"/>
                <w:lang w:bidi="ar"/>
              </w:rPr>
            </w:pPr>
          </w:p>
        </w:tc>
        <w:tc>
          <w:tcPr>
            <w:tcW w:w="2309" w:type="dxa"/>
            <w:shd w:val="clear" w:color="auto" w:fill="auto"/>
            <w:vAlign w:val="center"/>
          </w:tcPr>
          <w:p>
            <w:pPr>
              <w:adjustRightInd w:val="0"/>
              <w:snapToGrid w:val="0"/>
              <w:jc w:val="center"/>
              <w:rPr>
                <w:rFonts w:ascii="Arial" w:hAnsi="Arial" w:eastAsia="宋体" w:cs="Arial"/>
                <w:sz w:val="21"/>
                <w:szCs w:val="21"/>
              </w:rPr>
            </w:pPr>
          </w:p>
        </w:tc>
        <w:tc>
          <w:tcPr>
            <w:tcW w:w="2203" w:type="dxa"/>
            <w:shd w:val="clear" w:color="auto" w:fill="auto"/>
            <w:vAlign w:val="center"/>
          </w:tcPr>
          <w:p>
            <w:pPr>
              <w:adjustRightInd w:val="0"/>
              <w:snapToGrid w:val="0"/>
              <w:jc w:val="center"/>
              <w:rPr>
                <w:rFonts w:ascii="Arial" w:hAnsi="Arial" w:eastAsia="宋体" w:cs="Arial"/>
                <w:sz w:val="21"/>
                <w:szCs w:val="21"/>
              </w:rPr>
            </w:pPr>
          </w:p>
        </w:tc>
        <w:tc>
          <w:tcPr>
            <w:tcW w:w="1642" w:type="dxa"/>
            <w:vAlign w:val="center"/>
          </w:tcPr>
          <w:p>
            <w:pPr>
              <w:adjustRightInd w:val="0"/>
              <w:snapToGrid w:val="0"/>
              <w:jc w:val="center"/>
              <w:rPr>
                <w:rFonts w:ascii="Arial" w:hAnsi="Arial" w:eastAsia="宋体" w:cs="Arial"/>
                <w:sz w:val="21"/>
                <w:szCs w:val="21"/>
              </w:rPr>
            </w:pPr>
          </w:p>
        </w:tc>
        <w:tc>
          <w:tcPr>
            <w:tcW w:w="1361" w:type="dxa"/>
            <w:vAlign w:val="center"/>
          </w:tcPr>
          <w:p>
            <w:pPr>
              <w:widowControl/>
              <w:adjustRightInd w:val="0"/>
              <w:snapToGrid w:val="0"/>
              <w:jc w:val="center"/>
              <w:rPr>
                <w:rFonts w:ascii="Arial" w:hAnsi="Arial" w:cs="Arial"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78" w:type="dxa"/>
            <w:shd w:val="clear" w:color="auto" w:fill="auto"/>
            <w:vAlign w:val="center"/>
          </w:tcPr>
          <w:p>
            <w:pPr>
              <w:widowControl/>
              <w:adjustRightInd w:val="0"/>
              <w:snapToGrid w:val="0"/>
              <w:jc w:val="center"/>
              <w:textAlignment w:val="center"/>
              <w:rPr>
                <w:rFonts w:ascii="Arial" w:hAnsi="Arial" w:eastAsia="宋体" w:cs="Arial"/>
                <w:kern w:val="0"/>
                <w:sz w:val="21"/>
                <w:szCs w:val="21"/>
                <w:lang w:bidi="ar"/>
              </w:rPr>
            </w:pPr>
          </w:p>
        </w:tc>
        <w:tc>
          <w:tcPr>
            <w:tcW w:w="2309" w:type="dxa"/>
            <w:shd w:val="clear" w:color="auto" w:fill="auto"/>
            <w:vAlign w:val="center"/>
          </w:tcPr>
          <w:p>
            <w:pPr>
              <w:adjustRightInd w:val="0"/>
              <w:snapToGrid w:val="0"/>
              <w:jc w:val="center"/>
              <w:rPr>
                <w:rFonts w:ascii="Arial" w:hAnsi="Arial" w:eastAsia="宋体" w:cs="Arial"/>
                <w:sz w:val="21"/>
                <w:szCs w:val="21"/>
              </w:rPr>
            </w:pPr>
          </w:p>
        </w:tc>
        <w:tc>
          <w:tcPr>
            <w:tcW w:w="2203" w:type="dxa"/>
            <w:shd w:val="clear" w:color="auto" w:fill="auto"/>
            <w:vAlign w:val="center"/>
          </w:tcPr>
          <w:p>
            <w:pPr>
              <w:adjustRightInd w:val="0"/>
              <w:snapToGrid w:val="0"/>
              <w:jc w:val="center"/>
              <w:rPr>
                <w:rFonts w:ascii="Arial" w:hAnsi="Arial" w:eastAsia="宋体" w:cs="Arial"/>
                <w:sz w:val="21"/>
                <w:szCs w:val="21"/>
              </w:rPr>
            </w:pPr>
          </w:p>
        </w:tc>
        <w:tc>
          <w:tcPr>
            <w:tcW w:w="1642" w:type="dxa"/>
            <w:vAlign w:val="center"/>
          </w:tcPr>
          <w:p>
            <w:pPr>
              <w:adjustRightInd w:val="0"/>
              <w:snapToGrid w:val="0"/>
              <w:jc w:val="center"/>
              <w:rPr>
                <w:rFonts w:ascii="Arial" w:hAnsi="Arial" w:eastAsia="宋体" w:cs="Arial"/>
                <w:sz w:val="21"/>
                <w:szCs w:val="21"/>
              </w:rPr>
            </w:pPr>
          </w:p>
        </w:tc>
        <w:tc>
          <w:tcPr>
            <w:tcW w:w="1361" w:type="dxa"/>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根据监测结果，厂内7个土壤监测点（T1~T7）以及厂外T8、T9土壤监测点的锰监测值低于《建设用地土壤污染风险筛选值和管制值》（DB45/T2556-2022）中第二类用地筛选值标准</w:t>
      </w:r>
      <w:r>
        <w:rPr>
          <w:rFonts w:hint="eastAsia" w:ascii="Arial" w:hAnsi="Arial" w:eastAsia="宋体" w:cs="Arial"/>
          <w:spacing w:val="10"/>
          <w:kern w:val="0"/>
          <w:sz w:val="24"/>
        </w:rPr>
        <w:t>，其余</w:t>
      </w:r>
      <w:r>
        <w:rPr>
          <w:rFonts w:ascii="Arial" w:hAnsi="Arial" w:eastAsia="宋体" w:cs="Arial"/>
          <w:spacing w:val="10"/>
          <w:kern w:val="0"/>
          <w:sz w:val="24"/>
        </w:rPr>
        <w:t>各监测因子监测值均低于《土壤环境质量建设用地土壤污染风险管控标准（试行）》（GB36600-2018）中的第二类用地筛选值；T10、T11各监测因子监测值均低于《土壤环境质量 农用地土壤污染风险管控标准（试行）》（GB15618-2018）风险筛选值要求，其中</w:t>
      </w:r>
      <w:r>
        <w:rPr>
          <w:rFonts w:hint="eastAsia" w:ascii="Arial" w:hAnsi="Arial" w:eastAsia="宋体" w:cs="Arial"/>
          <w:spacing w:val="10"/>
          <w:kern w:val="0"/>
          <w:sz w:val="24"/>
        </w:rPr>
        <w:t>钴、锰、</w:t>
      </w:r>
      <w:r>
        <w:rPr>
          <w:rFonts w:ascii="Arial" w:hAnsi="Arial" w:eastAsia="宋体" w:cs="Arial"/>
          <w:spacing w:val="10"/>
          <w:kern w:val="0"/>
          <w:sz w:val="24"/>
        </w:rPr>
        <w:t>石油烃无质量标准，仅做背景调查。</w:t>
      </w:r>
    </w:p>
    <w:p>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生态环境现状调查与评价</w:t>
      </w:r>
    </w:p>
    <w:p>
      <w:pPr>
        <w:spacing w:line="500" w:lineRule="exact"/>
        <w:ind w:firstLine="490" w:firstLineChars="200"/>
        <w:rPr>
          <w:rFonts w:ascii="Arial" w:hAnsi="Arial" w:eastAsia="宋体" w:cs="Arial"/>
          <w:spacing w:val="10"/>
          <w:kern w:val="0"/>
          <w:sz w:val="24"/>
        </w:rPr>
      </w:pPr>
      <w:r>
        <w:rPr>
          <w:rFonts w:ascii="Arial" w:hAnsi="Arial" w:eastAsia="宋体" w:cs="Arial"/>
          <w:spacing w:val="10"/>
          <w:sz w:val="24"/>
          <w:szCs w:val="24"/>
        </w:rPr>
        <w:t>项目</w:t>
      </w:r>
      <w:r>
        <w:rPr>
          <w:rFonts w:hint="eastAsia" w:ascii="Arial" w:hAnsi="Arial" w:eastAsia="宋体" w:cs="Arial"/>
          <w:spacing w:val="10"/>
          <w:sz w:val="24"/>
          <w:szCs w:val="24"/>
        </w:rPr>
        <w:t>属污染影响类建设项目，所处的</w:t>
      </w:r>
      <w:r>
        <w:rPr>
          <w:rFonts w:ascii="Arial" w:hAnsi="Arial" w:eastAsia="宋体" w:cs="Arial"/>
          <w:spacing w:val="10"/>
          <w:sz w:val="24"/>
          <w:szCs w:val="24"/>
        </w:rPr>
        <w:t>2#地块位于钦州港大榄坪物流加工区，同时也处于广西钦州石化产业园，两个园区规划环评</w:t>
      </w:r>
      <w:r>
        <w:rPr>
          <w:rFonts w:hint="eastAsia" w:ascii="Arial" w:hAnsi="Arial" w:eastAsia="宋体" w:cs="Arial"/>
          <w:spacing w:val="10"/>
          <w:sz w:val="24"/>
          <w:szCs w:val="24"/>
        </w:rPr>
        <w:t>均</w:t>
      </w:r>
      <w:r>
        <w:rPr>
          <w:rFonts w:ascii="Arial" w:hAnsi="Arial" w:eastAsia="宋体" w:cs="Arial"/>
          <w:spacing w:val="10"/>
          <w:sz w:val="24"/>
          <w:szCs w:val="24"/>
        </w:rPr>
        <w:t>已批准，项目符合</w:t>
      </w:r>
      <w:r>
        <w:rPr>
          <w:rFonts w:hint="eastAsia" w:ascii="Arial" w:hAnsi="Arial" w:eastAsia="宋体" w:cs="Arial"/>
          <w:spacing w:val="10"/>
          <w:sz w:val="24"/>
          <w:szCs w:val="24"/>
        </w:rPr>
        <w:t>这</w:t>
      </w:r>
      <w:r>
        <w:rPr>
          <w:rFonts w:ascii="Arial" w:hAnsi="Arial" w:eastAsia="宋体" w:cs="Arial"/>
          <w:spacing w:val="10"/>
          <w:sz w:val="24"/>
          <w:szCs w:val="24"/>
        </w:rPr>
        <w:t>两个</w:t>
      </w:r>
      <w:r>
        <w:rPr>
          <w:rFonts w:hint="eastAsia" w:ascii="Arial" w:hAnsi="Arial" w:eastAsia="宋体" w:cs="Arial"/>
          <w:spacing w:val="10"/>
          <w:sz w:val="24"/>
          <w:szCs w:val="24"/>
        </w:rPr>
        <w:t>园区</w:t>
      </w:r>
      <w:r>
        <w:rPr>
          <w:rFonts w:ascii="Arial" w:hAnsi="Arial" w:eastAsia="宋体" w:cs="Arial"/>
          <w:spacing w:val="10"/>
          <w:sz w:val="24"/>
          <w:szCs w:val="24"/>
        </w:rPr>
        <w:t>规划环评</w:t>
      </w:r>
      <w:r>
        <w:rPr>
          <w:rFonts w:hint="eastAsia" w:ascii="Arial" w:hAnsi="Arial" w:eastAsia="宋体" w:cs="Arial"/>
          <w:spacing w:val="10"/>
          <w:sz w:val="24"/>
          <w:szCs w:val="24"/>
        </w:rPr>
        <w:t>的</w:t>
      </w:r>
      <w:r>
        <w:rPr>
          <w:rFonts w:ascii="Arial" w:hAnsi="Arial" w:eastAsia="宋体" w:cs="Arial"/>
          <w:spacing w:val="10"/>
          <w:sz w:val="24"/>
          <w:szCs w:val="24"/>
        </w:rPr>
        <w:t>要求</w:t>
      </w:r>
      <w:r>
        <w:rPr>
          <w:rFonts w:hint="eastAsia" w:ascii="Arial" w:hAnsi="Arial" w:eastAsia="宋体" w:cs="Arial"/>
          <w:spacing w:val="10"/>
          <w:sz w:val="24"/>
          <w:szCs w:val="24"/>
        </w:rPr>
        <w:t>，</w:t>
      </w:r>
      <w:r>
        <w:rPr>
          <w:rFonts w:ascii="Arial" w:hAnsi="Arial" w:eastAsia="宋体" w:cs="Arial"/>
          <w:spacing w:val="10"/>
          <w:sz w:val="24"/>
          <w:szCs w:val="24"/>
        </w:rPr>
        <w:t>不涉及生态敏感区</w:t>
      </w:r>
      <w:r>
        <w:rPr>
          <w:rFonts w:hint="eastAsia" w:ascii="Arial" w:hAnsi="Arial" w:eastAsia="宋体" w:cs="Arial"/>
          <w:spacing w:val="10"/>
          <w:sz w:val="24"/>
          <w:szCs w:val="24"/>
        </w:rPr>
        <w:t>。</w:t>
      </w:r>
      <w:r>
        <w:rPr>
          <w:rFonts w:ascii="Arial" w:hAnsi="Arial" w:eastAsia="宋体" w:cs="Arial"/>
          <w:spacing w:val="10"/>
          <w:sz w:val="24"/>
          <w:szCs w:val="24"/>
        </w:rPr>
        <w:t>根据《环境影响评价技术导则</w:t>
      </w:r>
      <w:r>
        <w:rPr>
          <w:rFonts w:hint="eastAsia" w:ascii="Arial" w:hAnsi="Arial" w:eastAsia="宋体" w:cs="Arial"/>
          <w:spacing w:val="10"/>
          <w:sz w:val="24"/>
          <w:szCs w:val="24"/>
        </w:rPr>
        <w:t xml:space="preserve"> </w:t>
      </w:r>
      <w:r>
        <w:rPr>
          <w:rFonts w:ascii="Arial" w:hAnsi="Arial" w:eastAsia="宋体" w:cs="Arial"/>
          <w:spacing w:val="10"/>
          <w:sz w:val="24"/>
          <w:szCs w:val="24"/>
        </w:rPr>
        <w:t>生态影响》（HJ19-2022）6.1.8，项目可不确定评价等级，直接进行生态影响简单分析</w:t>
      </w:r>
      <w:r>
        <w:rPr>
          <w:rFonts w:ascii="Arial" w:hAnsi="Arial" w:eastAsia="宋体" w:cs="Arial"/>
          <w:spacing w:val="10"/>
          <w:kern w:val="0"/>
          <w:sz w:val="24"/>
        </w:rPr>
        <w:t>。项目区附近均为工业用地，主要植被为工业区内工业企业绿化植被及市政绿化植被，植被覆盖情况一般。</w:t>
      </w:r>
    </w:p>
    <w:p>
      <w:pPr>
        <w:pStyle w:val="5"/>
        <w:spacing w:line="500" w:lineRule="exact"/>
        <w:ind w:firstLine="490" w:firstLineChars="200"/>
      </w:pPr>
    </w:p>
    <w:p>
      <w:pPr>
        <w:pStyle w:val="3"/>
        <w:numPr>
          <w:ilvl w:val="0"/>
          <w:numId w:val="1"/>
        </w:numPr>
        <w:tabs>
          <w:tab w:val="left" w:pos="1931"/>
          <w:tab w:val="clear" w:pos="3065"/>
        </w:tabs>
        <w:ind w:left="1276"/>
        <w:rPr>
          <w:rFonts w:ascii="Arial" w:hAnsi="Arial" w:cs="Arial"/>
          <w:spacing w:val="10"/>
        </w:rPr>
      </w:pPr>
      <w:bookmarkStart w:id="289" w:name="_Toc185950227"/>
      <w:r>
        <w:rPr>
          <w:rFonts w:ascii="Arial" w:hAnsi="Arial" w:cs="Arial"/>
          <w:spacing w:val="10"/>
        </w:rPr>
        <w:t>环境影响预测与评价</w:t>
      </w:r>
      <w:bookmarkEnd w:id="279"/>
      <w:bookmarkEnd w:id="280"/>
      <w:bookmarkEnd w:id="289"/>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90" w:name="_Toc185950228"/>
      <w:bookmarkStart w:id="291" w:name="_Toc104677294"/>
      <w:bookmarkStart w:id="292" w:name="_Toc1742960"/>
      <w:r>
        <w:rPr>
          <w:rFonts w:ascii="Arial" w:eastAsia="宋体" w:cs="Arial"/>
          <w:b/>
        </w:rPr>
        <w:t>施工期环境影响分析与评价</w:t>
      </w:r>
      <w:bookmarkEnd w:id="290"/>
      <w:bookmarkEnd w:id="291"/>
      <w:bookmarkEnd w:id="292"/>
    </w:p>
    <w:p>
      <w:pPr>
        <w:pStyle w:val="5"/>
        <w:spacing w:line="500" w:lineRule="exact"/>
        <w:ind w:firstLine="490" w:firstLineChars="200"/>
      </w:pPr>
      <w:r>
        <w:t>施工期主要污染物为施工扬尘、施工机械设备废气、施工废水、施工噪声、废土石方和建筑垃圾等。本项目已变更完成，根据现场勘查，施工废气、施工废水带来的污染对周边环境影响较小，废土石方和建筑垃圾等均已妥善处置。</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293" w:name="_Toc185950229"/>
      <w:bookmarkStart w:id="294" w:name="_Toc1742961"/>
      <w:bookmarkStart w:id="295" w:name="_Toc104677299"/>
      <w:bookmarkStart w:id="296" w:name="_Toc300843085"/>
      <w:bookmarkStart w:id="297" w:name="_Toc214854865"/>
      <w:r>
        <w:rPr>
          <w:rFonts w:ascii="Arial" w:eastAsia="宋体" w:cs="Arial"/>
          <w:b/>
        </w:rPr>
        <w:t>运营期环境影响预测、分析与评价</w:t>
      </w:r>
      <w:bookmarkEnd w:id="293"/>
      <w:bookmarkEnd w:id="294"/>
      <w:bookmarkEnd w:id="295"/>
    </w:p>
    <w:p>
      <w:pPr>
        <w:pStyle w:val="6"/>
        <w:numPr>
          <w:ilvl w:val="0"/>
          <w:numId w:val="20"/>
        </w:numPr>
        <w:tabs>
          <w:tab w:val="clear" w:pos="1789"/>
        </w:tabs>
        <w:spacing w:line="400" w:lineRule="exact"/>
        <w:rPr>
          <w:rFonts w:ascii="Arial" w:hAnsi="Arial" w:eastAsia="宋体" w:cs="Arial"/>
        </w:rPr>
      </w:pPr>
      <w:bookmarkStart w:id="298" w:name="_Toc88674773"/>
      <w:bookmarkStart w:id="299" w:name="_Toc87124258"/>
      <w:bookmarkStart w:id="300" w:name="_Toc58596459"/>
      <w:bookmarkStart w:id="301" w:name="_Toc57715619"/>
      <w:bookmarkStart w:id="302" w:name="_Toc104677300"/>
      <w:bookmarkStart w:id="303" w:name="_Toc67921872"/>
      <w:r>
        <w:rPr>
          <w:rFonts w:ascii="Arial" w:hAnsi="Arial" w:eastAsia="宋体" w:cs="Arial"/>
        </w:rPr>
        <w:t>运营期环境空气影响分析</w:t>
      </w:r>
      <w:bookmarkEnd w:id="298"/>
      <w:bookmarkEnd w:id="299"/>
      <w:bookmarkEnd w:id="300"/>
      <w:bookmarkEnd w:id="301"/>
      <w:bookmarkEnd w:id="302"/>
      <w:bookmarkEnd w:id="303"/>
    </w:p>
    <w:p>
      <w:pPr>
        <w:pStyle w:val="475"/>
        <w:numPr>
          <w:ilvl w:val="0"/>
          <w:numId w:val="21"/>
        </w:numPr>
        <w:spacing w:line="500" w:lineRule="exact"/>
        <w:ind w:firstLineChars="0"/>
        <w:outlineLvl w:val="3"/>
        <w:rPr>
          <w:rFonts w:ascii="Arial" w:hAnsi="Arial" w:cs="Arial"/>
          <w:b/>
        </w:rPr>
      </w:pPr>
      <w:r>
        <w:rPr>
          <w:rFonts w:ascii="Arial" w:hAnsi="Arial" w:cs="Arial"/>
          <w:b/>
        </w:rPr>
        <w:t>污染气象条件分析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1、气象资料调查内容及数据来源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本评价区所采用的常规地面气象观测资料（包括逐日、逐次）来自广西壮族自治区钦州国家基本气象站（东经108.617°，北纬21.95°），气象数据信息见表4-1。</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观测气象数据信息</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898"/>
        <w:gridCol w:w="898"/>
        <w:gridCol w:w="1382"/>
        <w:gridCol w:w="1284"/>
        <w:gridCol w:w="757"/>
        <w:gridCol w:w="757"/>
        <w:gridCol w:w="680"/>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35" w:type="dxa"/>
            <w:vAlign w:val="center"/>
          </w:tcPr>
          <w:p>
            <w:pPr>
              <w:adjustRightInd w:val="0"/>
              <w:snapToGrid w:val="0"/>
              <w:jc w:val="center"/>
              <w:rPr>
                <w:rFonts w:ascii="Arial" w:hAnsi="Arial" w:eastAsia="宋体" w:cs="Arial"/>
                <w:sz w:val="21"/>
                <w:szCs w:val="21"/>
              </w:rPr>
            </w:pPr>
          </w:p>
        </w:tc>
        <w:tc>
          <w:tcPr>
            <w:tcW w:w="898" w:type="dxa"/>
            <w:vAlign w:val="center"/>
          </w:tcPr>
          <w:p>
            <w:pPr>
              <w:adjustRightInd w:val="0"/>
              <w:snapToGrid w:val="0"/>
              <w:jc w:val="center"/>
              <w:rPr>
                <w:rFonts w:ascii="Arial" w:hAnsi="Arial" w:eastAsia="宋体" w:cs="Arial"/>
                <w:sz w:val="21"/>
                <w:szCs w:val="21"/>
              </w:rPr>
            </w:pPr>
          </w:p>
        </w:tc>
        <w:tc>
          <w:tcPr>
            <w:tcW w:w="898" w:type="dxa"/>
            <w:vAlign w:val="center"/>
          </w:tcPr>
          <w:p>
            <w:pPr>
              <w:adjustRightInd w:val="0"/>
              <w:snapToGrid w:val="0"/>
              <w:jc w:val="center"/>
              <w:rPr>
                <w:rFonts w:ascii="Arial" w:hAnsi="Arial" w:eastAsia="宋体" w:cs="Arial"/>
                <w:sz w:val="21"/>
                <w:szCs w:val="21"/>
              </w:rPr>
            </w:pPr>
          </w:p>
        </w:tc>
        <w:tc>
          <w:tcPr>
            <w:tcW w:w="2666" w:type="dxa"/>
            <w:gridSpan w:val="2"/>
            <w:vAlign w:val="center"/>
          </w:tcPr>
          <w:p>
            <w:pPr>
              <w:adjustRightInd w:val="0"/>
              <w:snapToGrid w:val="0"/>
              <w:jc w:val="center"/>
              <w:rPr>
                <w:rFonts w:ascii="Arial" w:hAnsi="Arial" w:eastAsia="宋体" w:cs="Arial"/>
                <w:sz w:val="21"/>
                <w:szCs w:val="21"/>
              </w:rPr>
            </w:pPr>
          </w:p>
        </w:tc>
        <w:tc>
          <w:tcPr>
            <w:tcW w:w="757" w:type="dxa"/>
            <w:vAlign w:val="center"/>
          </w:tcPr>
          <w:p>
            <w:pPr>
              <w:adjustRightInd w:val="0"/>
              <w:snapToGrid w:val="0"/>
              <w:jc w:val="center"/>
              <w:rPr>
                <w:rFonts w:ascii="Arial" w:hAnsi="Arial" w:eastAsia="宋体" w:cs="Arial"/>
                <w:sz w:val="21"/>
                <w:szCs w:val="21"/>
              </w:rPr>
            </w:pPr>
          </w:p>
        </w:tc>
        <w:tc>
          <w:tcPr>
            <w:tcW w:w="757" w:type="dxa"/>
            <w:vAlign w:val="center"/>
          </w:tcPr>
          <w:p>
            <w:pPr>
              <w:adjustRightInd w:val="0"/>
              <w:snapToGrid w:val="0"/>
              <w:jc w:val="center"/>
              <w:rPr>
                <w:rFonts w:ascii="Arial" w:hAnsi="Arial" w:eastAsia="宋体" w:cs="Arial"/>
                <w:sz w:val="21"/>
                <w:szCs w:val="21"/>
              </w:rPr>
            </w:pPr>
          </w:p>
        </w:tc>
        <w:tc>
          <w:tcPr>
            <w:tcW w:w="680" w:type="dxa"/>
            <w:vAlign w:val="center"/>
          </w:tcPr>
          <w:p>
            <w:pPr>
              <w:adjustRightInd w:val="0"/>
              <w:snapToGrid w:val="0"/>
              <w:jc w:val="center"/>
              <w:rPr>
                <w:rFonts w:ascii="Arial" w:hAnsi="Arial" w:eastAsia="宋体" w:cs="Arial"/>
                <w:sz w:val="21"/>
                <w:szCs w:val="21"/>
              </w:rPr>
            </w:pPr>
          </w:p>
        </w:tc>
        <w:tc>
          <w:tcPr>
            <w:tcW w:w="1502" w:type="dxa"/>
            <w:vAlign w:val="center"/>
          </w:tcPr>
          <w:p>
            <w:pPr>
              <w:adjustRightInd w:val="0"/>
              <w:snapToGrid w:val="0"/>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5" w:type="dxa"/>
            <w:vAlign w:val="center"/>
          </w:tcPr>
          <w:p>
            <w:pPr>
              <w:adjustRightInd w:val="0"/>
              <w:snapToGrid w:val="0"/>
              <w:jc w:val="center"/>
              <w:rPr>
                <w:rFonts w:ascii="Arial" w:hAnsi="Arial" w:eastAsia="宋体" w:cs="Arial"/>
                <w:sz w:val="21"/>
                <w:szCs w:val="21"/>
              </w:rPr>
            </w:pPr>
          </w:p>
        </w:tc>
        <w:tc>
          <w:tcPr>
            <w:tcW w:w="898" w:type="dxa"/>
            <w:vAlign w:val="center"/>
          </w:tcPr>
          <w:p>
            <w:pPr>
              <w:adjustRightInd w:val="0"/>
              <w:snapToGrid w:val="0"/>
              <w:jc w:val="center"/>
              <w:rPr>
                <w:rFonts w:ascii="Arial" w:hAnsi="Arial" w:eastAsia="宋体" w:cs="Arial"/>
                <w:sz w:val="21"/>
                <w:szCs w:val="21"/>
              </w:rPr>
            </w:pPr>
          </w:p>
        </w:tc>
        <w:tc>
          <w:tcPr>
            <w:tcW w:w="898" w:type="dxa"/>
            <w:vAlign w:val="center"/>
          </w:tcPr>
          <w:p>
            <w:pPr>
              <w:adjustRightInd w:val="0"/>
              <w:snapToGrid w:val="0"/>
              <w:jc w:val="center"/>
              <w:rPr>
                <w:rFonts w:ascii="Arial" w:hAnsi="Arial" w:eastAsia="宋体" w:cs="Arial"/>
                <w:sz w:val="21"/>
                <w:szCs w:val="21"/>
              </w:rPr>
            </w:pPr>
          </w:p>
        </w:tc>
        <w:tc>
          <w:tcPr>
            <w:tcW w:w="1382" w:type="dxa"/>
            <w:vAlign w:val="center"/>
          </w:tcPr>
          <w:p>
            <w:pPr>
              <w:adjustRightInd w:val="0"/>
              <w:snapToGrid w:val="0"/>
              <w:jc w:val="center"/>
              <w:rPr>
                <w:rFonts w:ascii="Arial" w:hAnsi="Arial" w:eastAsia="宋体" w:cs="Arial"/>
                <w:sz w:val="21"/>
                <w:szCs w:val="21"/>
              </w:rPr>
            </w:pPr>
          </w:p>
        </w:tc>
        <w:tc>
          <w:tcPr>
            <w:tcW w:w="1284" w:type="dxa"/>
            <w:vAlign w:val="center"/>
          </w:tcPr>
          <w:p>
            <w:pPr>
              <w:adjustRightInd w:val="0"/>
              <w:snapToGrid w:val="0"/>
              <w:jc w:val="center"/>
              <w:rPr>
                <w:rFonts w:ascii="Arial" w:hAnsi="Arial" w:eastAsia="宋体" w:cs="Arial"/>
                <w:sz w:val="21"/>
                <w:szCs w:val="21"/>
              </w:rPr>
            </w:pPr>
          </w:p>
        </w:tc>
        <w:tc>
          <w:tcPr>
            <w:tcW w:w="757" w:type="dxa"/>
            <w:vAlign w:val="center"/>
          </w:tcPr>
          <w:p>
            <w:pPr>
              <w:adjustRightInd w:val="0"/>
              <w:snapToGrid w:val="0"/>
              <w:jc w:val="center"/>
              <w:rPr>
                <w:rFonts w:ascii="Arial" w:hAnsi="Arial" w:eastAsia="宋体" w:cs="Arial"/>
                <w:sz w:val="21"/>
                <w:szCs w:val="21"/>
              </w:rPr>
            </w:pPr>
          </w:p>
        </w:tc>
        <w:tc>
          <w:tcPr>
            <w:tcW w:w="757" w:type="dxa"/>
            <w:vAlign w:val="center"/>
          </w:tcPr>
          <w:p>
            <w:pPr>
              <w:adjustRightInd w:val="0"/>
              <w:snapToGrid w:val="0"/>
              <w:jc w:val="center"/>
              <w:rPr>
                <w:rFonts w:ascii="Arial" w:hAnsi="Arial" w:eastAsia="宋体" w:cs="Arial"/>
                <w:sz w:val="21"/>
                <w:szCs w:val="21"/>
              </w:rPr>
            </w:pPr>
          </w:p>
        </w:tc>
        <w:tc>
          <w:tcPr>
            <w:tcW w:w="680" w:type="dxa"/>
            <w:vAlign w:val="center"/>
          </w:tcPr>
          <w:p>
            <w:pPr>
              <w:adjustRightInd w:val="0"/>
              <w:snapToGrid w:val="0"/>
              <w:jc w:val="center"/>
              <w:rPr>
                <w:rFonts w:ascii="Arial" w:hAnsi="Arial" w:eastAsia="宋体" w:cs="Arial"/>
                <w:sz w:val="21"/>
                <w:szCs w:val="21"/>
              </w:rPr>
            </w:pPr>
          </w:p>
        </w:tc>
        <w:tc>
          <w:tcPr>
            <w:tcW w:w="1502" w:type="dxa"/>
            <w:vAlign w:val="center"/>
          </w:tcPr>
          <w:p>
            <w:pPr>
              <w:adjustRightInd w:val="0"/>
              <w:snapToGrid w:val="0"/>
              <w:jc w:val="center"/>
              <w:rPr>
                <w:rFonts w:ascii="Arial" w:hAnsi="Arial" w:eastAsia="宋体" w:cs="Arial"/>
                <w:sz w:val="21"/>
                <w:szCs w:val="21"/>
              </w:rPr>
            </w:pPr>
          </w:p>
        </w:tc>
      </w:tr>
    </w:tbl>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2、近20年主要气候统计资料</w:t>
      </w:r>
    </w:p>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近20年常规地面气象统计资料见表4-2。</w:t>
      </w:r>
    </w:p>
    <w:p>
      <w:pPr>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常规地面气象统计资料</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2230"/>
        <w:gridCol w:w="2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29" w:type="dxa"/>
            <w:shd w:val="clear" w:color="auto" w:fill="auto"/>
            <w:noWrap/>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eastAsia="宋体" w:cs="Arial"/>
                <w:sz w:val="21"/>
                <w:szCs w:val="21"/>
                <w:u w:val="single"/>
              </w:rPr>
            </w:pPr>
          </w:p>
        </w:tc>
        <w:tc>
          <w:tcPr>
            <w:tcW w:w="2229" w:type="dxa"/>
            <w:shd w:val="clear" w:color="auto" w:fill="auto"/>
            <w:noWrap/>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29" w:type="dxa"/>
            <w:shd w:val="clear" w:color="auto" w:fill="auto"/>
            <w:noWrap/>
            <w:vAlign w:val="center"/>
          </w:tcPr>
          <w:p>
            <w:pPr>
              <w:adjustRightInd w:val="0"/>
              <w:snapToGrid w:val="0"/>
              <w:jc w:val="center"/>
              <w:rPr>
                <w:rFonts w:ascii="Arial" w:hAnsi="Arial" w:eastAsia="宋体" w:cs="Arial"/>
                <w:spacing w:val="1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eastAsia="宋体" w:cs="Arial"/>
                <w:sz w:val="21"/>
                <w:szCs w:val="21"/>
                <w:u w:val="single"/>
              </w:rPr>
            </w:pPr>
          </w:p>
        </w:tc>
        <w:tc>
          <w:tcPr>
            <w:tcW w:w="2229" w:type="dxa"/>
            <w:shd w:val="clear" w:color="auto" w:fill="auto"/>
            <w:noWrap/>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34" w:type="dxa"/>
            <w:shd w:val="clear" w:color="auto" w:fill="auto"/>
            <w:noWrap/>
            <w:vAlign w:val="center"/>
          </w:tcPr>
          <w:p>
            <w:pPr>
              <w:adjustRightInd w:val="0"/>
              <w:snapToGrid w:val="0"/>
              <w:jc w:val="center"/>
              <w:rPr>
                <w:rFonts w:ascii="Arial" w:hAnsi="Arial" w:eastAsia="宋体" w:cs="Arial"/>
                <w:spacing w:val="10"/>
                <w:sz w:val="21"/>
                <w:szCs w:val="21"/>
                <w:u w:val="single"/>
              </w:rPr>
            </w:pPr>
          </w:p>
        </w:tc>
        <w:tc>
          <w:tcPr>
            <w:tcW w:w="2230" w:type="dxa"/>
            <w:shd w:val="clear" w:color="auto" w:fill="auto"/>
            <w:noWrap/>
            <w:vAlign w:val="center"/>
          </w:tcPr>
          <w:p>
            <w:pPr>
              <w:adjustRightInd w:val="0"/>
              <w:snapToGrid w:val="0"/>
              <w:jc w:val="center"/>
              <w:rPr>
                <w:rFonts w:ascii="Arial" w:hAnsi="Arial" w:cs="Arial"/>
                <w:sz w:val="21"/>
                <w:szCs w:val="21"/>
                <w:u w:val="single"/>
              </w:rPr>
            </w:pPr>
          </w:p>
        </w:tc>
        <w:tc>
          <w:tcPr>
            <w:tcW w:w="2229" w:type="dxa"/>
            <w:shd w:val="clear" w:color="auto" w:fill="auto"/>
            <w:noWrap/>
            <w:vAlign w:val="center"/>
          </w:tcPr>
          <w:p>
            <w:pPr>
              <w:adjustRightInd w:val="0"/>
              <w:snapToGrid w:val="0"/>
              <w:jc w:val="center"/>
              <w:rPr>
                <w:rFonts w:ascii="Arial" w:hAnsi="Arial" w:cs="Arial"/>
                <w:sz w:val="21"/>
                <w:szCs w:val="21"/>
                <w:u w:val="single"/>
              </w:rPr>
            </w:pPr>
          </w:p>
        </w:tc>
      </w:tr>
    </w:tbl>
    <w:p>
      <w:pPr>
        <w:overflowPunct w:val="0"/>
        <w:snapToGrid w:val="0"/>
        <w:jc w:val="center"/>
        <w:rPr>
          <w:rFonts w:ascii="Arial" w:hAnsi="Arial" w:eastAsia="宋体" w:cs="Arial"/>
          <w:sz w:val="24"/>
        </w:rPr>
      </w:pPr>
      <w:r>
        <w:rPr>
          <w:rFonts w:ascii="Arial" w:hAnsi="Arial" w:eastAsia="宋体" w:cs="Arial"/>
          <w:sz w:val="24"/>
        </w:rPr>
        <w:drawing>
          <wp:inline distT="0" distB="0" distL="0" distR="0">
            <wp:extent cx="3476625" cy="3581400"/>
            <wp:effectExtent l="0" t="0" r="9525" b="0"/>
            <wp:docPr id="4" name="图片 4" descr="C:\Users\Administrator\Desktop\风玫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风玫瑰图.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476625" cy="3581400"/>
                    </a:xfrm>
                    <a:prstGeom prst="rect">
                      <a:avLst/>
                    </a:prstGeom>
                    <a:noFill/>
                    <a:ln>
                      <a:noFill/>
                    </a:ln>
                  </pic:spPr>
                </pic:pic>
              </a:graphicData>
            </a:graphic>
          </wp:inline>
        </w:drawing>
      </w:r>
    </w:p>
    <w:p>
      <w:pPr>
        <w:numPr>
          <w:ilvl w:val="0"/>
          <w:numId w:val="23"/>
        </w:numPr>
        <w:adjustRightInd w:val="0"/>
        <w:snapToGrid w:val="0"/>
        <w:ind w:left="0" w:firstLine="0"/>
        <w:jc w:val="center"/>
        <w:rPr>
          <w:rFonts w:ascii="Arial" w:hAnsi="Arial" w:eastAsia="宋体" w:cs="Arial"/>
          <w:b/>
          <w:spacing w:val="10"/>
          <w:sz w:val="24"/>
        </w:rPr>
      </w:pPr>
      <w:r>
        <w:rPr>
          <w:rFonts w:ascii="Arial" w:hAnsi="Arial" w:eastAsia="宋体" w:cs="Arial"/>
          <w:b/>
          <w:spacing w:val="10"/>
          <w:sz w:val="24"/>
        </w:rPr>
        <w:t>钦州地区20年风向频率统计</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3、常规地面气象观测资料</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来自钦州市气象站提供的2022年的气象数据。</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4、常规高空气象探测资料</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模拟气象数据信息</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1187"/>
        <w:gridCol w:w="1382"/>
        <w:gridCol w:w="1382"/>
        <w:gridCol w:w="3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640" w:type="dxa"/>
            <w:gridSpan w:val="2"/>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模拟点坐标</w:t>
            </w:r>
          </w:p>
        </w:tc>
        <w:tc>
          <w:tcPr>
            <w:tcW w:w="1382"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相对距离</w:t>
            </w:r>
          </w:p>
        </w:tc>
        <w:tc>
          <w:tcPr>
            <w:tcW w:w="1382"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数据年份</w:t>
            </w:r>
          </w:p>
        </w:tc>
        <w:tc>
          <w:tcPr>
            <w:tcW w:w="3589"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模拟气象要素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3"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X</w:t>
            </w:r>
          </w:p>
        </w:tc>
        <w:tc>
          <w:tcPr>
            <w:tcW w:w="118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Y</w:t>
            </w:r>
          </w:p>
        </w:tc>
        <w:tc>
          <w:tcPr>
            <w:tcW w:w="1382"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382"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3589" w:type="dxa"/>
            <w:vMerge w:val="continue"/>
            <w:shd w:val="clear" w:color="auto" w:fill="auto"/>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3"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108.617°E</w:t>
            </w:r>
          </w:p>
        </w:tc>
        <w:tc>
          <w:tcPr>
            <w:tcW w:w="118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21.95°N</w:t>
            </w:r>
          </w:p>
        </w:tc>
        <w:tc>
          <w:tcPr>
            <w:tcW w:w="138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27km</w:t>
            </w:r>
          </w:p>
        </w:tc>
        <w:tc>
          <w:tcPr>
            <w:tcW w:w="138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2022</w:t>
            </w:r>
          </w:p>
        </w:tc>
        <w:tc>
          <w:tcPr>
            <w:tcW w:w="358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气压、离地高度、干球温度</w:t>
            </w:r>
          </w:p>
        </w:tc>
      </w:tr>
    </w:tbl>
    <w:p>
      <w:pPr>
        <w:pStyle w:val="475"/>
        <w:numPr>
          <w:ilvl w:val="0"/>
          <w:numId w:val="21"/>
        </w:numPr>
        <w:spacing w:line="500" w:lineRule="exact"/>
        <w:ind w:firstLineChars="0"/>
        <w:outlineLvl w:val="3"/>
        <w:rPr>
          <w:rFonts w:ascii="Arial" w:hAnsi="Arial" w:cs="Arial"/>
          <w:b/>
        </w:rPr>
      </w:pPr>
      <w:r>
        <w:rPr>
          <w:rFonts w:ascii="Arial" w:hAnsi="Arial" w:cs="Arial"/>
          <w:b/>
        </w:rPr>
        <w:t>地形数据</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范围内的地形数据采用外部DEM文件，并采用AERMAP运行计算得出评价范围内各网格及敏感点的地形数据。构建评价范围的预测网格时，采用直角坐标的方式，即坐标形式为（x，y）。评价区域地形示意图详见图4.2-2。</w:t>
      </w:r>
    </w:p>
    <w:p>
      <w:pPr>
        <w:spacing w:line="500" w:lineRule="exact"/>
        <w:ind w:firstLine="490" w:firstLineChars="200"/>
        <w:rPr>
          <w:rFonts w:ascii="Arial" w:hAnsi="Arial" w:eastAsia="宋体" w:cs="Arial"/>
          <w:spacing w:val="10"/>
          <w:sz w:val="24"/>
        </w:rPr>
      </w:pPr>
    </w:p>
    <w:p>
      <w:pPr>
        <w:rPr>
          <w:rFonts w:ascii="Arial" w:hAnsi="Arial" w:eastAsia="宋体" w:cs="Arial"/>
          <w:spacing w:val="10"/>
          <w:sz w:val="24"/>
        </w:rPr>
      </w:pPr>
      <w:r>
        <mc:AlternateContent>
          <mc:Choice Requires="wps">
            <w:drawing>
              <wp:anchor distT="0" distB="0" distL="114300" distR="114300" simplePos="0" relativeHeight="251660288" behindDoc="0" locked="0" layoutInCell="1" allowOverlap="1">
                <wp:simplePos x="0" y="0"/>
                <wp:positionH relativeFrom="column">
                  <wp:posOffset>1668780</wp:posOffset>
                </wp:positionH>
                <wp:positionV relativeFrom="paragraph">
                  <wp:posOffset>2839720</wp:posOffset>
                </wp:positionV>
                <wp:extent cx="971550" cy="266700"/>
                <wp:effectExtent l="6350" t="677545" r="12700" b="8255"/>
                <wp:wrapNone/>
                <wp:docPr id="40" name="圆角矩形标注 40"/>
                <wp:cNvGraphicFramePr/>
                <a:graphic xmlns:a="http://schemas.openxmlformats.org/drawingml/2006/main">
                  <a:graphicData uri="http://schemas.microsoft.com/office/word/2010/wordprocessingShape">
                    <wps:wsp>
                      <wps:cNvSpPr/>
                      <wps:spPr>
                        <a:xfrm>
                          <a:off x="0" y="0"/>
                          <a:ext cx="971550" cy="266700"/>
                        </a:xfrm>
                        <a:prstGeom prst="wedgeRoundRectCallout">
                          <a:avLst>
                            <a:gd name="adj1" fmla="val -1225"/>
                            <a:gd name="adj2" fmla="val -301786"/>
                            <a:gd name="adj3" fmla="val 16667"/>
                          </a:avLst>
                        </a:prstGeom>
                        <a:noFill/>
                        <a:ln w="12700" cap="flat" cmpd="sng" algn="ctr">
                          <a:solidFill>
                            <a:srgbClr val="4F81BD">
                              <a:shade val="50000"/>
                            </a:srgbClr>
                          </a:solidFill>
                          <a:prstDash val="solid"/>
                        </a:ln>
                        <a:effectLst/>
                      </wps:spPr>
                      <wps:txbx>
                        <w:txbxContent>
                          <w:p>
                            <w:pPr>
                              <w:adjustRightInd w:val="0"/>
                              <w:snapToGrid w:val="0"/>
                              <w:jc w:val="center"/>
                              <w:rPr>
                                <w:rFonts w:ascii="宋体" w:hAnsi="宋体" w:eastAsia="宋体"/>
                                <w:color w:val="000000"/>
                                <w:sz w:val="18"/>
                                <w:szCs w:val="18"/>
                              </w:rPr>
                            </w:pPr>
                            <w:r>
                              <w:rPr>
                                <w:rFonts w:hint="eastAsia" w:ascii="宋体" w:hAnsi="宋体" w:eastAsia="宋体"/>
                                <w:color w:val="000000"/>
                                <w:sz w:val="18"/>
                                <w:szCs w:val="18"/>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1.4pt;margin-top:223.6pt;height:21pt;width:76.5pt;z-index:251660288;v-text-anchor:middle;mso-width-relative:page;mso-height-relative:page;" filled="f" stroked="t" coordsize="21600,21600" o:gfxdata="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WiKhjNsAAAALAQAADwAAAAAAAAABACAAAAAiAAAAZHJz&#10;L2Rvd25yZXYueG1sUEsBAhQAFAAAAAgAh07iQKBDLmmsAgAANQUAAA4AAAAAAAAAAQAgAAAAKgEA&#10;AGRycy9lMm9Eb2MueG1sUEsFBgAAAAAGAAYAWQEAAEgGAAAAAA==&#10;" adj="10535,-54386,14400">
                <v:fill on="f" focussize="0,0"/>
                <v:stroke weight="1pt" color="#385D8A" joinstyle="round"/>
                <v:imagedata o:title=""/>
                <o:lock v:ext="edit" aspectratio="f"/>
                <v:textbox>
                  <w:txbxContent>
                    <w:p>
                      <w:pPr>
                        <w:adjustRightInd w:val="0"/>
                        <w:snapToGrid w:val="0"/>
                        <w:jc w:val="center"/>
                        <w:rPr>
                          <w:rFonts w:ascii="宋体" w:hAnsi="宋体" w:eastAsia="宋体"/>
                          <w:color w:val="000000"/>
                          <w:sz w:val="18"/>
                          <w:szCs w:val="18"/>
                        </w:rPr>
                      </w:pPr>
                      <w:r>
                        <w:rPr>
                          <w:rFonts w:hint="eastAsia" w:ascii="宋体" w:hAnsi="宋体" w:eastAsia="宋体"/>
                          <w:color w:val="000000"/>
                          <w:sz w:val="18"/>
                          <w:szCs w:val="18"/>
                        </w:rPr>
                        <w:t>项目所在位置</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2030730</wp:posOffset>
                </wp:positionH>
                <wp:positionV relativeFrom="paragraph">
                  <wp:posOffset>1972945</wp:posOffset>
                </wp:positionV>
                <wp:extent cx="219075" cy="209550"/>
                <wp:effectExtent l="12700" t="12700" r="15875" b="25400"/>
                <wp:wrapNone/>
                <wp:docPr id="1" name="五角星 41"/>
                <wp:cNvGraphicFramePr/>
                <a:graphic xmlns:a="http://schemas.openxmlformats.org/drawingml/2006/main">
                  <a:graphicData uri="http://schemas.microsoft.com/office/word/2010/wordprocessingShape">
                    <wps:wsp>
                      <wps:cNvSpPr/>
                      <wps:spPr>
                        <a:xfrm>
                          <a:off x="0" y="0"/>
                          <a:ext cx="219075" cy="209550"/>
                        </a:xfrm>
                        <a:custGeom>
                          <a:avLst/>
                          <a:gdLst/>
                          <a:ahLst/>
                          <a:cxnLst>
                            <a:cxn ang="0">
                              <a:pos x="0" y="80041"/>
                            </a:cxn>
                            <a:cxn ang="0">
                              <a:pos x="83680" y="80041"/>
                            </a:cxn>
                            <a:cxn ang="0">
                              <a:pos x="109538" y="0"/>
                            </a:cxn>
                            <a:cxn ang="0">
                              <a:pos x="135395" y="80041"/>
                            </a:cxn>
                            <a:cxn ang="0">
                              <a:pos x="219075" y="80041"/>
                            </a:cxn>
                            <a:cxn ang="0">
                              <a:pos x="151376" y="129508"/>
                            </a:cxn>
                            <a:cxn ang="0">
                              <a:pos x="177235" y="209549"/>
                            </a:cxn>
                            <a:cxn ang="0">
                              <a:pos x="109538" y="160081"/>
                            </a:cxn>
                            <a:cxn ang="0">
                              <a:pos x="41840" y="209549"/>
                            </a:cxn>
                            <a:cxn ang="0">
                              <a:pos x="67699" y="129508"/>
                            </a:cxn>
                            <a:cxn ang="0">
                              <a:pos x="0" y="80041"/>
                            </a:cxn>
                          </a:cxnLst>
                          <a:rect l="0" t="0" r="0" b="0"/>
                          <a:pathLst>
                            <a:path w="219075" h="209550">
                              <a:moveTo>
                                <a:pt x="0" y="80041"/>
                              </a:moveTo>
                              <a:lnTo>
                                <a:pt x="83680" y="80041"/>
                              </a:lnTo>
                              <a:lnTo>
                                <a:pt x="109538" y="0"/>
                              </a:lnTo>
                              <a:lnTo>
                                <a:pt x="135395" y="80041"/>
                              </a:lnTo>
                              <a:lnTo>
                                <a:pt x="219075" y="80041"/>
                              </a:lnTo>
                              <a:lnTo>
                                <a:pt x="151376" y="129508"/>
                              </a:lnTo>
                              <a:lnTo>
                                <a:pt x="177235" y="209549"/>
                              </a:lnTo>
                              <a:lnTo>
                                <a:pt x="109538" y="160081"/>
                              </a:lnTo>
                              <a:lnTo>
                                <a:pt x="41840" y="209549"/>
                              </a:lnTo>
                              <a:lnTo>
                                <a:pt x="67699" y="129508"/>
                              </a:lnTo>
                              <a:lnTo>
                                <a:pt x="0" y="80041"/>
                              </a:lnTo>
                              <a:close/>
                            </a:path>
                          </a:pathLst>
                        </a:custGeom>
                        <a:solidFill>
                          <a:sysClr val="background" lastClr="000000">
                            <a:gamma/>
                            <a:invGamma/>
                            <a:alpha val="100000"/>
                          </a:sysClr>
                        </a:solidFill>
                        <a:ln w="25400" cap="flat" cmpd="sng">
                          <a:solidFill>
                            <a:sysClr val="background" lastClr="000000">
                              <a:gamma/>
                              <a:invGamma/>
                              <a:alpha val="100000"/>
                            </a:sysClr>
                          </a:solidFill>
                          <a:prstDash val="solid"/>
                          <a:headEnd type="none" w="med" len="med"/>
                          <a:tailEnd type="none" w="med" len="med"/>
                        </a:ln>
                      </wps:spPr>
                      <wps:bodyPr vert="horz" wrap="square" lIns="91440" tIns="45720" rIns="91440" bIns="45720" anchor="ctr" anchorCtr="0" upright="1"/>
                    </wps:wsp>
                  </a:graphicData>
                </a:graphic>
              </wp:anchor>
            </w:drawing>
          </mc:Choice>
          <mc:Fallback>
            <w:pict>
              <v:shape id="五角星 41" o:spid="_x0000_s1026" o:spt="100" style="position:absolute;left:0pt;margin-left:159.9pt;margin-top:155.35pt;height:16.5pt;width:17.25pt;z-index:251659264;v-text-anchor:middle;mso-width-relative:page;mso-height-relative:page;" fillcolor="#000000" filled="t" stroked="t" coordsize="219075,209550" o:gfxdata="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uUCJYtsAAAAL&#10;AQAADwAAAAAAAAABACAAAAAiAAAAZHJzL2Rvd25yZXYueG1sUEsBAhQAFAAAAAgAh07iQAjgotk2&#10;AwAAaAkAAA4AAAAAAAAAAQAgAAAAKgEAAGRycy9lMm9Eb2MueG1sUEsFBgAAAAAGAAYAWQEAANIG&#10;AAAAAA==&#10;" path="m0,80041l83680,80041,109538,0,135395,80041,219075,80041,151376,129508,177235,209549,109538,160081,41840,209549,67699,129508,0,80041xe">
                <v:path o:connectlocs="0,80041;83680,80041;109538,0;135395,80041;219075,80041;151376,129508;177235,209549;109538,160081;41840,209549;67699,129508;0,80041" o:connectangles="0,0,0,0,0,0,0,0,0,0,0"/>
                <v:fill on="t" focussize="0,0"/>
                <v:stroke weight="2pt" color="#000000" joinstyle="round"/>
                <v:imagedata o:title=""/>
                <o:lock v:ext="edit" aspectratio="f"/>
              </v:shape>
            </w:pict>
          </mc:Fallback>
        </mc:AlternateContent>
      </w:r>
      <w:r>
        <w:rPr>
          <w:rFonts w:ascii="Arial" w:hAnsi="Arial" w:cs="Arial"/>
        </w:rPr>
        <w:drawing>
          <wp:inline distT="0" distB="0" distL="114300" distR="114300">
            <wp:extent cx="5486400" cy="3862070"/>
            <wp:effectExtent l="0" t="0" r="0" b="5080"/>
            <wp:docPr id="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3"/>
                    <pic:cNvPicPr>
                      <a:picLocks noChangeAspect="1"/>
                    </pic:cNvPicPr>
                  </pic:nvPicPr>
                  <pic:blipFill>
                    <a:blip r:embed="rId42"/>
                    <a:stretch>
                      <a:fillRect/>
                    </a:stretch>
                  </pic:blipFill>
                  <pic:spPr>
                    <a:xfrm>
                      <a:off x="0" y="0"/>
                      <a:ext cx="5486400" cy="3862070"/>
                    </a:xfrm>
                    <a:prstGeom prst="rect">
                      <a:avLst/>
                    </a:prstGeom>
                    <a:noFill/>
                    <a:ln>
                      <a:noFill/>
                    </a:ln>
                  </pic:spPr>
                </pic:pic>
              </a:graphicData>
            </a:graphic>
          </wp:inline>
        </w:drawing>
      </w:r>
    </w:p>
    <w:p>
      <w:pPr>
        <w:numPr>
          <w:ilvl w:val="0"/>
          <w:numId w:val="23"/>
        </w:numPr>
        <w:adjustRightInd w:val="0"/>
        <w:snapToGrid w:val="0"/>
        <w:ind w:left="0" w:firstLine="0"/>
        <w:jc w:val="center"/>
        <w:rPr>
          <w:rFonts w:ascii="Arial" w:hAnsi="Arial" w:eastAsia="宋体" w:cs="Arial"/>
          <w:b/>
          <w:spacing w:val="10"/>
          <w:sz w:val="24"/>
        </w:rPr>
      </w:pPr>
      <w:r>
        <w:rPr>
          <w:rFonts w:ascii="Arial" w:hAnsi="Arial" w:eastAsia="宋体" w:cs="Arial"/>
          <w:b/>
          <w:spacing w:val="10"/>
          <w:sz w:val="24"/>
        </w:rPr>
        <w:t>项目所在区域地形高程图</w:t>
      </w:r>
    </w:p>
    <w:p>
      <w:pPr>
        <w:pStyle w:val="475"/>
        <w:numPr>
          <w:ilvl w:val="0"/>
          <w:numId w:val="21"/>
        </w:numPr>
        <w:spacing w:line="500" w:lineRule="exact"/>
        <w:ind w:firstLineChars="0"/>
        <w:outlineLvl w:val="3"/>
        <w:rPr>
          <w:rFonts w:ascii="Arial" w:hAnsi="Arial" w:cs="Arial"/>
          <w:b/>
        </w:rPr>
      </w:pPr>
      <w:r>
        <w:rPr>
          <w:rFonts w:ascii="Arial" w:hAnsi="Arial" w:cs="Arial"/>
          <w:b/>
        </w:rPr>
        <w:t>地面特征参数</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本预测采用HJ2.2-2008推荐模式清单中的AERMOD进行预测计算，AERMOD所需的近地面参数（正午地面反照率、白天波文率和地面粗糙率）选取，根据项目评价区域特点参考模型推荐参数及实测数据进行设置。</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根据拟建项目所处地理环境，评价区土地利用类型为城市，地表湿度主要为湿润气候，按季计算评价区地面特征参数，本项目评价区地面特征参数详见表4-4。</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地面特征参数表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991"/>
        <w:gridCol w:w="1991"/>
        <w:gridCol w:w="1495"/>
        <w:gridCol w:w="1299"/>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扇区</w:t>
            </w:r>
          </w:p>
        </w:tc>
        <w:tc>
          <w:tcPr>
            <w:tcW w:w="1991"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时段</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正午反照率</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BOWEN</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粗糙度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冬季（12,1,2月）</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0.2</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991"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春季（3,4,5月）</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0.12</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夏季（6,7,8月）</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秋季（9,10,11月）</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0.14</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19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冬季（12,1,2月）</w:t>
            </w:r>
          </w:p>
        </w:tc>
        <w:tc>
          <w:tcPr>
            <w:tcW w:w="14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0.35</w:t>
            </w:r>
          </w:p>
        </w:tc>
        <w:tc>
          <w:tcPr>
            <w:tcW w:w="129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0.75</w:t>
            </w:r>
          </w:p>
        </w:tc>
        <w:tc>
          <w:tcPr>
            <w:tcW w:w="12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w:t>
            </w:r>
          </w:p>
        </w:tc>
        <w:tc>
          <w:tcPr>
            <w:tcW w:w="199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180-90</w:t>
            </w:r>
          </w:p>
        </w:tc>
        <w:tc>
          <w:tcPr>
            <w:tcW w:w="1991"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春季（3,4,5月）</w:t>
            </w:r>
          </w:p>
        </w:tc>
        <w:tc>
          <w:tcPr>
            <w:tcW w:w="14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0.14</w:t>
            </w:r>
          </w:p>
        </w:tc>
        <w:tc>
          <w:tcPr>
            <w:tcW w:w="129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c>
          <w:tcPr>
            <w:tcW w:w="1295"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7</w:t>
            </w:r>
          </w:p>
        </w:tc>
        <w:tc>
          <w:tcPr>
            <w:tcW w:w="19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夏季（6,7,8月）</w:t>
            </w:r>
          </w:p>
        </w:tc>
        <w:tc>
          <w:tcPr>
            <w:tcW w:w="14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0.16</w:t>
            </w:r>
          </w:p>
        </w:tc>
        <w:tc>
          <w:tcPr>
            <w:tcW w:w="129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12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2" w:type="dxa"/>
            <w:shd w:val="clear" w:color="auto" w:fill="auto"/>
            <w:noWrap/>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8</w:t>
            </w:r>
          </w:p>
        </w:tc>
        <w:tc>
          <w:tcPr>
            <w:tcW w:w="199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991"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秋季（9,10,11月）</w:t>
            </w:r>
          </w:p>
        </w:tc>
        <w:tc>
          <w:tcPr>
            <w:tcW w:w="14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0.18</w:t>
            </w:r>
          </w:p>
        </w:tc>
        <w:tc>
          <w:tcPr>
            <w:tcW w:w="129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129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r>
    </w:tbl>
    <w:p>
      <w:pPr>
        <w:adjustRightInd w:val="0"/>
        <w:snapToGrid w:val="0"/>
        <w:ind w:firstLine="390" w:firstLineChars="200"/>
        <w:rPr>
          <w:rFonts w:ascii="Arial" w:hAnsi="Arial" w:eastAsia="宋体" w:cs="Arial"/>
          <w:sz w:val="21"/>
        </w:rPr>
      </w:pPr>
      <w:r>
        <w:rPr>
          <w:rFonts w:ascii="Arial" w:hAnsi="Arial" w:eastAsia="宋体" w:cs="Arial"/>
          <w:sz w:val="21"/>
        </w:rPr>
        <w:t>*钦州冬季很少下雪，根据《AERMET USER GUIDE》（EPA-454/B-03-002，2004/11），如果冬天很少有雪覆盖（或没有完全覆盖），则波文率（BOWEN）参数取秋季和冬季的中间值更合适。城市湿润条件下波文率秋季为1.0，冬季为0.5，因此本次评价波文率冬季取值为0.75。</w:t>
      </w:r>
    </w:p>
    <w:p>
      <w:pPr>
        <w:pStyle w:val="475"/>
        <w:numPr>
          <w:ilvl w:val="0"/>
          <w:numId w:val="21"/>
        </w:numPr>
        <w:spacing w:line="500" w:lineRule="exact"/>
        <w:ind w:firstLineChars="0"/>
        <w:outlineLvl w:val="3"/>
        <w:rPr>
          <w:rFonts w:ascii="Arial" w:hAnsi="Arial" w:cs="Arial"/>
          <w:b/>
        </w:rPr>
      </w:pPr>
      <w:r>
        <w:rPr>
          <w:rFonts w:ascii="Arial" w:hAnsi="Arial" w:cs="Arial"/>
          <w:b/>
        </w:rPr>
        <w:t>预测范围</w:t>
      </w:r>
    </w:p>
    <w:p>
      <w:pPr>
        <w:spacing w:line="500" w:lineRule="exact"/>
        <w:ind w:firstLine="450" w:firstLineChars="200"/>
        <w:rPr>
          <w:rFonts w:ascii="Arial" w:hAnsi="Arial" w:eastAsia="宋体" w:cs="Arial"/>
          <w:sz w:val="24"/>
          <w:szCs w:val="24"/>
        </w:rPr>
      </w:pPr>
      <w:r>
        <w:rPr>
          <w:rFonts w:ascii="Arial" w:hAnsi="Arial" w:eastAsia="宋体" w:cs="Arial"/>
          <w:sz w:val="24"/>
          <w:szCs w:val="24"/>
        </w:rPr>
        <w:t>1、估算模式参数</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估算模型参数表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6"/>
        <w:gridCol w:w="2998"/>
        <w:gridCol w:w="2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参数</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城市农村选项</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人口数（城市选项时）</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最高环境温度/</w:t>
            </w:r>
            <w:r>
              <w:rPr>
                <w:rFonts w:hint="eastAsia" w:cs="宋体"/>
                <w:kern w:val="2"/>
              </w:rPr>
              <w:t>℃</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最低环境温度/</w:t>
            </w:r>
            <w:r>
              <w:rPr>
                <w:rFonts w:hint="eastAsia" w:cs="宋体"/>
                <w:kern w:val="2"/>
              </w:rPr>
              <w:t>℃</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土地利用类型</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99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区域湿度条件</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是否考虑地形</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考虑地形</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地形数据分辨率/m</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是否考虑岸线熏烟</w:t>
            </w: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考虑岸线熏烟</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岸线距离/km</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9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299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岸线方向/</w:t>
            </w:r>
            <w:r>
              <w:rPr>
                <w:rFonts w:ascii="Arial" w:hAnsi="Arial" w:cs="Arial"/>
                <w:kern w:val="2"/>
                <w:vertAlign w:val="superscript"/>
              </w:rPr>
              <w:t>o</w:t>
            </w:r>
          </w:p>
        </w:tc>
        <w:tc>
          <w:tcPr>
            <w:tcW w:w="2999"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180°</w:t>
            </w:r>
          </w:p>
        </w:tc>
      </w:tr>
    </w:tbl>
    <w:p>
      <w:pPr>
        <w:spacing w:line="500" w:lineRule="exact"/>
        <w:ind w:firstLine="450" w:firstLineChars="200"/>
        <w:rPr>
          <w:rFonts w:ascii="Arial" w:hAnsi="Arial" w:eastAsia="宋体" w:cs="Arial"/>
          <w:sz w:val="24"/>
          <w:szCs w:val="24"/>
          <w:u w:val="single"/>
        </w:rPr>
      </w:pPr>
      <w:r>
        <w:rPr>
          <w:rFonts w:ascii="Arial" w:hAnsi="Arial" w:eastAsia="宋体" w:cs="Arial"/>
          <w:sz w:val="24"/>
          <w:szCs w:val="24"/>
          <w:u w:val="single"/>
        </w:rPr>
        <w:t>2、估算结果</w:t>
      </w:r>
    </w:p>
    <w:p>
      <w:pPr>
        <w:numPr>
          <w:ilvl w:val="0"/>
          <w:numId w:val="22"/>
        </w:numPr>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主要</w:t>
      </w:r>
      <w:r>
        <w:rPr>
          <w:rFonts w:ascii="Arial" w:hAnsi="Arial" w:eastAsia="宋体" w:cs="Arial"/>
          <w:b/>
          <w:sz w:val="24"/>
          <w:szCs w:val="24"/>
          <w:u w:val="single"/>
        </w:rPr>
        <w:t>污染物估算模式计算结果</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2358"/>
        <w:gridCol w:w="2845"/>
        <w:gridCol w:w="2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序号</w:t>
            </w:r>
          </w:p>
        </w:tc>
        <w:tc>
          <w:tcPr>
            <w:tcW w:w="2358"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污染源名称</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PM</w:t>
            </w:r>
            <w:r>
              <w:rPr>
                <w:rFonts w:hint="eastAsia" w:ascii="Arial" w:hAnsi="Arial" w:eastAsia="宋体" w:cs="Arial"/>
                <w:sz w:val="21"/>
                <w:szCs w:val="21"/>
                <w:u w:val="single"/>
                <w:vertAlign w:val="subscript"/>
              </w:rPr>
              <w:t>10</w:t>
            </w:r>
            <w:r>
              <w:rPr>
                <w:rFonts w:hint="eastAsia" w:ascii="Arial" w:hAnsi="Arial" w:eastAsia="宋体" w:cs="Arial"/>
                <w:sz w:val="21"/>
                <w:szCs w:val="21"/>
                <w:u w:val="single"/>
              </w:rPr>
              <w:t>|D10(m)</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氨气|D10(m)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w:t>
            </w:r>
          </w:p>
        </w:tc>
        <w:tc>
          <w:tcPr>
            <w:tcW w:w="2358"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DA145</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16.86|475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w:t>
            </w:r>
          </w:p>
        </w:tc>
        <w:tc>
          <w:tcPr>
            <w:tcW w:w="2358"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DA146</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0.42|0</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3</w:t>
            </w:r>
          </w:p>
        </w:tc>
        <w:tc>
          <w:tcPr>
            <w:tcW w:w="2358"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DA067</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12.54|325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01"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w:t>
            </w:r>
          </w:p>
        </w:tc>
        <w:tc>
          <w:tcPr>
            <w:tcW w:w="2358"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X19车间</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60.85|725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559" w:type="dxa"/>
            <w:gridSpan w:val="2"/>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各源最大值</w:t>
            </w:r>
          </w:p>
        </w:tc>
        <w:tc>
          <w:tcPr>
            <w:tcW w:w="2845"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0.42</w:t>
            </w:r>
          </w:p>
        </w:tc>
        <w:tc>
          <w:tcPr>
            <w:tcW w:w="2589" w:type="dxa"/>
            <w:shd w:val="clear" w:color="auto" w:fill="auto"/>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60.85</w:t>
            </w:r>
          </w:p>
        </w:tc>
      </w:tr>
    </w:tbl>
    <w:p>
      <w:pPr>
        <w:spacing w:line="500" w:lineRule="exact"/>
        <w:ind w:firstLine="450" w:firstLineChars="200"/>
        <w:rPr>
          <w:rFonts w:ascii="Arial" w:hAnsi="Arial" w:eastAsia="宋体" w:cs="Arial"/>
          <w:sz w:val="24"/>
          <w:szCs w:val="24"/>
          <w:u w:val="single"/>
        </w:rPr>
      </w:pPr>
      <w:r>
        <w:rPr>
          <w:rFonts w:ascii="Arial" w:hAnsi="Arial" w:eastAsia="宋体" w:cs="Arial"/>
          <w:sz w:val="24"/>
          <w:szCs w:val="24"/>
          <w:u w:val="single"/>
        </w:rPr>
        <w:t>根据估算结果，各污染源主要污染物最大占标率为</w:t>
      </w:r>
      <w:r>
        <w:rPr>
          <w:rFonts w:hint="eastAsia" w:ascii="Arial" w:hAnsi="Arial" w:eastAsia="宋体" w:cs="Arial"/>
          <w:sz w:val="24"/>
          <w:szCs w:val="24"/>
          <w:u w:val="single"/>
        </w:rPr>
        <w:t>60.85</w:t>
      </w:r>
      <w:r>
        <w:rPr>
          <w:rFonts w:ascii="Arial" w:hAnsi="Arial" w:eastAsia="宋体" w:cs="Arial"/>
          <w:sz w:val="24"/>
          <w:szCs w:val="24"/>
          <w:u w:val="single"/>
        </w:rPr>
        <w:t>%，D</w:t>
      </w:r>
      <w:r>
        <w:rPr>
          <w:rFonts w:ascii="Arial" w:hAnsi="Arial" w:eastAsia="宋体" w:cs="Arial"/>
          <w:sz w:val="24"/>
          <w:szCs w:val="24"/>
          <w:u w:val="single"/>
          <w:vertAlign w:val="subscript"/>
        </w:rPr>
        <w:t>10%</w:t>
      </w:r>
      <w:r>
        <w:rPr>
          <w:rFonts w:ascii="Arial" w:hAnsi="Arial" w:eastAsia="宋体" w:cs="Arial"/>
          <w:sz w:val="24"/>
          <w:szCs w:val="24"/>
          <w:u w:val="single"/>
        </w:rPr>
        <w:t>最大为</w:t>
      </w:r>
      <w:r>
        <w:rPr>
          <w:rFonts w:hint="eastAsia" w:ascii="Arial" w:hAnsi="Arial" w:eastAsia="宋体" w:cs="Arial"/>
          <w:sz w:val="24"/>
          <w:szCs w:val="24"/>
          <w:u w:val="single"/>
        </w:rPr>
        <w:t>727</w:t>
      </w:r>
      <w:r>
        <w:rPr>
          <w:rFonts w:ascii="Arial" w:hAnsi="Arial" w:eastAsia="宋体" w:cs="Arial"/>
          <w:sz w:val="24"/>
          <w:szCs w:val="24"/>
          <w:u w:val="single"/>
        </w:rPr>
        <w:t>m。因此，项目评价范围为</w:t>
      </w:r>
      <w:r>
        <w:rPr>
          <w:rFonts w:hint="eastAsia" w:ascii="Arial" w:hAnsi="Arial" w:eastAsia="宋体" w:cs="Arial"/>
          <w:sz w:val="24"/>
          <w:szCs w:val="24"/>
          <w:u w:val="single"/>
        </w:rPr>
        <w:t>边长</w:t>
      </w:r>
      <w:r>
        <w:rPr>
          <w:rFonts w:ascii="Arial" w:hAnsi="Arial" w:eastAsia="宋体" w:cs="Arial"/>
          <w:sz w:val="24"/>
          <w:szCs w:val="24"/>
          <w:u w:val="single"/>
        </w:rPr>
        <w:t>为</w:t>
      </w:r>
      <w:r>
        <w:rPr>
          <w:rFonts w:hint="eastAsia" w:ascii="Arial" w:hAnsi="Arial" w:eastAsia="宋体" w:cs="Arial"/>
          <w:sz w:val="24"/>
          <w:szCs w:val="24"/>
          <w:u w:val="single"/>
        </w:rPr>
        <w:t>5</w:t>
      </w:r>
      <w:r>
        <w:rPr>
          <w:rFonts w:ascii="Arial" w:hAnsi="Arial" w:eastAsia="宋体" w:cs="Arial"/>
          <w:sz w:val="24"/>
          <w:szCs w:val="24"/>
          <w:u w:val="single"/>
        </w:rPr>
        <w:t>km的矩形区域。</w:t>
      </w:r>
    </w:p>
    <w:p>
      <w:pPr>
        <w:pStyle w:val="475"/>
        <w:numPr>
          <w:ilvl w:val="0"/>
          <w:numId w:val="21"/>
        </w:numPr>
        <w:spacing w:line="500" w:lineRule="exact"/>
        <w:ind w:firstLineChars="0"/>
        <w:outlineLvl w:val="3"/>
        <w:rPr>
          <w:rFonts w:ascii="Arial" w:hAnsi="Arial" w:cs="Arial"/>
          <w:b/>
        </w:rPr>
      </w:pPr>
      <w:r>
        <w:rPr>
          <w:rFonts w:ascii="Arial" w:hAnsi="Arial" w:cs="Arial"/>
          <w:b/>
        </w:rPr>
        <w:t>预测模型的选取</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1、根据气象数据统计结果，项目评价基准年（2022年）风速≤0.5m/s的持续时间小于72h。</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2、近20年统计的全年静风频率未超过35%。</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3、根据估算结果，在筛选方案考虑海岸线熏烟情况下，未发生岸边熏烟。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4、根据估算模式计算结果结合导则要求，确定的评价范围为厂界外2.5km矩形区域，评价范围小于50km。</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szCs w:val="24"/>
        </w:rPr>
        <w:t>综上所述，根据《环境影响评价技术导则 大气环境》（HJ2.2-2018），本次评价选取AERMOD模型进行下一步模拟。</w:t>
      </w:r>
    </w:p>
    <w:p>
      <w:pPr>
        <w:pStyle w:val="475"/>
        <w:numPr>
          <w:ilvl w:val="0"/>
          <w:numId w:val="21"/>
        </w:numPr>
        <w:spacing w:line="500" w:lineRule="exact"/>
        <w:ind w:firstLineChars="0"/>
        <w:outlineLvl w:val="3"/>
        <w:rPr>
          <w:rFonts w:ascii="Arial" w:hAnsi="Arial" w:cs="Arial"/>
          <w:b/>
        </w:rPr>
      </w:pPr>
      <w:r>
        <w:rPr>
          <w:rFonts w:ascii="Arial" w:hAnsi="Arial" w:cs="Arial"/>
          <w:b/>
        </w:rPr>
        <w:t>模拟预测网格</w:t>
      </w:r>
    </w:p>
    <w:p>
      <w:pPr>
        <w:autoSpaceDE w:val="0"/>
        <w:autoSpaceDN w:val="0"/>
        <w:adjustRightInd w:val="0"/>
        <w:spacing w:line="500" w:lineRule="exact"/>
        <w:ind w:firstLine="490" w:firstLineChars="200"/>
        <w:textAlignment w:val="bottom"/>
        <w:rPr>
          <w:rFonts w:ascii="Arial" w:hAnsi="Arial" w:eastAsia="宋体" w:cs="Arial"/>
          <w:spacing w:val="10"/>
          <w:sz w:val="24"/>
          <w:u w:val="single"/>
        </w:rPr>
      </w:pPr>
      <w:r>
        <w:rPr>
          <w:rFonts w:ascii="Arial" w:hAnsi="Arial" w:eastAsia="宋体" w:cs="Arial"/>
          <w:spacing w:val="10"/>
          <w:sz w:val="24"/>
        </w:rPr>
        <w:t>选择以下的环境空气关心点、预测范围内的网格点以及区域最大地面浓度点作为计算点。网格点设置采用直角坐标网格，每100m布设1个点，预测点范围为（-</w:t>
      </w:r>
      <w:r>
        <w:rPr>
          <w:rFonts w:hint="eastAsia" w:ascii="Arial" w:hAnsi="Arial" w:eastAsia="宋体" w:cs="Arial"/>
          <w:spacing w:val="10"/>
          <w:sz w:val="24"/>
        </w:rPr>
        <w:t>3200</w:t>
      </w:r>
      <w:r>
        <w:rPr>
          <w:rFonts w:ascii="Arial" w:hAnsi="Arial" w:eastAsia="宋体" w:cs="Arial"/>
          <w:spacing w:val="10"/>
          <w:sz w:val="24"/>
        </w:rPr>
        <w:t>，-</w:t>
      </w:r>
      <w:r>
        <w:rPr>
          <w:rFonts w:hint="eastAsia" w:ascii="Arial" w:hAnsi="Arial" w:eastAsia="宋体" w:cs="Arial"/>
          <w:spacing w:val="10"/>
          <w:sz w:val="24"/>
        </w:rPr>
        <w:t>3300</w:t>
      </w:r>
      <w:r>
        <w:rPr>
          <w:rFonts w:ascii="Arial" w:hAnsi="Arial" w:eastAsia="宋体" w:cs="Arial"/>
          <w:spacing w:val="10"/>
          <w:sz w:val="24"/>
        </w:rPr>
        <w:t>）——（</w:t>
      </w:r>
      <w:r>
        <w:rPr>
          <w:rFonts w:hint="eastAsia" w:ascii="Arial" w:hAnsi="Arial" w:eastAsia="宋体" w:cs="Arial"/>
          <w:spacing w:val="10"/>
          <w:sz w:val="24"/>
        </w:rPr>
        <w:t>3400</w:t>
      </w:r>
      <w:r>
        <w:rPr>
          <w:rFonts w:ascii="Arial" w:hAnsi="Arial" w:eastAsia="宋体" w:cs="Arial"/>
          <w:spacing w:val="10"/>
          <w:sz w:val="24"/>
        </w:rPr>
        <w:t>，</w:t>
      </w:r>
      <w:r>
        <w:rPr>
          <w:rFonts w:hint="eastAsia" w:ascii="Arial" w:hAnsi="Arial" w:eastAsia="宋体" w:cs="Arial"/>
          <w:spacing w:val="10"/>
          <w:sz w:val="24"/>
        </w:rPr>
        <w:t>4100</w:t>
      </w:r>
      <w:r>
        <w:rPr>
          <w:rFonts w:ascii="Arial" w:hAnsi="Arial" w:eastAsia="宋体" w:cs="Arial"/>
          <w:spacing w:val="10"/>
          <w:sz w:val="24"/>
        </w:rPr>
        <w:t>），预测点总数</w:t>
      </w:r>
      <w:r>
        <w:rPr>
          <w:rFonts w:hint="eastAsia" w:ascii="Arial" w:hAnsi="Arial" w:eastAsia="宋体" w:cs="Arial"/>
          <w:spacing w:val="10"/>
          <w:sz w:val="24"/>
        </w:rPr>
        <w:t>5035</w:t>
      </w:r>
      <w:r>
        <w:rPr>
          <w:rFonts w:ascii="Arial" w:hAnsi="Arial" w:eastAsia="宋体" w:cs="Arial"/>
          <w:spacing w:val="10"/>
          <w:sz w:val="24"/>
        </w:rPr>
        <w:t>个。</w:t>
      </w:r>
    </w:p>
    <w:p>
      <w:pPr>
        <w:pStyle w:val="475"/>
        <w:numPr>
          <w:ilvl w:val="0"/>
          <w:numId w:val="21"/>
        </w:numPr>
        <w:spacing w:line="500" w:lineRule="exact"/>
        <w:ind w:firstLineChars="0"/>
        <w:outlineLvl w:val="3"/>
        <w:rPr>
          <w:rFonts w:ascii="Arial" w:hAnsi="Arial" w:cs="Arial"/>
          <w:b/>
        </w:rPr>
      </w:pPr>
      <w:r>
        <w:rPr>
          <w:rFonts w:ascii="Arial" w:hAnsi="Arial" w:cs="Arial"/>
          <w:b/>
        </w:rPr>
        <w:t>建筑物下洗</w:t>
      </w:r>
    </w:p>
    <w:p>
      <w:pPr>
        <w:adjustRightInd w:val="0"/>
        <w:snapToGrid w:val="0"/>
        <w:spacing w:line="500" w:lineRule="exact"/>
        <w:ind w:firstLine="450" w:firstLineChars="200"/>
        <w:rPr>
          <w:rFonts w:ascii="Arial" w:hAnsi="Arial" w:eastAsia="宋体" w:cs="Arial"/>
          <w:sz w:val="24"/>
        </w:rPr>
      </w:pPr>
      <w:r>
        <w:rPr>
          <w:rFonts w:ascii="Arial" w:hAnsi="Arial" w:eastAsia="宋体" w:cs="Arial"/>
          <w:sz w:val="24"/>
        </w:rPr>
        <w:t>如果烟囱实际高度小于根据周围建筑物高度计算的最佳工程方案（GEP）烟囱高度时，且位于GEP的5L影响区域内时，则需考虑建筑物下洗的情况。GEP烟囱高度计算公式为：</w:t>
      </w:r>
    </w:p>
    <w:p>
      <w:pPr>
        <w:adjustRightInd w:val="0"/>
        <w:snapToGrid w:val="0"/>
        <w:spacing w:line="500" w:lineRule="exact"/>
        <w:jc w:val="center"/>
        <w:rPr>
          <w:rFonts w:ascii="Arial" w:hAnsi="Arial" w:eastAsia="宋体" w:cs="Arial"/>
          <w:sz w:val="24"/>
          <w:szCs w:val="30"/>
        </w:rPr>
      </w:pPr>
      <w:r>
        <w:rPr>
          <w:rFonts w:ascii="Arial" w:hAnsi="Arial" w:eastAsia="宋体" w:cs="Arial"/>
          <w:sz w:val="24"/>
          <w:szCs w:val="30"/>
        </w:rPr>
        <w:t>GEP烟囱高度=</w:t>
      </w:r>
      <w:r>
        <w:rPr>
          <w:rFonts w:ascii="Arial" w:hAnsi="Arial" w:eastAsia="宋体" w:cs="Arial"/>
          <w:i/>
          <w:sz w:val="24"/>
          <w:szCs w:val="30"/>
        </w:rPr>
        <w:t>H</w:t>
      </w:r>
      <w:r>
        <w:rPr>
          <w:rFonts w:ascii="Arial" w:hAnsi="Arial" w:eastAsia="宋体" w:cs="Arial"/>
          <w:sz w:val="24"/>
          <w:szCs w:val="30"/>
        </w:rPr>
        <w:t>+1.5</w:t>
      </w:r>
      <w:r>
        <w:rPr>
          <w:rFonts w:ascii="Arial" w:hAnsi="Arial" w:eastAsia="宋体" w:cs="Arial"/>
          <w:i/>
          <w:sz w:val="24"/>
          <w:szCs w:val="30"/>
        </w:rPr>
        <w:t>L</w:t>
      </w:r>
    </w:p>
    <w:p>
      <w:pPr>
        <w:adjustRightInd w:val="0"/>
        <w:snapToGrid w:val="0"/>
        <w:spacing w:line="500" w:lineRule="exact"/>
        <w:ind w:firstLine="450" w:firstLineChars="200"/>
        <w:rPr>
          <w:rFonts w:ascii="Arial" w:hAnsi="Arial" w:eastAsia="宋体" w:cs="Arial"/>
          <w:sz w:val="24"/>
          <w:szCs w:val="30"/>
        </w:rPr>
      </w:pPr>
      <w:r>
        <w:rPr>
          <w:rFonts w:ascii="Arial" w:hAnsi="Arial" w:eastAsia="宋体" w:cs="Arial"/>
          <w:sz w:val="24"/>
          <w:szCs w:val="30"/>
        </w:rPr>
        <w:t>式中：</w:t>
      </w:r>
      <w:r>
        <w:rPr>
          <w:rFonts w:ascii="Arial" w:hAnsi="Arial" w:eastAsia="宋体" w:cs="Arial"/>
          <w:i/>
          <w:sz w:val="24"/>
          <w:szCs w:val="30"/>
        </w:rPr>
        <w:t>H</w:t>
      </w:r>
      <w:r>
        <w:rPr>
          <w:rFonts w:ascii="Arial" w:hAnsi="Arial" w:eastAsia="宋体" w:cs="Arial"/>
          <w:sz w:val="24"/>
          <w:szCs w:val="30"/>
        </w:rPr>
        <w:t>——从烟囱基座地面到建筑物顶部的垂直高度，m；</w:t>
      </w:r>
    </w:p>
    <w:p>
      <w:pPr>
        <w:adjustRightInd w:val="0"/>
        <w:snapToGrid w:val="0"/>
        <w:spacing w:line="500" w:lineRule="exact"/>
        <w:ind w:firstLine="1125" w:firstLineChars="500"/>
        <w:rPr>
          <w:rFonts w:ascii="Arial" w:hAnsi="Arial" w:eastAsia="宋体" w:cs="Arial"/>
          <w:sz w:val="24"/>
          <w:szCs w:val="30"/>
        </w:rPr>
      </w:pPr>
      <w:r>
        <w:rPr>
          <w:rFonts w:ascii="Arial" w:hAnsi="Arial" w:eastAsia="宋体" w:cs="Arial"/>
          <w:i/>
          <w:sz w:val="24"/>
          <w:szCs w:val="30"/>
        </w:rPr>
        <w:t>L</w:t>
      </w:r>
      <w:r>
        <w:rPr>
          <w:rFonts w:ascii="Arial" w:hAnsi="Arial" w:eastAsia="宋体" w:cs="Arial"/>
          <w:sz w:val="24"/>
          <w:szCs w:val="30"/>
        </w:rPr>
        <w:t>——建筑物高度（BH）或建筑物投影宽度（PBW）的较小者，m。</w:t>
      </w:r>
    </w:p>
    <w:p>
      <w:pPr>
        <w:adjustRightInd w:val="0"/>
        <w:snapToGrid w:val="0"/>
        <w:spacing w:line="500" w:lineRule="exact"/>
        <w:ind w:firstLine="450" w:firstLineChars="200"/>
        <w:rPr>
          <w:rFonts w:ascii="Arial" w:hAnsi="Arial" w:eastAsia="宋体" w:cs="Arial"/>
          <w:sz w:val="24"/>
          <w:szCs w:val="30"/>
        </w:rPr>
      </w:pPr>
      <w:r>
        <w:rPr>
          <w:rFonts w:ascii="Arial" w:hAnsi="Arial" w:eastAsia="宋体" w:cs="Arial"/>
          <w:sz w:val="24"/>
          <w:szCs w:val="30"/>
        </w:rPr>
        <w:t>GEP的5</w:t>
      </w:r>
      <w:r>
        <w:rPr>
          <w:rFonts w:ascii="Arial" w:hAnsi="Arial" w:eastAsia="宋体" w:cs="Arial"/>
          <w:i/>
          <w:sz w:val="24"/>
          <w:szCs w:val="30"/>
        </w:rPr>
        <w:t>L</w:t>
      </w:r>
      <w:r>
        <w:rPr>
          <w:rFonts w:ascii="Arial" w:hAnsi="Arial" w:eastAsia="宋体" w:cs="Arial"/>
          <w:sz w:val="24"/>
          <w:szCs w:val="30"/>
        </w:rPr>
        <w:t>影响区域：每个建筑物在下风向会产生一个尾迹影响区，下风向影响最大距离为距建筑物5</w:t>
      </w:r>
      <w:r>
        <w:rPr>
          <w:rFonts w:ascii="Arial" w:hAnsi="Arial" w:eastAsia="宋体" w:cs="Arial"/>
          <w:i/>
          <w:sz w:val="24"/>
          <w:szCs w:val="30"/>
        </w:rPr>
        <w:t>L</w:t>
      </w:r>
      <w:r>
        <w:rPr>
          <w:rFonts w:ascii="Arial" w:hAnsi="Arial" w:eastAsia="宋体" w:cs="Arial"/>
          <w:sz w:val="24"/>
          <w:szCs w:val="30"/>
        </w:rPr>
        <w:t>处，迎风向影响最大距离为距建筑物2</w:t>
      </w:r>
      <w:r>
        <w:rPr>
          <w:rFonts w:ascii="Arial" w:hAnsi="Arial" w:eastAsia="宋体" w:cs="Arial"/>
          <w:i/>
          <w:sz w:val="24"/>
          <w:szCs w:val="30"/>
        </w:rPr>
        <w:t>L</w:t>
      </w:r>
      <w:r>
        <w:rPr>
          <w:rFonts w:ascii="Arial" w:hAnsi="Arial" w:eastAsia="宋体" w:cs="Arial"/>
          <w:sz w:val="24"/>
          <w:szCs w:val="30"/>
        </w:rPr>
        <w:t>处，侧风向影响最大距离为距建筑物0.5</w:t>
      </w:r>
      <w:r>
        <w:rPr>
          <w:rFonts w:ascii="Arial" w:hAnsi="Arial" w:eastAsia="宋体" w:cs="Arial"/>
          <w:i/>
          <w:sz w:val="24"/>
          <w:szCs w:val="30"/>
        </w:rPr>
        <w:t>L</w:t>
      </w:r>
      <w:r>
        <w:rPr>
          <w:rFonts w:ascii="Arial" w:hAnsi="Arial" w:eastAsia="宋体" w:cs="Arial"/>
          <w:sz w:val="24"/>
          <w:szCs w:val="30"/>
        </w:rPr>
        <w:t>处，即图4.2-3虚线范围内为建筑物影响区域。不同风向下的影响区是不同的，所有风向构成的一个完整的影响区域，即图4.2-5虚线范围内，称为GEP的5</w:t>
      </w:r>
      <w:r>
        <w:rPr>
          <w:rFonts w:ascii="Arial" w:hAnsi="Arial" w:eastAsia="宋体" w:cs="Arial"/>
          <w:i/>
          <w:sz w:val="24"/>
          <w:szCs w:val="30"/>
        </w:rPr>
        <w:t>L</w:t>
      </w:r>
      <w:r>
        <w:rPr>
          <w:rFonts w:ascii="Arial" w:hAnsi="Arial" w:eastAsia="宋体" w:cs="Arial"/>
          <w:sz w:val="24"/>
          <w:szCs w:val="30"/>
        </w:rPr>
        <w:t>影响区域，即建筑物下洗的最大影响范围。</w:t>
      </w:r>
    </w:p>
    <w:tbl>
      <w:tblPr>
        <w:tblStyle w:val="88"/>
        <w:tblW w:w="9299" w:type="dxa"/>
        <w:tblInd w:w="0" w:type="dxa"/>
        <w:tblLayout w:type="fixed"/>
        <w:tblCellMar>
          <w:top w:w="0" w:type="dxa"/>
          <w:left w:w="108" w:type="dxa"/>
          <w:bottom w:w="0" w:type="dxa"/>
          <w:right w:w="108" w:type="dxa"/>
        </w:tblCellMar>
      </w:tblPr>
      <w:tblGrid>
        <w:gridCol w:w="4649"/>
        <w:gridCol w:w="4650"/>
      </w:tblGrid>
      <w:tr>
        <w:tblPrEx>
          <w:tblLayout w:type="fixed"/>
          <w:tblCellMar>
            <w:top w:w="0" w:type="dxa"/>
            <w:left w:w="108" w:type="dxa"/>
            <w:bottom w:w="0" w:type="dxa"/>
            <w:right w:w="108" w:type="dxa"/>
          </w:tblCellMar>
        </w:tblPrEx>
        <w:tc>
          <w:tcPr>
            <w:tcW w:w="4649" w:type="dxa"/>
            <w:tcBorders>
              <w:top w:val="nil"/>
              <w:left w:val="nil"/>
              <w:bottom w:val="nil"/>
              <w:right w:val="nil"/>
            </w:tcBorders>
          </w:tcPr>
          <w:p>
            <w:pPr>
              <w:widowControl/>
              <w:adjustRightInd w:val="0"/>
              <w:snapToGrid w:val="0"/>
              <w:jc w:val="center"/>
              <w:rPr>
                <w:rFonts w:ascii="Arial" w:hAnsi="Arial" w:eastAsia="宋体" w:cs="Arial"/>
                <w:sz w:val="21"/>
                <w:szCs w:val="21"/>
              </w:rPr>
            </w:pPr>
            <w:r>
              <w:rPr>
                <w:rFonts w:ascii="Arial" w:hAnsi="Arial" w:eastAsia="宋体" w:cs="Arial"/>
                <w:sz w:val="21"/>
                <w:szCs w:val="21"/>
              </w:rPr>
              <w:drawing>
                <wp:inline distT="0" distB="0" distL="114300" distR="114300">
                  <wp:extent cx="2266950" cy="2324100"/>
                  <wp:effectExtent l="0" t="0" r="0" b="0"/>
                  <wp:docPr id="2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4"/>
                          <pic:cNvPicPr>
                            <a:picLocks noChangeAspect="1"/>
                          </pic:cNvPicPr>
                        </pic:nvPicPr>
                        <pic:blipFill>
                          <a:blip r:embed="rId43"/>
                          <a:stretch>
                            <a:fillRect/>
                          </a:stretch>
                        </pic:blipFill>
                        <pic:spPr>
                          <a:xfrm>
                            <a:off x="0" y="0"/>
                            <a:ext cx="2266950" cy="2324100"/>
                          </a:xfrm>
                          <a:prstGeom prst="rect">
                            <a:avLst/>
                          </a:prstGeom>
                          <a:noFill/>
                          <a:ln>
                            <a:noFill/>
                          </a:ln>
                        </pic:spPr>
                      </pic:pic>
                    </a:graphicData>
                  </a:graphic>
                </wp:inline>
              </w:drawing>
            </w:r>
          </w:p>
        </w:tc>
        <w:tc>
          <w:tcPr>
            <w:tcW w:w="4650" w:type="dxa"/>
            <w:tcBorders>
              <w:top w:val="nil"/>
              <w:left w:val="nil"/>
              <w:bottom w:val="nil"/>
              <w:right w:val="nil"/>
            </w:tcBorders>
          </w:tcPr>
          <w:p>
            <w:pPr>
              <w:widowControl/>
              <w:adjustRightInd w:val="0"/>
              <w:snapToGrid w:val="0"/>
              <w:jc w:val="center"/>
              <w:rPr>
                <w:rFonts w:ascii="Arial" w:hAnsi="Arial" w:eastAsia="宋体" w:cs="Arial"/>
                <w:sz w:val="21"/>
                <w:szCs w:val="21"/>
              </w:rPr>
            </w:pPr>
            <w:r>
              <w:rPr>
                <w:rFonts w:ascii="Arial" w:hAnsi="Arial" w:eastAsia="宋体" w:cs="Arial"/>
                <w:sz w:val="21"/>
                <w:szCs w:val="21"/>
              </w:rPr>
              <w:drawing>
                <wp:inline distT="0" distB="0" distL="114300" distR="114300">
                  <wp:extent cx="2381250" cy="2343150"/>
                  <wp:effectExtent l="0" t="0" r="0" b="0"/>
                  <wp:docPr id="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5"/>
                          <pic:cNvPicPr>
                            <a:picLocks noChangeAspect="1"/>
                          </pic:cNvPicPr>
                        </pic:nvPicPr>
                        <pic:blipFill>
                          <a:blip r:embed="rId44"/>
                          <a:stretch>
                            <a:fillRect/>
                          </a:stretch>
                        </pic:blipFill>
                        <pic:spPr>
                          <a:xfrm>
                            <a:off x="0" y="0"/>
                            <a:ext cx="2381250" cy="23431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4649" w:type="dxa"/>
            <w:tcBorders>
              <w:top w:val="nil"/>
              <w:left w:val="nil"/>
              <w:bottom w:val="nil"/>
              <w:right w:val="nil"/>
            </w:tcBorders>
          </w:tcPr>
          <w:p>
            <w:pPr>
              <w:numPr>
                <w:ilvl w:val="0"/>
                <w:numId w:val="23"/>
              </w:numPr>
              <w:spacing w:line="500" w:lineRule="exact"/>
              <w:jc w:val="center"/>
              <w:rPr>
                <w:rFonts w:ascii="Arial" w:hAnsi="Arial" w:eastAsia="宋体" w:cs="Arial"/>
                <w:b/>
                <w:spacing w:val="10"/>
                <w:sz w:val="24"/>
              </w:rPr>
            </w:pPr>
            <w:r>
              <w:rPr>
                <w:rFonts w:ascii="Arial" w:hAnsi="Arial" w:eastAsia="宋体" w:cs="Arial"/>
                <w:b/>
                <w:spacing w:val="10"/>
                <w:sz w:val="24"/>
              </w:rPr>
              <w:t>建筑物影响区域</w:t>
            </w:r>
          </w:p>
        </w:tc>
        <w:tc>
          <w:tcPr>
            <w:tcW w:w="4650" w:type="dxa"/>
            <w:tcBorders>
              <w:top w:val="nil"/>
              <w:left w:val="nil"/>
              <w:bottom w:val="nil"/>
              <w:right w:val="nil"/>
            </w:tcBorders>
          </w:tcPr>
          <w:p>
            <w:pPr>
              <w:numPr>
                <w:ilvl w:val="0"/>
                <w:numId w:val="23"/>
              </w:numPr>
              <w:spacing w:line="500" w:lineRule="exact"/>
              <w:jc w:val="center"/>
              <w:rPr>
                <w:rFonts w:ascii="Arial" w:hAnsi="Arial" w:cs="Arial"/>
              </w:rPr>
            </w:pPr>
            <w:r>
              <w:rPr>
                <w:rFonts w:ascii="Arial" w:hAnsi="Arial" w:eastAsia="宋体" w:cs="Arial"/>
                <w:b/>
                <w:spacing w:val="10"/>
                <w:sz w:val="24"/>
              </w:rPr>
              <w:t>GEP的5L影响区域</w:t>
            </w:r>
          </w:p>
        </w:tc>
      </w:tr>
    </w:tbl>
    <w:p>
      <w:pPr>
        <w:adjustRightInd w:val="0"/>
        <w:spacing w:line="500" w:lineRule="exact"/>
        <w:ind w:firstLine="450" w:firstLineChars="200"/>
        <w:contextualSpacing/>
        <w:rPr>
          <w:rFonts w:ascii="Arial" w:hAnsi="Arial" w:eastAsia="宋体" w:cs="Arial"/>
          <w:sz w:val="24"/>
          <w:szCs w:val="30"/>
        </w:rPr>
      </w:pPr>
      <w:r>
        <w:rPr>
          <w:rFonts w:ascii="Arial" w:hAnsi="Arial" w:eastAsia="宋体" w:cs="Arial"/>
          <w:sz w:val="24"/>
          <w:szCs w:val="30"/>
        </w:rPr>
        <w:t>根据计算，不需要考虑建筑物下洗。</w:t>
      </w:r>
    </w:p>
    <w:p>
      <w:pPr>
        <w:pStyle w:val="475"/>
        <w:numPr>
          <w:ilvl w:val="0"/>
          <w:numId w:val="21"/>
        </w:numPr>
        <w:spacing w:line="500" w:lineRule="exact"/>
        <w:ind w:firstLineChars="0"/>
        <w:outlineLvl w:val="3"/>
        <w:rPr>
          <w:rFonts w:ascii="Arial" w:hAnsi="Arial" w:cs="Arial"/>
          <w:b/>
        </w:rPr>
      </w:pPr>
      <w:r>
        <w:rPr>
          <w:rFonts w:ascii="Arial" w:hAnsi="Arial" w:cs="Arial"/>
          <w:b/>
        </w:rPr>
        <w:t>预测因子及周期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选取PM</w:t>
      </w:r>
      <w:r>
        <w:rPr>
          <w:rFonts w:ascii="Arial" w:hAnsi="Arial" w:eastAsia="宋体" w:cs="Arial"/>
          <w:spacing w:val="10"/>
          <w:sz w:val="24"/>
          <w:szCs w:val="24"/>
          <w:vertAlign w:val="subscript"/>
        </w:rPr>
        <w:t>10</w:t>
      </w:r>
      <w:r>
        <w:rPr>
          <w:rFonts w:ascii="Arial" w:hAnsi="Arial" w:eastAsia="宋体" w:cs="Arial"/>
          <w:spacing w:val="10"/>
          <w:sz w:val="24"/>
          <w:szCs w:val="24"/>
        </w:rPr>
        <w:t>、</w:t>
      </w:r>
      <w:r>
        <w:rPr>
          <w:rFonts w:hint="eastAsia" w:ascii="Arial" w:hAnsi="Arial" w:eastAsia="宋体" w:cs="Arial"/>
          <w:spacing w:val="10"/>
          <w:sz w:val="24"/>
          <w:szCs w:val="24"/>
        </w:rPr>
        <w:t>估计其化合物、氨气</w:t>
      </w:r>
      <w:r>
        <w:rPr>
          <w:rFonts w:ascii="Arial" w:hAnsi="Arial" w:eastAsia="宋体" w:cs="Arial"/>
          <w:spacing w:val="10"/>
          <w:sz w:val="24"/>
          <w:szCs w:val="24"/>
        </w:rPr>
        <w:t>作为预测因子，选取2022年连续一年为预测周期。</w:t>
      </w:r>
    </w:p>
    <w:p>
      <w:pPr>
        <w:pStyle w:val="475"/>
        <w:numPr>
          <w:ilvl w:val="0"/>
          <w:numId w:val="21"/>
        </w:numPr>
        <w:spacing w:line="500" w:lineRule="exact"/>
        <w:ind w:firstLineChars="0"/>
        <w:outlineLvl w:val="3"/>
        <w:rPr>
          <w:rFonts w:ascii="Arial" w:hAnsi="Arial" w:cs="Arial"/>
          <w:b/>
        </w:rPr>
      </w:pPr>
      <w:r>
        <w:rPr>
          <w:rFonts w:ascii="Arial" w:hAnsi="Arial" w:cs="Arial"/>
          <w:b/>
        </w:rPr>
        <w:t>环境保护目标</w:t>
      </w:r>
    </w:p>
    <w:p>
      <w:pPr>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环境空气保护目标</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2"/>
        <w:gridCol w:w="2423"/>
        <w:gridCol w:w="1052"/>
        <w:gridCol w:w="1052"/>
        <w:gridCol w:w="1052"/>
        <w:gridCol w:w="1486"/>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72" w:type="dxa"/>
            <w:vMerge w:val="restart"/>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序号</w:t>
            </w:r>
          </w:p>
        </w:tc>
        <w:tc>
          <w:tcPr>
            <w:tcW w:w="2423" w:type="dxa"/>
            <w:vMerge w:val="restart"/>
            <w:vAlign w:val="center"/>
          </w:tcPr>
          <w:p>
            <w:pPr>
              <w:widowControl/>
              <w:adjustRightInd w:val="0"/>
              <w:snapToGrid w:val="0"/>
              <w:jc w:val="center"/>
              <w:textAlignment w:val="center"/>
              <w:rPr>
                <w:rFonts w:ascii="Arial" w:hAnsi="Arial" w:eastAsia="宋体" w:cs="Arial"/>
                <w:sz w:val="21"/>
                <w:szCs w:val="21"/>
                <w:u w:val="single"/>
              </w:rPr>
            </w:pPr>
            <w:r>
              <w:rPr>
                <w:rFonts w:ascii="Arial" w:hAnsi="Arial" w:eastAsia="宋体" w:cs="Arial"/>
                <w:kern w:val="0"/>
                <w:sz w:val="21"/>
                <w:szCs w:val="21"/>
                <w:u w:val="single"/>
                <w:lang w:bidi="ar"/>
              </w:rPr>
              <w:t>名称</w:t>
            </w:r>
          </w:p>
        </w:tc>
        <w:tc>
          <w:tcPr>
            <w:tcW w:w="2104" w:type="dxa"/>
            <w:gridSpan w:val="2"/>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坐标</w:t>
            </w:r>
          </w:p>
        </w:tc>
        <w:tc>
          <w:tcPr>
            <w:tcW w:w="1052" w:type="dxa"/>
            <w:vMerge w:val="restart"/>
            <w:vAlign w:val="center"/>
          </w:tcPr>
          <w:p>
            <w:pPr>
              <w:widowControl/>
              <w:adjustRightInd w:val="0"/>
              <w:snapToGrid w:val="0"/>
              <w:jc w:val="center"/>
              <w:textAlignment w:val="center"/>
              <w:rPr>
                <w:rFonts w:ascii="Arial" w:hAnsi="Arial" w:eastAsia="宋体" w:cs="Arial"/>
                <w:sz w:val="21"/>
                <w:szCs w:val="21"/>
                <w:u w:val="single"/>
              </w:rPr>
            </w:pPr>
            <w:r>
              <w:rPr>
                <w:rFonts w:ascii="Arial" w:hAnsi="Arial" w:eastAsia="宋体" w:cs="Arial"/>
                <w:kern w:val="0"/>
                <w:sz w:val="21"/>
                <w:szCs w:val="21"/>
                <w:u w:val="single"/>
                <w:lang w:bidi="ar"/>
              </w:rPr>
              <w:t>相对厂址方位</w:t>
            </w:r>
          </w:p>
        </w:tc>
        <w:tc>
          <w:tcPr>
            <w:tcW w:w="1486" w:type="dxa"/>
            <w:vMerge w:val="restart"/>
            <w:vAlign w:val="center"/>
          </w:tcPr>
          <w:p>
            <w:pPr>
              <w:widowControl/>
              <w:adjustRightInd w:val="0"/>
              <w:snapToGrid w:val="0"/>
              <w:jc w:val="center"/>
              <w:textAlignment w:val="center"/>
              <w:rPr>
                <w:rFonts w:ascii="Arial" w:hAnsi="Arial" w:eastAsia="宋体" w:cs="Arial"/>
                <w:sz w:val="21"/>
                <w:szCs w:val="21"/>
                <w:u w:val="single"/>
              </w:rPr>
            </w:pPr>
            <w:r>
              <w:rPr>
                <w:rFonts w:ascii="Arial" w:hAnsi="Arial" w:eastAsia="宋体" w:cs="Arial"/>
                <w:sz w:val="21"/>
                <w:szCs w:val="21"/>
                <w:u w:val="single"/>
              </w:rPr>
              <w:t>离厂界最近距离（m）</w:t>
            </w:r>
          </w:p>
        </w:tc>
        <w:tc>
          <w:tcPr>
            <w:tcW w:w="1356" w:type="dxa"/>
            <w:vMerge w:val="restart"/>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72" w:type="dxa"/>
            <w:vMerge w:val="continue"/>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2423" w:type="dxa"/>
            <w:vMerge w:val="continue"/>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1052" w:type="dxa"/>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X</w:t>
            </w:r>
          </w:p>
        </w:tc>
        <w:tc>
          <w:tcPr>
            <w:tcW w:w="1052" w:type="dxa"/>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Y</w:t>
            </w:r>
          </w:p>
        </w:tc>
        <w:tc>
          <w:tcPr>
            <w:tcW w:w="1052" w:type="dxa"/>
            <w:vMerge w:val="continue"/>
            <w:vAlign w:val="center"/>
          </w:tcPr>
          <w:p>
            <w:pPr>
              <w:widowControl/>
              <w:adjustRightInd w:val="0"/>
              <w:snapToGrid w:val="0"/>
              <w:jc w:val="center"/>
              <w:textAlignment w:val="center"/>
              <w:rPr>
                <w:rFonts w:ascii="Arial" w:hAnsi="Arial" w:eastAsia="宋体" w:cs="Arial"/>
                <w:kern w:val="0"/>
                <w:sz w:val="21"/>
                <w:szCs w:val="21"/>
                <w:u w:val="single"/>
                <w:lang w:bidi="ar"/>
              </w:rPr>
            </w:pPr>
          </w:p>
        </w:tc>
        <w:tc>
          <w:tcPr>
            <w:tcW w:w="1486" w:type="dxa"/>
            <w:vMerge w:val="continue"/>
            <w:vAlign w:val="center"/>
          </w:tcPr>
          <w:p>
            <w:pPr>
              <w:widowControl/>
              <w:adjustRightInd w:val="0"/>
              <w:snapToGrid w:val="0"/>
              <w:jc w:val="center"/>
              <w:textAlignment w:val="center"/>
              <w:rPr>
                <w:rFonts w:ascii="Arial" w:hAnsi="Arial" w:eastAsia="宋体" w:cs="Arial"/>
                <w:sz w:val="21"/>
                <w:szCs w:val="21"/>
                <w:u w:val="single"/>
              </w:rPr>
            </w:pPr>
          </w:p>
        </w:tc>
        <w:tc>
          <w:tcPr>
            <w:tcW w:w="1356" w:type="dxa"/>
            <w:vMerge w:val="continue"/>
            <w:vAlign w:val="center"/>
          </w:tcPr>
          <w:p>
            <w:pPr>
              <w:widowControl/>
              <w:adjustRightInd w:val="0"/>
              <w:snapToGrid w:val="0"/>
              <w:jc w:val="center"/>
              <w:textAlignment w:val="center"/>
              <w:rPr>
                <w:rFonts w:ascii="Arial" w:hAnsi="Arial" w:eastAsia="宋体" w:cs="Arial"/>
                <w:kern w:val="0"/>
                <w:sz w:val="21"/>
                <w:szCs w:val="21"/>
                <w:u w:val="singl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sz w:val="21"/>
                <w:szCs w:val="21"/>
                <w:u w:val="single"/>
              </w:rPr>
              <w:t>1</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鸡墩头村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-73</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1695</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w:t>
            </w:r>
          </w:p>
        </w:tc>
        <w:tc>
          <w:tcPr>
            <w:tcW w:w="1356" w:type="dxa"/>
            <w:vMerge w:val="restart"/>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环境空气：二级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sz w:val="21"/>
                <w:szCs w:val="21"/>
                <w:u w:val="single"/>
              </w:rPr>
              <w:t>2</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钦州港经开区第五小学</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241</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1699</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215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3</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过路山村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-581</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1792</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420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上硫磺山村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1476</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557</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1055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5</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下硫磺山村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1362</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211</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1105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6</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东港区第一幼儿园</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-661</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2701</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1110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7</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硫磺山村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1658</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345</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1205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鲎泊潭村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462</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2584</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1280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9</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港区中学</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-1060</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2609</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1425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新农村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1840</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309</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老鸭坑村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1088</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2894</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1475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钦州港经开区第七小学</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1951</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314</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1620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13</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大坑村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2232</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300</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1755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黄竹根村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1403</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3131</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1805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15</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龙狗坑村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1696</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2536</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1820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16</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淡水湾村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-1860</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2464</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1860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17</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管委会办公楼</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-2188</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-966</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1995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海关办公楼</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-1959</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3395</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2385</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19</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港区政务中心</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-1685</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3597</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2400</w:t>
            </w:r>
          </w:p>
        </w:tc>
        <w:tc>
          <w:tcPr>
            <w:tcW w:w="1356" w:type="dxa"/>
            <w:vMerge w:val="continue"/>
            <w:vAlign w:val="center"/>
          </w:tcPr>
          <w:p>
            <w:pPr>
              <w:adjustRightInd w:val="0"/>
              <w:snapToGrid w:val="0"/>
              <w:jc w:val="center"/>
              <w:rPr>
                <w:rFonts w:ascii="Arial" w:hAnsi="Arial" w:eastAsia="宋体" w:cs="Arial"/>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57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20</w:t>
            </w:r>
          </w:p>
        </w:tc>
        <w:tc>
          <w:tcPr>
            <w:tcW w:w="2423" w:type="dxa"/>
            <w:tcMar>
              <w:top w:w="15" w:type="dxa"/>
              <w:left w:w="15" w:type="dxa"/>
              <w:bottom w:w="15" w:type="dxa"/>
              <w:right w:w="15" w:type="dxa"/>
            </w:tcMar>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新联村</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2354</w:t>
            </w:r>
          </w:p>
        </w:tc>
        <w:tc>
          <w:tcPr>
            <w:tcW w:w="1052" w:type="dxa"/>
            <w:vAlign w:val="center"/>
          </w:tcPr>
          <w:p>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3874</w:t>
            </w:r>
          </w:p>
        </w:tc>
        <w:tc>
          <w:tcPr>
            <w:tcW w:w="1052"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14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2955</w:t>
            </w:r>
          </w:p>
        </w:tc>
        <w:tc>
          <w:tcPr>
            <w:tcW w:w="1356" w:type="dxa"/>
            <w:vMerge w:val="continue"/>
            <w:vAlign w:val="center"/>
          </w:tcPr>
          <w:p>
            <w:pPr>
              <w:adjustRightInd w:val="0"/>
              <w:snapToGrid w:val="0"/>
              <w:jc w:val="center"/>
              <w:rPr>
                <w:rFonts w:ascii="Arial" w:hAnsi="Arial" w:eastAsia="宋体" w:cs="Arial"/>
                <w:sz w:val="21"/>
                <w:szCs w:val="21"/>
                <w:u w:val="single"/>
              </w:rPr>
            </w:pPr>
          </w:p>
        </w:tc>
      </w:tr>
    </w:tbl>
    <w:p>
      <w:pPr>
        <w:pStyle w:val="475"/>
        <w:numPr>
          <w:ilvl w:val="0"/>
          <w:numId w:val="21"/>
        </w:numPr>
        <w:spacing w:line="500" w:lineRule="exact"/>
        <w:ind w:firstLineChars="0"/>
        <w:outlineLvl w:val="3"/>
        <w:rPr>
          <w:rFonts w:ascii="Arial" w:hAnsi="Arial" w:cs="Arial"/>
          <w:b/>
        </w:rPr>
      </w:pPr>
      <w:r>
        <w:rPr>
          <w:rFonts w:ascii="Arial" w:hAnsi="Arial" w:cs="Arial"/>
          <w:b/>
        </w:rPr>
        <w:t>污染源调查清单</w:t>
      </w:r>
    </w:p>
    <w:p>
      <w:pPr>
        <w:autoSpaceDE w:val="0"/>
        <w:autoSpaceDN w:val="0"/>
        <w:adjustRightInd w:val="0"/>
        <w:spacing w:line="500" w:lineRule="exact"/>
        <w:ind w:left="520"/>
        <w:textAlignment w:val="bottom"/>
        <w:rPr>
          <w:rFonts w:ascii="Arial" w:hAnsi="Arial" w:eastAsia="宋体" w:cs="Arial"/>
          <w:spacing w:val="10"/>
          <w:sz w:val="24"/>
          <w:szCs w:val="24"/>
        </w:rPr>
      </w:pPr>
      <w:r>
        <w:rPr>
          <w:rFonts w:ascii="Arial" w:hAnsi="Arial" w:eastAsia="宋体" w:cs="Arial"/>
          <w:spacing w:val="10"/>
          <w:sz w:val="24"/>
          <w:szCs w:val="24"/>
        </w:rPr>
        <w:t>1、变更工程污染源清单</w:t>
      </w:r>
    </w:p>
    <w:p>
      <w:pPr>
        <w:autoSpaceDE w:val="0"/>
        <w:autoSpaceDN w:val="0"/>
        <w:adjustRightInd w:val="0"/>
        <w:spacing w:line="500" w:lineRule="exact"/>
        <w:ind w:left="520"/>
        <w:textAlignment w:val="bottom"/>
        <w:rPr>
          <w:rFonts w:ascii="Arial" w:hAnsi="Arial" w:eastAsia="宋体" w:cs="Arial"/>
          <w:spacing w:val="10"/>
          <w:sz w:val="24"/>
          <w:szCs w:val="24"/>
        </w:rPr>
      </w:pPr>
      <w:r>
        <w:rPr>
          <w:rFonts w:ascii="Arial" w:hAnsi="Arial" w:eastAsia="宋体" w:cs="Arial"/>
          <w:spacing w:val="10"/>
          <w:sz w:val="24"/>
          <w:szCs w:val="24"/>
        </w:rPr>
        <w:t>变更工程污染源清单见表4-8、表4-9。</w:t>
      </w:r>
    </w:p>
    <w:p>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2、拟建、在建项目污染源清单</w:t>
      </w:r>
    </w:p>
    <w:p>
      <w:pPr>
        <w:autoSpaceDE w:val="0"/>
        <w:autoSpaceDN w:val="0"/>
        <w:adjustRightInd w:val="0"/>
        <w:spacing w:line="500" w:lineRule="exact"/>
        <w:ind w:firstLine="490" w:firstLineChars="200"/>
        <w:textAlignment w:val="bottom"/>
        <w:rPr>
          <w:rFonts w:ascii="Arial" w:hAnsi="Arial" w:eastAsia="宋体" w:cs="Arial"/>
          <w:spacing w:val="10"/>
          <w:sz w:val="24"/>
          <w:szCs w:val="24"/>
          <w:u w:val="single"/>
        </w:rPr>
      </w:pPr>
      <w:r>
        <w:rPr>
          <w:rFonts w:ascii="Arial" w:hAnsi="Arial" w:eastAsia="宋体" w:cs="Arial"/>
          <w:spacing w:val="10"/>
          <w:sz w:val="24"/>
          <w:szCs w:val="24"/>
          <w:u w:val="single"/>
        </w:rPr>
        <w:t>由于本次预测采用2022年常规地面气象观测资料和常规高空气象探测资料，预测叠加的常规监测因子（PM</w:t>
      </w:r>
      <w:r>
        <w:rPr>
          <w:rFonts w:ascii="Arial" w:hAnsi="Arial" w:eastAsia="宋体" w:cs="Arial"/>
          <w:spacing w:val="10"/>
          <w:sz w:val="24"/>
          <w:szCs w:val="24"/>
          <w:u w:val="single"/>
          <w:vertAlign w:val="subscript"/>
        </w:rPr>
        <w:t>10</w:t>
      </w:r>
      <w:r>
        <w:rPr>
          <w:rFonts w:ascii="Arial" w:hAnsi="Arial" w:eastAsia="宋体" w:cs="Arial"/>
          <w:spacing w:val="10"/>
          <w:sz w:val="24"/>
          <w:szCs w:val="24"/>
          <w:u w:val="single"/>
        </w:rPr>
        <w:t>）本底数据为2022年；叠加的特征污染物中</w:t>
      </w:r>
      <w:r>
        <w:rPr>
          <w:rFonts w:hint="eastAsia" w:ascii="Arial" w:hAnsi="Arial" w:eastAsia="宋体" w:cs="Arial"/>
          <w:spacing w:val="10"/>
          <w:sz w:val="24"/>
          <w:szCs w:val="24"/>
          <w:u w:val="single"/>
        </w:rPr>
        <w:t>氨气</w:t>
      </w:r>
      <w:r>
        <w:rPr>
          <w:rFonts w:ascii="Arial" w:hAnsi="Arial" w:eastAsia="宋体" w:cs="Arial"/>
          <w:spacing w:val="10"/>
          <w:sz w:val="24"/>
          <w:szCs w:val="24"/>
          <w:u w:val="single"/>
        </w:rPr>
        <w:t>本底值监测时间为2022年2月16日~22日。评价范围内已批未建项目为广西中伟新能源项目一期一阶段、二阶段（三元前驱体生产线及其他配套设施）、三阶段、G-6#-1A燃气锅炉房、氢氧化钴处置线技改项目、一体化项目变更和广西金桂浆纸业有限公司年产75万吨化机浆扩建项目、广西格派电池新材料有限公司格派新能源电池材料一体化项目（一期）、</w:t>
      </w:r>
      <w:r>
        <w:rPr>
          <w:rFonts w:hint="eastAsia" w:ascii="Arial" w:hAnsi="Arial" w:eastAsia="宋体" w:cs="Arial"/>
          <w:spacing w:val="10"/>
          <w:sz w:val="24"/>
          <w:szCs w:val="24"/>
          <w:u w:val="single"/>
        </w:rPr>
        <w:t>广西自贸区元禾新材料有限公司年产10万吨玻璃基板原材料碳酸镁项目</w:t>
      </w:r>
      <w:r>
        <w:rPr>
          <w:rFonts w:ascii="Arial" w:hAnsi="Arial" w:eastAsia="宋体" w:cs="Arial"/>
          <w:spacing w:val="10"/>
          <w:sz w:val="24"/>
          <w:szCs w:val="24"/>
          <w:u w:val="single"/>
        </w:rPr>
        <w:t>。根据其环评报告报批稿，上述项目排放的废气污染源与本项目相关的污染源排气筒参数见表4-10、表4-11。</w:t>
      </w:r>
    </w:p>
    <w:p>
      <w:pPr>
        <w:autoSpaceDE w:val="0"/>
        <w:autoSpaceDN w:val="0"/>
        <w:adjustRightInd w:val="0"/>
        <w:spacing w:line="500" w:lineRule="exact"/>
        <w:ind w:firstLine="490" w:firstLineChars="200"/>
        <w:textAlignment w:val="bottom"/>
        <w:rPr>
          <w:rFonts w:ascii="Arial" w:hAnsi="Arial" w:eastAsia="宋体" w:cs="Arial"/>
          <w:spacing w:val="10"/>
          <w:sz w:val="24"/>
          <w:szCs w:val="24"/>
        </w:rPr>
      </w:pPr>
      <w:r>
        <w:rPr>
          <w:rFonts w:ascii="Arial" w:hAnsi="Arial" w:eastAsia="宋体" w:cs="Arial"/>
          <w:spacing w:val="10"/>
          <w:sz w:val="24"/>
          <w:szCs w:val="24"/>
        </w:rPr>
        <w:t>3、“以新带老”污染物</w:t>
      </w:r>
    </w:p>
    <w:p>
      <w:pPr>
        <w:autoSpaceDE w:val="0"/>
        <w:autoSpaceDN w:val="0"/>
        <w:adjustRightInd w:val="0"/>
        <w:spacing w:line="500" w:lineRule="exact"/>
        <w:ind w:firstLine="490" w:firstLineChars="200"/>
        <w:textAlignment w:val="bottom"/>
        <w:rPr>
          <w:rFonts w:ascii="Arial" w:hAnsi="Arial" w:eastAsia="宋体" w:cs="Arial"/>
          <w:spacing w:val="10"/>
          <w:sz w:val="24"/>
          <w:szCs w:val="24"/>
        </w:rPr>
      </w:pPr>
      <w:r>
        <w:rPr>
          <w:rFonts w:ascii="Arial" w:hAnsi="Arial" w:eastAsia="宋体" w:cs="Arial"/>
          <w:spacing w:val="10"/>
          <w:sz w:val="24"/>
          <w:szCs w:val="24"/>
        </w:rPr>
        <w:t>评价范围内无区域削减污染源，本项目无“以新带老”削减量。</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变更工程点源污参数表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642"/>
        <w:gridCol w:w="642"/>
        <w:gridCol w:w="642"/>
        <w:gridCol w:w="631"/>
        <w:gridCol w:w="651"/>
        <w:gridCol w:w="642"/>
        <w:gridCol w:w="514"/>
        <w:gridCol w:w="642"/>
        <w:gridCol w:w="871"/>
        <w:gridCol w:w="797"/>
        <w:gridCol w:w="856"/>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名称</w:t>
            </w:r>
          </w:p>
        </w:tc>
        <w:tc>
          <w:tcPr>
            <w:tcW w:w="1284" w:type="dxa"/>
            <w:gridSpan w:val="2"/>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排气筒底</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部中心坐</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标/m</w:t>
            </w:r>
          </w:p>
        </w:tc>
        <w:tc>
          <w:tcPr>
            <w:tcW w:w="642"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筒底</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部海</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拔高</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度/m</w:t>
            </w:r>
          </w:p>
        </w:tc>
        <w:tc>
          <w:tcPr>
            <w:tcW w:w="631"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筒高</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度/m</w:t>
            </w:r>
          </w:p>
        </w:tc>
        <w:tc>
          <w:tcPr>
            <w:tcW w:w="651"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筒出</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口内</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径/m</w:t>
            </w:r>
          </w:p>
        </w:tc>
        <w:tc>
          <w:tcPr>
            <w:tcW w:w="642"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烟气量</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m</w:t>
            </w:r>
            <w:r>
              <w:rPr>
                <w:rFonts w:ascii="Arial" w:hAnsi="Arial" w:eastAsia="宋体" w:cs="Arial"/>
                <w:b/>
                <w:spacing w:val="10"/>
                <w:sz w:val="18"/>
                <w:szCs w:val="18"/>
                <w:vertAlign w:val="superscript"/>
              </w:rPr>
              <w:t>3</w:t>
            </w:r>
            <w:r>
              <w:rPr>
                <w:rFonts w:ascii="Arial" w:hAnsi="Arial" w:eastAsia="宋体" w:cs="Arial"/>
                <w:b/>
                <w:spacing w:val="10"/>
                <w:sz w:val="18"/>
                <w:szCs w:val="18"/>
              </w:rPr>
              <w:t>/h</w:t>
            </w:r>
          </w:p>
        </w:tc>
        <w:tc>
          <w:tcPr>
            <w:tcW w:w="514"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烟气</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温度</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w:t>
            </w:r>
            <w:r>
              <w:rPr>
                <w:rFonts w:hint="eastAsia" w:ascii="宋体" w:hAnsi="宋体" w:eastAsia="宋体" w:cs="宋体"/>
                <w:b/>
                <w:spacing w:val="10"/>
                <w:sz w:val="18"/>
                <w:szCs w:val="18"/>
              </w:rPr>
              <w:t>℃</w:t>
            </w:r>
          </w:p>
        </w:tc>
        <w:tc>
          <w:tcPr>
            <w:tcW w:w="642"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年排</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放小</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时数</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/h</w:t>
            </w:r>
          </w:p>
        </w:tc>
        <w:tc>
          <w:tcPr>
            <w:tcW w:w="871" w:type="dxa"/>
            <w:vMerge w:val="restart"/>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排放</w:t>
            </w:r>
          </w:p>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工况</w:t>
            </w:r>
          </w:p>
        </w:tc>
        <w:tc>
          <w:tcPr>
            <w:tcW w:w="2504" w:type="dxa"/>
            <w:gridSpan w:val="3"/>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continue"/>
            <w:vAlign w:val="center"/>
          </w:tcPr>
          <w:p>
            <w:pPr>
              <w:widowControl/>
              <w:adjustRightInd w:val="0"/>
              <w:snapToGrid w:val="0"/>
              <w:jc w:val="center"/>
              <w:rPr>
                <w:rFonts w:ascii="Arial" w:hAnsi="Arial" w:eastAsia="宋体" w:cs="Arial"/>
                <w:b/>
                <w:spacing w:val="10"/>
                <w:sz w:val="18"/>
                <w:szCs w:val="18"/>
              </w:rPr>
            </w:pPr>
          </w:p>
        </w:tc>
        <w:tc>
          <w:tcPr>
            <w:tcW w:w="642" w:type="dxa"/>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X</w:t>
            </w:r>
          </w:p>
        </w:tc>
        <w:tc>
          <w:tcPr>
            <w:tcW w:w="642" w:type="dxa"/>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Y</w:t>
            </w:r>
          </w:p>
        </w:tc>
        <w:tc>
          <w:tcPr>
            <w:tcW w:w="642" w:type="dxa"/>
            <w:vMerge w:val="continue"/>
            <w:vAlign w:val="center"/>
          </w:tcPr>
          <w:p>
            <w:pPr>
              <w:widowControl/>
              <w:adjustRightInd w:val="0"/>
              <w:snapToGrid w:val="0"/>
              <w:jc w:val="center"/>
              <w:rPr>
                <w:rFonts w:ascii="Arial" w:hAnsi="Arial" w:eastAsia="宋体" w:cs="Arial"/>
                <w:b/>
                <w:spacing w:val="10"/>
                <w:sz w:val="18"/>
                <w:szCs w:val="18"/>
              </w:rPr>
            </w:pPr>
          </w:p>
        </w:tc>
        <w:tc>
          <w:tcPr>
            <w:tcW w:w="631" w:type="dxa"/>
            <w:vMerge w:val="continue"/>
            <w:vAlign w:val="center"/>
          </w:tcPr>
          <w:p>
            <w:pPr>
              <w:widowControl/>
              <w:adjustRightInd w:val="0"/>
              <w:snapToGrid w:val="0"/>
              <w:jc w:val="center"/>
              <w:rPr>
                <w:rFonts w:ascii="Arial" w:hAnsi="Arial" w:eastAsia="宋体" w:cs="Arial"/>
                <w:b/>
                <w:spacing w:val="10"/>
                <w:sz w:val="18"/>
                <w:szCs w:val="18"/>
              </w:rPr>
            </w:pPr>
          </w:p>
        </w:tc>
        <w:tc>
          <w:tcPr>
            <w:tcW w:w="651" w:type="dxa"/>
            <w:vMerge w:val="continue"/>
            <w:vAlign w:val="center"/>
          </w:tcPr>
          <w:p>
            <w:pPr>
              <w:widowControl/>
              <w:adjustRightInd w:val="0"/>
              <w:snapToGrid w:val="0"/>
              <w:jc w:val="center"/>
              <w:rPr>
                <w:rFonts w:ascii="Arial" w:hAnsi="Arial" w:eastAsia="宋体" w:cs="Arial"/>
                <w:b/>
                <w:spacing w:val="10"/>
                <w:sz w:val="18"/>
                <w:szCs w:val="18"/>
              </w:rPr>
            </w:pPr>
          </w:p>
        </w:tc>
        <w:tc>
          <w:tcPr>
            <w:tcW w:w="642" w:type="dxa"/>
            <w:vMerge w:val="continue"/>
            <w:vAlign w:val="center"/>
          </w:tcPr>
          <w:p>
            <w:pPr>
              <w:widowControl/>
              <w:adjustRightInd w:val="0"/>
              <w:snapToGrid w:val="0"/>
              <w:jc w:val="center"/>
              <w:rPr>
                <w:rFonts w:ascii="Arial" w:hAnsi="Arial" w:eastAsia="宋体" w:cs="Arial"/>
                <w:b/>
                <w:spacing w:val="10"/>
                <w:sz w:val="18"/>
                <w:szCs w:val="18"/>
              </w:rPr>
            </w:pPr>
          </w:p>
        </w:tc>
        <w:tc>
          <w:tcPr>
            <w:tcW w:w="514" w:type="dxa"/>
            <w:vMerge w:val="continue"/>
            <w:vAlign w:val="center"/>
          </w:tcPr>
          <w:p>
            <w:pPr>
              <w:widowControl/>
              <w:adjustRightInd w:val="0"/>
              <w:snapToGrid w:val="0"/>
              <w:jc w:val="center"/>
              <w:rPr>
                <w:rFonts w:ascii="Arial" w:hAnsi="Arial" w:eastAsia="宋体" w:cs="Arial"/>
                <w:b/>
                <w:spacing w:val="10"/>
                <w:sz w:val="18"/>
                <w:szCs w:val="18"/>
              </w:rPr>
            </w:pPr>
          </w:p>
        </w:tc>
        <w:tc>
          <w:tcPr>
            <w:tcW w:w="642" w:type="dxa"/>
            <w:vMerge w:val="continue"/>
            <w:vAlign w:val="center"/>
          </w:tcPr>
          <w:p>
            <w:pPr>
              <w:widowControl/>
              <w:adjustRightInd w:val="0"/>
              <w:snapToGrid w:val="0"/>
              <w:jc w:val="center"/>
              <w:rPr>
                <w:rFonts w:ascii="Arial" w:hAnsi="Arial" w:eastAsia="宋体" w:cs="Arial"/>
                <w:b/>
                <w:spacing w:val="10"/>
                <w:sz w:val="18"/>
                <w:szCs w:val="18"/>
              </w:rPr>
            </w:pPr>
          </w:p>
        </w:tc>
        <w:tc>
          <w:tcPr>
            <w:tcW w:w="871" w:type="dxa"/>
            <w:vMerge w:val="continue"/>
            <w:vAlign w:val="center"/>
          </w:tcPr>
          <w:p>
            <w:pPr>
              <w:widowControl/>
              <w:adjustRightInd w:val="0"/>
              <w:snapToGrid w:val="0"/>
              <w:jc w:val="center"/>
              <w:rPr>
                <w:rFonts w:ascii="Arial" w:hAnsi="Arial" w:eastAsia="宋体" w:cs="Arial"/>
                <w:b/>
                <w:spacing w:val="10"/>
                <w:sz w:val="18"/>
                <w:szCs w:val="18"/>
              </w:rPr>
            </w:pPr>
          </w:p>
        </w:tc>
        <w:tc>
          <w:tcPr>
            <w:tcW w:w="797" w:type="dxa"/>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颗粒物</w:t>
            </w:r>
          </w:p>
        </w:tc>
        <w:tc>
          <w:tcPr>
            <w:tcW w:w="856" w:type="dxa"/>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钴</w:t>
            </w:r>
            <w:r>
              <w:rPr>
                <w:rFonts w:hint="eastAsia" w:ascii="Arial" w:hAnsi="Arial" w:eastAsia="宋体" w:cs="Arial"/>
                <w:b/>
                <w:spacing w:val="10"/>
                <w:sz w:val="18"/>
                <w:szCs w:val="18"/>
              </w:rPr>
              <w:t>及其化合物</w:t>
            </w:r>
          </w:p>
        </w:tc>
        <w:tc>
          <w:tcPr>
            <w:tcW w:w="851" w:type="dxa"/>
            <w:vAlign w:val="center"/>
          </w:tcPr>
          <w:p>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restart"/>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DA145</w:t>
            </w:r>
          </w:p>
        </w:tc>
        <w:tc>
          <w:tcPr>
            <w:tcW w:w="642" w:type="dxa"/>
            <w:vMerge w:val="restart"/>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335</w:t>
            </w:r>
          </w:p>
        </w:tc>
        <w:tc>
          <w:tcPr>
            <w:tcW w:w="642" w:type="dxa"/>
            <w:vMerge w:val="restart"/>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774</w:t>
            </w:r>
          </w:p>
        </w:tc>
        <w:tc>
          <w:tcPr>
            <w:tcW w:w="642" w:type="dxa"/>
            <w:vMerge w:val="restart"/>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631" w:type="dxa"/>
            <w:vMerge w:val="restart"/>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w:t>
            </w:r>
          </w:p>
        </w:tc>
        <w:tc>
          <w:tcPr>
            <w:tcW w:w="651" w:type="dxa"/>
            <w:vMerge w:val="restart"/>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w:t>
            </w:r>
            <w:r>
              <w:rPr>
                <w:rFonts w:hint="eastAsia" w:ascii="Arial" w:hAnsi="Arial" w:eastAsia="宋体" w:cs="Arial"/>
                <w:spacing w:val="10"/>
                <w:sz w:val="18"/>
                <w:szCs w:val="18"/>
              </w:rPr>
              <w:t>1</w:t>
            </w:r>
          </w:p>
        </w:tc>
        <w:tc>
          <w:tcPr>
            <w:tcW w:w="642" w:type="dxa"/>
            <w:vMerge w:val="restart"/>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47000</w:t>
            </w:r>
          </w:p>
        </w:tc>
        <w:tc>
          <w:tcPr>
            <w:tcW w:w="514" w:type="dxa"/>
            <w:vMerge w:val="restart"/>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25</w:t>
            </w:r>
          </w:p>
        </w:tc>
        <w:tc>
          <w:tcPr>
            <w:tcW w:w="642" w:type="dxa"/>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871" w:type="dxa"/>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正常</w:t>
            </w:r>
          </w:p>
        </w:tc>
        <w:tc>
          <w:tcPr>
            <w:tcW w:w="797"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6"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1" w:type="dxa"/>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0.2682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continue"/>
            <w:vAlign w:val="center"/>
          </w:tcPr>
          <w:p>
            <w:pPr>
              <w:widowControl/>
              <w:adjustRightInd w:val="0"/>
              <w:snapToGrid w:val="0"/>
              <w:jc w:val="center"/>
              <w:rPr>
                <w:rFonts w:ascii="Arial" w:hAnsi="Arial" w:eastAsia="宋体" w:cs="Arial"/>
                <w:spacing w:val="10"/>
                <w:sz w:val="18"/>
                <w:szCs w:val="18"/>
              </w:rPr>
            </w:pPr>
          </w:p>
        </w:tc>
        <w:tc>
          <w:tcPr>
            <w:tcW w:w="642" w:type="dxa"/>
            <w:vMerge w:val="continue"/>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642" w:type="dxa"/>
            <w:vMerge w:val="continue"/>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642" w:type="dxa"/>
            <w:vMerge w:val="continue"/>
            <w:vAlign w:val="center"/>
          </w:tcPr>
          <w:p>
            <w:pPr>
              <w:widowControl/>
              <w:adjustRightInd w:val="0"/>
              <w:snapToGrid w:val="0"/>
              <w:jc w:val="center"/>
              <w:rPr>
                <w:rFonts w:ascii="Arial" w:hAnsi="Arial" w:eastAsia="宋体" w:cs="Arial"/>
                <w:spacing w:val="10"/>
                <w:sz w:val="18"/>
                <w:szCs w:val="18"/>
              </w:rPr>
            </w:pPr>
          </w:p>
        </w:tc>
        <w:tc>
          <w:tcPr>
            <w:tcW w:w="631" w:type="dxa"/>
            <w:vMerge w:val="continue"/>
            <w:vAlign w:val="center"/>
          </w:tcPr>
          <w:p>
            <w:pPr>
              <w:widowControl/>
              <w:adjustRightInd w:val="0"/>
              <w:snapToGrid w:val="0"/>
              <w:jc w:val="center"/>
              <w:rPr>
                <w:rFonts w:ascii="Arial" w:hAnsi="Arial" w:eastAsia="宋体" w:cs="Arial"/>
                <w:spacing w:val="10"/>
                <w:sz w:val="18"/>
                <w:szCs w:val="18"/>
              </w:rPr>
            </w:pPr>
          </w:p>
        </w:tc>
        <w:tc>
          <w:tcPr>
            <w:tcW w:w="651" w:type="dxa"/>
            <w:vMerge w:val="continue"/>
            <w:vAlign w:val="center"/>
          </w:tcPr>
          <w:p>
            <w:pPr>
              <w:widowControl/>
              <w:adjustRightInd w:val="0"/>
              <w:snapToGrid w:val="0"/>
              <w:jc w:val="center"/>
              <w:rPr>
                <w:rFonts w:ascii="Arial" w:hAnsi="Arial" w:eastAsia="宋体" w:cs="Arial"/>
                <w:spacing w:val="10"/>
                <w:sz w:val="18"/>
                <w:szCs w:val="18"/>
              </w:rPr>
            </w:pPr>
          </w:p>
        </w:tc>
        <w:tc>
          <w:tcPr>
            <w:tcW w:w="642" w:type="dxa"/>
            <w:vMerge w:val="continue"/>
            <w:vAlign w:val="center"/>
          </w:tcPr>
          <w:p>
            <w:pPr>
              <w:widowControl/>
              <w:adjustRightInd w:val="0"/>
              <w:snapToGrid w:val="0"/>
              <w:jc w:val="center"/>
              <w:rPr>
                <w:rFonts w:ascii="Arial" w:hAnsi="Arial" w:eastAsia="宋体" w:cs="Arial"/>
                <w:spacing w:val="10"/>
                <w:sz w:val="18"/>
                <w:szCs w:val="18"/>
              </w:rPr>
            </w:pPr>
          </w:p>
        </w:tc>
        <w:tc>
          <w:tcPr>
            <w:tcW w:w="514" w:type="dxa"/>
            <w:vMerge w:val="continue"/>
            <w:vAlign w:val="center"/>
          </w:tcPr>
          <w:p>
            <w:pPr>
              <w:widowControl/>
              <w:adjustRightInd w:val="0"/>
              <w:snapToGrid w:val="0"/>
              <w:jc w:val="center"/>
              <w:rPr>
                <w:rFonts w:ascii="Arial" w:hAnsi="Arial" w:eastAsia="宋体" w:cs="Arial"/>
                <w:spacing w:val="10"/>
                <w:sz w:val="18"/>
                <w:szCs w:val="18"/>
              </w:rPr>
            </w:pPr>
          </w:p>
        </w:tc>
        <w:tc>
          <w:tcPr>
            <w:tcW w:w="642"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w:t>
            </w:r>
          </w:p>
        </w:tc>
        <w:tc>
          <w:tcPr>
            <w:tcW w:w="871" w:type="dxa"/>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非正常</w:t>
            </w:r>
          </w:p>
        </w:tc>
        <w:tc>
          <w:tcPr>
            <w:tcW w:w="797"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6"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1" w:type="dxa"/>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2.682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restart"/>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DA146</w:t>
            </w:r>
          </w:p>
        </w:tc>
        <w:tc>
          <w:tcPr>
            <w:tcW w:w="642" w:type="dxa"/>
            <w:vMerge w:val="restart"/>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319</w:t>
            </w:r>
          </w:p>
        </w:tc>
        <w:tc>
          <w:tcPr>
            <w:tcW w:w="642" w:type="dxa"/>
            <w:vMerge w:val="restart"/>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777</w:t>
            </w:r>
          </w:p>
        </w:tc>
        <w:tc>
          <w:tcPr>
            <w:tcW w:w="642" w:type="dxa"/>
            <w:vMerge w:val="restart"/>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z w:val="18"/>
                <w:szCs w:val="18"/>
                <w:u w:val="single"/>
              </w:rPr>
              <w:t>6</w:t>
            </w:r>
          </w:p>
        </w:tc>
        <w:tc>
          <w:tcPr>
            <w:tcW w:w="631" w:type="dxa"/>
            <w:vMerge w:val="restart"/>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20</w:t>
            </w:r>
          </w:p>
        </w:tc>
        <w:tc>
          <w:tcPr>
            <w:tcW w:w="651" w:type="dxa"/>
            <w:vMerge w:val="restart"/>
            <w:vAlign w:val="center"/>
          </w:tcPr>
          <w:p>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1.1</w:t>
            </w:r>
          </w:p>
        </w:tc>
        <w:tc>
          <w:tcPr>
            <w:tcW w:w="642" w:type="dxa"/>
            <w:vMerge w:val="restart"/>
            <w:vAlign w:val="center"/>
          </w:tcPr>
          <w:p>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47000</w:t>
            </w:r>
          </w:p>
        </w:tc>
        <w:tc>
          <w:tcPr>
            <w:tcW w:w="514" w:type="dxa"/>
            <w:vMerge w:val="restart"/>
            <w:vAlign w:val="center"/>
          </w:tcPr>
          <w:p>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60</w:t>
            </w:r>
          </w:p>
        </w:tc>
        <w:tc>
          <w:tcPr>
            <w:tcW w:w="642" w:type="dxa"/>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7920</w:t>
            </w:r>
          </w:p>
        </w:tc>
        <w:tc>
          <w:tcPr>
            <w:tcW w:w="871" w:type="dxa"/>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正常</w:t>
            </w:r>
          </w:p>
        </w:tc>
        <w:tc>
          <w:tcPr>
            <w:tcW w:w="797"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0.2093</w:t>
            </w:r>
          </w:p>
        </w:tc>
        <w:tc>
          <w:tcPr>
            <w:tcW w:w="856"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0.1299</w:t>
            </w:r>
          </w:p>
        </w:tc>
        <w:tc>
          <w:tcPr>
            <w:tcW w:w="851"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642" w:type="dxa"/>
            <w:vMerge w:val="continue"/>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p>
        </w:tc>
        <w:tc>
          <w:tcPr>
            <w:tcW w:w="642" w:type="dxa"/>
            <w:vMerge w:val="continue"/>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p>
        </w:tc>
        <w:tc>
          <w:tcPr>
            <w:tcW w:w="642"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631"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651"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642"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514" w:type="dxa"/>
            <w:vMerge w:val="continue"/>
            <w:vAlign w:val="center"/>
          </w:tcPr>
          <w:p>
            <w:pPr>
              <w:widowControl/>
              <w:adjustRightInd w:val="0"/>
              <w:snapToGrid w:val="0"/>
              <w:jc w:val="center"/>
              <w:rPr>
                <w:rFonts w:ascii="Arial" w:hAnsi="Arial" w:eastAsia="宋体" w:cs="Arial"/>
                <w:spacing w:val="10"/>
                <w:sz w:val="18"/>
                <w:szCs w:val="18"/>
                <w:u w:val="single"/>
              </w:rPr>
            </w:pPr>
          </w:p>
        </w:tc>
        <w:tc>
          <w:tcPr>
            <w:tcW w:w="642" w:type="dxa"/>
            <w:vAlign w:val="center"/>
          </w:tcPr>
          <w:p>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1</w:t>
            </w:r>
          </w:p>
        </w:tc>
        <w:tc>
          <w:tcPr>
            <w:tcW w:w="871" w:type="dxa"/>
            <w:vAlign w:val="center"/>
          </w:tcPr>
          <w:p>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非正常</w:t>
            </w:r>
          </w:p>
        </w:tc>
        <w:tc>
          <w:tcPr>
            <w:tcW w:w="797"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2.0933</w:t>
            </w:r>
          </w:p>
        </w:tc>
        <w:tc>
          <w:tcPr>
            <w:tcW w:w="856"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1.2995</w:t>
            </w:r>
          </w:p>
        </w:tc>
        <w:tc>
          <w:tcPr>
            <w:tcW w:w="851" w:type="dxa"/>
            <w:vAlign w:val="center"/>
          </w:tcPr>
          <w:p>
            <w:pPr>
              <w:autoSpaceDE w:val="0"/>
              <w:autoSpaceDN w:val="0"/>
              <w:adjustRightInd w:val="0"/>
              <w:snapToGrid w:val="0"/>
              <w:jc w:val="center"/>
              <w:textAlignment w:val="bottom"/>
              <w:rPr>
                <w:rFonts w:ascii="Arial" w:hAnsi="Arial" w:eastAsia="宋体" w:cs="Arial"/>
                <w:spacing w:val="10"/>
                <w:sz w:val="18"/>
                <w:szCs w:val="1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12" w:type="dxa"/>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w:t>
            </w:r>
            <w:r>
              <w:rPr>
                <w:rFonts w:hint="eastAsia" w:ascii="Arial" w:hAnsi="Arial" w:eastAsia="宋体" w:cs="Arial"/>
                <w:spacing w:val="10"/>
                <w:sz w:val="18"/>
                <w:szCs w:val="18"/>
              </w:rPr>
              <w:t>067</w:t>
            </w:r>
          </w:p>
        </w:tc>
        <w:tc>
          <w:tcPr>
            <w:tcW w:w="642" w:type="dxa"/>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-17</w:t>
            </w:r>
          </w:p>
        </w:tc>
        <w:tc>
          <w:tcPr>
            <w:tcW w:w="642" w:type="dxa"/>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630</w:t>
            </w:r>
          </w:p>
        </w:tc>
        <w:tc>
          <w:tcPr>
            <w:tcW w:w="642"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6</w:t>
            </w:r>
          </w:p>
        </w:tc>
        <w:tc>
          <w:tcPr>
            <w:tcW w:w="631"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w:t>
            </w:r>
          </w:p>
        </w:tc>
        <w:tc>
          <w:tcPr>
            <w:tcW w:w="651"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0.6</w:t>
            </w:r>
          </w:p>
        </w:tc>
        <w:tc>
          <w:tcPr>
            <w:tcW w:w="642"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13000</w:t>
            </w:r>
          </w:p>
        </w:tc>
        <w:tc>
          <w:tcPr>
            <w:tcW w:w="514"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25</w:t>
            </w:r>
          </w:p>
        </w:tc>
        <w:tc>
          <w:tcPr>
            <w:tcW w:w="642" w:type="dxa"/>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w:t>
            </w:r>
          </w:p>
        </w:tc>
        <w:tc>
          <w:tcPr>
            <w:tcW w:w="871" w:type="dxa"/>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正常</w:t>
            </w:r>
          </w:p>
        </w:tc>
        <w:tc>
          <w:tcPr>
            <w:tcW w:w="797"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6" w:type="dxa"/>
            <w:vAlign w:val="center"/>
          </w:tcPr>
          <w:p>
            <w:pPr>
              <w:autoSpaceDE w:val="0"/>
              <w:autoSpaceDN w:val="0"/>
              <w:adjustRightInd w:val="0"/>
              <w:snapToGrid w:val="0"/>
              <w:jc w:val="center"/>
              <w:textAlignment w:val="bottom"/>
              <w:rPr>
                <w:rFonts w:ascii="Arial" w:hAnsi="Arial" w:eastAsia="宋体" w:cs="Arial"/>
                <w:spacing w:val="10"/>
                <w:sz w:val="18"/>
                <w:szCs w:val="18"/>
              </w:rPr>
            </w:pPr>
          </w:p>
        </w:tc>
        <w:tc>
          <w:tcPr>
            <w:tcW w:w="851" w:type="dxa"/>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0.2010</w:t>
            </w:r>
          </w:p>
        </w:tc>
      </w:tr>
    </w:tbl>
    <w:p>
      <w:pPr>
        <w:autoSpaceDE w:val="0"/>
        <w:autoSpaceDN w:val="0"/>
        <w:adjustRightInd w:val="0"/>
        <w:spacing w:line="500" w:lineRule="exact"/>
        <w:ind w:firstLine="450" w:firstLineChars="200"/>
        <w:textAlignment w:val="bottom"/>
        <w:rPr>
          <w:rFonts w:ascii="Arial" w:hAnsi="Arial" w:eastAsia="宋体" w:cs="Arial"/>
          <w:b/>
          <w:sz w:val="24"/>
          <w:szCs w:val="24"/>
        </w:rPr>
      </w:pPr>
    </w:p>
    <w:p>
      <w:pPr>
        <w:autoSpaceDE w:val="0"/>
        <w:autoSpaceDN w:val="0"/>
        <w:adjustRightInd w:val="0"/>
        <w:spacing w:line="500" w:lineRule="exact"/>
        <w:ind w:firstLine="450" w:firstLineChars="200"/>
        <w:textAlignment w:val="bottom"/>
        <w:rPr>
          <w:rFonts w:ascii="Arial" w:hAnsi="Arial" w:eastAsia="宋体" w:cs="Arial"/>
          <w:b/>
          <w:sz w:val="24"/>
          <w:szCs w:val="24"/>
        </w:rPr>
      </w:pP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变更工程面源污参数表</w:t>
      </w:r>
    </w:p>
    <w:tbl>
      <w:tblPr>
        <w:tblStyle w:val="88"/>
        <w:tblW w:w="883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668"/>
        <w:gridCol w:w="701"/>
        <w:gridCol w:w="701"/>
        <w:gridCol w:w="853"/>
        <w:gridCol w:w="682"/>
        <w:gridCol w:w="650"/>
        <w:gridCol w:w="984"/>
        <w:gridCol w:w="892"/>
        <w:gridCol w:w="581"/>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668"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污染源名称</w:t>
            </w:r>
          </w:p>
        </w:tc>
        <w:tc>
          <w:tcPr>
            <w:tcW w:w="1402" w:type="dxa"/>
            <w:gridSpan w:val="2"/>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面源顶点坐标</w:t>
            </w:r>
          </w:p>
        </w:tc>
        <w:tc>
          <w:tcPr>
            <w:tcW w:w="853"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面源长</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度(m)</w:t>
            </w:r>
          </w:p>
        </w:tc>
        <w:tc>
          <w:tcPr>
            <w:tcW w:w="682"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面源宽</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度(m)</w:t>
            </w:r>
          </w:p>
        </w:tc>
        <w:tc>
          <w:tcPr>
            <w:tcW w:w="650"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与正北</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向夹角</w:t>
            </w:r>
          </w:p>
        </w:tc>
        <w:tc>
          <w:tcPr>
            <w:tcW w:w="984"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初始排</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放高度</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（m）</w:t>
            </w:r>
          </w:p>
        </w:tc>
        <w:tc>
          <w:tcPr>
            <w:tcW w:w="892"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年排放</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小时数</w:t>
            </w:r>
          </w:p>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（h）</w:t>
            </w:r>
          </w:p>
        </w:tc>
        <w:tc>
          <w:tcPr>
            <w:tcW w:w="581" w:type="dxa"/>
            <w:vMerge w:val="restart"/>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排放工况</w:t>
            </w:r>
          </w:p>
        </w:tc>
        <w:tc>
          <w:tcPr>
            <w:tcW w:w="1121" w:type="dxa"/>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668" w:type="dxa"/>
            <w:vMerge w:val="continue"/>
            <w:vAlign w:val="center"/>
          </w:tcPr>
          <w:p>
            <w:pPr>
              <w:widowControl/>
              <w:adjustRightInd w:val="0"/>
              <w:snapToGrid w:val="0"/>
              <w:jc w:val="center"/>
              <w:rPr>
                <w:rFonts w:ascii="Arial" w:hAnsi="Arial" w:eastAsia="宋体" w:cs="Arial"/>
                <w:b/>
                <w:sz w:val="21"/>
                <w:szCs w:val="21"/>
              </w:rPr>
            </w:pPr>
          </w:p>
        </w:tc>
        <w:tc>
          <w:tcPr>
            <w:tcW w:w="701" w:type="dxa"/>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X坐标(m)</w:t>
            </w:r>
          </w:p>
        </w:tc>
        <w:tc>
          <w:tcPr>
            <w:tcW w:w="701" w:type="dxa"/>
            <w:vAlign w:val="center"/>
          </w:tcPr>
          <w:p>
            <w:pPr>
              <w:pStyle w:val="634"/>
              <w:adjustRightInd w:val="0"/>
              <w:snapToGrid w:val="0"/>
              <w:ind w:firstLine="0" w:firstLineChars="0"/>
              <w:jc w:val="center"/>
              <w:rPr>
                <w:rFonts w:ascii="Arial" w:hAnsi="Arial" w:cs="Arial"/>
                <w:b/>
                <w:sz w:val="21"/>
                <w:szCs w:val="21"/>
              </w:rPr>
            </w:pPr>
            <w:r>
              <w:rPr>
                <w:rFonts w:ascii="Arial" w:hAnsi="Arial" w:cs="Arial"/>
                <w:b/>
                <w:sz w:val="21"/>
                <w:szCs w:val="21"/>
              </w:rPr>
              <w:t>Y坐标(m)</w:t>
            </w:r>
          </w:p>
        </w:tc>
        <w:tc>
          <w:tcPr>
            <w:tcW w:w="853" w:type="dxa"/>
            <w:vMerge w:val="continue"/>
            <w:vAlign w:val="center"/>
          </w:tcPr>
          <w:p>
            <w:pPr>
              <w:widowControl/>
              <w:adjustRightInd w:val="0"/>
              <w:snapToGrid w:val="0"/>
              <w:jc w:val="center"/>
              <w:rPr>
                <w:rFonts w:ascii="Arial" w:hAnsi="Arial" w:eastAsia="宋体" w:cs="Arial"/>
                <w:b/>
                <w:sz w:val="21"/>
                <w:szCs w:val="21"/>
              </w:rPr>
            </w:pPr>
          </w:p>
        </w:tc>
        <w:tc>
          <w:tcPr>
            <w:tcW w:w="682" w:type="dxa"/>
            <w:vMerge w:val="continue"/>
            <w:vAlign w:val="center"/>
          </w:tcPr>
          <w:p>
            <w:pPr>
              <w:widowControl/>
              <w:adjustRightInd w:val="0"/>
              <w:snapToGrid w:val="0"/>
              <w:jc w:val="center"/>
              <w:rPr>
                <w:rFonts w:ascii="Arial" w:hAnsi="Arial" w:eastAsia="宋体" w:cs="Arial"/>
                <w:b/>
                <w:sz w:val="21"/>
                <w:szCs w:val="21"/>
              </w:rPr>
            </w:pPr>
          </w:p>
        </w:tc>
        <w:tc>
          <w:tcPr>
            <w:tcW w:w="650" w:type="dxa"/>
            <w:vMerge w:val="continue"/>
            <w:vAlign w:val="center"/>
          </w:tcPr>
          <w:p>
            <w:pPr>
              <w:widowControl/>
              <w:adjustRightInd w:val="0"/>
              <w:snapToGrid w:val="0"/>
              <w:jc w:val="center"/>
              <w:rPr>
                <w:rFonts w:ascii="Arial" w:hAnsi="Arial" w:eastAsia="宋体" w:cs="Arial"/>
                <w:b/>
                <w:sz w:val="21"/>
                <w:szCs w:val="21"/>
              </w:rPr>
            </w:pPr>
          </w:p>
        </w:tc>
        <w:tc>
          <w:tcPr>
            <w:tcW w:w="984" w:type="dxa"/>
            <w:vMerge w:val="continue"/>
            <w:vAlign w:val="center"/>
          </w:tcPr>
          <w:p>
            <w:pPr>
              <w:widowControl/>
              <w:adjustRightInd w:val="0"/>
              <w:snapToGrid w:val="0"/>
              <w:jc w:val="center"/>
              <w:rPr>
                <w:rFonts w:ascii="Arial" w:hAnsi="Arial" w:eastAsia="宋体" w:cs="Arial"/>
                <w:b/>
                <w:sz w:val="21"/>
                <w:szCs w:val="21"/>
              </w:rPr>
            </w:pPr>
          </w:p>
        </w:tc>
        <w:tc>
          <w:tcPr>
            <w:tcW w:w="892" w:type="dxa"/>
            <w:vMerge w:val="continue"/>
            <w:vAlign w:val="center"/>
          </w:tcPr>
          <w:p>
            <w:pPr>
              <w:widowControl/>
              <w:adjustRightInd w:val="0"/>
              <w:snapToGrid w:val="0"/>
              <w:jc w:val="center"/>
              <w:rPr>
                <w:rFonts w:ascii="Arial" w:hAnsi="Arial" w:eastAsia="宋体" w:cs="Arial"/>
                <w:b/>
                <w:sz w:val="21"/>
                <w:szCs w:val="21"/>
              </w:rPr>
            </w:pPr>
          </w:p>
        </w:tc>
        <w:tc>
          <w:tcPr>
            <w:tcW w:w="581" w:type="dxa"/>
            <w:vMerge w:val="continue"/>
            <w:vAlign w:val="center"/>
          </w:tcPr>
          <w:p>
            <w:pPr>
              <w:widowControl/>
              <w:adjustRightInd w:val="0"/>
              <w:snapToGrid w:val="0"/>
              <w:jc w:val="center"/>
              <w:rPr>
                <w:rFonts w:ascii="Arial" w:hAnsi="Arial" w:eastAsia="宋体" w:cs="Arial"/>
                <w:b/>
                <w:sz w:val="21"/>
                <w:szCs w:val="21"/>
              </w:rPr>
            </w:pPr>
          </w:p>
        </w:tc>
        <w:tc>
          <w:tcPr>
            <w:tcW w:w="1121" w:type="dxa"/>
            <w:vAlign w:val="center"/>
          </w:tcPr>
          <w:p>
            <w:pPr>
              <w:autoSpaceDE w:val="0"/>
              <w:autoSpaceDN w:val="0"/>
              <w:adjustRightInd w:val="0"/>
              <w:snapToGrid w:val="0"/>
              <w:jc w:val="center"/>
              <w:textAlignment w:val="bottom"/>
              <w:rPr>
                <w:rFonts w:ascii="Arial" w:hAnsi="Arial" w:eastAsia="宋体" w:cs="Arial"/>
                <w:b/>
                <w:spacing w:val="10"/>
                <w:sz w:val="21"/>
                <w:szCs w:val="21"/>
              </w:rPr>
            </w:pPr>
            <w:r>
              <w:rPr>
                <w:rFonts w:ascii="Arial" w:hAnsi="Arial" w:eastAsia="宋体" w:cs="Arial"/>
                <w:b/>
                <w:spacing w:val="10"/>
                <w:sz w:val="21"/>
                <w:szCs w:val="21"/>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668" w:type="dxa"/>
            <w:vAlign w:val="center"/>
          </w:tcPr>
          <w:p>
            <w:pPr>
              <w:pStyle w:val="5"/>
              <w:adjustRightInd w:val="0"/>
              <w:snapToGrid w:val="0"/>
              <w:spacing w:line="240" w:lineRule="auto"/>
              <w:ind w:firstLine="0"/>
              <w:jc w:val="center"/>
              <w:rPr>
                <w:sz w:val="21"/>
                <w:szCs w:val="21"/>
              </w:rPr>
            </w:pPr>
            <w:r>
              <w:rPr>
                <w:sz w:val="21"/>
                <w:szCs w:val="21"/>
              </w:rPr>
              <w:t>X</w:t>
            </w:r>
            <w:r>
              <w:rPr>
                <w:rFonts w:hint="eastAsia"/>
                <w:sz w:val="21"/>
                <w:szCs w:val="21"/>
              </w:rPr>
              <w:t>19车间</w:t>
            </w:r>
          </w:p>
        </w:tc>
        <w:tc>
          <w:tcPr>
            <w:tcW w:w="701" w:type="dxa"/>
            <w:vAlign w:val="center"/>
          </w:tcPr>
          <w:p>
            <w:pPr>
              <w:pStyle w:val="634"/>
              <w:adjustRightInd w:val="0"/>
              <w:snapToGrid w:val="0"/>
              <w:ind w:firstLine="0" w:firstLineChars="0"/>
              <w:jc w:val="center"/>
              <w:rPr>
                <w:rFonts w:ascii="Arial" w:hAnsi="Arial" w:cs="Arial"/>
                <w:sz w:val="21"/>
                <w:szCs w:val="21"/>
              </w:rPr>
            </w:pPr>
            <w:r>
              <w:rPr>
                <w:rFonts w:hint="eastAsia" w:ascii="Arial" w:hAnsi="Arial" w:cs="Arial"/>
                <w:sz w:val="21"/>
                <w:szCs w:val="21"/>
              </w:rPr>
              <w:t>308</w:t>
            </w:r>
          </w:p>
        </w:tc>
        <w:tc>
          <w:tcPr>
            <w:tcW w:w="701" w:type="dxa"/>
            <w:vAlign w:val="center"/>
          </w:tcPr>
          <w:p>
            <w:pPr>
              <w:pStyle w:val="634"/>
              <w:adjustRightInd w:val="0"/>
              <w:snapToGrid w:val="0"/>
              <w:ind w:firstLine="0" w:firstLineChars="0"/>
              <w:jc w:val="center"/>
              <w:rPr>
                <w:rFonts w:ascii="Arial" w:hAnsi="Arial" w:cs="Arial"/>
                <w:sz w:val="21"/>
                <w:szCs w:val="21"/>
              </w:rPr>
            </w:pPr>
            <w:r>
              <w:rPr>
                <w:rFonts w:hint="eastAsia" w:ascii="Arial" w:hAnsi="Arial" w:cs="Arial"/>
                <w:sz w:val="21"/>
                <w:szCs w:val="21"/>
              </w:rPr>
              <w:t>753</w:t>
            </w:r>
          </w:p>
        </w:tc>
        <w:tc>
          <w:tcPr>
            <w:tcW w:w="853"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85</w:t>
            </w:r>
          </w:p>
        </w:tc>
        <w:tc>
          <w:tcPr>
            <w:tcW w:w="68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22.5</w:t>
            </w:r>
          </w:p>
        </w:tc>
        <w:tc>
          <w:tcPr>
            <w:tcW w:w="650"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w:t>
            </w:r>
          </w:p>
        </w:tc>
        <w:tc>
          <w:tcPr>
            <w:tcW w:w="984"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13.2</w:t>
            </w:r>
          </w:p>
        </w:tc>
        <w:tc>
          <w:tcPr>
            <w:tcW w:w="892" w:type="dxa"/>
            <w:vAlign w:val="center"/>
          </w:tcPr>
          <w:p>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7920</w:t>
            </w:r>
          </w:p>
        </w:tc>
        <w:tc>
          <w:tcPr>
            <w:tcW w:w="581" w:type="dxa"/>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正常</w:t>
            </w:r>
          </w:p>
        </w:tc>
        <w:tc>
          <w:tcPr>
            <w:tcW w:w="1121" w:type="dxa"/>
            <w:vAlign w:val="center"/>
          </w:tcPr>
          <w:p>
            <w:pPr>
              <w:autoSpaceDE w:val="0"/>
              <w:autoSpaceDN w:val="0"/>
              <w:adjustRightInd w:val="0"/>
              <w:snapToGrid w:val="0"/>
              <w:jc w:val="center"/>
              <w:textAlignment w:val="bottom"/>
              <w:rPr>
                <w:rFonts w:ascii="Arial" w:hAnsi="Arial" w:eastAsia="宋体" w:cs="Arial"/>
                <w:spacing w:val="10"/>
                <w:sz w:val="21"/>
                <w:szCs w:val="21"/>
              </w:rPr>
            </w:pPr>
            <w:r>
              <w:rPr>
                <w:rFonts w:hint="eastAsia" w:ascii="Arial" w:hAnsi="Arial" w:eastAsia="宋体" w:cs="Arial"/>
                <w:spacing w:val="10"/>
                <w:sz w:val="21"/>
                <w:szCs w:val="21"/>
              </w:rPr>
              <w:t>0.2167</w:t>
            </w:r>
          </w:p>
        </w:tc>
      </w:tr>
    </w:tbl>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拟建、在建点源参数表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899"/>
        <w:gridCol w:w="674"/>
        <w:gridCol w:w="707"/>
        <w:gridCol w:w="450"/>
        <w:gridCol w:w="561"/>
        <w:gridCol w:w="646"/>
        <w:gridCol w:w="808"/>
        <w:gridCol w:w="549"/>
        <w:gridCol w:w="685"/>
        <w:gridCol w:w="687"/>
        <w:gridCol w:w="959"/>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438"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项目名称</w:t>
            </w:r>
          </w:p>
        </w:tc>
        <w:tc>
          <w:tcPr>
            <w:tcW w:w="899"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排气筒名称</w:t>
            </w:r>
          </w:p>
        </w:tc>
        <w:tc>
          <w:tcPr>
            <w:tcW w:w="1381" w:type="dxa"/>
            <w:gridSpan w:val="2"/>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排气筒坐标</w:t>
            </w:r>
          </w:p>
        </w:tc>
        <w:tc>
          <w:tcPr>
            <w:tcW w:w="450"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排气筒底部海拔m</w:t>
            </w:r>
          </w:p>
        </w:tc>
        <w:tc>
          <w:tcPr>
            <w:tcW w:w="561"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排气筒高度/m</w:t>
            </w:r>
          </w:p>
        </w:tc>
        <w:tc>
          <w:tcPr>
            <w:tcW w:w="646"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排气筒出口内径/m</w:t>
            </w:r>
          </w:p>
        </w:tc>
        <w:tc>
          <w:tcPr>
            <w:tcW w:w="808"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烟气流速/（m/s）</w:t>
            </w:r>
          </w:p>
        </w:tc>
        <w:tc>
          <w:tcPr>
            <w:tcW w:w="549"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烟气温度/</w:t>
            </w:r>
            <w:r>
              <w:rPr>
                <w:rFonts w:hint="eastAsia" w:cs="宋体"/>
                <w:b/>
                <w:bCs/>
                <w:color w:val="auto"/>
                <w:sz w:val="18"/>
                <w:szCs w:val="18"/>
              </w:rPr>
              <w:t>℃</w:t>
            </w:r>
          </w:p>
        </w:tc>
        <w:tc>
          <w:tcPr>
            <w:tcW w:w="685"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年排放小时数/h</w:t>
            </w:r>
          </w:p>
        </w:tc>
        <w:tc>
          <w:tcPr>
            <w:tcW w:w="687" w:type="dxa"/>
            <w:vMerge w:val="restart"/>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排放工况</w:t>
            </w:r>
          </w:p>
        </w:tc>
        <w:tc>
          <w:tcPr>
            <w:tcW w:w="1889" w:type="dxa"/>
            <w:gridSpan w:val="2"/>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438"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899"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674" w:type="dxa"/>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X</w:t>
            </w:r>
          </w:p>
        </w:tc>
        <w:tc>
          <w:tcPr>
            <w:tcW w:w="707" w:type="dxa"/>
            <w:shd w:val="clear" w:color="auto" w:fill="auto"/>
            <w:vAlign w:val="center"/>
          </w:tcPr>
          <w:p>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Y</w:t>
            </w:r>
          </w:p>
        </w:tc>
        <w:tc>
          <w:tcPr>
            <w:tcW w:w="450"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561"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646"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808"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549"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685"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687" w:type="dxa"/>
            <w:vMerge w:val="continue"/>
            <w:shd w:val="clear" w:color="auto" w:fill="auto"/>
            <w:vAlign w:val="center"/>
          </w:tcPr>
          <w:p>
            <w:pPr>
              <w:pStyle w:val="1342"/>
              <w:snapToGrid w:val="0"/>
              <w:spacing w:line="240" w:lineRule="auto"/>
              <w:jc w:val="center"/>
              <w:rPr>
                <w:rFonts w:ascii="Arial" w:hAnsi="Arial" w:cs="Arial"/>
                <w:b/>
                <w:bCs/>
                <w:color w:val="auto"/>
                <w:sz w:val="18"/>
                <w:szCs w:val="18"/>
              </w:rPr>
            </w:pPr>
          </w:p>
        </w:tc>
        <w:tc>
          <w:tcPr>
            <w:tcW w:w="959" w:type="dxa"/>
            <w:shd w:val="clear" w:color="auto" w:fill="auto"/>
            <w:vAlign w:val="center"/>
          </w:tcPr>
          <w:p>
            <w:pPr>
              <w:pStyle w:val="634"/>
              <w:adjustRightInd w:val="0"/>
              <w:snapToGrid w:val="0"/>
              <w:ind w:firstLine="0" w:firstLineChars="0"/>
              <w:jc w:val="center"/>
              <w:rPr>
                <w:rFonts w:ascii="Arial" w:hAnsi="Arial" w:cs="Arial"/>
                <w:b/>
                <w:sz w:val="18"/>
                <w:szCs w:val="18"/>
              </w:rPr>
            </w:pPr>
            <w:r>
              <w:rPr>
                <w:rFonts w:ascii="Arial" w:hAnsi="Arial" w:cs="Arial"/>
                <w:b/>
                <w:sz w:val="18"/>
                <w:szCs w:val="18"/>
              </w:rPr>
              <w:t>颗粒物</w:t>
            </w:r>
          </w:p>
        </w:tc>
        <w:tc>
          <w:tcPr>
            <w:tcW w:w="930" w:type="dxa"/>
            <w:shd w:val="clear" w:color="auto" w:fill="auto"/>
            <w:vAlign w:val="center"/>
          </w:tcPr>
          <w:p>
            <w:pPr>
              <w:pStyle w:val="634"/>
              <w:adjustRightInd w:val="0"/>
              <w:snapToGrid w:val="0"/>
              <w:ind w:firstLine="0" w:firstLineChars="0"/>
              <w:jc w:val="center"/>
              <w:rPr>
                <w:rFonts w:ascii="Arial" w:hAnsi="Arial" w:cs="Arial"/>
                <w:b/>
                <w:sz w:val="18"/>
                <w:szCs w:val="18"/>
              </w:rPr>
            </w:pPr>
            <w:r>
              <w:rPr>
                <w:rFonts w:ascii="Arial" w:hAnsi="Arial" w:cs="Arial"/>
                <w:b/>
                <w:sz w:val="18"/>
                <w:szCs w:val="18"/>
              </w:rPr>
              <w:t>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一阶段</w:t>
            </w: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112</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1216</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4-2#</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103</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1164</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99</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1096</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4-4#</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93</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1042</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4-5#</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1230</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4-6#</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1169</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4-7#</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-21</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1110</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4-8#</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1046</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65</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1223</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1170</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1104</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1046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1225</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1177</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1110</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4-16#</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1057</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-273</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-93</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5-3#</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-61</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5-4#</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160</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445</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15.7</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5-5#</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-264</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0.25</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15.7</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0.023</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5-6#</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-236</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0.15</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12.3</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0.01</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二阶段</w:t>
            </w: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109</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1308</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4-2#</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113</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1263</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308</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760</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4-4#</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303</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716</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4-5#</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-5</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1321</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4-6#</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1271</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4-7#</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186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768</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4-8#</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175</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729</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1342</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78</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1287</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267</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795</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265</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747</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28</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1342</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1298</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217</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798</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4-16#</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212</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750</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三阶段</w:t>
            </w: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4-1#</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123</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797</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4-2#</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115</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737</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4-3#</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804</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4-4#</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-21</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760</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4-5#</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-68</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812</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4-6#</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-77</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767</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4-7#</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-188</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837</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4-8#</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-196</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785</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808"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549"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685"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687"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816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72</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771</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820</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17</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773</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-109</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834</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-124</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793</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-158</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849</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14-16#</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-170</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-261</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锅炉房</w:t>
            </w:r>
          </w:p>
        </w:tc>
        <w:tc>
          <w:tcPr>
            <w:tcW w:w="89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 xml:space="preserve">7-3# </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-200</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0.143</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adjustRightInd w:val="0"/>
              <w:snapToGrid w:val="0"/>
              <w:jc w:val="center"/>
              <w:rPr>
                <w:rFonts w:ascii="Arial" w:hAnsi="Arial" w:eastAsia="宋体" w:cs="Arial"/>
                <w:bCs/>
                <w:sz w:val="18"/>
                <w:szCs w:val="18"/>
              </w:rPr>
            </w:pPr>
            <w:r>
              <w:rPr>
                <w:rFonts w:ascii="Arial" w:hAnsi="Arial" w:eastAsia="宋体" w:cs="Arial"/>
                <w:sz w:val="18"/>
                <w:szCs w:val="18"/>
              </w:rPr>
              <w:t>7-4#</w:t>
            </w:r>
            <w:r>
              <w:rPr>
                <w:rFonts w:ascii="Arial" w:hAnsi="Arial" w:eastAsia="宋体" w:cs="Arial"/>
                <w:bCs/>
                <w:sz w:val="18"/>
                <w:szCs w:val="18"/>
              </w:rPr>
              <w:t xml:space="preserve"> </w:t>
            </w:r>
          </w:p>
        </w:tc>
        <w:tc>
          <w:tcPr>
            <w:tcW w:w="674"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-250</w:t>
            </w:r>
          </w:p>
        </w:tc>
        <w:tc>
          <w:tcPr>
            <w:tcW w:w="707"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-186</w:t>
            </w:r>
          </w:p>
        </w:tc>
        <w:tc>
          <w:tcPr>
            <w:tcW w:w="450" w:type="dxa"/>
            <w:shd w:val="clear" w:color="auto" w:fill="auto"/>
            <w:vAlign w:val="center"/>
          </w:tcPr>
          <w:p>
            <w:pPr>
              <w:pStyle w:val="1342"/>
              <w:snapToGrid w:val="0"/>
              <w:spacing w:line="240" w:lineRule="auto"/>
              <w:jc w:val="center"/>
              <w:rPr>
                <w:rFonts w:ascii="Arial" w:hAnsi="Arial" w:cs="Arial"/>
                <w:color w:val="auto"/>
                <w:sz w:val="18"/>
                <w:szCs w:val="18"/>
              </w:rPr>
            </w:pPr>
          </w:p>
        </w:tc>
        <w:tc>
          <w:tcPr>
            <w:tcW w:w="561"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w:t>
            </w:r>
          </w:p>
        </w:tc>
        <w:tc>
          <w:tcPr>
            <w:tcW w:w="646"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808"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6.2</w:t>
            </w:r>
          </w:p>
        </w:tc>
        <w:tc>
          <w:tcPr>
            <w:tcW w:w="549" w:type="dxa"/>
            <w:shd w:val="clear" w:color="auto" w:fill="auto"/>
            <w:noWrap/>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100</w:t>
            </w:r>
          </w:p>
        </w:tc>
        <w:tc>
          <w:tcPr>
            <w:tcW w:w="685"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0.143</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氢氧化钴技改</w:t>
            </w: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DA014</w:t>
            </w:r>
          </w:p>
        </w:tc>
        <w:tc>
          <w:tcPr>
            <w:tcW w:w="674"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-41</w:t>
            </w:r>
          </w:p>
        </w:tc>
        <w:tc>
          <w:tcPr>
            <w:tcW w:w="707"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229</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0.6</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12.3</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0.0844</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DA053</w:t>
            </w:r>
          </w:p>
        </w:tc>
        <w:tc>
          <w:tcPr>
            <w:tcW w:w="674"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72</w:t>
            </w:r>
          </w:p>
        </w:tc>
        <w:tc>
          <w:tcPr>
            <w:tcW w:w="707"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403</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11.5</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一体化项目变更</w:t>
            </w: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DA087</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-200</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-50</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18</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1.0</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20.9</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200</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0.0887</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DA088</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-141</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-64</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7.2</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0.0442</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DA089</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-165</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-106</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14.3</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0.0774</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DA090</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-146</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-116</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12.1</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0.070</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DA095</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-179</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-245</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50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1.2</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9.2</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40</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0.0375</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DA094</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-55</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-131</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50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6.9</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180</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0.2063</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DA093</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-18</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-134</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0.9</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30.8</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200</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0.120</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DA056</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-210</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150</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39.9</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0.05</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DA057</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-154</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147</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39.9</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0.05</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DA141</w:t>
            </w:r>
          </w:p>
        </w:tc>
        <w:tc>
          <w:tcPr>
            <w:tcW w:w="674"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-190</w:t>
            </w:r>
          </w:p>
        </w:tc>
        <w:tc>
          <w:tcPr>
            <w:tcW w:w="707" w:type="dxa"/>
            <w:shd w:val="clear" w:color="auto" w:fill="auto"/>
            <w:noWrap/>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136</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808"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38.6</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0.0354</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DA053</w:t>
            </w:r>
          </w:p>
        </w:tc>
        <w:tc>
          <w:tcPr>
            <w:tcW w:w="674"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-242</w:t>
            </w:r>
          </w:p>
        </w:tc>
        <w:tc>
          <w:tcPr>
            <w:tcW w:w="707"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460</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DA054</w:t>
            </w:r>
          </w:p>
        </w:tc>
        <w:tc>
          <w:tcPr>
            <w:tcW w:w="674"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-252</w:t>
            </w:r>
          </w:p>
        </w:tc>
        <w:tc>
          <w:tcPr>
            <w:tcW w:w="707"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400</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DA143</w:t>
            </w:r>
          </w:p>
        </w:tc>
        <w:tc>
          <w:tcPr>
            <w:tcW w:w="674"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707"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-228</w:t>
            </w:r>
          </w:p>
        </w:tc>
        <w:tc>
          <w:tcPr>
            <w:tcW w:w="450"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561"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46"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549" w:type="dxa"/>
            <w:shd w:val="clear" w:color="auto" w:fill="auto"/>
            <w:noWrap/>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685" w:type="dxa"/>
            <w:shd w:val="clear" w:color="auto" w:fill="auto"/>
            <w:vAlign w:val="center"/>
          </w:tcPr>
          <w:p>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930" w:type="dxa"/>
            <w:shd w:val="clear" w:color="auto" w:fill="auto"/>
            <w:vAlign w:val="center"/>
          </w:tcPr>
          <w:p>
            <w:pPr>
              <w:pStyle w:val="1342"/>
              <w:snapToGrid w:val="0"/>
              <w:spacing w:line="240" w:lineRule="auto"/>
              <w:jc w:val="center"/>
              <w:rPr>
                <w:rFonts w:ascii="Arial" w:hAnsi="Arial" w:cs="Arial"/>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金桂浆</w:t>
            </w: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1#碱炉</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2530</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2335</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2.6</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5.90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161</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2#锅炉</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2641</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3005</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27</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14.47</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55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6.01</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1888</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2231</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1870</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2190</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5#造纸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1827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2148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6#造纸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1785</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2082</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1908</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2231</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1890</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2196</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1847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2148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10#造纸</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1805</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2082</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11#转化炉</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3402</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2548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28</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0.8</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18.48</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0.47</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12#污水站</w:t>
            </w:r>
          </w:p>
        </w:tc>
        <w:tc>
          <w:tcPr>
            <w:tcW w:w="674"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1984</w:t>
            </w:r>
          </w:p>
        </w:tc>
        <w:tc>
          <w:tcPr>
            <w:tcW w:w="707"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1086</w:t>
            </w:r>
          </w:p>
        </w:tc>
        <w:tc>
          <w:tcPr>
            <w:tcW w:w="450" w:type="dxa"/>
            <w:shd w:val="clear" w:color="auto" w:fill="auto"/>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w:t>
            </w:r>
          </w:p>
        </w:tc>
        <w:tc>
          <w:tcPr>
            <w:tcW w:w="561"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15</w:t>
            </w:r>
          </w:p>
        </w:tc>
        <w:tc>
          <w:tcPr>
            <w:tcW w:w="646" w:type="dxa"/>
            <w:shd w:val="clear" w:color="auto" w:fill="auto"/>
            <w:noWrap/>
            <w:vAlign w:val="center"/>
          </w:tcPr>
          <w:p>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0.4</w:t>
            </w:r>
          </w:p>
        </w:tc>
        <w:tc>
          <w:tcPr>
            <w:tcW w:w="808"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11.98</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格派一期</w:t>
            </w: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DA001</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2916</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1445</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19</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0.28465</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DA002</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3053</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1378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19</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12.3</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4.69301</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DA003</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2901</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1290</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17</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0.21035</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DA004</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2908</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1365</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35.4</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0.03927</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DA005</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2826</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1212</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17</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1.0</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10.6</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0.34394</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DA006</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3066</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1442</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0.14977</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DA007</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3092</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1548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0.14977</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DA008</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3187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1520</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24</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5.7</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0.46586</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DA009</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3053</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1398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1.2</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5.7</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0.39091</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DA010</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3001</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1411</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100</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3.8</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10.0</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7.4730</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DA011</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2947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1329</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0.40</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11.1</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0.25</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DA016</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3037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1703</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0.8</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12.7</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0.0123</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w:t>
            </w:r>
            <w:r>
              <w:rPr>
                <w:rFonts w:hint="eastAsia" w:ascii="Arial" w:hAnsi="Arial" w:cs="Arial"/>
                <w:sz w:val="18"/>
                <w:szCs w:val="18"/>
              </w:rPr>
              <w:t>017</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3285</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1649</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18</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1.0</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hint="eastAsia" w:ascii="Arial" w:hAnsi="Arial" w:eastAsia="宋体" w:cs="Arial"/>
                <w:sz w:val="18"/>
                <w:szCs w:val="18"/>
              </w:rPr>
              <w:t>7.1</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0.0604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DA018</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3208</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1618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18</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1.0</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hint="eastAsia" w:ascii="Arial" w:hAnsi="Arial" w:eastAsia="宋体" w:cs="Arial"/>
                <w:sz w:val="18"/>
                <w:szCs w:val="18"/>
              </w:rPr>
              <w:t>7.1</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0.0604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DA019</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3037</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1548</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0.7</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10.8</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0.1704</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pStyle w:val="1342"/>
              <w:snapToGrid w:val="0"/>
              <w:spacing w:line="240" w:lineRule="auto"/>
              <w:jc w:val="center"/>
              <w:rPr>
                <w:rFonts w:ascii="Arial" w:hAnsi="Arial" w:cs="Arial"/>
                <w:color w:val="auto"/>
                <w:sz w:val="18"/>
                <w:szCs w:val="18"/>
              </w:rPr>
            </w:pPr>
          </w:p>
        </w:tc>
        <w:tc>
          <w:tcPr>
            <w:tcW w:w="89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DA020</w:t>
            </w:r>
          </w:p>
        </w:tc>
        <w:tc>
          <w:tcPr>
            <w:tcW w:w="674"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3190</w:t>
            </w:r>
          </w:p>
        </w:tc>
        <w:tc>
          <w:tcPr>
            <w:tcW w:w="707"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1463</w:t>
            </w:r>
          </w:p>
        </w:tc>
        <w:tc>
          <w:tcPr>
            <w:tcW w:w="450"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561"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18</w:t>
            </w:r>
          </w:p>
        </w:tc>
        <w:tc>
          <w:tcPr>
            <w:tcW w:w="646"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0.7</w:t>
            </w:r>
          </w:p>
        </w:tc>
        <w:tc>
          <w:tcPr>
            <w:tcW w:w="808" w:type="dxa"/>
            <w:shd w:val="clear" w:color="auto" w:fill="auto"/>
            <w:noWrap/>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10.8</w:t>
            </w:r>
          </w:p>
        </w:tc>
        <w:tc>
          <w:tcPr>
            <w:tcW w:w="549" w:type="dxa"/>
            <w:shd w:val="clear" w:color="auto" w:fill="auto"/>
            <w:noWrap/>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685"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pStyle w:val="634"/>
              <w:adjustRightInd w:val="0"/>
              <w:snapToGrid w:val="0"/>
              <w:ind w:firstLine="0" w:firstLineChars="0"/>
              <w:jc w:val="center"/>
              <w:rPr>
                <w:rFonts w:ascii="Arial" w:hAnsi="Arial" w:cs="Arial"/>
                <w:sz w:val="18"/>
                <w:szCs w:val="18"/>
              </w:rPr>
            </w:pPr>
            <w:r>
              <w:rPr>
                <w:rFonts w:ascii="Arial" w:hAnsi="Arial" w:cs="Arial"/>
                <w:sz w:val="18"/>
                <w:szCs w:val="18"/>
              </w:rPr>
              <w:t>0.1704</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restart"/>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碳酸镁项目</w:t>
            </w:r>
          </w:p>
        </w:tc>
        <w:tc>
          <w:tcPr>
            <w:tcW w:w="89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DA001</w:t>
            </w:r>
          </w:p>
        </w:tc>
        <w:tc>
          <w:tcPr>
            <w:tcW w:w="674"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162</w:t>
            </w:r>
          </w:p>
        </w:tc>
        <w:tc>
          <w:tcPr>
            <w:tcW w:w="707"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-653</w:t>
            </w:r>
          </w:p>
        </w:tc>
        <w:tc>
          <w:tcPr>
            <w:tcW w:w="450"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561"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646"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549"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685"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0.107</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widowControl/>
              <w:adjustRightInd w:val="0"/>
              <w:snapToGrid w:val="0"/>
              <w:jc w:val="center"/>
              <w:rPr>
                <w:rFonts w:ascii="Arial" w:hAnsi="Arial" w:eastAsia="宋体" w:cs="Arial"/>
                <w:kern w:val="0"/>
                <w:sz w:val="18"/>
                <w:szCs w:val="18"/>
              </w:rPr>
            </w:pPr>
          </w:p>
        </w:tc>
        <w:tc>
          <w:tcPr>
            <w:tcW w:w="89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DA002</w:t>
            </w:r>
          </w:p>
        </w:tc>
        <w:tc>
          <w:tcPr>
            <w:tcW w:w="674"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167</w:t>
            </w:r>
          </w:p>
        </w:tc>
        <w:tc>
          <w:tcPr>
            <w:tcW w:w="707"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-650</w:t>
            </w:r>
          </w:p>
        </w:tc>
        <w:tc>
          <w:tcPr>
            <w:tcW w:w="450"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561"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646"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549"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685"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0.119</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8" w:type="dxa"/>
            <w:vMerge w:val="continue"/>
            <w:shd w:val="clear" w:color="auto" w:fill="auto"/>
            <w:vAlign w:val="center"/>
          </w:tcPr>
          <w:p>
            <w:pPr>
              <w:widowControl/>
              <w:adjustRightInd w:val="0"/>
              <w:snapToGrid w:val="0"/>
              <w:jc w:val="center"/>
              <w:rPr>
                <w:rFonts w:ascii="Arial" w:hAnsi="Arial" w:eastAsia="宋体" w:cs="Arial"/>
                <w:kern w:val="0"/>
                <w:sz w:val="18"/>
                <w:szCs w:val="18"/>
              </w:rPr>
            </w:pPr>
          </w:p>
        </w:tc>
        <w:tc>
          <w:tcPr>
            <w:tcW w:w="89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DA003</w:t>
            </w:r>
          </w:p>
        </w:tc>
        <w:tc>
          <w:tcPr>
            <w:tcW w:w="674"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151</w:t>
            </w:r>
          </w:p>
        </w:tc>
        <w:tc>
          <w:tcPr>
            <w:tcW w:w="707"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-684</w:t>
            </w:r>
          </w:p>
        </w:tc>
        <w:tc>
          <w:tcPr>
            <w:tcW w:w="450"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561"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646"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808"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549" w:type="dxa"/>
            <w:shd w:val="clear" w:color="auto" w:fill="auto"/>
            <w:noWrap/>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685"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687" w:type="dxa"/>
            <w:shd w:val="clear" w:color="auto" w:fill="auto"/>
            <w:vAlign w:val="center"/>
          </w:tcPr>
          <w:p>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959" w:type="dxa"/>
            <w:shd w:val="clear" w:color="auto" w:fill="auto"/>
            <w:vAlign w:val="center"/>
          </w:tcPr>
          <w:p>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0.079</w:t>
            </w:r>
          </w:p>
        </w:tc>
        <w:tc>
          <w:tcPr>
            <w:tcW w:w="930" w:type="dxa"/>
            <w:shd w:val="clear" w:color="auto" w:fill="auto"/>
            <w:vAlign w:val="center"/>
          </w:tcPr>
          <w:p>
            <w:pPr>
              <w:pStyle w:val="634"/>
              <w:adjustRightInd w:val="0"/>
              <w:snapToGrid w:val="0"/>
              <w:ind w:firstLine="0" w:firstLineChars="0"/>
              <w:jc w:val="center"/>
              <w:rPr>
                <w:rFonts w:ascii="Arial" w:hAnsi="Arial" w:cs="Arial"/>
                <w:sz w:val="18"/>
                <w:szCs w:val="18"/>
              </w:rPr>
            </w:pPr>
          </w:p>
        </w:tc>
      </w:tr>
    </w:tbl>
    <w:p>
      <w:pPr>
        <w:keepNext/>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拟建、在建面源参数表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086"/>
        <w:gridCol w:w="615"/>
        <w:gridCol w:w="619"/>
        <w:gridCol w:w="549"/>
        <w:gridCol w:w="685"/>
        <w:gridCol w:w="687"/>
        <w:gridCol w:w="549"/>
        <w:gridCol w:w="880"/>
        <w:gridCol w:w="709"/>
        <w:gridCol w:w="567"/>
        <w:gridCol w:w="865"/>
        <w:gridCol w:w="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项目</w:t>
            </w:r>
          </w:p>
        </w:tc>
        <w:tc>
          <w:tcPr>
            <w:tcW w:w="1086"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名称</w:t>
            </w:r>
          </w:p>
        </w:tc>
        <w:tc>
          <w:tcPr>
            <w:tcW w:w="1234" w:type="dxa"/>
            <w:gridSpan w:val="2"/>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中心坐标</w:t>
            </w:r>
          </w:p>
        </w:tc>
        <w:tc>
          <w:tcPr>
            <w:tcW w:w="549"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面源海拔高度/m</w:t>
            </w:r>
          </w:p>
        </w:tc>
        <w:tc>
          <w:tcPr>
            <w:tcW w:w="685"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面源长度/m</w:t>
            </w:r>
          </w:p>
        </w:tc>
        <w:tc>
          <w:tcPr>
            <w:tcW w:w="687"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面源宽度/m</w:t>
            </w:r>
          </w:p>
        </w:tc>
        <w:tc>
          <w:tcPr>
            <w:tcW w:w="549"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与正北向夹角/°</w:t>
            </w:r>
          </w:p>
        </w:tc>
        <w:tc>
          <w:tcPr>
            <w:tcW w:w="880"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面源有效排放高度/m</w:t>
            </w:r>
          </w:p>
        </w:tc>
        <w:tc>
          <w:tcPr>
            <w:tcW w:w="709"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年排放小时数</w:t>
            </w:r>
          </w:p>
        </w:tc>
        <w:tc>
          <w:tcPr>
            <w:tcW w:w="567" w:type="dxa"/>
            <w:vMerge w:val="restart"/>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排放工况</w:t>
            </w:r>
          </w:p>
        </w:tc>
        <w:tc>
          <w:tcPr>
            <w:tcW w:w="1655" w:type="dxa"/>
            <w:gridSpan w:val="2"/>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1086"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615" w:type="dxa"/>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X</w:t>
            </w:r>
          </w:p>
        </w:tc>
        <w:tc>
          <w:tcPr>
            <w:tcW w:w="619" w:type="dxa"/>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Y</w:t>
            </w:r>
          </w:p>
        </w:tc>
        <w:tc>
          <w:tcPr>
            <w:tcW w:w="549"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685"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687"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549"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880"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709"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567" w:type="dxa"/>
            <w:vMerge w:val="continue"/>
            <w:vAlign w:val="center"/>
          </w:tcPr>
          <w:p>
            <w:pPr>
              <w:topLinePunct/>
              <w:autoSpaceDE w:val="0"/>
              <w:autoSpaceDN w:val="0"/>
              <w:adjustRightInd w:val="0"/>
              <w:snapToGrid w:val="0"/>
              <w:jc w:val="center"/>
              <w:rPr>
                <w:rFonts w:ascii="Arial" w:hAnsi="Arial" w:eastAsia="宋体" w:cs="Arial"/>
                <w:b/>
                <w:sz w:val="18"/>
                <w:szCs w:val="18"/>
              </w:rPr>
            </w:pPr>
          </w:p>
        </w:tc>
        <w:tc>
          <w:tcPr>
            <w:tcW w:w="865" w:type="dxa"/>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TSP</w:t>
            </w:r>
          </w:p>
        </w:tc>
        <w:tc>
          <w:tcPr>
            <w:tcW w:w="790" w:type="dxa"/>
            <w:vAlign w:val="center"/>
          </w:tcPr>
          <w:p>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restart"/>
            <w:shd w:val="clear" w:color="auto" w:fill="auto"/>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金桂浆</w:t>
            </w: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污水站</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1891</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1133</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460</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260</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10</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8760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topLinePunct/>
              <w:autoSpaceDE w:val="0"/>
              <w:autoSpaceDN w:val="0"/>
              <w:adjustRightInd w:val="0"/>
              <w:snapToGrid w:val="0"/>
              <w:jc w:val="center"/>
              <w:rPr>
                <w:rFonts w:ascii="Arial" w:hAnsi="Arial" w:eastAsia="宋体" w:cs="Arial"/>
                <w:sz w:val="18"/>
                <w:szCs w:val="18"/>
              </w:rPr>
            </w:pPr>
          </w:p>
        </w:tc>
        <w:tc>
          <w:tcPr>
            <w:tcW w:w="790" w:type="dxa"/>
            <w:vAlign w:val="center"/>
          </w:tcPr>
          <w:p>
            <w:pPr>
              <w:adjustRightInd w:val="0"/>
              <w:snapToGrid w:val="0"/>
              <w:jc w:val="center"/>
              <w:rPr>
                <w:rFonts w:ascii="Arial" w:hAnsi="Arial" w:eastAsia="宋体" w:cs="Arial"/>
                <w:sz w:val="18"/>
                <w:szCs w:val="18"/>
              </w:rPr>
            </w:pPr>
            <w:r>
              <w:rPr>
                <w:rFonts w:hint="eastAsia" w:ascii="Arial" w:hAnsi="Arial" w:eastAsia="宋体" w:cs="Arial"/>
                <w:sz w:val="18"/>
                <w:szCs w:val="18"/>
              </w:rPr>
              <w:t>0.1617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原木堆场</w:t>
            </w:r>
          </w:p>
          <w:p>
            <w:pPr>
              <w:adjustRightInd w:val="0"/>
              <w:snapToGrid w:val="0"/>
              <w:jc w:val="center"/>
              <w:rPr>
                <w:rFonts w:ascii="Arial" w:hAnsi="Arial" w:eastAsia="宋体" w:cs="Arial"/>
                <w:sz w:val="18"/>
                <w:szCs w:val="18"/>
              </w:rPr>
            </w:pPr>
            <w:r>
              <w:rPr>
                <w:rFonts w:ascii="Arial" w:hAnsi="Arial" w:eastAsia="宋体" w:cs="Arial"/>
                <w:sz w:val="18"/>
                <w:szCs w:val="18"/>
              </w:rPr>
              <w:t>及备料车间</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1968</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1502</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15</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458</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210</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0.04</w:t>
            </w:r>
          </w:p>
        </w:tc>
        <w:tc>
          <w:tcPr>
            <w:tcW w:w="790" w:type="dxa"/>
            <w:vAlign w:val="center"/>
          </w:tcPr>
          <w:p>
            <w:pPr>
              <w:adjustRightInd w:val="0"/>
              <w:snapToGrid w:val="0"/>
              <w:jc w:val="center"/>
              <w:rPr>
                <w:rFonts w:ascii="Arial" w:hAnsi="Arial" w:eastAsia="宋体"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restart"/>
            <w:shd w:val="clear" w:color="auto" w:fill="auto"/>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格派一期</w:t>
            </w: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卸料站</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2883</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1367</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20</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120</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8.5</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0.29953</w:t>
            </w:r>
          </w:p>
        </w:tc>
        <w:tc>
          <w:tcPr>
            <w:tcW w:w="790" w:type="dxa"/>
            <w:vAlign w:val="center"/>
          </w:tcPr>
          <w:p>
            <w:pPr>
              <w:adjustRightInd w:val="0"/>
              <w:snapToGrid w:val="0"/>
              <w:jc w:val="center"/>
              <w:rPr>
                <w:rFonts w:ascii="Arial" w:hAnsi="Arial" w:eastAsia="宋体"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原料仓及配料车间</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3068</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1367</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17</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246</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23.4</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1.39120</w:t>
            </w:r>
          </w:p>
        </w:tc>
        <w:tc>
          <w:tcPr>
            <w:tcW w:w="790" w:type="dxa"/>
            <w:vAlign w:val="center"/>
          </w:tcPr>
          <w:p>
            <w:pPr>
              <w:adjustRightInd w:val="0"/>
              <w:snapToGrid w:val="0"/>
              <w:jc w:val="center"/>
              <w:rPr>
                <w:rFonts w:ascii="Arial" w:hAnsi="Arial" w:eastAsia="宋体"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主厂房</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2952</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1429</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24</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183.2</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37.5</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24</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0.45083</w:t>
            </w:r>
          </w:p>
        </w:tc>
        <w:tc>
          <w:tcPr>
            <w:tcW w:w="790" w:type="dxa"/>
            <w:vAlign w:val="center"/>
          </w:tcPr>
          <w:p>
            <w:pPr>
              <w:adjustRightInd w:val="0"/>
              <w:snapToGrid w:val="0"/>
              <w:jc w:val="center"/>
              <w:rPr>
                <w:rFonts w:ascii="Arial" w:hAnsi="Arial" w:eastAsia="宋体"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高镍锍浸出车间</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3001</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1512</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9</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78</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18</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17.4</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adjustRightInd w:val="0"/>
              <w:snapToGrid w:val="0"/>
              <w:jc w:val="center"/>
              <w:rPr>
                <w:rFonts w:ascii="Arial" w:hAnsi="Arial" w:eastAsia="宋体" w:cs="Arial"/>
                <w:sz w:val="18"/>
                <w:szCs w:val="18"/>
              </w:rPr>
            </w:pPr>
          </w:p>
        </w:tc>
        <w:tc>
          <w:tcPr>
            <w:tcW w:w="790"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0.1272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硫酸镍蒸发结晶车间</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3161</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1716</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13</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128</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30</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27</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0.06487</w:t>
            </w:r>
          </w:p>
        </w:tc>
        <w:tc>
          <w:tcPr>
            <w:tcW w:w="790" w:type="dxa"/>
            <w:vAlign w:val="center"/>
          </w:tcPr>
          <w:p>
            <w:pPr>
              <w:topLinePunct/>
              <w:autoSpaceDE w:val="0"/>
              <w:autoSpaceDN w:val="0"/>
              <w:adjustRightInd w:val="0"/>
              <w:snapToGrid w:val="0"/>
              <w:jc w:val="center"/>
              <w:rPr>
                <w:rFonts w:ascii="Arial" w:hAnsi="Arial" w:eastAsia="宋体"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92" w:type="dxa"/>
            <w:vMerge w:val="continue"/>
            <w:shd w:val="clear" w:color="auto" w:fill="auto"/>
            <w:vAlign w:val="center"/>
          </w:tcPr>
          <w:p>
            <w:pPr>
              <w:topLinePunct/>
              <w:autoSpaceDE w:val="0"/>
              <w:autoSpaceDN w:val="0"/>
              <w:adjustRightInd w:val="0"/>
              <w:snapToGrid w:val="0"/>
              <w:jc w:val="center"/>
              <w:rPr>
                <w:rFonts w:ascii="Arial" w:hAnsi="Arial" w:eastAsia="宋体" w:cs="Arial"/>
                <w:sz w:val="18"/>
                <w:szCs w:val="18"/>
              </w:rPr>
            </w:pPr>
          </w:p>
        </w:tc>
        <w:tc>
          <w:tcPr>
            <w:tcW w:w="1086"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三元车间</w:t>
            </w:r>
          </w:p>
        </w:tc>
        <w:tc>
          <w:tcPr>
            <w:tcW w:w="615"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3347</w:t>
            </w:r>
          </w:p>
        </w:tc>
        <w:tc>
          <w:tcPr>
            <w:tcW w:w="619" w:type="dxa"/>
            <w:shd w:val="clear" w:color="auto" w:fill="auto"/>
            <w:vAlign w:val="center"/>
          </w:tcPr>
          <w:p>
            <w:pPr>
              <w:adjustRightInd w:val="0"/>
              <w:snapToGrid w:val="0"/>
              <w:jc w:val="center"/>
              <w:rPr>
                <w:rFonts w:ascii="Arial" w:hAnsi="Arial" w:eastAsia="宋体" w:cs="Arial"/>
                <w:sz w:val="18"/>
                <w:szCs w:val="18"/>
              </w:rPr>
            </w:pPr>
            <w:r>
              <w:rPr>
                <w:rFonts w:ascii="Arial" w:hAnsi="Arial" w:cs="Arial"/>
                <w:sz w:val="18"/>
                <w:szCs w:val="18"/>
              </w:rPr>
              <w:t>1654</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w:t>
            </w:r>
          </w:p>
        </w:tc>
        <w:tc>
          <w:tcPr>
            <w:tcW w:w="685"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75</w:t>
            </w:r>
          </w:p>
        </w:tc>
        <w:tc>
          <w:tcPr>
            <w:tcW w:w="687"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46.5</w:t>
            </w:r>
          </w:p>
        </w:tc>
        <w:tc>
          <w:tcPr>
            <w:tcW w:w="549"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880" w:type="dxa"/>
            <w:shd w:val="clear" w:color="auto" w:fill="auto"/>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21</w:t>
            </w:r>
          </w:p>
        </w:tc>
        <w:tc>
          <w:tcPr>
            <w:tcW w:w="709" w:type="dxa"/>
            <w:vAlign w:val="center"/>
          </w:tcPr>
          <w:p>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567" w:type="dxa"/>
            <w:vAlign w:val="center"/>
          </w:tcPr>
          <w:p>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865" w:type="dxa"/>
            <w:vAlign w:val="center"/>
          </w:tcPr>
          <w:p>
            <w:pPr>
              <w:topLinePunct/>
              <w:autoSpaceDE w:val="0"/>
              <w:autoSpaceDN w:val="0"/>
              <w:adjustRightInd w:val="0"/>
              <w:snapToGrid w:val="0"/>
              <w:jc w:val="center"/>
              <w:rPr>
                <w:rFonts w:ascii="Arial" w:hAnsi="Arial" w:eastAsia="宋体" w:cs="Arial"/>
                <w:sz w:val="18"/>
                <w:szCs w:val="18"/>
              </w:rPr>
            </w:pPr>
          </w:p>
        </w:tc>
        <w:tc>
          <w:tcPr>
            <w:tcW w:w="790" w:type="dxa"/>
            <w:vAlign w:val="center"/>
          </w:tcPr>
          <w:p>
            <w:pPr>
              <w:topLinePunct/>
              <w:autoSpaceDE w:val="0"/>
              <w:autoSpaceDN w:val="0"/>
              <w:adjustRightInd w:val="0"/>
              <w:snapToGrid w:val="0"/>
              <w:jc w:val="center"/>
              <w:rPr>
                <w:rFonts w:ascii="Arial" w:hAnsi="Arial" w:eastAsia="宋体" w:cs="Arial"/>
                <w:sz w:val="18"/>
                <w:szCs w:val="18"/>
              </w:rPr>
            </w:pPr>
            <w:r>
              <w:rPr>
                <w:rFonts w:hint="eastAsia" w:ascii="Arial" w:hAnsi="Arial" w:eastAsia="宋体" w:cs="Arial"/>
                <w:sz w:val="18"/>
                <w:szCs w:val="18"/>
              </w:rPr>
              <w:t>0.1272</w:t>
            </w:r>
          </w:p>
        </w:tc>
      </w:tr>
    </w:tbl>
    <w:p>
      <w:pPr>
        <w:pStyle w:val="475"/>
        <w:numPr>
          <w:ilvl w:val="0"/>
          <w:numId w:val="21"/>
        </w:numPr>
        <w:spacing w:line="500" w:lineRule="exact"/>
        <w:ind w:firstLineChars="0"/>
        <w:outlineLvl w:val="3"/>
        <w:rPr>
          <w:rFonts w:ascii="Arial" w:hAnsi="Arial" w:cs="Arial"/>
          <w:b/>
        </w:rPr>
      </w:pPr>
      <w:r>
        <w:rPr>
          <w:rFonts w:ascii="Arial" w:hAnsi="Arial" w:cs="Arial"/>
          <w:b/>
        </w:rPr>
        <w:t>预测情景</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根据项目的实际情况，设置了3种预测情景，具体见表4-12。</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预测情景设置</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728"/>
        <w:gridCol w:w="1701"/>
        <w:gridCol w:w="1701"/>
        <w:gridCol w:w="1134"/>
        <w:gridCol w:w="2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7" w:type="dxa"/>
            <w:vAlign w:val="center"/>
          </w:tcPr>
          <w:p>
            <w:pPr>
              <w:spacing w:line="0" w:lineRule="atLeast"/>
              <w:jc w:val="center"/>
              <w:rPr>
                <w:rFonts w:ascii="Arial" w:hAnsi="Arial" w:eastAsia="宋体" w:cs="Arial"/>
                <w:spacing w:val="4"/>
                <w:kern w:val="0"/>
                <w:sz w:val="21"/>
                <w:szCs w:val="21"/>
              </w:rPr>
            </w:pPr>
            <w:r>
              <w:rPr>
                <w:rFonts w:hint="eastAsia" w:ascii="Arial" w:hAnsi="Arial" w:eastAsia="宋体" w:cs="Arial"/>
                <w:spacing w:val="4"/>
                <w:kern w:val="0"/>
                <w:sz w:val="21"/>
                <w:szCs w:val="21"/>
              </w:rPr>
              <w:t>评价</w:t>
            </w:r>
            <w:r>
              <w:rPr>
                <w:rFonts w:ascii="Arial" w:hAnsi="Arial" w:eastAsia="宋体" w:cs="Arial"/>
                <w:spacing w:val="4"/>
                <w:kern w:val="0"/>
                <w:sz w:val="21"/>
                <w:szCs w:val="21"/>
              </w:rPr>
              <w:t>对象</w:t>
            </w:r>
          </w:p>
        </w:tc>
        <w:tc>
          <w:tcPr>
            <w:tcW w:w="1728"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污染源</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污染源排放形式</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预测因子</w:t>
            </w:r>
          </w:p>
        </w:tc>
        <w:tc>
          <w:tcPr>
            <w:tcW w:w="1134"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预测内容</w:t>
            </w:r>
          </w:p>
        </w:tc>
        <w:tc>
          <w:tcPr>
            <w:tcW w:w="2082"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评价内容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7" w:type="dxa"/>
            <w:vMerge w:val="restart"/>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达标区</w:t>
            </w:r>
          </w:p>
        </w:tc>
        <w:tc>
          <w:tcPr>
            <w:tcW w:w="1728"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1134"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长期浓度</w:t>
            </w:r>
          </w:p>
        </w:tc>
        <w:tc>
          <w:tcPr>
            <w:tcW w:w="2082"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最大浓度占标率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1" w:hRule="atLeast"/>
          <w:jc w:val="center"/>
        </w:trPr>
        <w:tc>
          <w:tcPr>
            <w:tcW w:w="647" w:type="dxa"/>
            <w:vMerge w:val="continue"/>
            <w:vAlign w:val="center"/>
          </w:tcPr>
          <w:p>
            <w:pPr>
              <w:spacing w:line="0" w:lineRule="atLeast"/>
              <w:jc w:val="center"/>
              <w:rPr>
                <w:rFonts w:ascii="Arial" w:hAnsi="Arial" w:eastAsia="宋体" w:cs="Arial"/>
                <w:spacing w:val="4"/>
                <w:kern w:val="0"/>
                <w:sz w:val="21"/>
                <w:szCs w:val="21"/>
              </w:rPr>
            </w:pPr>
          </w:p>
        </w:tc>
        <w:tc>
          <w:tcPr>
            <w:tcW w:w="1728"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新增污染源—“以新带老”污染源—区域削减污染源+其他在建、拟建污染源</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w:t>
            </w:r>
          </w:p>
        </w:tc>
        <w:tc>
          <w:tcPr>
            <w:tcW w:w="1134"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长期浓度</w:t>
            </w:r>
          </w:p>
        </w:tc>
        <w:tc>
          <w:tcPr>
            <w:tcW w:w="2082"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叠加环境质量现状浓度后的保证率日均质量浓度和年平均质量浓度的占标率，或短期浓度的达标情况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7" w:type="dxa"/>
            <w:vMerge w:val="continue"/>
            <w:vAlign w:val="center"/>
          </w:tcPr>
          <w:p>
            <w:pPr>
              <w:spacing w:line="0" w:lineRule="atLeast"/>
              <w:jc w:val="center"/>
              <w:rPr>
                <w:rFonts w:ascii="Arial" w:hAnsi="Arial" w:eastAsia="宋体" w:cs="Arial"/>
                <w:spacing w:val="4"/>
                <w:kern w:val="0"/>
                <w:sz w:val="21"/>
                <w:szCs w:val="21"/>
              </w:rPr>
            </w:pPr>
          </w:p>
        </w:tc>
        <w:tc>
          <w:tcPr>
            <w:tcW w:w="1728"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非正常排放</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1134"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1h平均质量浓度</w:t>
            </w:r>
          </w:p>
        </w:tc>
        <w:tc>
          <w:tcPr>
            <w:tcW w:w="2082"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最大浓度占标率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7"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大气环境防护距离</w:t>
            </w:r>
          </w:p>
        </w:tc>
        <w:tc>
          <w:tcPr>
            <w:tcW w:w="1728"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新增污染源—“以新带老”污染源</w:t>
            </w:r>
            <w:r>
              <w:rPr>
                <w:rFonts w:hint="eastAsia" w:ascii="Arial" w:hAnsi="Arial" w:eastAsia="宋体" w:cs="Arial"/>
                <w:spacing w:val="4"/>
                <w:kern w:val="0"/>
                <w:sz w:val="21"/>
                <w:szCs w:val="21"/>
              </w:rPr>
              <w:t>+项目全厂现有污染源</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1701"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1134"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tc>
        <w:tc>
          <w:tcPr>
            <w:tcW w:w="2082" w:type="dxa"/>
            <w:vAlign w:val="center"/>
          </w:tcPr>
          <w:p>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大气环境防护距离</w:t>
            </w:r>
          </w:p>
        </w:tc>
      </w:tr>
    </w:tbl>
    <w:p>
      <w:pPr>
        <w:pStyle w:val="475"/>
        <w:numPr>
          <w:ilvl w:val="0"/>
          <w:numId w:val="21"/>
        </w:numPr>
        <w:spacing w:line="500" w:lineRule="exact"/>
        <w:ind w:firstLineChars="0"/>
        <w:outlineLvl w:val="3"/>
        <w:rPr>
          <w:rFonts w:ascii="Arial" w:hAnsi="Arial" w:cs="Arial"/>
          <w:b/>
        </w:rPr>
      </w:pPr>
      <w:r>
        <w:rPr>
          <w:rFonts w:ascii="Arial" w:hAnsi="Arial" w:cs="Arial"/>
          <w:b/>
        </w:rPr>
        <w:t>评价内容</w:t>
      </w:r>
    </w:p>
    <w:p>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1、项目正常排放条件下，预测环境空气保护目标和网格点主要污染物的短期浓度和长期浓度贡献值，评价其最大浓度占标率。</w:t>
      </w:r>
    </w:p>
    <w:p>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2、项目正常排放条件下，预测评价叠加现状+新增污染源+其他在建、拟建项目-“以新带老”污染源相关污染源后，环境空气保护目标和网格点主要污染物保证率日平均质量浓度和年平均质量浓度的达标情况。</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3、非正常排放情况下，预测环境空气环保目标和网格点主要污染物的1h最大浓度贡献值，评价其最大浓度占标率。</w:t>
      </w:r>
    </w:p>
    <w:p>
      <w:pPr>
        <w:pStyle w:val="475"/>
        <w:numPr>
          <w:ilvl w:val="0"/>
          <w:numId w:val="21"/>
        </w:numPr>
        <w:spacing w:line="500" w:lineRule="exact"/>
        <w:ind w:firstLineChars="0"/>
        <w:outlineLvl w:val="3"/>
        <w:rPr>
          <w:rFonts w:ascii="Arial" w:hAnsi="Arial" w:cs="Arial"/>
          <w:b/>
        </w:rPr>
      </w:pPr>
      <w:r>
        <w:rPr>
          <w:rFonts w:ascii="Arial" w:hAnsi="Arial" w:cs="Arial"/>
          <w:b/>
        </w:rPr>
        <w:t>预测结果与评价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1、新增污染源正常排放预测结果与评价</w:t>
      </w:r>
    </w:p>
    <w:p>
      <w:pPr>
        <w:pStyle w:val="5"/>
        <w:adjustRightInd w:val="0"/>
        <w:snapToGrid w:val="0"/>
        <w:spacing w:line="500" w:lineRule="exact"/>
        <w:ind w:firstLine="490" w:firstLineChars="200"/>
        <w:rPr>
          <w:szCs w:val="24"/>
          <w:u w:val="single"/>
        </w:rPr>
      </w:pPr>
      <w:r>
        <w:rPr>
          <w:szCs w:val="24"/>
          <w:u w:val="single"/>
        </w:rPr>
        <w:t>根据预测结果可知，项目PM</w:t>
      </w:r>
      <w:r>
        <w:rPr>
          <w:szCs w:val="24"/>
          <w:u w:val="single"/>
          <w:vertAlign w:val="subscript"/>
        </w:rPr>
        <w:t>10</w:t>
      </w:r>
      <w:r>
        <w:rPr>
          <w:szCs w:val="24"/>
          <w:u w:val="single"/>
        </w:rPr>
        <w:t>日均浓度贡献值占标率为</w:t>
      </w:r>
      <w:r>
        <w:rPr>
          <w:rFonts w:hint="eastAsia"/>
          <w:szCs w:val="24"/>
          <w:u w:val="single"/>
        </w:rPr>
        <w:t>0.99</w:t>
      </w:r>
      <w:r>
        <w:rPr>
          <w:szCs w:val="24"/>
          <w:u w:val="single"/>
        </w:rPr>
        <w:t>%</w:t>
      </w:r>
      <w:r>
        <w:rPr>
          <w:rFonts w:hint="eastAsia"/>
          <w:szCs w:val="24"/>
          <w:u w:val="single"/>
        </w:rPr>
        <w:t>，氨气</w:t>
      </w:r>
      <w:r>
        <w:rPr>
          <w:szCs w:val="24"/>
          <w:u w:val="single"/>
        </w:rPr>
        <w:t>小时浓度贡献值占标率为</w:t>
      </w:r>
      <w:r>
        <w:rPr>
          <w:rFonts w:hint="eastAsia"/>
          <w:szCs w:val="24"/>
          <w:u w:val="single"/>
        </w:rPr>
        <w:t>39.99</w:t>
      </w:r>
      <w:r>
        <w:rPr>
          <w:szCs w:val="24"/>
          <w:u w:val="single"/>
        </w:rPr>
        <w:t>%</w:t>
      </w:r>
      <w:r>
        <w:rPr>
          <w:rFonts w:hint="eastAsia"/>
          <w:szCs w:val="24"/>
          <w:u w:val="single"/>
        </w:rPr>
        <w:t>，</w:t>
      </w:r>
      <w:r>
        <w:rPr>
          <w:szCs w:val="24"/>
          <w:u w:val="single"/>
        </w:rPr>
        <w:t>各污染物短期浓度贡献值占标率均低于100%</w:t>
      </w:r>
      <w:r>
        <w:rPr>
          <w:rFonts w:hint="eastAsia"/>
          <w:szCs w:val="24"/>
          <w:u w:val="single"/>
        </w:rPr>
        <w:t>；</w:t>
      </w:r>
      <w:r>
        <w:rPr>
          <w:szCs w:val="24"/>
          <w:u w:val="single"/>
        </w:rPr>
        <w:t>PM</w:t>
      </w:r>
      <w:r>
        <w:rPr>
          <w:szCs w:val="24"/>
          <w:u w:val="single"/>
          <w:vertAlign w:val="subscript"/>
        </w:rPr>
        <w:t>10</w:t>
      </w:r>
      <w:r>
        <w:rPr>
          <w:szCs w:val="24"/>
          <w:u w:val="single"/>
        </w:rPr>
        <w:t>年均浓度贡献值占标率为</w:t>
      </w:r>
      <w:r>
        <w:rPr>
          <w:rFonts w:hint="eastAsia"/>
          <w:szCs w:val="24"/>
          <w:u w:val="single"/>
        </w:rPr>
        <w:t>0.2</w:t>
      </w:r>
      <w:r>
        <w:rPr>
          <w:szCs w:val="24"/>
          <w:u w:val="single"/>
        </w:rPr>
        <w:t>%</w:t>
      </w:r>
      <w:r>
        <w:rPr>
          <w:rFonts w:hint="eastAsia"/>
          <w:szCs w:val="24"/>
          <w:u w:val="single"/>
        </w:rPr>
        <w:t>，</w:t>
      </w:r>
      <w:r>
        <w:rPr>
          <w:szCs w:val="24"/>
          <w:u w:val="single"/>
        </w:rPr>
        <w:t>低于30%。</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项目新增污染源正常排放预测结果见表4-1</w:t>
      </w:r>
      <w:r>
        <w:rPr>
          <w:rFonts w:hint="eastAsia" w:ascii="Arial" w:hAnsi="Arial" w:eastAsia="宋体" w:cs="Arial"/>
          <w:spacing w:val="10"/>
          <w:sz w:val="24"/>
        </w:rPr>
        <w:t>3</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正常排放贡献值预测结果</w:t>
      </w:r>
    </w:p>
    <w:tbl>
      <w:tblPr>
        <w:tblStyle w:val="88"/>
        <w:tblW w:w="8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384"/>
        <w:gridCol w:w="715"/>
        <w:gridCol w:w="653"/>
        <w:gridCol w:w="995"/>
        <w:gridCol w:w="995"/>
        <w:gridCol w:w="1089"/>
        <w:gridCol w:w="995"/>
        <w:gridCol w:w="703"/>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污染物</w:t>
            </w: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1368" w:type="dxa"/>
            <w:gridSpan w:val="2"/>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坐标</w:t>
            </w:r>
          </w:p>
        </w:tc>
        <w:tc>
          <w:tcPr>
            <w:tcW w:w="995"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995"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1089"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tc>
        <w:tc>
          <w:tcPr>
            <w:tcW w:w="995"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评价标准</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703"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率%</w:t>
            </w:r>
          </w:p>
        </w:tc>
        <w:tc>
          <w:tcPr>
            <w:tcW w:w="606"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X</w:t>
            </w:r>
          </w:p>
        </w:tc>
        <w:tc>
          <w:tcPr>
            <w:tcW w:w="653"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Y</w:t>
            </w:r>
          </w:p>
        </w:tc>
        <w:tc>
          <w:tcPr>
            <w:tcW w:w="99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99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89"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99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03"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606"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PM</w:t>
            </w:r>
            <w:r>
              <w:rPr>
                <w:rFonts w:ascii="Arial" w:hAnsi="Arial" w:cs="Arial" w:eastAsiaTheme="minorEastAsia"/>
                <w:kern w:val="0"/>
                <w:sz w:val="21"/>
                <w:szCs w:val="21"/>
                <w:u w:val="single"/>
                <w:vertAlign w:val="subscript"/>
              </w:rPr>
              <w:t>10</w:t>
            </w: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0.05</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220415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0.05</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220904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220408</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220123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221002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715"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653" w:type="dxa"/>
            <w:vMerge w:val="restart"/>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Merge w:val="continue"/>
            <w:vAlign w:val="center"/>
          </w:tcPr>
          <w:p>
            <w:pPr>
              <w:adjustRightInd w:val="0"/>
              <w:snapToGrid w:val="0"/>
              <w:jc w:val="center"/>
              <w:rPr>
                <w:rFonts w:ascii="Arial" w:hAnsi="Arial" w:eastAsia="宋体" w:cs="Arial"/>
                <w:sz w:val="21"/>
                <w:szCs w:val="21"/>
                <w:u w:val="single"/>
              </w:rPr>
            </w:pPr>
          </w:p>
        </w:tc>
        <w:tc>
          <w:tcPr>
            <w:tcW w:w="653" w:type="dxa"/>
            <w:vMerge w:val="continue"/>
            <w:vAlign w:val="center"/>
          </w:tcPr>
          <w:p>
            <w:pPr>
              <w:widowControl/>
              <w:adjustRightInd w:val="0"/>
              <w:snapToGrid w:val="0"/>
              <w:jc w:val="center"/>
              <w:rPr>
                <w:rFonts w:ascii="Arial" w:hAnsi="Arial" w:cs="Arial" w:eastAsiaTheme="minorEastAsia"/>
                <w:kern w:val="0"/>
                <w:sz w:val="21"/>
                <w:szCs w:val="21"/>
                <w:u w:val="single"/>
              </w:rPr>
            </w:pP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653"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0.99</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0.66</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715" w:type="dxa"/>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400</w:t>
            </w:r>
          </w:p>
        </w:tc>
        <w:tc>
          <w:tcPr>
            <w:tcW w:w="653" w:type="dxa"/>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0.28</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钴及其</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化合物</w:t>
            </w: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0.0044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0.0113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0.0015</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0.0047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0.0039</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0.0005</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0.0029</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0.0025</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0.0009</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653"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0.1224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3.57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22051004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1.78</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11.46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22102506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5.73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3.53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1.76</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11.68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5.84</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14.85</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22091124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7.43</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22031323</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10.76</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21.2</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11.17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22082205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5.59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14.96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22052702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18.56</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9.28</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4.45</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16.38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8.19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11.74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5.87</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9.44</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4.72</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12.77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6.39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4.31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7.21</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22042901</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2.58</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22080519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1.77</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22072019</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0.89</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653" w:type="dxa"/>
            <w:vAlign w:val="center"/>
          </w:tcPr>
          <w:p>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5.63</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2.81</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00"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38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715"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653" w:type="dxa"/>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700</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39.99</w:t>
            </w:r>
          </w:p>
        </w:tc>
        <w:tc>
          <w:tcPr>
            <w:tcW w:w="1089"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22110817</w:t>
            </w:r>
          </w:p>
        </w:tc>
        <w:tc>
          <w:tcPr>
            <w:tcW w:w="99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70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w:t>
            </w:r>
          </w:p>
        </w:tc>
        <w:tc>
          <w:tcPr>
            <w:tcW w:w="606"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2、叠加浓度预测结果与评价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项目排放的各污染源减区域削减源，叠加现状浓度、在建拟建同类污染源后， PM</w:t>
      </w:r>
      <w:r>
        <w:rPr>
          <w:rFonts w:ascii="Arial" w:hAnsi="Arial" w:eastAsia="宋体" w:cs="Arial"/>
          <w:spacing w:val="10"/>
          <w:sz w:val="24"/>
          <w:vertAlign w:val="subscript"/>
        </w:rPr>
        <w:t>10</w:t>
      </w:r>
      <w:r>
        <w:rPr>
          <w:rFonts w:ascii="Arial" w:hAnsi="Arial" w:eastAsia="宋体" w:cs="Arial"/>
          <w:spacing w:val="10"/>
          <w:sz w:val="24"/>
        </w:rPr>
        <w:t>的保证率日平均、年平均浓度均达到《环境空气质量标准》（GB3096-2012）二级标准要求，</w:t>
      </w:r>
      <w:r>
        <w:rPr>
          <w:rFonts w:hint="eastAsia" w:ascii="Arial" w:hAnsi="Arial" w:eastAsia="宋体" w:cs="Arial"/>
          <w:spacing w:val="10"/>
          <w:sz w:val="24"/>
        </w:rPr>
        <w:t>氨气</w:t>
      </w:r>
      <w:r>
        <w:rPr>
          <w:rFonts w:ascii="Arial" w:hAnsi="Arial" w:eastAsia="宋体" w:cs="Arial"/>
          <w:spacing w:val="10"/>
          <w:sz w:val="24"/>
        </w:rPr>
        <w:t>的保证率</w:t>
      </w:r>
      <w:r>
        <w:rPr>
          <w:rFonts w:hint="eastAsia" w:ascii="Arial" w:hAnsi="Arial" w:eastAsia="宋体" w:cs="Arial"/>
          <w:spacing w:val="10"/>
          <w:sz w:val="24"/>
        </w:rPr>
        <w:t>小时值</w:t>
      </w:r>
      <w:r>
        <w:rPr>
          <w:rFonts w:ascii="Arial" w:hAnsi="Arial" w:eastAsia="宋体" w:cs="Arial"/>
          <w:spacing w:val="10"/>
          <w:sz w:val="24"/>
        </w:rPr>
        <w:t>浓度满足《环境影响评价技术导则</w:t>
      </w:r>
      <w:r>
        <w:rPr>
          <w:rFonts w:hint="eastAsia" w:ascii="Arial" w:hAnsi="Arial" w:eastAsia="宋体" w:cs="Arial"/>
          <w:spacing w:val="10"/>
          <w:sz w:val="24"/>
        </w:rPr>
        <w:t xml:space="preserve"> 大气环境</w:t>
      </w:r>
      <w:r>
        <w:rPr>
          <w:rFonts w:ascii="Arial" w:hAnsi="Arial" w:eastAsia="宋体" w:cs="Arial"/>
          <w:spacing w:val="10"/>
          <w:sz w:val="24"/>
        </w:rPr>
        <w:t>》（HJ2.2-2018）附录D的要求。</w:t>
      </w:r>
    </w:p>
    <w:p>
      <w:pPr>
        <w:spacing w:line="500" w:lineRule="exact"/>
        <w:ind w:firstLine="490" w:firstLineChars="200"/>
        <w:rPr>
          <w:rFonts w:ascii="Arial" w:hAnsi="Arial" w:eastAsia="宋体" w:cs="Arial"/>
          <w:spacing w:val="10"/>
          <w:sz w:val="24"/>
          <w:highlight w:val="yellow"/>
        </w:rPr>
      </w:pPr>
      <w:r>
        <w:rPr>
          <w:rFonts w:ascii="Arial" w:hAnsi="Arial" w:eastAsia="宋体" w:cs="Arial"/>
          <w:spacing w:val="10"/>
          <w:sz w:val="24"/>
        </w:rPr>
        <w:t>各污染物保证率日平均浓度预测结果见表4-1</w:t>
      </w:r>
      <w:r>
        <w:rPr>
          <w:rFonts w:hint="eastAsia" w:ascii="Arial" w:hAnsi="Arial" w:eastAsia="宋体" w:cs="Arial"/>
          <w:spacing w:val="10"/>
          <w:sz w:val="24"/>
        </w:rPr>
        <w:t>4</w:t>
      </w:r>
      <w:r>
        <w:rPr>
          <w:rFonts w:ascii="Arial" w:hAnsi="Arial" w:eastAsia="宋体" w:cs="Arial"/>
          <w:spacing w:val="10"/>
          <w:sz w:val="24"/>
        </w:rPr>
        <w:t>，分布图见图4.2-5</w:t>
      </w:r>
      <w:r>
        <w:rPr>
          <w:rFonts w:hint="eastAsia" w:ascii="Arial" w:hAnsi="Arial" w:eastAsia="宋体" w:cs="Arial"/>
          <w:spacing w:val="10"/>
          <w:sz w:val="24"/>
        </w:rPr>
        <w:t>、</w:t>
      </w:r>
      <w:r>
        <w:rPr>
          <w:rFonts w:ascii="Arial" w:hAnsi="Arial" w:eastAsia="宋体" w:cs="Arial"/>
          <w:spacing w:val="10"/>
          <w:sz w:val="24"/>
        </w:rPr>
        <w:t>图4.2-</w:t>
      </w:r>
      <w:r>
        <w:rPr>
          <w:rFonts w:hint="eastAsia" w:ascii="Arial" w:hAnsi="Arial" w:eastAsia="宋体" w:cs="Arial"/>
          <w:spacing w:val="10"/>
          <w:sz w:val="24"/>
        </w:rPr>
        <w:t>6</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叠加后预测结果</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437"/>
        <w:gridCol w:w="1034"/>
        <w:gridCol w:w="1034"/>
        <w:gridCol w:w="1131"/>
        <w:gridCol w:w="1034"/>
        <w:gridCol w:w="1034"/>
        <w:gridCol w:w="831"/>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40" w:hRule="atLeast"/>
        </w:trPr>
        <w:tc>
          <w:tcPr>
            <w:tcW w:w="835"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污染物</w:t>
            </w: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背景浓度</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叠加背景</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后浓度</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占标率</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PM</w:t>
            </w:r>
            <w:r>
              <w:rPr>
                <w:rFonts w:hint="eastAsia" w:ascii="Arial" w:hAnsi="Arial" w:cs="Arial" w:eastAsiaTheme="minorEastAsia"/>
                <w:kern w:val="0"/>
                <w:sz w:val="21"/>
                <w:szCs w:val="21"/>
                <w:u w:val="single"/>
                <w:vertAlign w:val="subscript"/>
              </w:rPr>
              <w:t>10</w:t>
            </w: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108.62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72.41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53.29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76.13</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6.25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220919</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107.25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53.45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76.36</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103.73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69.15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0.42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52.42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106.87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71.25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0.53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52.53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75.04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5.14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220429</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106.14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70.76</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103.98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69.32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0.34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52.34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74.77</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106.02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70.68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75.27</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4.01</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105.01</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8.08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109.08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72.72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75.27</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106.68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71.12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52.83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75.48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6.1</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107.1</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0.74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52.74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75.35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71.47</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0.93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52.93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75.61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220630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109.93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73.29</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53.27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220818</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104.7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75.15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221006</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108.44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72.3</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52.85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220416</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103.21</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68.81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74.54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104.09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69.39</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0.35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52.35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74.79</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2.39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103.39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68.93</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74.49</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103.08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68.72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220816</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103.86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69.24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0.41</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52.41</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29.68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130.68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87.12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60.96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87.09</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44.82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22052007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124.82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62.41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45.59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125.59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62.80</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19.67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22052807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99.67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49.84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24.59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104.59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52.30</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29.56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22061401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109.56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54.78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101.55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50.78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29.83</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109.83</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54.92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38.28</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118.28</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59.14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42.72</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122.72</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61.36</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109.86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54.93</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36.41</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22092003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116.41</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58.21</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29.44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109.44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54.72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28.35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108.35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54.18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34.67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114.67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57.34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27.84</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22091422</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107.84</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53.92</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15.27</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95.27</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47.64</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32.36</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22061424</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112.36</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56.18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9.39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89.39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44.70</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13.15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93.15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46.58</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31.69</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111.69</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55.85</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5"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4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42.85</w:t>
            </w:r>
          </w:p>
        </w:tc>
        <w:tc>
          <w:tcPr>
            <w:tcW w:w="11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22080501</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103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122.85</w:t>
            </w:r>
          </w:p>
        </w:tc>
        <w:tc>
          <w:tcPr>
            <w:tcW w:w="83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61.43</w:t>
            </w:r>
          </w:p>
        </w:tc>
        <w:tc>
          <w:tcPr>
            <w:tcW w:w="6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达标</w:t>
            </w:r>
          </w:p>
        </w:tc>
      </w:tr>
    </w:tbl>
    <w:p>
      <w:pPr>
        <w:adjustRightInd w:val="0"/>
        <w:snapToGrid w:val="0"/>
        <w:rPr>
          <w:rFonts w:ascii="Arial" w:hAnsi="Arial" w:eastAsia="宋体" w:cs="Arial"/>
          <w:spacing w:val="10"/>
          <w:sz w:val="24"/>
          <w:highlight w:val="yellow"/>
        </w:rPr>
      </w:pPr>
    </w:p>
    <w:p>
      <w:pPr>
        <w:adjustRightInd w:val="0"/>
        <w:snapToGrid w:val="0"/>
        <w:rPr>
          <w:rFonts w:ascii="Arial" w:hAnsi="Arial" w:eastAsia="宋体" w:cs="Arial"/>
          <w:spacing w:val="10"/>
          <w:sz w:val="24"/>
          <w:u w:val="single"/>
        </w:rPr>
      </w:pPr>
      <w:r>
        <w:rPr>
          <w:u w:val="single"/>
        </w:rPr>
        <w:drawing>
          <wp:inline distT="0" distB="0" distL="114300" distR="114300">
            <wp:extent cx="5275580" cy="3956685"/>
            <wp:effectExtent l="0" t="0" r="1270" b="571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45"/>
                    <a:stretch>
                      <a:fillRect/>
                    </a:stretch>
                  </pic:blipFill>
                  <pic:spPr>
                    <a:xfrm>
                      <a:off x="0" y="0"/>
                      <a:ext cx="5275580" cy="3956685"/>
                    </a:xfrm>
                    <a:prstGeom prst="rect">
                      <a:avLst/>
                    </a:prstGeom>
                    <a:noFill/>
                    <a:ln>
                      <a:noFill/>
                    </a:ln>
                  </pic:spPr>
                </pic:pic>
              </a:graphicData>
            </a:graphic>
          </wp:inline>
        </w:drawing>
      </w:r>
    </w:p>
    <w:p>
      <w:pPr>
        <w:numPr>
          <w:ilvl w:val="0"/>
          <w:numId w:val="23"/>
        </w:numPr>
        <w:spacing w:line="500" w:lineRule="exact"/>
        <w:jc w:val="center"/>
        <w:rPr>
          <w:rFonts w:ascii="Arial" w:hAnsi="Arial" w:eastAsia="宋体" w:cs="Arial"/>
          <w:spacing w:val="10"/>
          <w:sz w:val="24"/>
          <w:szCs w:val="24"/>
          <w:u w:val="single"/>
        </w:rPr>
      </w:pPr>
      <w:r>
        <w:rPr>
          <w:rFonts w:ascii="Arial" w:hAnsi="Arial" w:eastAsia="宋体" w:cs="Arial"/>
          <w:b/>
          <w:spacing w:val="10"/>
          <w:sz w:val="24"/>
          <w:u w:val="single"/>
        </w:rPr>
        <w:t>正常排放PM</w:t>
      </w:r>
      <w:r>
        <w:rPr>
          <w:rFonts w:ascii="Arial" w:hAnsi="Arial" w:eastAsia="宋体" w:cs="Arial"/>
          <w:b/>
          <w:spacing w:val="10"/>
          <w:sz w:val="24"/>
          <w:u w:val="single"/>
          <w:vertAlign w:val="subscript"/>
        </w:rPr>
        <w:t>10</w:t>
      </w:r>
      <w:r>
        <w:rPr>
          <w:rFonts w:ascii="Arial" w:hAnsi="Arial" w:eastAsia="宋体" w:cs="Arial"/>
          <w:b/>
          <w:spacing w:val="10"/>
          <w:sz w:val="24"/>
          <w:u w:val="single"/>
        </w:rPr>
        <w:t>保证率日平均浓度分布图</w:t>
      </w:r>
    </w:p>
    <w:p>
      <w:pPr>
        <w:adjustRightInd w:val="0"/>
        <w:snapToGrid w:val="0"/>
        <w:rPr>
          <w:rFonts w:ascii="Arial" w:hAnsi="Arial" w:eastAsia="宋体" w:cs="Arial"/>
          <w:spacing w:val="10"/>
          <w:sz w:val="24"/>
          <w:u w:val="single"/>
        </w:rPr>
      </w:pPr>
      <w:r>
        <w:rPr>
          <w:u w:val="single"/>
        </w:rPr>
        <w:drawing>
          <wp:inline distT="0" distB="0" distL="114300" distR="114300">
            <wp:extent cx="5278120" cy="4089400"/>
            <wp:effectExtent l="0" t="0" r="17780" b="635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46"/>
                    <a:stretch>
                      <a:fillRect/>
                    </a:stretch>
                  </pic:blipFill>
                  <pic:spPr>
                    <a:xfrm>
                      <a:off x="0" y="0"/>
                      <a:ext cx="5278120" cy="4089400"/>
                    </a:xfrm>
                    <a:prstGeom prst="rect">
                      <a:avLst/>
                    </a:prstGeom>
                    <a:noFill/>
                    <a:ln>
                      <a:noFill/>
                    </a:ln>
                  </pic:spPr>
                </pic:pic>
              </a:graphicData>
            </a:graphic>
          </wp:inline>
        </w:drawing>
      </w:r>
    </w:p>
    <w:p>
      <w:pPr>
        <w:numPr>
          <w:ilvl w:val="0"/>
          <w:numId w:val="23"/>
        </w:numPr>
        <w:spacing w:line="500" w:lineRule="exact"/>
        <w:jc w:val="center"/>
        <w:rPr>
          <w:rFonts w:ascii="Arial" w:hAnsi="Arial" w:eastAsia="宋体" w:cs="Arial"/>
          <w:spacing w:val="10"/>
          <w:sz w:val="24"/>
          <w:szCs w:val="24"/>
          <w:u w:val="single"/>
        </w:rPr>
      </w:pPr>
      <w:r>
        <w:rPr>
          <w:rFonts w:ascii="Arial" w:hAnsi="Arial" w:eastAsia="宋体" w:cs="Arial"/>
          <w:b/>
          <w:spacing w:val="10"/>
          <w:sz w:val="24"/>
          <w:u w:val="single"/>
        </w:rPr>
        <w:t>正常排放PM</w:t>
      </w:r>
      <w:r>
        <w:rPr>
          <w:rFonts w:ascii="Arial" w:hAnsi="Arial" w:eastAsia="宋体" w:cs="Arial"/>
          <w:b/>
          <w:spacing w:val="10"/>
          <w:sz w:val="24"/>
          <w:u w:val="single"/>
          <w:vertAlign w:val="subscript"/>
        </w:rPr>
        <w:t>10</w:t>
      </w:r>
      <w:r>
        <w:rPr>
          <w:rFonts w:ascii="Arial" w:hAnsi="Arial" w:eastAsia="宋体" w:cs="Arial"/>
          <w:b/>
          <w:spacing w:val="10"/>
          <w:sz w:val="24"/>
          <w:u w:val="single"/>
        </w:rPr>
        <w:t>保证率年平均浓度分布图</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3、非正常排放预测结果与评价</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非正常工况下，各污染因子排放预测结果详见表4-1</w:t>
      </w:r>
      <w:r>
        <w:rPr>
          <w:rFonts w:hint="eastAsia" w:ascii="Arial" w:hAnsi="Arial" w:eastAsia="宋体" w:cs="Arial"/>
          <w:spacing w:val="10"/>
          <w:sz w:val="24"/>
        </w:rPr>
        <w:t>5</w:t>
      </w:r>
      <w:r>
        <w:rPr>
          <w:rFonts w:ascii="Arial" w:hAnsi="Arial" w:eastAsia="宋体" w:cs="Arial"/>
          <w:spacing w:val="10"/>
          <w:sz w:val="24"/>
        </w:rPr>
        <w:t>。非正常排放时，各污染物浓度贡献值显著增加，其中部分区域氨气出现超标现象。为了减轻项目对外环境带来的污染，建设单位须加强管理，确保环保设施正常运行、污染物达标排放。</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非正常工况下各污染因子最大落地浓度预测</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827"/>
        <w:gridCol w:w="1023"/>
        <w:gridCol w:w="1023"/>
        <w:gridCol w:w="1561"/>
        <w:gridCol w:w="1024"/>
        <w:gridCol w:w="837"/>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序号</w:t>
            </w: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(YYMMDDHH)</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评价标准</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占标率</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PM</w:t>
            </w:r>
            <w:r>
              <w:rPr>
                <w:rFonts w:hint="eastAsia" w:ascii="Arial" w:hAnsi="Arial" w:cs="Arial" w:eastAsiaTheme="minorEastAsia"/>
                <w:kern w:val="0"/>
                <w:sz w:val="21"/>
                <w:szCs w:val="21"/>
                <w:u w:val="single"/>
                <w:vertAlign w:val="subscript"/>
              </w:rPr>
              <w:t>10</w:t>
            </w: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22030409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22112717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22082520</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22081021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3.88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22071419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3.69</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22072404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3.64</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22102721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22091606</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22082903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17.63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22111017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钴及</w:t>
            </w:r>
          </w:p>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其化</w:t>
            </w:r>
          </w:p>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合物</w:t>
            </w: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2.1321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22030409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3.1467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22112717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1.9317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22082520</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3.1227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2.7338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22081021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2.2727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2.4084</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2.162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22071419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1.9711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2.2923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1.9888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22072404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2.2595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2.1117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1.9218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1.9043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22102721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1.8919</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1.7506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22091606</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1.6877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1.9301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1.6496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22082903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10.9442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22111017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restart"/>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22052007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21.25</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43.81</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21.91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26.18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22052807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54.19</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22091605</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67.83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22080620</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33.92</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45.34</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22.67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66.39</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33.19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36.37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22052601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18.18</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130.67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22052702</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65.34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65.38</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32.69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48.86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22082804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24.43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63.65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31.83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56.85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28.43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45.92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22.96</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52.97</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26.49</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22.82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11.41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39.2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22080420</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19.6</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12.22</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6.11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17.85</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41.83</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20.92</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74" w:type="dxa"/>
            <w:vMerge w:val="continue"/>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p>
        </w:tc>
        <w:tc>
          <w:tcPr>
            <w:tcW w:w="182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1023"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201.26</w:t>
            </w:r>
          </w:p>
        </w:tc>
        <w:tc>
          <w:tcPr>
            <w:tcW w:w="1561"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22061203</w:t>
            </w:r>
          </w:p>
        </w:tc>
        <w:tc>
          <w:tcPr>
            <w:tcW w:w="1024"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837" w:type="dxa"/>
            <w:shd w:val="clear" w:color="auto" w:fill="auto"/>
            <w:noWrap/>
            <w:vAlign w:val="center"/>
          </w:tcPr>
          <w:p>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100.63</w:t>
            </w:r>
          </w:p>
        </w:tc>
        <w:tc>
          <w:tcPr>
            <w:tcW w:w="1024" w:type="dxa"/>
            <w:shd w:val="clear" w:color="auto" w:fill="auto"/>
            <w:noWrap/>
            <w:vAlign w:val="center"/>
          </w:tcPr>
          <w:p>
            <w:pPr>
              <w:widowControl/>
              <w:adjustRightInd w:val="0"/>
              <w:snapToGrid w:val="0"/>
              <w:jc w:val="center"/>
              <w:rPr>
                <w:rFonts w:ascii="Arial" w:hAnsi="Arial" w:cs="Arial" w:eastAsiaTheme="minorEastAsia"/>
                <w:b/>
                <w:kern w:val="0"/>
                <w:sz w:val="21"/>
                <w:szCs w:val="21"/>
                <w:u w:val="single"/>
              </w:rPr>
            </w:pPr>
            <w:r>
              <w:rPr>
                <w:rFonts w:ascii="Arial" w:hAnsi="Arial" w:cs="Arial" w:eastAsiaTheme="minorEastAsia"/>
                <w:b/>
                <w:kern w:val="0"/>
                <w:sz w:val="21"/>
                <w:szCs w:val="21"/>
                <w:u w:val="single"/>
              </w:rPr>
              <w:t>超标</w:t>
            </w:r>
          </w:p>
        </w:tc>
      </w:tr>
    </w:tbl>
    <w:p>
      <w:pPr>
        <w:pStyle w:val="475"/>
        <w:numPr>
          <w:ilvl w:val="0"/>
          <w:numId w:val="21"/>
        </w:numPr>
        <w:spacing w:line="500" w:lineRule="exact"/>
        <w:ind w:firstLineChars="0"/>
        <w:outlineLvl w:val="3"/>
        <w:rPr>
          <w:rFonts w:ascii="Arial" w:hAnsi="Arial" w:cs="Arial"/>
          <w:b/>
        </w:rPr>
      </w:pPr>
      <w:r>
        <w:rPr>
          <w:rFonts w:ascii="Arial" w:hAnsi="Arial" w:cs="Arial"/>
          <w:b/>
        </w:rPr>
        <w:t>大气防护距离</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根据拟建项目污染源与现有工程污染源叠加预测，全厂厂界外各污染物短期贡献浓度均能达到《环境空气质量标准》（GB3095-2012）二级标准及《环境影响评价技术导则 大气环境》（HJ2.2-2018）附录D，厂界外无超标区。因此，项目无需设置大气环境防护区。</w:t>
      </w:r>
    </w:p>
    <w:p>
      <w:pPr>
        <w:pStyle w:val="475"/>
        <w:numPr>
          <w:ilvl w:val="0"/>
          <w:numId w:val="21"/>
        </w:numPr>
        <w:spacing w:line="500" w:lineRule="exact"/>
        <w:ind w:firstLineChars="0"/>
        <w:outlineLvl w:val="3"/>
        <w:rPr>
          <w:rFonts w:ascii="Arial" w:hAnsi="Arial" w:cs="Arial"/>
          <w:b/>
        </w:rPr>
      </w:pPr>
      <w:r>
        <w:rPr>
          <w:rFonts w:ascii="Arial" w:hAnsi="Arial" w:cs="Arial"/>
          <w:b/>
        </w:rPr>
        <w:t>厂界污染物达标分析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根据预测，项目四周厂界</w:t>
      </w:r>
      <w:r>
        <w:rPr>
          <w:rFonts w:hint="eastAsia" w:ascii="Arial" w:hAnsi="Arial" w:eastAsia="宋体" w:cs="Arial"/>
          <w:spacing w:val="10"/>
          <w:sz w:val="24"/>
        </w:rPr>
        <w:t>颗粒物</w:t>
      </w:r>
      <w:r>
        <w:rPr>
          <w:rFonts w:ascii="Arial" w:hAnsi="Arial" w:eastAsia="宋体" w:cs="Arial"/>
          <w:spacing w:val="10"/>
          <w:sz w:val="24"/>
        </w:rPr>
        <w:t>浓度符合《大气污染物综合排放标准》（GB16297-1996）要求，钴及其化合物、氨气浓度符合《无机化学工业污染物排放标准》（GB31573-2015）要求。</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厂界污染物预测结果   单位：mg/m</w:t>
      </w:r>
      <w:r>
        <w:rPr>
          <w:rFonts w:ascii="Arial" w:hAnsi="Arial" w:eastAsia="宋体" w:cs="Arial"/>
          <w:b/>
          <w:sz w:val="24"/>
          <w:szCs w:val="24"/>
          <w:vertAlign w:val="superscript"/>
        </w:rPr>
        <w:t>3</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8"/>
        <w:gridCol w:w="1755"/>
        <w:gridCol w:w="2268"/>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913" w:type="dxa"/>
            <w:gridSpan w:val="2"/>
            <w:shd w:val="clear" w:color="auto" w:fill="auto"/>
            <w:vAlign w:val="center"/>
          </w:tcPr>
          <w:p>
            <w:pPr>
              <w:pStyle w:val="470"/>
              <w:rPr>
                <w:rFonts w:ascii="Arial" w:hAnsi="Arial" w:cs="Arial"/>
                <w:sz w:val="21"/>
                <w:szCs w:val="21"/>
              </w:rPr>
            </w:pPr>
            <w:r>
              <w:rPr>
                <w:rFonts w:ascii="Arial" w:hAnsi="Arial" w:cs="Arial"/>
                <w:sz w:val="21"/>
                <w:szCs w:val="21"/>
              </w:rPr>
              <w:t>污染物</w:t>
            </w:r>
          </w:p>
        </w:tc>
        <w:tc>
          <w:tcPr>
            <w:tcW w:w="2268"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r>
              <w:rPr>
                <w:rFonts w:ascii="Arial" w:hAnsi="Arial" w:eastAsia="宋体" w:cs="Arial"/>
                <w:kern w:val="0"/>
                <w:sz w:val="21"/>
                <w:szCs w:val="21"/>
              </w:rPr>
              <w:t>厂界最大值</w:t>
            </w:r>
          </w:p>
        </w:tc>
        <w:tc>
          <w:tcPr>
            <w:tcW w:w="1812" w:type="dxa"/>
            <w:shd w:val="clear" w:color="auto" w:fill="auto"/>
            <w:vAlign w:val="center"/>
          </w:tcPr>
          <w:p>
            <w:pPr>
              <w:autoSpaceDE w:val="0"/>
              <w:autoSpaceDN w:val="0"/>
              <w:adjustRightInd w:val="0"/>
              <w:snapToGrid w:val="0"/>
              <w:jc w:val="center"/>
              <w:rPr>
                <w:rFonts w:ascii="Arial" w:hAnsi="Arial" w:eastAsia="宋体" w:cs="Arial"/>
                <w:kern w:val="0"/>
                <w:sz w:val="21"/>
                <w:szCs w:val="21"/>
              </w:rPr>
            </w:pPr>
            <w:r>
              <w:rPr>
                <w:rFonts w:ascii="Arial" w:hAnsi="Arial" w:eastAsia="宋体" w:cs="Arial"/>
                <w:kern w:val="0"/>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158" w:type="dxa"/>
            <w:shd w:val="clear" w:color="auto" w:fill="auto"/>
            <w:vAlign w:val="center"/>
          </w:tcPr>
          <w:p>
            <w:pPr>
              <w:pStyle w:val="470"/>
              <w:rPr>
                <w:rFonts w:ascii="Arial" w:hAnsi="Arial" w:cs="Arial"/>
                <w:sz w:val="21"/>
                <w:szCs w:val="21"/>
              </w:rPr>
            </w:pPr>
            <w:r>
              <w:rPr>
                <w:rFonts w:ascii="Arial" w:hAnsi="Arial" w:cs="Arial"/>
                <w:sz w:val="21"/>
                <w:szCs w:val="21"/>
              </w:rPr>
              <w:t>颗粒物</w:t>
            </w:r>
          </w:p>
        </w:tc>
        <w:tc>
          <w:tcPr>
            <w:tcW w:w="1755" w:type="dxa"/>
            <w:shd w:val="clear" w:color="auto" w:fill="auto"/>
            <w:vAlign w:val="center"/>
          </w:tcPr>
          <w:p>
            <w:pPr>
              <w:pStyle w:val="470"/>
              <w:rPr>
                <w:rFonts w:ascii="Arial" w:hAnsi="Arial" w:cs="Arial"/>
                <w:sz w:val="21"/>
                <w:szCs w:val="21"/>
              </w:rPr>
            </w:pPr>
            <w:r>
              <w:rPr>
                <w:rFonts w:ascii="Arial" w:hAnsi="Arial" w:cs="Arial"/>
                <w:sz w:val="21"/>
                <w:szCs w:val="21"/>
              </w:rPr>
              <w:t>1小时</w:t>
            </w:r>
          </w:p>
        </w:tc>
        <w:tc>
          <w:tcPr>
            <w:tcW w:w="2268" w:type="dxa"/>
            <w:shd w:val="clear" w:color="auto" w:fill="auto"/>
            <w:vAlign w:val="center"/>
          </w:tcPr>
          <w:p>
            <w:pPr>
              <w:pStyle w:val="470"/>
              <w:rPr>
                <w:rFonts w:ascii="Arial" w:hAnsi="Arial" w:cs="Arial"/>
                <w:sz w:val="21"/>
                <w:szCs w:val="21"/>
              </w:rPr>
            </w:pPr>
            <w:r>
              <w:rPr>
                <w:rFonts w:hint="eastAsia" w:ascii="Arial" w:hAnsi="Arial" w:cs="Arial"/>
                <w:sz w:val="21"/>
                <w:szCs w:val="21"/>
              </w:rPr>
              <w:t>0.06</w:t>
            </w:r>
          </w:p>
        </w:tc>
        <w:tc>
          <w:tcPr>
            <w:tcW w:w="1812" w:type="dxa"/>
            <w:shd w:val="clear" w:color="auto" w:fill="auto"/>
            <w:vAlign w:val="center"/>
          </w:tcPr>
          <w:p>
            <w:pPr>
              <w:pStyle w:val="470"/>
              <w:rPr>
                <w:rFonts w:ascii="Arial" w:hAnsi="Arial" w:cs="Arial"/>
                <w:sz w:val="21"/>
                <w:szCs w:val="21"/>
              </w:rPr>
            </w:pPr>
            <w:r>
              <w:rPr>
                <w:rFonts w:ascii="Arial" w:hAnsi="Arial" w:cs="Arial"/>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158" w:type="dxa"/>
            <w:shd w:val="clear" w:color="auto" w:fill="auto"/>
            <w:vAlign w:val="center"/>
          </w:tcPr>
          <w:p>
            <w:pPr>
              <w:pStyle w:val="470"/>
              <w:rPr>
                <w:rFonts w:ascii="Arial" w:hAnsi="Arial" w:cs="Arial"/>
                <w:sz w:val="21"/>
                <w:szCs w:val="21"/>
              </w:rPr>
            </w:pPr>
            <w:r>
              <w:rPr>
                <w:rFonts w:ascii="Arial" w:hAnsi="Arial" w:cs="Arial"/>
                <w:sz w:val="21"/>
                <w:szCs w:val="21"/>
              </w:rPr>
              <w:t>钴及其化合物</w:t>
            </w:r>
          </w:p>
        </w:tc>
        <w:tc>
          <w:tcPr>
            <w:tcW w:w="1755" w:type="dxa"/>
            <w:shd w:val="clear" w:color="auto" w:fill="auto"/>
            <w:vAlign w:val="center"/>
          </w:tcPr>
          <w:p>
            <w:pPr>
              <w:pStyle w:val="470"/>
              <w:rPr>
                <w:rFonts w:ascii="Arial" w:hAnsi="Arial" w:cs="Arial"/>
                <w:sz w:val="21"/>
                <w:szCs w:val="21"/>
              </w:rPr>
            </w:pPr>
            <w:r>
              <w:rPr>
                <w:rFonts w:ascii="Arial" w:hAnsi="Arial" w:cs="Arial"/>
                <w:sz w:val="21"/>
                <w:szCs w:val="21"/>
              </w:rPr>
              <w:t>1小时</w:t>
            </w:r>
          </w:p>
        </w:tc>
        <w:tc>
          <w:tcPr>
            <w:tcW w:w="2268" w:type="dxa"/>
            <w:shd w:val="clear" w:color="auto" w:fill="auto"/>
            <w:vAlign w:val="center"/>
          </w:tcPr>
          <w:p>
            <w:pPr>
              <w:pStyle w:val="470"/>
              <w:rPr>
                <w:rFonts w:ascii="Arial" w:hAnsi="Arial" w:cs="Arial"/>
                <w:sz w:val="21"/>
                <w:szCs w:val="21"/>
              </w:rPr>
            </w:pPr>
            <w:r>
              <w:rPr>
                <w:rFonts w:hint="eastAsia" w:ascii="Arial" w:hAnsi="Arial" w:cs="Arial"/>
                <w:sz w:val="21"/>
                <w:szCs w:val="21"/>
              </w:rPr>
              <w:t>0.0007</w:t>
            </w:r>
          </w:p>
        </w:tc>
        <w:tc>
          <w:tcPr>
            <w:tcW w:w="1812" w:type="dxa"/>
            <w:shd w:val="clear" w:color="auto" w:fill="auto"/>
            <w:vAlign w:val="center"/>
          </w:tcPr>
          <w:p>
            <w:pPr>
              <w:pStyle w:val="470"/>
              <w:rPr>
                <w:rFonts w:ascii="Arial" w:hAnsi="Arial" w:cs="Arial"/>
                <w:sz w:val="21"/>
                <w:szCs w:val="21"/>
              </w:rPr>
            </w:pPr>
            <w:r>
              <w:rPr>
                <w:rFonts w:hint="eastAsia" w:ascii="Arial" w:hAnsi="Arial" w:cs="Arial"/>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158" w:type="dxa"/>
            <w:shd w:val="clear" w:color="auto" w:fill="auto"/>
            <w:vAlign w:val="center"/>
          </w:tcPr>
          <w:p>
            <w:pPr>
              <w:pStyle w:val="470"/>
              <w:rPr>
                <w:rFonts w:ascii="Arial" w:hAnsi="Arial" w:cs="Arial"/>
                <w:sz w:val="21"/>
                <w:szCs w:val="21"/>
              </w:rPr>
            </w:pPr>
            <w:r>
              <w:rPr>
                <w:rFonts w:hint="eastAsia" w:ascii="Arial" w:hAnsi="Arial" w:cs="Arial"/>
                <w:sz w:val="21"/>
                <w:szCs w:val="21"/>
              </w:rPr>
              <w:t>氨</w:t>
            </w:r>
          </w:p>
        </w:tc>
        <w:tc>
          <w:tcPr>
            <w:tcW w:w="1755" w:type="dxa"/>
            <w:shd w:val="clear" w:color="auto" w:fill="auto"/>
            <w:vAlign w:val="center"/>
          </w:tcPr>
          <w:p>
            <w:pPr>
              <w:pStyle w:val="470"/>
              <w:rPr>
                <w:rFonts w:ascii="Arial" w:hAnsi="Arial" w:cs="Arial"/>
                <w:sz w:val="21"/>
                <w:szCs w:val="21"/>
              </w:rPr>
            </w:pPr>
            <w:r>
              <w:rPr>
                <w:rFonts w:ascii="Arial" w:hAnsi="Arial" w:cs="Arial"/>
                <w:sz w:val="21"/>
                <w:szCs w:val="21"/>
              </w:rPr>
              <w:t>1小时</w:t>
            </w:r>
          </w:p>
        </w:tc>
        <w:tc>
          <w:tcPr>
            <w:tcW w:w="2268" w:type="dxa"/>
            <w:shd w:val="clear" w:color="auto" w:fill="auto"/>
            <w:vAlign w:val="center"/>
          </w:tcPr>
          <w:p>
            <w:pPr>
              <w:pStyle w:val="470"/>
              <w:rPr>
                <w:rFonts w:ascii="Arial" w:hAnsi="Arial" w:cs="Arial"/>
                <w:sz w:val="21"/>
                <w:szCs w:val="21"/>
              </w:rPr>
            </w:pPr>
            <w:r>
              <w:rPr>
                <w:rFonts w:hint="eastAsia" w:ascii="Arial" w:hAnsi="Arial" w:cs="Arial"/>
                <w:sz w:val="21"/>
                <w:szCs w:val="21"/>
              </w:rPr>
              <w:t>0.04</w:t>
            </w:r>
          </w:p>
        </w:tc>
        <w:tc>
          <w:tcPr>
            <w:tcW w:w="1812" w:type="dxa"/>
            <w:shd w:val="clear" w:color="auto" w:fill="auto"/>
            <w:vAlign w:val="center"/>
          </w:tcPr>
          <w:p>
            <w:pPr>
              <w:pStyle w:val="470"/>
              <w:rPr>
                <w:rFonts w:ascii="Arial" w:hAnsi="Arial" w:cs="Arial"/>
                <w:sz w:val="21"/>
                <w:szCs w:val="21"/>
              </w:rPr>
            </w:pPr>
            <w:r>
              <w:rPr>
                <w:rFonts w:hint="eastAsia" w:ascii="Arial" w:hAnsi="Arial" w:cs="Arial"/>
                <w:sz w:val="21"/>
                <w:szCs w:val="21"/>
              </w:rPr>
              <w:t>0.3</w:t>
            </w:r>
          </w:p>
        </w:tc>
      </w:tr>
    </w:tbl>
    <w:p>
      <w:pPr>
        <w:pStyle w:val="475"/>
        <w:numPr>
          <w:ilvl w:val="0"/>
          <w:numId w:val="21"/>
        </w:numPr>
        <w:spacing w:line="500" w:lineRule="exact"/>
        <w:ind w:firstLineChars="0"/>
        <w:outlineLvl w:val="3"/>
        <w:rPr>
          <w:rFonts w:ascii="Arial" w:hAnsi="Arial" w:cs="Arial"/>
          <w:b/>
        </w:rPr>
      </w:pPr>
      <w:r>
        <w:rPr>
          <w:rFonts w:ascii="Arial" w:hAnsi="Arial" w:cs="Arial"/>
          <w:b/>
        </w:rPr>
        <w:t>运输废气影响分析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道路运输扬尘主要为厂区内沉降的粉尘、运输车辆夹带的粉尘及运输过程中洒落物料，在车辆行驶过程中扰动产生。通过对运输车辆限速行驶，物料密闭运输，加强对厂区道路的洒水降尘，同时在厂区出入口设置车轮清洗系统，减轻运输扬尘的产生。</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燃油废气主要来自运输车辆，大气污染物主要为NO</w:t>
      </w:r>
      <w:r>
        <w:rPr>
          <w:rFonts w:ascii="Arial" w:hAnsi="Arial" w:eastAsia="宋体" w:cs="Arial"/>
          <w:spacing w:val="10"/>
          <w:sz w:val="24"/>
          <w:vertAlign w:val="subscript"/>
        </w:rPr>
        <w:t>X</w:t>
      </w:r>
      <w:r>
        <w:rPr>
          <w:rFonts w:ascii="Arial" w:hAnsi="Arial" w:eastAsia="宋体" w:cs="Arial"/>
          <w:spacing w:val="10"/>
          <w:sz w:val="24"/>
        </w:rPr>
        <w:t>、碳氢化合物、CO、SO</w:t>
      </w:r>
      <w:r>
        <w:rPr>
          <w:rFonts w:ascii="Arial" w:hAnsi="Arial" w:eastAsia="宋体" w:cs="Arial"/>
          <w:spacing w:val="10"/>
          <w:sz w:val="24"/>
          <w:vertAlign w:val="subscript"/>
        </w:rPr>
        <w:t>2</w:t>
      </w:r>
      <w:r>
        <w:rPr>
          <w:rFonts w:ascii="Arial" w:hAnsi="Arial" w:eastAsia="宋体" w:cs="Arial"/>
          <w:spacing w:val="10"/>
          <w:sz w:val="24"/>
        </w:rPr>
        <w:t>等。项目应使用尾气污染物达到国家有关标准的运输车辆，严禁使用尾气超标排放的车辆；缩短怠速、减速和加速时间，增加正常运行时间，以减少尾气污染物的排放量；加强管理，及时对运输道路进行维护，对滑落到道路上的物料进行及时清理，对损坏路面及时进行修补，以提高运输效率。</w:t>
      </w:r>
    </w:p>
    <w:p>
      <w:pPr>
        <w:pStyle w:val="475"/>
        <w:numPr>
          <w:ilvl w:val="0"/>
          <w:numId w:val="21"/>
        </w:numPr>
        <w:spacing w:line="500" w:lineRule="exact"/>
        <w:ind w:firstLineChars="0"/>
        <w:outlineLvl w:val="3"/>
        <w:rPr>
          <w:rFonts w:ascii="Arial" w:hAnsi="Arial" w:cs="Arial"/>
          <w:b/>
        </w:rPr>
      </w:pPr>
      <w:r>
        <w:rPr>
          <w:rFonts w:ascii="Arial" w:hAnsi="Arial" w:cs="Arial"/>
          <w:b/>
        </w:rPr>
        <w:t>污染物排放量核算</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1、有组织排放量核算</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项目变更后大气污染物有组织排放量核算表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1678"/>
        <w:gridCol w:w="1428"/>
        <w:gridCol w:w="2196"/>
        <w:gridCol w:w="1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1678" w:type="dxa"/>
            <w:vMerge w:val="restart"/>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5588" w:type="dxa"/>
            <w:gridSpan w:val="3"/>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continue"/>
            <w:vAlign w:val="center"/>
          </w:tcPr>
          <w:p>
            <w:pPr>
              <w:adjustRightInd w:val="0"/>
              <w:snapToGrid w:val="0"/>
              <w:jc w:val="center"/>
              <w:rPr>
                <w:rFonts w:ascii="Arial" w:hAnsi="Arial" w:eastAsia="宋体" w:cs="Arial"/>
                <w:sz w:val="21"/>
                <w:szCs w:val="24"/>
              </w:rPr>
            </w:pPr>
          </w:p>
        </w:tc>
        <w:tc>
          <w:tcPr>
            <w:tcW w:w="1678" w:type="dxa"/>
            <w:vMerge w:val="continue"/>
            <w:vAlign w:val="center"/>
          </w:tcPr>
          <w:p>
            <w:pPr>
              <w:adjustRightInd w:val="0"/>
              <w:snapToGrid w:val="0"/>
              <w:jc w:val="center"/>
              <w:rPr>
                <w:rFonts w:ascii="Arial" w:hAnsi="Arial" w:eastAsia="宋体" w:cs="Arial"/>
                <w:sz w:val="21"/>
                <w:szCs w:val="24"/>
              </w:rPr>
            </w:pPr>
          </w:p>
        </w:tc>
        <w:tc>
          <w:tcPr>
            <w:tcW w:w="1428"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2196"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1964" w:type="dxa"/>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993" w:type="dxa"/>
            <w:gridSpan w:val="5"/>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Align w:val="center"/>
          </w:tcPr>
          <w:p>
            <w:pPr>
              <w:pStyle w:val="41"/>
              <w:adjustRightInd w:val="0"/>
              <w:snapToGrid w:val="0"/>
              <w:spacing w:after="0"/>
              <w:ind w:firstLine="0" w:firstLineChars="0"/>
              <w:jc w:val="center"/>
              <w:rPr>
                <w:rFonts w:ascii="宋体" w:hAnsi="宋体" w:eastAsia="宋体" w:cs="Arial"/>
                <w:sz w:val="21"/>
                <w:szCs w:val="21"/>
              </w:rPr>
            </w:pPr>
            <w:r>
              <w:rPr>
                <w:rFonts w:hint="eastAsia" w:ascii="宋体" w:hAnsi="宋体" w:eastAsia="宋体" w:cs="Arial"/>
                <w:sz w:val="21"/>
                <w:szCs w:val="21"/>
              </w:rPr>
              <w:t>无</w:t>
            </w:r>
          </w:p>
        </w:tc>
        <w:tc>
          <w:tcPr>
            <w:tcW w:w="1678"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1428"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c>
          <w:tcPr>
            <w:tcW w:w="2196"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c>
          <w:tcPr>
            <w:tcW w:w="1964"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993" w:type="dxa"/>
            <w:gridSpan w:val="5"/>
            <w:vAlign w:val="center"/>
          </w:tcPr>
          <w:p>
            <w:pPr>
              <w:widowControl/>
              <w:adjustRightInd w:val="0"/>
              <w:snapToGrid w:val="0"/>
              <w:jc w:val="center"/>
              <w:rPr>
                <w:rFonts w:ascii="Arial" w:hAnsi="Arial" w:eastAsia="宋体" w:cs="Arial"/>
                <w:sz w:val="21"/>
                <w:szCs w:val="21"/>
              </w:rPr>
            </w:pPr>
            <w:r>
              <w:rPr>
                <w:rFonts w:ascii="Arial" w:hAnsi="Arial" w:eastAsia="宋体" w:cs="Arial"/>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1678" w:type="dxa"/>
            <w:vAlign w:val="center"/>
          </w:tcPr>
          <w:p>
            <w:pPr>
              <w:pStyle w:val="470"/>
              <w:rPr>
                <w:rFonts w:ascii="Arial" w:hAnsi="Arial" w:cs="Arial"/>
                <w:sz w:val="21"/>
                <w:szCs w:val="21"/>
              </w:rPr>
            </w:pPr>
            <w:r>
              <w:rPr>
                <w:rFonts w:ascii="Arial" w:hAnsi="Arial" w:cs="Arial"/>
                <w:sz w:val="21"/>
                <w:szCs w:val="21"/>
              </w:rPr>
              <w:t>氨气</w:t>
            </w:r>
          </w:p>
        </w:tc>
        <w:tc>
          <w:tcPr>
            <w:tcW w:w="1428"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2196" w:type="dxa"/>
            <w:vAlign w:val="center"/>
          </w:tcPr>
          <w:p>
            <w:pPr>
              <w:pStyle w:val="5"/>
              <w:adjustRightInd w:val="0"/>
              <w:snapToGrid w:val="0"/>
              <w:spacing w:line="240" w:lineRule="auto"/>
              <w:ind w:firstLine="0"/>
              <w:jc w:val="center"/>
              <w:rPr>
                <w:sz w:val="21"/>
                <w:szCs w:val="21"/>
              </w:rPr>
            </w:pPr>
            <w:r>
              <w:rPr>
                <w:rFonts w:hint="eastAsia"/>
                <w:sz w:val="21"/>
                <w:szCs w:val="21"/>
              </w:rPr>
              <w:t>0.2682</w:t>
            </w:r>
          </w:p>
        </w:tc>
        <w:tc>
          <w:tcPr>
            <w:tcW w:w="1964" w:type="dxa"/>
            <w:vAlign w:val="center"/>
          </w:tcPr>
          <w:p>
            <w:pPr>
              <w:pStyle w:val="5"/>
              <w:adjustRightInd w:val="0"/>
              <w:snapToGrid w:val="0"/>
              <w:spacing w:line="240" w:lineRule="auto"/>
              <w:ind w:firstLine="0"/>
              <w:jc w:val="center"/>
              <w:rPr>
                <w:sz w:val="21"/>
                <w:szCs w:val="21"/>
              </w:rPr>
            </w:pPr>
            <w:r>
              <w:rPr>
                <w:rFonts w:hint="eastAsia"/>
                <w:sz w:val="21"/>
                <w:szCs w:val="21"/>
              </w:rPr>
              <w:t>2.1239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restart"/>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1678" w:type="dxa"/>
            <w:vAlign w:val="center"/>
          </w:tcPr>
          <w:p>
            <w:pPr>
              <w:pStyle w:val="470"/>
              <w:rPr>
                <w:rFonts w:ascii="Arial" w:hAnsi="Arial" w:cs="Arial"/>
                <w:sz w:val="21"/>
                <w:szCs w:val="21"/>
              </w:rPr>
            </w:pPr>
            <w:r>
              <w:rPr>
                <w:rFonts w:hint="eastAsia" w:ascii="Arial" w:hAnsi="Arial" w:cs="Arial"/>
                <w:sz w:val="21"/>
                <w:szCs w:val="21"/>
              </w:rPr>
              <w:t>颗粒物</w:t>
            </w:r>
          </w:p>
        </w:tc>
        <w:tc>
          <w:tcPr>
            <w:tcW w:w="1428"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2196"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0.2093</w:t>
            </w:r>
          </w:p>
        </w:tc>
        <w:tc>
          <w:tcPr>
            <w:tcW w:w="1964"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continue"/>
            <w:vAlign w:val="center"/>
          </w:tcPr>
          <w:p>
            <w:pPr>
              <w:pStyle w:val="41"/>
              <w:adjustRightInd w:val="0"/>
              <w:snapToGrid w:val="0"/>
              <w:spacing w:after="0"/>
              <w:ind w:firstLine="0" w:firstLineChars="0"/>
              <w:jc w:val="center"/>
              <w:rPr>
                <w:rFonts w:ascii="Arial" w:hAnsi="Arial" w:cs="Arial"/>
                <w:sz w:val="21"/>
                <w:szCs w:val="21"/>
              </w:rPr>
            </w:pPr>
          </w:p>
        </w:tc>
        <w:tc>
          <w:tcPr>
            <w:tcW w:w="1678" w:type="dxa"/>
            <w:vAlign w:val="center"/>
          </w:tcPr>
          <w:p>
            <w:pPr>
              <w:pStyle w:val="470"/>
              <w:rPr>
                <w:rFonts w:ascii="Arial" w:hAnsi="Arial" w:cs="Arial"/>
                <w:sz w:val="21"/>
                <w:szCs w:val="21"/>
              </w:rPr>
            </w:pPr>
            <w:r>
              <w:rPr>
                <w:rFonts w:hint="eastAsia" w:ascii="Arial" w:hAnsi="Arial" w:cs="Arial"/>
                <w:sz w:val="21"/>
                <w:szCs w:val="21"/>
              </w:rPr>
              <w:t>钴及其化合物</w:t>
            </w:r>
          </w:p>
        </w:tc>
        <w:tc>
          <w:tcPr>
            <w:tcW w:w="1428"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2196"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0.1299</w:t>
            </w:r>
          </w:p>
        </w:tc>
        <w:tc>
          <w:tcPr>
            <w:tcW w:w="1964"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1678" w:type="dxa"/>
            <w:vAlign w:val="center"/>
          </w:tcPr>
          <w:p>
            <w:pPr>
              <w:pStyle w:val="470"/>
              <w:rPr>
                <w:rFonts w:ascii="Arial" w:hAnsi="Arial" w:cs="Arial"/>
                <w:sz w:val="21"/>
                <w:szCs w:val="21"/>
              </w:rPr>
            </w:pPr>
            <w:r>
              <w:rPr>
                <w:rFonts w:hint="eastAsia" w:ascii="Arial" w:hAnsi="Arial" w:cs="Arial"/>
                <w:sz w:val="21"/>
                <w:szCs w:val="21"/>
              </w:rPr>
              <w:t>氨气</w:t>
            </w:r>
          </w:p>
        </w:tc>
        <w:tc>
          <w:tcPr>
            <w:tcW w:w="1428"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2196" w:type="dxa"/>
            <w:vAlign w:val="center"/>
          </w:tcPr>
          <w:p>
            <w:pPr>
              <w:pStyle w:val="5"/>
              <w:adjustRightInd w:val="0"/>
              <w:snapToGrid w:val="0"/>
              <w:spacing w:line="240" w:lineRule="auto"/>
              <w:ind w:firstLine="0"/>
              <w:jc w:val="center"/>
              <w:rPr>
                <w:sz w:val="21"/>
                <w:szCs w:val="21"/>
              </w:rPr>
            </w:pPr>
            <w:r>
              <w:rPr>
                <w:rFonts w:hint="eastAsia"/>
                <w:sz w:val="21"/>
                <w:szCs w:val="21"/>
              </w:rPr>
              <w:t>0.0047</w:t>
            </w:r>
          </w:p>
        </w:tc>
        <w:tc>
          <w:tcPr>
            <w:tcW w:w="1964" w:type="dxa"/>
            <w:vAlign w:val="center"/>
          </w:tcPr>
          <w:p>
            <w:pPr>
              <w:pStyle w:val="5"/>
              <w:adjustRightInd w:val="0"/>
              <w:snapToGrid w:val="0"/>
              <w:spacing w:line="240" w:lineRule="auto"/>
              <w:ind w:firstLine="0"/>
              <w:jc w:val="center"/>
              <w:rPr>
                <w:sz w:val="21"/>
                <w:szCs w:val="21"/>
              </w:rPr>
            </w:pPr>
            <w:r>
              <w:rPr>
                <w:rFonts w:hint="eastAsia"/>
                <w:sz w:val="21"/>
                <w:szCs w:val="21"/>
              </w:rPr>
              <w:t>0.0369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8993" w:type="dxa"/>
            <w:gridSpan w:val="5"/>
            <w:vAlign w:val="center"/>
          </w:tcPr>
          <w:p>
            <w:pPr>
              <w:pStyle w:val="5"/>
              <w:adjustRightInd w:val="0"/>
              <w:snapToGrid w:val="0"/>
              <w:spacing w:line="240" w:lineRule="auto"/>
              <w:ind w:left="529" w:firstLine="0"/>
              <w:jc w:val="center"/>
              <w:rPr>
                <w:sz w:val="21"/>
                <w:szCs w:val="21"/>
              </w:rPr>
            </w:pPr>
            <w:r>
              <w:rPr>
                <w:sz w:val="21"/>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restart"/>
            <w:vAlign w:val="center"/>
          </w:tcPr>
          <w:p>
            <w:pPr>
              <w:widowControl/>
              <w:adjustRightInd w:val="0"/>
              <w:snapToGrid w:val="0"/>
              <w:jc w:val="center"/>
              <w:rPr>
                <w:rFonts w:ascii="Arial" w:hAnsi="Arial" w:eastAsia="宋体" w:cs="Arial"/>
                <w:kern w:val="0"/>
                <w:sz w:val="21"/>
              </w:rPr>
            </w:pPr>
            <w:r>
              <w:rPr>
                <w:rFonts w:ascii="Arial" w:hAnsi="Arial" w:eastAsia="宋体" w:cs="Arial"/>
                <w:kern w:val="0"/>
                <w:sz w:val="21"/>
              </w:rPr>
              <w:t>有组织排放总计</w:t>
            </w:r>
          </w:p>
        </w:tc>
        <w:tc>
          <w:tcPr>
            <w:tcW w:w="1678" w:type="dxa"/>
            <w:vAlign w:val="center"/>
          </w:tcPr>
          <w:p>
            <w:pPr>
              <w:pStyle w:val="470"/>
              <w:rPr>
                <w:rFonts w:ascii="Arial" w:hAnsi="Arial" w:cs="Arial"/>
                <w:sz w:val="21"/>
                <w:szCs w:val="21"/>
              </w:rPr>
            </w:pPr>
            <w:r>
              <w:rPr>
                <w:rFonts w:ascii="Arial" w:hAnsi="Arial" w:cs="Arial"/>
                <w:sz w:val="21"/>
                <w:szCs w:val="21"/>
              </w:rPr>
              <w:t>氨气</w:t>
            </w:r>
          </w:p>
        </w:tc>
        <w:tc>
          <w:tcPr>
            <w:tcW w:w="5588" w:type="dxa"/>
            <w:gridSpan w:val="3"/>
            <w:vAlign w:val="center"/>
          </w:tcPr>
          <w:p>
            <w:pPr>
              <w:pStyle w:val="5"/>
              <w:adjustRightInd w:val="0"/>
              <w:snapToGrid w:val="0"/>
              <w:spacing w:line="240" w:lineRule="auto"/>
              <w:ind w:firstLine="0"/>
              <w:jc w:val="center"/>
              <w:rPr>
                <w:sz w:val="21"/>
                <w:szCs w:val="21"/>
              </w:rPr>
            </w:pPr>
            <w:r>
              <w:rPr>
                <w:rFonts w:hint="eastAsia"/>
                <w:sz w:val="21"/>
                <w:szCs w:val="21"/>
              </w:rPr>
              <w:t>2.1608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continue"/>
            <w:vAlign w:val="center"/>
          </w:tcPr>
          <w:p>
            <w:pPr>
              <w:widowControl/>
              <w:adjustRightInd w:val="0"/>
              <w:snapToGrid w:val="0"/>
              <w:jc w:val="center"/>
              <w:rPr>
                <w:rFonts w:ascii="Arial" w:hAnsi="Arial" w:eastAsia="宋体" w:cs="Arial"/>
                <w:kern w:val="0"/>
                <w:sz w:val="21"/>
              </w:rPr>
            </w:pPr>
          </w:p>
        </w:tc>
        <w:tc>
          <w:tcPr>
            <w:tcW w:w="1678" w:type="dxa"/>
            <w:vAlign w:val="center"/>
          </w:tcPr>
          <w:p>
            <w:pPr>
              <w:pStyle w:val="470"/>
              <w:rPr>
                <w:rFonts w:ascii="Arial" w:hAnsi="Arial" w:cs="Arial"/>
                <w:sz w:val="21"/>
                <w:szCs w:val="21"/>
              </w:rPr>
            </w:pPr>
            <w:r>
              <w:rPr>
                <w:rFonts w:hint="eastAsia" w:ascii="Arial" w:hAnsi="Arial" w:cs="Arial"/>
                <w:sz w:val="21"/>
                <w:szCs w:val="21"/>
              </w:rPr>
              <w:t>颗粒物</w:t>
            </w:r>
          </w:p>
        </w:tc>
        <w:tc>
          <w:tcPr>
            <w:tcW w:w="5588" w:type="dxa"/>
            <w:gridSpan w:val="3"/>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27" w:type="dxa"/>
            <w:vMerge w:val="continue"/>
            <w:vAlign w:val="center"/>
          </w:tcPr>
          <w:p>
            <w:pPr>
              <w:widowControl/>
              <w:adjustRightInd w:val="0"/>
              <w:snapToGrid w:val="0"/>
              <w:jc w:val="center"/>
              <w:rPr>
                <w:rFonts w:ascii="Arial" w:hAnsi="Arial" w:eastAsia="宋体" w:cs="Arial"/>
                <w:kern w:val="0"/>
                <w:sz w:val="21"/>
              </w:rPr>
            </w:pPr>
          </w:p>
        </w:tc>
        <w:tc>
          <w:tcPr>
            <w:tcW w:w="1678" w:type="dxa"/>
            <w:vAlign w:val="center"/>
          </w:tcPr>
          <w:p>
            <w:pPr>
              <w:pStyle w:val="470"/>
              <w:rPr>
                <w:rFonts w:ascii="Arial" w:hAnsi="Arial" w:cs="Arial"/>
                <w:sz w:val="21"/>
                <w:szCs w:val="21"/>
              </w:rPr>
            </w:pPr>
            <w:r>
              <w:rPr>
                <w:rFonts w:hint="eastAsia" w:ascii="Arial" w:hAnsi="Arial" w:cs="Arial"/>
                <w:sz w:val="21"/>
                <w:szCs w:val="21"/>
              </w:rPr>
              <w:t>钴及其化合物</w:t>
            </w:r>
          </w:p>
        </w:tc>
        <w:tc>
          <w:tcPr>
            <w:tcW w:w="5588" w:type="dxa"/>
            <w:gridSpan w:val="3"/>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bl>
    <w:p>
      <w:pPr>
        <w:adjustRightInd w:val="0"/>
        <w:snapToGrid w:val="0"/>
        <w:ind w:firstLine="430" w:firstLineChars="200"/>
        <w:rPr>
          <w:rFonts w:ascii="Arial" w:hAnsi="Arial" w:eastAsia="宋体" w:cs="Arial"/>
          <w:spacing w:val="10"/>
          <w:sz w:val="21"/>
        </w:rPr>
      </w:pPr>
      <w:r>
        <w:rPr>
          <w:rFonts w:hint="eastAsia" w:ascii="Arial" w:hAnsi="Arial" w:eastAsia="宋体" w:cs="Arial"/>
          <w:spacing w:val="10"/>
          <w:sz w:val="21"/>
        </w:rPr>
        <w:t>*依托的DA067排气筒仅核算本项目排放量。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2、无组织排放量核算</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项目变更后大气污染物无组织排放量核算</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1401"/>
        <w:gridCol w:w="1414"/>
        <w:gridCol w:w="2097"/>
        <w:gridCol w:w="1122"/>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8"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产污环节</w:t>
            </w:r>
          </w:p>
        </w:tc>
        <w:tc>
          <w:tcPr>
            <w:tcW w:w="140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污染物</w:t>
            </w:r>
          </w:p>
        </w:tc>
        <w:tc>
          <w:tcPr>
            <w:tcW w:w="1414"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主要污染防治措施</w:t>
            </w:r>
          </w:p>
        </w:tc>
        <w:tc>
          <w:tcPr>
            <w:tcW w:w="3219"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国家或地方污染物排放标准</w:t>
            </w:r>
          </w:p>
        </w:tc>
        <w:tc>
          <w:tcPr>
            <w:tcW w:w="991"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8"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401"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414"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2097" w:type="dxa"/>
            <w:shd w:val="clear" w:color="auto" w:fill="auto"/>
            <w:vAlign w:val="center"/>
          </w:tcPr>
          <w:p>
            <w:pPr>
              <w:pStyle w:val="470"/>
              <w:autoSpaceDE w:val="0"/>
              <w:autoSpaceDN w:val="0"/>
              <w:rPr>
                <w:rFonts w:ascii="Arial" w:hAnsi="Arial" w:cs="Arial"/>
                <w:kern w:val="0"/>
                <w:sz w:val="21"/>
                <w:szCs w:val="21"/>
              </w:rPr>
            </w:pPr>
            <w:r>
              <w:rPr>
                <w:rFonts w:ascii="Arial" w:hAnsi="Arial" w:cs="Arial"/>
                <w:kern w:val="0"/>
                <w:sz w:val="21"/>
                <w:szCs w:val="21"/>
              </w:rPr>
              <w:t>名称</w:t>
            </w:r>
          </w:p>
        </w:tc>
        <w:tc>
          <w:tcPr>
            <w:tcW w:w="1122" w:type="dxa"/>
            <w:shd w:val="clear" w:color="auto" w:fill="auto"/>
            <w:vAlign w:val="center"/>
          </w:tcPr>
          <w:p>
            <w:pPr>
              <w:pStyle w:val="470"/>
              <w:autoSpaceDE w:val="0"/>
              <w:autoSpaceDN w:val="0"/>
              <w:rPr>
                <w:rFonts w:ascii="Arial" w:hAnsi="Arial" w:cs="Arial"/>
                <w:kern w:val="0"/>
                <w:sz w:val="21"/>
                <w:szCs w:val="21"/>
              </w:rPr>
            </w:pPr>
            <w:r>
              <w:rPr>
                <w:rFonts w:ascii="Arial" w:hAnsi="Arial" w:cs="Arial"/>
                <w:kern w:val="0"/>
                <w:sz w:val="21"/>
                <w:szCs w:val="21"/>
              </w:rPr>
              <w:t>浓度限值</w:t>
            </w:r>
          </w:p>
          <w:p>
            <w:pPr>
              <w:pStyle w:val="470"/>
              <w:autoSpaceDE w:val="0"/>
              <w:autoSpaceDN w:val="0"/>
              <w:rPr>
                <w:rFonts w:ascii="Arial" w:hAnsi="Arial" w:cs="Arial"/>
                <w:kern w:val="0"/>
                <w:sz w:val="21"/>
                <w:szCs w:val="21"/>
              </w:rPr>
            </w:pPr>
            <w:r>
              <w:rPr>
                <w:rFonts w:ascii="Arial" w:hAnsi="Arial" w:cs="Arial"/>
                <w:kern w:val="0"/>
                <w:sz w:val="21"/>
                <w:szCs w:val="21"/>
              </w:rPr>
              <w:t>mg/m</w:t>
            </w:r>
            <w:r>
              <w:rPr>
                <w:rFonts w:ascii="Arial" w:hAnsi="Arial" w:cs="Arial"/>
                <w:kern w:val="0"/>
                <w:sz w:val="21"/>
                <w:szCs w:val="21"/>
                <w:vertAlign w:val="superscript"/>
              </w:rPr>
              <w:t>3</w:t>
            </w:r>
          </w:p>
        </w:tc>
        <w:tc>
          <w:tcPr>
            <w:tcW w:w="991" w:type="dxa"/>
            <w:vMerge w:val="continue"/>
            <w:shd w:val="clear" w:color="auto" w:fill="auto"/>
            <w:vAlign w:val="center"/>
          </w:tcPr>
          <w:p>
            <w:pPr>
              <w:pStyle w:val="5"/>
              <w:adjustRightInd w:val="0"/>
              <w:snapToGrid w:val="0"/>
              <w:spacing w:line="240" w:lineRule="auto"/>
              <w:ind w:firstLine="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8"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X19车间</w:t>
            </w:r>
          </w:p>
        </w:tc>
        <w:tc>
          <w:tcPr>
            <w:tcW w:w="140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氨气</w:t>
            </w:r>
          </w:p>
        </w:tc>
        <w:tc>
          <w:tcPr>
            <w:tcW w:w="1414" w:type="dxa"/>
            <w:shd w:val="clear" w:color="auto" w:fill="auto"/>
            <w:vAlign w:val="center"/>
          </w:tcPr>
          <w:p>
            <w:pPr>
              <w:pStyle w:val="5"/>
              <w:adjustRightInd w:val="0"/>
              <w:snapToGrid w:val="0"/>
              <w:spacing w:line="240" w:lineRule="auto"/>
              <w:ind w:firstLine="0"/>
              <w:jc w:val="center"/>
              <w:rPr>
                <w:sz w:val="21"/>
                <w:szCs w:val="21"/>
              </w:rPr>
            </w:pPr>
            <w:r>
              <w:rPr>
                <w:sz w:val="21"/>
                <w:szCs w:val="21"/>
              </w:rPr>
              <w:t>无</w:t>
            </w:r>
          </w:p>
        </w:tc>
        <w:tc>
          <w:tcPr>
            <w:tcW w:w="2097" w:type="dxa"/>
            <w:shd w:val="clear" w:color="auto" w:fill="auto"/>
            <w:vAlign w:val="center"/>
          </w:tcPr>
          <w:p>
            <w:pPr>
              <w:pStyle w:val="5"/>
              <w:adjustRightInd w:val="0"/>
              <w:snapToGrid w:val="0"/>
              <w:spacing w:line="240" w:lineRule="auto"/>
              <w:ind w:firstLine="0"/>
              <w:jc w:val="center"/>
              <w:rPr>
                <w:sz w:val="21"/>
                <w:szCs w:val="21"/>
              </w:rPr>
            </w:pPr>
            <w:r>
              <w:rPr>
                <w:sz w:val="21"/>
                <w:szCs w:val="21"/>
              </w:rPr>
              <w:t>《无机化学工业污染物排放标准》（GB31573-2015）</w:t>
            </w:r>
          </w:p>
        </w:tc>
        <w:tc>
          <w:tcPr>
            <w:tcW w:w="1122"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0.3</w:t>
            </w:r>
          </w:p>
        </w:tc>
        <w:tc>
          <w:tcPr>
            <w:tcW w:w="99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3" w:type="dxa"/>
            <w:gridSpan w:val="6"/>
            <w:shd w:val="clear" w:color="auto" w:fill="auto"/>
            <w:vAlign w:val="center"/>
          </w:tcPr>
          <w:p>
            <w:pPr>
              <w:pStyle w:val="5"/>
              <w:adjustRightInd w:val="0"/>
              <w:snapToGrid w:val="0"/>
              <w:spacing w:line="240" w:lineRule="auto"/>
              <w:ind w:firstLine="0"/>
              <w:jc w:val="center"/>
              <w:rPr>
                <w:sz w:val="21"/>
                <w:szCs w:val="21"/>
              </w:rPr>
            </w:pPr>
            <w:r>
              <w:rPr>
                <w:sz w:val="21"/>
                <w:szCs w:val="21"/>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68" w:type="dxa"/>
            <w:shd w:val="clear" w:color="auto" w:fill="auto"/>
            <w:vAlign w:val="center"/>
          </w:tcPr>
          <w:p>
            <w:pPr>
              <w:pStyle w:val="5"/>
              <w:adjustRightInd w:val="0"/>
              <w:snapToGrid w:val="0"/>
              <w:spacing w:line="240" w:lineRule="auto"/>
              <w:ind w:firstLine="0"/>
              <w:jc w:val="center"/>
              <w:rPr>
                <w:sz w:val="21"/>
                <w:szCs w:val="21"/>
              </w:rPr>
            </w:pPr>
            <w:r>
              <w:rPr>
                <w:sz w:val="21"/>
                <w:szCs w:val="21"/>
              </w:rPr>
              <w:t>无组织排放总计</w:t>
            </w:r>
          </w:p>
        </w:tc>
        <w:tc>
          <w:tcPr>
            <w:tcW w:w="1401"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氨气</w:t>
            </w:r>
          </w:p>
        </w:tc>
        <w:tc>
          <w:tcPr>
            <w:tcW w:w="5624" w:type="dxa"/>
            <w:gridSpan w:val="4"/>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1.1791</w:t>
            </w: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3、项目大气污染物年排放量核算</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项目变更后大气污染物年排放量核算表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9"/>
        <w:gridCol w:w="3675"/>
        <w:gridCol w:w="3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pStyle w:val="5"/>
              <w:adjustRightInd w:val="0"/>
              <w:snapToGrid w:val="0"/>
              <w:spacing w:line="240" w:lineRule="auto"/>
              <w:ind w:firstLine="0"/>
              <w:jc w:val="center"/>
              <w:rPr>
                <w:sz w:val="21"/>
                <w:szCs w:val="21"/>
              </w:rPr>
            </w:pPr>
            <w:r>
              <w:rPr>
                <w:sz w:val="21"/>
                <w:szCs w:val="21"/>
              </w:rPr>
              <w:t>序号</w:t>
            </w:r>
          </w:p>
        </w:tc>
        <w:tc>
          <w:tcPr>
            <w:tcW w:w="3675" w:type="dxa"/>
            <w:vAlign w:val="center"/>
          </w:tcPr>
          <w:p>
            <w:pPr>
              <w:pStyle w:val="5"/>
              <w:adjustRightInd w:val="0"/>
              <w:snapToGrid w:val="0"/>
              <w:spacing w:line="240" w:lineRule="auto"/>
              <w:ind w:firstLine="0"/>
              <w:jc w:val="center"/>
              <w:rPr>
                <w:sz w:val="21"/>
                <w:szCs w:val="21"/>
              </w:rPr>
            </w:pPr>
            <w:r>
              <w:rPr>
                <w:sz w:val="21"/>
                <w:szCs w:val="21"/>
              </w:rPr>
              <w:t>污染物</w:t>
            </w:r>
          </w:p>
        </w:tc>
        <w:tc>
          <w:tcPr>
            <w:tcW w:w="3739" w:type="dxa"/>
            <w:vAlign w:val="center"/>
          </w:tcPr>
          <w:p>
            <w:pPr>
              <w:pStyle w:val="5"/>
              <w:adjustRightInd w:val="0"/>
              <w:snapToGrid w:val="0"/>
              <w:spacing w:line="240" w:lineRule="auto"/>
              <w:ind w:firstLine="0"/>
              <w:jc w:val="center"/>
              <w:rPr>
                <w:sz w:val="21"/>
                <w:szCs w:val="21"/>
              </w:rPr>
            </w:pPr>
            <w:r>
              <w:rPr>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pStyle w:val="5"/>
              <w:adjustRightInd w:val="0"/>
              <w:snapToGrid w:val="0"/>
              <w:spacing w:line="240" w:lineRule="auto"/>
              <w:ind w:firstLine="0"/>
              <w:jc w:val="center"/>
              <w:rPr>
                <w:sz w:val="21"/>
                <w:szCs w:val="21"/>
              </w:rPr>
            </w:pPr>
            <w:r>
              <w:rPr>
                <w:sz w:val="21"/>
                <w:szCs w:val="21"/>
              </w:rPr>
              <w:t>1</w:t>
            </w:r>
          </w:p>
        </w:tc>
        <w:tc>
          <w:tcPr>
            <w:tcW w:w="3675"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373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pStyle w:val="5"/>
              <w:adjustRightInd w:val="0"/>
              <w:snapToGrid w:val="0"/>
              <w:spacing w:line="240" w:lineRule="auto"/>
              <w:ind w:firstLine="0"/>
              <w:jc w:val="center"/>
              <w:rPr>
                <w:sz w:val="21"/>
                <w:szCs w:val="21"/>
              </w:rPr>
            </w:pPr>
            <w:r>
              <w:rPr>
                <w:sz w:val="21"/>
                <w:szCs w:val="21"/>
              </w:rPr>
              <w:t>2</w:t>
            </w:r>
          </w:p>
        </w:tc>
        <w:tc>
          <w:tcPr>
            <w:tcW w:w="3675"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373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pStyle w:val="5"/>
              <w:adjustRightInd w:val="0"/>
              <w:snapToGrid w:val="0"/>
              <w:spacing w:line="240" w:lineRule="auto"/>
              <w:ind w:firstLine="0"/>
              <w:jc w:val="center"/>
              <w:rPr>
                <w:sz w:val="21"/>
                <w:szCs w:val="21"/>
              </w:rPr>
            </w:pPr>
            <w:r>
              <w:rPr>
                <w:rFonts w:hint="eastAsia"/>
                <w:sz w:val="21"/>
                <w:szCs w:val="21"/>
              </w:rPr>
              <w:t>3</w:t>
            </w:r>
          </w:p>
        </w:tc>
        <w:tc>
          <w:tcPr>
            <w:tcW w:w="3675"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3739" w:type="dxa"/>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bl>
    <w:p>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rPr>
        <w:t>4</w:t>
      </w:r>
      <w:r>
        <w:rPr>
          <w:rFonts w:ascii="Arial" w:hAnsi="Arial" w:eastAsia="宋体" w:cs="Arial"/>
          <w:spacing w:val="10"/>
          <w:sz w:val="24"/>
        </w:rPr>
        <w:t>、</w:t>
      </w:r>
      <w:r>
        <w:rPr>
          <w:rFonts w:ascii="Arial" w:hAnsi="Arial" w:eastAsia="宋体" w:cs="Arial"/>
          <w:spacing w:val="10"/>
          <w:sz w:val="24"/>
          <w:u w:val="single"/>
        </w:rPr>
        <w:t>项目</w:t>
      </w:r>
      <w:r>
        <w:rPr>
          <w:rFonts w:hint="eastAsia" w:ascii="Arial" w:hAnsi="Arial" w:eastAsia="宋体" w:cs="Arial"/>
          <w:spacing w:val="10"/>
          <w:sz w:val="24"/>
          <w:u w:val="single"/>
        </w:rPr>
        <w:t>非正常</w:t>
      </w:r>
      <w:r>
        <w:rPr>
          <w:rFonts w:ascii="Arial" w:hAnsi="Arial" w:eastAsia="宋体" w:cs="Arial"/>
          <w:spacing w:val="10"/>
          <w:sz w:val="24"/>
          <w:u w:val="single"/>
        </w:rPr>
        <w:t>排放量核算</w:t>
      </w:r>
    </w:p>
    <w:p>
      <w:pPr>
        <w:numPr>
          <w:ilvl w:val="0"/>
          <w:numId w:val="22"/>
        </w:numPr>
        <w:spacing w:line="500" w:lineRule="exact"/>
        <w:jc w:val="center"/>
        <w:outlineLvl w:val="4"/>
        <w:rPr>
          <w:rFonts w:ascii="Arial" w:hAnsi="Arial" w:eastAsia="宋体" w:cs="Arial"/>
          <w:b/>
          <w:sz w:val="24"/>
          <w:szCs w:val="24"/>
          <w:u w:val="single"/>
        </w:rPr>
      </w:pPr>
      <w:r>
        <w:rPr>
          <w:rFonts w:ascii="Arial" w:hAnsi="Arial" w:eastAsia="宋体" w:cs="Arial"/>
          <w:b/>
          <w:sz w:val="24"/>
          <w:szCs w:val="24"/>
          <w:u w:val="single"/>
        </w:rPr>
        <w:t>项目污染源</w:t>
      </w:r>
      <w:r>
        <w:rPr>
          <w:rFonts w:hint="eastAsia" w:ascii="Arial" w:hAnsi="Arial" w:eastAsia="宋体" w:cs="Arial"/>
          <w:b/>
          <w:sz w:val="24"/>
          <w:szCs w:val="24"/>
          <w:u w:val="single"/>
        </w:rPr>
        <w:t>非正常</w:t>
      </w:r>
      <w:r>
        <w:rPr>
          <w:rFonts w:ascii="Arial" w:hAnsi="Arial" w:eastAsia="宋体" w:cs="Arial"/>
          <w:b/>
          <w:sz w:val="24"/>
          <w:szCs w:val="24"/>
          <w:u w:val="single"/>
        </w:rPr>
        <w:t>排放量核算表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1088"/>
        <w:gridCol w:w="1228"/>
        <w:gridCol w:w="1363"/>
        <w:gridCol w:w="1171"/>
        <w:gridCol w:w="969"/>
        <w:gridCol w:w="752"/>
        <w:gridCol w:w="734"/>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3"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排气筒编号</w:t>
            </w:r>
          </w:p>
        </w:tc>
        <w:tc>
          <w:tcPr>
            <w:tcW w:w="1088"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污染源</w:t>
            </w:r>
          </w:p>
        </w:tc>
        <w:tc>
          <w:tcPr>
            <w:tcW w:w="1228"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非正常排放原因</w:t>
            </w:r>
          </w:p>
        </w:tc>
        <w:tc>
          <w:tcPr>
            <w:tcW w:w="1363"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污染物</w:t>
            </w:r>
          </w:p>
        </w:tc>
        <w:tc>
          <w:tcPr>
            <w:tcW w:w="1171"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非正常排放浓度（mg/m</w:t>
            </w:r>
            <w:r>
              <w:rPr>
                <w:sz w:val="21"/>
                <w:szCs w:val="21"/>
                <w:u w:val="single"/>
                <w:vertAlign w:val="superscript"/>
              </w:rPr>
              <w:t>3</w:t>
            </w:r>
            <w:r>
              <w:rPr>
                <w:sz w:val="21"/>
                <w:szCs w:val="21"/>
                <w:u w:val="single"/>
              </w:rPr>
              <w:t>）</w:t>
            </w:r>
          </w:p>
        </w:tc>
        <w:tc>
          <w:tcPr>
            <w:tcW w:w="969"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非正常排放速率kg/h</w:t>
            </w:r>
          </w:p>
        </w:tc>
        <w:tc>
          <w:tcPr>
            <w:tcW w:w="752"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单次持续时间/h</w:t>
            </w:r>
          </w:p>
        </w:tc>
        <w:tc>
          <w:tcPr>
            <w:tcW w:w="734"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年发生频次/次</w:t>
            </w:r>
          </w:p>
        </w:tc>
        <w:tc>
          <w:tcPr>
            <w:tcW w:w="735"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3" w:type="dxa"/>
            <w:vAlign w:val="center"/>
          </w:tcPr>
          <w:p>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DA145</w:t>
            </w:r>
          </w:p>
        </w:tc>
        <w:tc>
          <w:tcPr>
            <w:tcW w:w="1088" w:type="dxa"/>
            <w:vAlign w:val="center"/>
          </w:tcPr>
          <w:p>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合成</w:t>
            </w:r>
            <w:r>
              <w:rPr>
                <w:rFonts w:ascii="Arial" w:hAnsi="Arial" w:eastAsia="宋体" w:cs="Arial"/>
                <w:sz w:val="21"/>
                <w:szCs w:val="24"/>
                <w:u w:val="single"/>
              </w:rPr>
              <w:t>反应废气、压滤废气</w:t>
            </w:r>
          </w:p>
        </w:tc>
        <w:tc>
          <w:tcPr>
            <w:tcW w:w="1228" w:type="dxa"/>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吸收塔故障</w:t>
            </w:r>
          </w:p>
          <w:p>
            <w:pPr>
              <w:pStyle w:val="1737"/>
              <w:adjustRightInd w:val="0"/>
              <w:snapToGrid w:val="0"/>
              <w:spacing w:line="240" w:lineRule="auto"/>
              <w:ind w:firstLine="0" w:firstLineChars="0"/>
              <w:jc w:val="center"/>
              <w:rPr>
                <w:sz w:val="21"/>
                <w:szCs w:val="21"/>
                <w:u w:val="single"/>
              </w:rPr>
            </w:pPr>
            <w:r>
              <w:rPr>
                <w:rFonts w:hint="eastAsia"/>
                <w:sz w:val="21"/>
                <w:szCs w:val="21"/>
                <w:u w:val="single"/>
              </w:rPr>
              <w:t>效率降为0</w:t>
            </w:r>
          </w:p>
        </w:tc>
        <w:tc>
          <w:tcPr>
            <w:tcW w:w="1363" w:type="dxa"/>
            <w:vAlign w:val="center"/>
          </w:tcPr>
          <w:p>
            <w:pPr>
              <w:pStyle w:val="470"/>
              <w:rPr>
                <w:rFonts w:ascii="Arial" w:hAnsi="Arial" w:cs="Arial"/>
                <w:sz w:val="21"/>
                <w:szCs w:val="21"/>
                <w:u w:val="single"/>
              </w:rPr>
            </w:pPr>
            <w:r>
              <w:rPr>
                <w:rFonts w:ascii="Arial" w:hAnsi="Arial" w:cs="Arial"/>
                <w:sz w:val="21"/>
                <w:szCs w:val="21"/>
                <w:u w:val="single"/>
              </w:rPr>
              <w:t>氨气</w:t>
            </w:r>
          </w:p>
        </w:tc>
        <w:tc>
          <w:tcPr>
            <w:tcW w:w="1171"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57</w:t>
            </w:r>
          </w:p>
        </w:tc>
        <w:tc>
          <w:tcPr>
            <w:tcW w:w="96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2.682</w:t>
            </w:r>
          </w:p>
        </w:tc>
        <w:tc>
          <w:tcPr>
            <w:tcW w:w="752"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734"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735" w:type="dxa"/>
            <w:vMerge w:val="restart"/>
            <w:vAlign w:val="center"/>
          </w:tcPr>
          <w:p>
            <w:pPr>
              <w:pStyle w:val="1737"/>
              <w:adjustRightInd w:val="0"/>
              <w:snapToGrid w:val="0"/>
              <w:spacing w:line="240" w:lineRule="auto"/>
              <w:ind w:firstLine="0" w:firstLineChars="0"/>
              <w:jc w:val="center"/>
              <w:rPr>
                <w:sz w:val="21"/>
                <w:szCs w:val="21"/>
                <w:u w:val="single"/>
              </w:rPr>
            </w:pPr>
            <w:r>
              <w:rPr>
                <w:sz w:val="21"/>
                <w:szCs w:val="21"/>
                <w:u w:val="single"/>
              </w:rPr>
              <w:t>停产</w:t>
            </w:r>
            <w:r>
              <w:rPr>
                <w:rFonts w:hint="eastAsia"/>
                <w:sz w:val="21"/>
                <w:szCs w:val="21"/>
                <w:u w:val="single"/>
              </w:rPr>
              <w:t>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3" w:type="dxa"/>
            <w:vMerge w:val="restart"/>
            <w:vAlign w:val="center"/>
          </w:tcPr>
          <w:p>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DA146</w:t>
            </w:r>
          </w:p>
        </w:tc>
        <w:tc>
          <w:tcPr>
            <w:tcW w:w="1088" w:type="dxa"/>
            <w:vMerge w:val="restart"/>
            <w:vAlign w:val="center"/>
          </w:tcPr>
          <w:p>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烘干粉尘、破碎粉尘、包装粉尘</w:t>
            </w:r>
          </w:p>
        </w:tc>
        <w:tc>
          <w:tcPr>
            <w:tcW w:w="1228" w:type="dxa"/>
            <w:vMerge w:val="restart"/>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布袋除尘器</w:t>
            </w:r>
            <w:r>
              <w:rPr>
                <w:sz w:val="21"/>
                <w:szCs w:val="21"/>
                <w:u w:val="single"/>
              </w:rPr>
              <w:t>出现破损，除尘效率降为</w:t>
            </w:r>
            <w:r>
              <w:rPr>
                <w:rFonts w:hint="eastAsia"/>
                <w:sz w:val="21"/>
                <w:szCs w:val="21"/>
                <w:u w:val="single"/>
              </w:rPr>
              <w:t>90%；</w:t>
            </w:r>
            <w:r>
              <w:rPr>
                <w:sz w:val="21"/>
                <w:szCs w:val="21"/>
                <w:u w:val="single"/>
              </w:rPr>
              <w:t>吸收塔故障，效率降为</w:t>
            </w:r>
            <w:r>
              <w:rPr>
                <w:rFonts w:hint="eastAsia"/>
                <w:sz w:val="21"/>
                <w:szCs w:val="21"/>
                <w:u w:val="single"/>
              </w:rPr>
              <w:t>0</w:t>
            </w:r>
          </w:p>
        </w:tc>
        <w:tc>
          <w:tcPr>
            <w:tcW w:w="1363" w:type="dxa"/>
            <w:vAlign w:val="center"/>
          </w:tcPr>
          <w:p>
            <w:pPr>
              <w:pStyle w:val="470"/>
              <w:rPr>
                <w:rFonts w:ascii="Arial" w:hAnsi="Arial" w:cs="Arial"/>
                <w:sz w:val="21"/>
                <w:szCs w:val="21"/>
                <w:u w:val="single"/>
              </w:rPr>
            </w:pPr>
            <w:r>
              <w:rPr>
                <w:rFonts w:hint="eastAsia" w:ascii="Arial" w:hAnsi="Arial" w:cs="Arial"/>
                <w:sz w:val="21"/>
                <w:szCs w:val="21"/>
                <w:u w:val="single"/>
              </w:rPr>
              <w:t>颗粒物</w:t>
            </w:r>
          </w:p>
        </w:tc>
        <w:tc>
          <w:tcPr>
            <w:tcW w:w="1171"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45</w:t>
            </w:r>
          </w:p>
        </w:tc>
        <w:tc>
          <w:tcPr>
            <w:tcW w:w="96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2.0933</w:t>
            </w:r>
          </w:p>
        </w:tc>
        <w:tc>
          <w:tcPr>
            <w:tcW w:w="752"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734" w:type="dxa"/>
            <w:vAlign w:val="center"/>
          </w:tcPr>
          <w:p>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735" w:type="dxa"/>
            <w:vMerge w:val="continue"/>
            <w:vAlign w:val="center"/>
          </w:tcPr>
          <w:p>
            <w:pPr>
              <w:pStyle w:val="1737"/>
              <w:adjustRightInd w:val="0"/>
              <w:snapToGrid w:val="0"/>
              <w:spacing w:line="240" w:lineRule="auto"/>
              <w:ind w:firstLine="0" w:firstLineChars="0"/>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3" w:type="dxa"/>
            <w:vMerge w:val="continue"/>
            <w:vAlign w:val="center"/>
          </w:tcPr>
          <w:p>
            <w:pPr>
              <w:pStyle w:val="41"/>
              <w:adjustRightInd w:val="0"/>
              <w:snapToGrid w:val="0"/>
              <w:spacing w:after="0"/>
              <w:ind w:firstLine="0" w:firstLineChars="0"/>
              <w:jc w:val="center"/>
              <w:rPr>
                <w:rFonts w:ascii="Arial" w:hAnsi="Arial" w:cs="Arial"/>
                <w:sz w:val="21"/>
                <w:szCs w:val="21"/>
                <w:u w:val="single"/>
              </w:rPr>
            </w:pPr>
          </w:p>
        </w:tc>
        <w:tc>
          <w:tcPr>
            <w:tcW w:w="1088" w:type="dxa"/>
            <w:vMerge w:val="continue"/>
            <w:vAlign w:val="center"/>
          </w:tcPr>
          <w:p>
            <w:pPr>
              <w:adjustRightInd w:val="0"/>
              <w:snapToGrid w:val="0"/>
              <w:jc w:val="center"/>
              <w:rPr>
                <w:rFonts w:ascii="Arial" w:hAnsi="Arial" w:eastAsia="宋体" w:cs="Arial"/>
                <w:sz w:val="21"/>
                <w:szCs w:val="24"/>
                <w:u w:val="single"/>
              </w:rPr>
            </w:pPr>
          </w:p>
        </w:tc>
        <w:tc>
          <w:tcPr>
            <w:tcW w:w="1228" w:type="dxa"/>
            <w:vMerge w:val="continue"/>
            <w:vAlign w:val="center"/>
          </w:tcPr>
          <w:p>
            <w:pPr>
              <w:pStyle w:val="1737"/>
              <w:adjustRightInd w:val="0"/>
              <w:snapToGrid w:val="0"/>
              <w:spacing w:line="240" w:lineRule="auto"/>
              <w:ind w:firstLine="0" w:firstLineChars="0"/>
              <w:jc w:val="center"/>
              <w:rPr>
                <w:sz w:val="21"/>
                <w:szCs w:val="21"/>
                <w:u w:val="single"/>
              </w:rPr>
            </w:pPr>
          </w:p>
        </w:tc>
        <w:tc>
          <w:tcPr>
            <w:tcW w:w="1363" w:type="dxa"/>
            <w:vAlign w:val="center"/>
          </w:tcPr>
          <w:p>
            <w:pPr>
              <w:pStyle w:val="470"/>
              <w:rPr>
                <w:rFonts w:ascii="Arial" w:hAnsi="Arial" w:cs="Arial"/>
                <w:sz w:val="21"/>
                <w:szCs w:val="21"/>
                <w:u w:val="single"/>
              </w:rPr>
            </w:pPr>
            <w:r>
              <w:rPr>
                <w:rFonts w:hint="eastAsia" w:ascii="Arial" w:hAnsi="Arial" w:cs="Arial"/>
                <w:sz w:val="21"/>
                <w:szCs w:val="21"/>
                <w:u w:val="single"/>
              </w:rPr>
              <w:t>钴</w:t>
            </w:r>
          </w:p>
        </w:tc>
        <w:tc>
          <w:tcPr>
            <w:tcW w:w="1171"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28</w:t>
            </w:r>
          </w:p>
        </w:tc>
        <w:tc>
          <w:tcPr>
            <w:tcW w:w="969"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1.2995</w:t>
            </w:r>
          </w:p>
        </w:tc>
        <w:tc>
          <w:tcPr>
            <w:tcW w:w="752" w:type="dxa"/>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734" w:type="dxa"/>
            <w:vAlign w:val="center"/>
          </w:tcPr>
          <w:p>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735" w:type="dxa"/>
            <w:vMerge w:val="continue"/>
            <w:vAlign w:val="center"/>
          </w:tcPr>
          <w:p>
            <w:pPr>
              <w:pStyle w:val="1737"/>
              <w:adjustRightInd w:val="0"/>
              <w:snapToGrid w:val="0"/>
              <w:spacing w:line="240" w:lineRule="auto"/>
              <w:ind w:firstLine="0" w:firstLineChars="0"/>
              <w:jc w:val="center"/>
              <w:rPr>
                <w:sz w:val="21"/>
                <w:szCs w:val="21"/>
                <w:u w:val="single"/>
              </w:rPr>
            </w:pPr>
          </w:p>
        </w:tc>
      </w:tr>
    </w:tbl>
    <w:p>
      <w:pPr>
        <w:pStyle w:val="475"/>
        <w:numPr>
          <w:ilvl w:val="0"/>
          <w:numId w:val="21"/>
        </w:numPr>
        <w:spacing w:line="500" w:lineRule="exact"/>
        <w:ind w:firstLineChars="0"/>
        <w:outlineLvl w:val="3"/>
        <w:rPr>
          <w:rFonts w:ascii="Arial" w:hAnsi="Arial" w:cs="Arial"/>
          <w:b/>
        </w:rPr>
      </w:pPr>
      <w:r>
        <w:rPr>
          <w:rFonts w:ascii="Arial" w:hAnsi="Arial" w:cs="Arial"/>
          <w:b/>
        </w:rPr>
        <w:t>小结</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项目所在地属于达标区，根据AERMOD进一步预测结果可知：</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1、项目建</w:t>
      </w:r>
      <w:r>
        <w:rPr>
          <w:rFonts w:ascii="Arial" w:hAnsi="Arial" w:eastAsia="宋体" w:cs="Arial"/>
          <w:spacing w:val="10"/>
          <w:sz w:val="24"/>
          <w:szCs w:val="24"/>
        </w:rPr>
        <w:t>成投产后，新增污染源正常排放情况下，短期浓度贡献值占标率均低于100%。</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ascii="Arial" w:hAnsi="Arial" w:eastAsia="宋体" w:cs="Arial"/>
          <w:spacing w:val="10"/>
          <w:sz w:val="24"/>
        </w:rPr>
        <w:t>项目排放的各污染源减区域削减源，叠加现状浓度、在建拟建同类污染源后，PM</w:t>
      </w:r>
      <w:r>
        <w:rPr>
          <w:rFonts w:ascii="Arial" w:hAnsi="Arial" w:eastAsia="宋体" w:cs="Arial"/>
          <w:spacing w:val="10"/>
          <w:sz w:val="24"/>
          <w:vertAlign w:val="subscript"/>
        </w:rPr>
        <w:t>10</w:t>
      </w:r>
      <w:r>
        <w:rPr>
          <w:rFonts w:ascii="Arial" w:hAnsi="Arial" w:eastAsia="宋体" w:cs="Arial"/>
          <w:spacing w:val="10"/>
          <w:sz w:val="24"/>
        </w:rPr>
        <w:t>的保证率日平均、年平均浓度均达到《环境空气质量标准》（GB3096-2012）二级标准要求，氨气的保证率小时值浓度满足《环境影响评价技术导则</w:t>
      </w:r>
      <w:r>
        <w:rPr>
          <w:rFonts w:hint="eastAsia" w:ascii="Arial" w:hAnsi="Arial" w:eastAsia="宋体" w:cs="Arial"/>
          <w:spacing w:val="10"/>
          <w:sz w:val="24"/>
        </w:rPr>
        <w:t xml:space="preserve"> 大气环境</w:t>
      </w:r>
      <w:r>
        <w:rPr>
          <w:rFonts w:ascii="Arial" w:hAnsi="Arial" w:eastAsia="宋体" w:cs="Arial"/>
          <w:spacing w:val="10"/>
          <w:sz w:val="24"/>
        </w:rPr>
        <w:t>》（HJ2.2-2018）附录D的要求。</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3、项目大气污染物短期贡献浓度在厂界外无超标点，无需设置大气环境防护距离。</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4、项目四周厂界各污染物浓度符合《无机化学工业污染物排放标准》（GB31573-2015）及《大气污染物综合排放标准》（GB16297-1996）要求。</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综上所述，项目建设对周边环境影响是可以接受的。项目大气环境影响评价自查表见附表2。</w:t>
      </w:r>
    </w:p>
    <w:p>
      <w:pPr>
        <w:pStyle w:val="6"/>
        <w:numPr>
          <w:ilvl w:val="0"/>
          <w:numId w:val="20"/>
        </w:numPr>
        <w:tabs>
          <w:tab w:val="clear" w:pos="1789"/>
        </w:tabs>
        <w:spacing w:line="400" w:lineRule="exact"/>
        <w:rPr>
          <w:rFonts w:ascii="Arial" w:hAnsi="Arial" w:eastAsia="宋体" w:cs="Arial"/>
        </w:rPr>
      </w:pPr>
      <w:bookmarkStart w:id="304" w:name="_Toc57715620"/>
      <w:bookmarkStart w:id="305" w:name="_Toc67921873"/>
      <w:bookmarkStart w:id="306" w:name="_Toc104677301"/>
      <w:bookmarkStart w:id="307" w:name="_Toc87124259"/>
      <w:bookmarkStart w:id="308" w:name="_Toc88674774"/>
      <w:bookmarkStart w:id="309" w:name="_Toc58596460"/>
      <w:r>
        <w:rPr>
          <w:rFonts w:ascii="Arial" w:hAnsi="Arial" w:eastAsia="宋体" w:cs="Arial"/>
        </w:rPr>
        <w:t>运营期地表水环境影响分析</w:t>
      </w:r>
      <w:bookmarkEnd w:id="304"/>
      <w:bookmarkEnd w:id="305"/>
      <w:bookmarkEnd w:id="306"/>
      <w:bookmarkEnd w:id="307"/>
      <w:bookmarkEnd w:id="308"/>
      <w:bookmarkEnd w:id="309"/>
    </w:p>
    <w:p>
      <w:pPr>
        <w:pStyle w:val="475"/>
        <w:numPr>
          <w:ilvl w:val="0"/>
          <w:numId w:val="24"/>
        </w:numPr>
        <w:spacing w:line="500" w:lineRule="exact"/>
        <w:ind w:firstLineChars="0"/>
        <w:outlineLvl w:val="3"/>
        <w:rPr>
          <w:rFonts w:ascii="Arial" w:hAnsi="Arial" w:cs="Arial"/>
          <w:b/>
        </w:rPr>
      </w:pPr>
      <w:r>
        <w:rPr>
          <w:rFonts w:ascii="Arial" w:hAnsi="Arial" w:cs="Arial"/>
          <w:b/>
        </w:rPr>
        <w:t>废水污染源及其处置方式</w:t>
      </w:r>
    </w:p>
    <w:p>
      <w:pPr>
        <w:pStyle w:val="5"/>
        <w:spacing w:line="500" w:lineRule="exact"/>
        <w:ind w:firstLine="490" w:firstLineChars="200"/>
        <w:rPr>
          <w:szCs w:val="24"/>
        </w:rPr>
      </w:pPr>
      <w:bookmarkStart w:id="310" w:name="_Hlk69862976"/>
      <w:r>
        <w:rPr>
          <w:szCs w:val="24"/>
        </w:rPr>
        <w:t>1、生产废水</w:t>
      </w:r>
    </w:p>
    <w:p>
      <w:pPr>
        <w:pStyle w:val="5"/>
        <w:spacing w:line="500" w:lineRule="exact"/>
        <w:ind w:firstLine="490" w:firstLineChars="200"/>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项目生产废水处理流程见图4.2-7。</w:t>
      </w:r>
    </w:p>
    <w:p>
      <w:pPr>
        <w:pStyle w:val="5"/>
        <w:spacing w:line="360" w:lineRule="auto"/>
        <w:ind w:firstLine="0"/>
        <w:jc w:val="right"/>
        <w:rPr>
          <w:u w:val="single"/>
        </w:rPr>
      </w:pPr>
      <w:r>
        <w:rPr>
          <w:u w:val="single"/>
        </w:rPr>
        <w:object>
          <v:shape id="_x0000_i1028" o:spt="75" type="#_x0000_t75" style="height:469.3pt;width:291.05pt;" o:ole="t" filled="f" o:preferrelative="t" stroked="f" coordsize="21600,21600">
            <v:path/>
            <v:fill on="f" focussize="0,0"/>
            <v:stroke on="f" joinstyle="miter"/>
            <v:imagedata r:id="rId48" o:title=""/>
            <o:lock v:ext="edit" aspectratio="t"/>
            <w10:wrap type="none"/>
            <w10:anchorlock/>
          </v:shape>
          <o:OLEObject Type="Embed" ProgID="Visio.Drawing.11" ShapeID="_x0000_i1028" DrawAspect="Content" ObjectID="_1468075728" r:id="rId47">
            <o:LockedField>false</o:LockedField>
          </o:OLEObject>
        </w:object>
      </w:r>
    </w:p>
    <w:p>
      <w:pPr>
        <w:numPr>
          <w:ilvl w:val="0"/>
          <w:numId w:val="23"/>
        </w:numPr>
        <w:spacing w:line="500" w:lineRule="exact"/>
        <w:jc w:val="center"/>
        <w:rPr>
          <w:rFonts w:ascii="Arial" w:hAnsi="Arial" w:eastAsia="宋体" w:cs="Arial"/>
          <w:b/>
          <w:spacing w:val="10"/>
          <w:sz w:val="24"/>
          <w:u w:val="single"/>
        </w:rPr>
      </w:pPr>
      <w:r>
        <w:rPr>
          <w:rFonts w:hint="eastAsia" w:ascii="Arial" w:hAnsi="Arial" w:eastAsia="宋体" w:cs="Arial"/>
          <w:b/>
          <w:spacing w:val="10"/>
          <w:sz w:val="24"/>
          <w:u w:val="single"/>
        </w:rPr>
        <w:t>项目生产废水处理流程</w:t>
      </w:r>
    </w:p>
    <w:p>
      <w:pPr>
        <w:pStyle w:val="5"/>
        <w:spacing w:line="500" w:lineRule="exact"/>
        <w:ind w:firstLine="490" w:firstLineChars="200"/>
        <w:rPr>
          <w:szCs w:val="24"/>
        </w:rPr>
      </w:pPr>
      <w:r>
        <w:rPr>
          <w:szCs w:val="24"/>
        </w:rPr>
        <w:t>2、生活污水</w:t>
      </w:r>
    </w:p>
    <w:p>
      <w:pPr>
        <w:pStyle w:val="5"/>
        <w:spacing w:line="500" w:lineRule="exact"/>
        <w:ind w:firstLine="490" w:firstLineChars="200"/>
        <w:rPr>
          <w:szCs w:val="24"/>
        </w:rPr>
      </w:pPr>
      <w:r>
        <w:rPr>
          <w:szCs w:val="24"/>
        </w:rPr>
        <w:t>生活污水经地埋式三级化粪池处理后，与现有生活污水一同排入园区污水管道，排向大榄坪污水处理厂处理。</w:t>
      </w:r>
    </w:p>
    <w:p>
      <w:pPr>
        <w:pStyle w:val="475"/>
        <w:numPr>
          <w:ilvl w:val="0"/>
          <w:numId w:val="24"/>
        </w:numPr>
        <w:spacing w:line="500" w:lineRule="exact"/>
        <w:ind w:firstLineChars="0"/>
        <w:outlineLvl w:val="3"/>
        <w:rPr>
          <w:rFonts w:ascii="Arial" w:hAnsi="Arial" w:cs="Arial"/>
          <w:b/>
        </w:rPr>
      </w:pPr>
      <w:r>
        <w:rPr>
          <w:rFonts w:ascii="Arial" w:hAnsi="Arial" w:cs="Arial"/>
          <w:b/>
        </w:rPr>
        <w:t>废水达标可行性分析</w:t>
      </w:r>
    </w:p>
    <w:p>
      <w:pPr>
        <w:pStyle w:val="5"/>
        <w:spacing w:line="500" w:lineRule="exact"/>
        <w:ind w:firstLine="490" w:firstLineChars="200"/>
        <w:rPr>
          <w:szCs w:val="24"/>
        </w:rPr>
      </w:pPr>
      <w:r>
        <w:rPr>
          <w:szCs w:val="24"/>
        </w:rPr>
        <w:t>1、车间排放口</w:t>
      </w:r>
    </w:p>
    <w:p>
      <w:pPr>
        <w:pStyle w:val="5"/>
        <w:spacing w:line="500" w:lineRule="exact"/>
        <w:ind w:firstLine="490" w:firstLineChars="200"/>
        <w:rPr>
          <w:szCs w:val="24"/>
          <w:highlight w:val="yellow"/>
        </w:rPr>
      </w:pPr>
      <w:r>
        <w:rPr>
          <w:rFonts w:hint="eastAsia"/>
          <w:szCs w:val="24"/>
          <w:u w:val="single"/>
        </w:rPr>
        <w:t>生产废水（W1-1）经管道收集，地面清洗废水（W1-2）经地坑收集，两股废水一同经X19车间内板框压滤机和精密过滤器处理。目前生产线在调试阶段，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《无机化学工业污染物排放标准》（GB31573-2015）车间或生产设施废水排放口标准限值要求后，</w:t>
      </w:r>
      <w:r>
        <w:rPr>
          <w:rFonts w:hint="eastAsia"/>
          <w:u w:val="single"/>
        </w:rPr>
        <w:t>通过管道泵入S7污水处理车间。</w:t>
      </w:r>
    </w:p>
    <w:p>
      <w:pPr>
        <w:pStyle w:val="5"/>
        <w:spacing w:line="500" w:lineRule="exact"/>
        <w:ind w:firstLine="490" w:firstLineChars="200"/>
        <w:rPr>
          <w:szCs w:val="24"/>
        </w:rPr>
      </w:pPr>
      <w:r>
        <w:rPr>
          <w:szCs w:val="24"/>
        </w:rPr>
        <w:t>2、厂区总排口</w:t>
      </w:r>
    </w:p>
    <w:p>
      <w:pPr>
        <w:pStyle w:val="5"/>
        <w:spacing w:line="500" w:lineRule="exact"/>
        <w:ind w:firstLine="490" w:firstLineChars="200"/>
        <w:rPr>
          <w:szCs w:val="24"/>
        </w:rPr>
      </w:pPr>
      <w:r>
        <w:rPr>
          <w:szCs w:val="24"/>
        </w:rPr>
        <w:t>根据上文工程分析废水源强核算，项目实施后全厂废水总排口满足《无机化学工业污染物排放标准》（GB31573-2015）</w:t>
      </w:r>
      <w:r>
        <w:rPr>
          <w:kern w:val="0"/>
          <w:szCs w:val="24"/>
        </w:rPr>
        <w:t>表1直接排放限值</w:t>
      </w:r>
      <w:r>
        <w:rPr>
          <w:szCs w:val="24"/>
        </w:rPr>
        <w:t>要求。</w:t>
      </w:r>
    </w:p>
    <w:p>
      <w:pPr>
        <w:pStyle w:val="5"/>
        <w:spacing w:line="500" w:lineRule="exact"/>
        <w:ind w:firstLine="490" w:firstLineChars="200"/>
        <w:rPr>
          <w:szCs w:val="24"/>
        </w:rPr>
      </w:pPr>
      <w:r>
        <w:rPr>
          <w:szCs w:val="24"/>
        </w:rPr>
        <w:t>3、生活污水排放口</w:t>
      </w:r>
    </w:p>
    <w:p>
      <w:pPr>
        <w:pStyle w:val="5"/>
        <w:spacing w:line="500" w:lineRule="exact"/>
        <w:ind w:firstLine="490" w:firstLineChars="200"/>
        <w:rPr>
          <w:szCs w:val="24"/>
        </w:rPr>
      </w:pPr>
      <w:r>
        <w:rPr>
          <w:szCs w:val="24"/>
        </w:rPr>
        <w:t>生活污水经三级化粪池处理可满足《无机化学工业污染物排放标准》（GB31573-2015）表1间接排放限值。</w:t>
      </w:r>
    </w:p>
    <w:p>
      <w:pPr>
        <w:pStyle w:val="475"/>
        <w:numPr>
          <w:ilvl w:val="0"/>
          <w:numId w:val="24"/>
        </w:numPr>
        <w:spacing w:line="500" w:lineRule="exact"/>
        <w:ind w:firstLineChars="0"/>
        <w:outlineLvl w:val="3"/>
        <w:rPr>
          <w:rFonts w:ascii="Arial" w:hAnsi="Arial" w:cs="Arial"/>
          <w:b/>
        </w:rPr>
      </w:pPr>
      <w:r>
        <w:rPr>
          <w:rFonts w:hint="eastAsia" w:ascii="Arial" w:hAnsi="Arial" w:cs="Arial"/>
          <w:b/>
        </w:rPr>
        <w:t>海洋环境影响预测</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近期生产废水经厂区污水处理站处理后直接排放；后期待大榄坪污水处理厂升级改造或二期扩建工程项目完成后，废水送至大榄坪污水处理厂处理达标后再进行深海排放。本次评价仅对近期废水直接排放进行分析。</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本项目变更后，全厂废水总排口各污染物排放量与</w:t>
      </w:r>
      <w:r>
        <w:rPr>
          <w:rFonts w:ascii="Arial" w:hAnsi="Arial" w:eastAsia="宋体" w:cs="Arial"/>
          <w:spacing w:val="10"/>
          <w:sz w:val="24"/>
          <w:szCs w:val="24"/>
        </w:rPr>
        <w:t>一期工程环评（即</w:t>
      </w:r>
      <w:r>
        <w:rPr>
          <w:rFonts w:hint="eastAsia" w:ascii="Arial" w:hAnsi="Arial" w:eastAsia="宋体" w:cs="Arial"/>
          <w:spacing w:val="10"/>
          <w:sz w:val="24"/>
          <w:szCs w:val="24"/>
        </w:rPr>
        <w:t>广西中伟新能源科技有限公司北部湾产业基地三元项目（一期一阶段）环境影响报告书</w:t>
      </w:r>
      <w:r>
        <w:rPr>
          <w:rFonts w:ascii="Arial" w:hAnsi="Arial" w:eastAsia="宋体" w:cs="Arial"/>
          <w:spacing w:val="10"/>
          <w:sz w:val="24"/>
          <w:szCs w:val="24"/>
        </w:rPr>
        <w:t>）总排口排放量相比，废水排放量、各污染物总量均有所减少，因此本次评价引用一期工程环评预测一级评价结论进行评价。</w:t>
      </w:r>
      <w:r>
        <w:rPr>
          <w:rFonts w:hint="eastAsia" w:ascii="Arial" w:hAnsi="Arial" w:eastAsia="宋体" w:cs="Arial"/>
          <w:spacing w:val="10"/>
          <w:sz w:val="24"/>
          <w:szCs w:val="24"/>
        </w:rPr>
        <w:t>变更</w:t>
      </w:r>
      <w:r>
        <w:rPr>
          <w:rFonts w:ascii="Arial" w:hAnsi="Arial" w:eastAsia="宋体" w:cs="Arial"/>
          <w:spacing w:val="10"/>
          <w:sz w:val="24"/>
          <w:szCs w:val="24"/>
        </w:rPr>
        <w:t>后外排废水情况与一期工程环评预测源强见表4-</w:t>
      </w:r>
      <w:r>
        <w:rPr>
          <w:rFonts w:hint="eastAsia" w:ascii="Arial" w:hAnsi="Arial" w:eastAsia="宋体" w:cs="Arial"/>
          <w:spacing w:val="10"/>
          <w:sz w:val="24"/>
          <w:szCs w:val="24"/>
        </w:rPr>
        <w:t>21</w:t>
      </w:r>
      <w:r>
        <w:rPr>
          <w:rFonts w:ascii="Arial" w:hAnsi="Arial" w:eastAsia="宋体" w:cs="Arial"/>
          <w:spacing w:val="10"/>
          <w:sz w:val="24"/>
          <w:szCs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全厂外排废水与一期预测情况对比情况表</w:t>
      </w:r>
    </w:p>
    <w:tbl>
      <w:tblPr>
        <w:tblStyle w:val="88"/>
        <w:tblW w:w="89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
        <w:gridCol w:w="2465"/>
        <w:gridCol w:w="2696"/>
        <w:gridCol w:w="2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2465"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变更</w:t>
            </w:r>
            <w:r>
              <w:rPr>
                <w:rFonts w:ascii="Arial" w:hAnsi="Arial" w:eastAsia="宋体" w:cs="Arial"/>
                <w:spacing w:val="10"/>
                <w:sz w:val="21"/>
                <w:szCs w:val="21"/>
              </w:rPr>
              <w:t>后全厂排污口排放量（t/a）</w:t>
            </w:r>
          </w:p>
        </w:tc>
        <w:tc>
          <w:tcPr>
            <w:tcW w:w="269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一期工程环评预测排放量（t/a）</w:t>
            </w:r>
          </w:p>
        </w:tc>
        <w:tc>
          <w:tcPr>
            <w:tcW w:w="2927"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变更后全厂排污口与一期环评预测排放量对比情况（t</w:t>
            </w:r>
            <w:r>
              <w:rPr>
                <w:rFonts w:hint="eastAsia" w:ascii="Arial" w:hAnsi="Arial" w:eastAsia="宋体" w:cs="Arial"/>
                <w:spacing w:val="10"/>
                <w:sz w:val="21"/>
                <w:szCs w:val="21"/>
              </w:rPr>
              <w:t>/a</w:t>
            </w: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2465"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4059561</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-20</w:t>
            </w:r>
            <w:r>
              <w:rPr>
                <w:rFonts w:hint="eastAsia" w:ascii="Arial" w:hAnsi="Arial" w:cs="Arial"/>
                <w:sz w:val="21"/>
                <w:szCs w:val="22"/>
              </w:rPr>
              <w:t>57374.16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58.8315</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175.129</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-116.298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6.0813</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36.577</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-30.4957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15927.0315</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78349.53</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-62</w:t>
            </w:r>
            <w:r>
              <w:rPr>
                <w:rFonts w:hint="eastAsia" w:ascii="Arial" w:hAnsi="Arial" w:cs="Arial"/>
                <w:sz w:val="21"/>
                <w:szCs w:val="22"/>
              </w:rPr>
              <w:t>422.4985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Ni</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0.2502</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0.284</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-0.0338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0.3067</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0.528</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-0.2213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Mn</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0.3215</w:t>
            </w:r>
          </w:p>
        </w:tc>
        <w:tc>
          <w:tcPr>
            <w:tcW w:w="2696" w:type="dxa"/>
            <w:vAlign w:val="center"/>
          </w:tcPr>
          <w:p>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0.812</w:t>
            </w:r>
          </w:p>
        </w:tc>
        <w:tc>
          <w:tcPr>
            <w:tcW w:w="2927" w:type="dxa"/>
            <w:vAlign w:val="center"/>
          </w:tcPr>
          <w:p>
            <w:pPr>
              <w:adjustRightInd w:val="0"/>
              <w:snapToGrid w:val="0"/>
              <w:jc w:val="center"/>
              <w:rPr>
                <w:rFonts w:ascii="Arial" w:hAnsi="Arial" w:eastAsia="宋体" w:cs="Arial"/>
                <w:sz w:val="21"/>
                <w:szCs w:val="22"/>
              </w:rPr>
            </w:pPr>
            <w:r>
              <w:rPr>
                <w:rFonts w:ascii="Arial" w:hAnsi="Arial" w:cs="Arial"/>
                <w:sz w:val="21"/>
                <w:szCs w:val="22"/>
              </w:rPr>
              <w:t>-0.4905</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一期工程环评预测结果表明，一期正常排放和事故排放高盐废水中硫酸盐排放对相关海域带来的高盐环境未超出海洋生物的推测耐受上限。因此，一期正常排放和事故排放高盐废水对周边海域的海洋生态环境影响有限，但由于养殖区1和金鼓江红树林距离排污口最近，因此建议项目运营加强对养殖区1和金鼓江红树林相关海域环境持续监测，预警可能发生的牡蛎和红树林受高硫酸盐胁迫生长发生异常的情况。一期正常排放下，排污口所在A2排放区内有小面积COD和无机氮超四类水质标准，排放区内镍不超标；排放区范围外镍、COD、无机氮的预测值均达到《海水水质标准》的相应水质标准，满足近岸海域环境功能区划的水质保护要求。排污口附近和附近控制点Co、Mn和硫酸盐最大增量分别为0.0129mg/L、0.0196mg/L和1082.1mg/L，及1.06×10</w:t>
      </w:r>
      <w:r>
        <w:rPr>
          <w:rFonts w:ascii="Arial" w:hAnsi="Arial" w:eastAsia="宋体" w:cs="Arial"/>
          <w:spacing w:val="10"/>
          <w:sz w:val="24"/>
          <w:szCs w:val="24"/>
          <w:vertAlign w:val="superscript"/>
        </w:rPr>
        <w:t xml:space="preserve">-4 </w:t>
      </w:r>
      <w:r>
        <w:rPr>
          <w:rFonts w:ascii="Arial" w:hAnsi="Arial" w:eastAsia="宋体" w:cs="Arial"/>
          <w:spacing w:val="10"/>
          <w:sz w:val="24"/>
          <w:szCs w:val="24"/>
        </w:rPr>
        <w:t>mg/L、1.61×10</w:t>
      </w:r>
      <w:r>
        <w:rPr>
          <w:rFonts w:ascii="Arial" w:hAnsi="Arial" w:eastAsia="宋体" w:cs="Arial"/>
          <w:spacing w:val="10"/>
          <w:sz w:val="24"/>
          <w:szCs w:val="24"/>
          <w:vertAlign w:val="superscript"/>
        </w:rPr>
        <w:t>-4</w:t>
      </w:r>
      <w:r>
        <w:rPr>
          <w:rFonts w:ascii="Arial" w:hAnsi="Arial" w:eastAsia="宋体" w:cs="Arial"/>
          <w:spacing w:val="10"/>
          <w:sz w:val="24"/>
          <w:szCs w:val="24"/>
        </w:rPr>
        <w:t xml:space="preserve"> mg/L和8.9 mg/L，增量相比本底值有限，不会超出目前已有研究报道海洋生物对Co、Mn的耐受上限，排污口附近硫酸盐虽超出海洋生物推测耐受上限，但影响面积远小于3.1km</w:t>
      </w:r>
      <w:r>
        <w:rPr>
          <w:rFonts w:ascii="Arial" w:hAnsi="Arial" w:eastAsia="宋体" w:cs="Arial"/>
          <w:spacing w:val="10"/>
          <w:sz w:val="24"/>
          <w:szCs w:val="24"/>
          <w:vertAlign w:val="superscript"/>
        </w:rPr>
        <w:t>2</w:t>
      </w:r>
      <w:r>
        <w:rPr>
          <w:rFonts w:ascii="Arial" w:hAnsi="Arial" w:eastAsia="宋体" w:cs="Arial"/>
          <w:spacing w:val="10"/>
          <w:sz w:val="24"/>
          <w:szCs w:val="24"/>
        </w:rPr>
        <w:t>（排污区面积），故生态环境影响有限。一期事故排放污染物扩散计算表明，研究海域无机氮增量大且大面积超标，造成排污口附近海域水质恶化。COD、Ni满足相关水质标准。Co、Mn和硫酸盐增量也较明显，其中Co和硫酸盐在排污口附近超出了海洋生物推测耐受上限。根据《建设项目对海洋生物资源影响评价技术规程》的相关要求，一期正常排放下不会造成海洋生物资源损失，但在事故排放下COD和Ni污染指标会造成海洋生物资源损失。由于目前暂无Co、Mn和硫酸盐对海洋生物的详细影响研究，一期正常排放废水后Co、Mn和硫酸根离子虽未超出海洋生物推测耐受上限，但仍可能会对部分海洋生物产生影响，在项目运营中应密切监测排污口附近海域水质、沉积物、生物体、海洋生态及敏感目标如红树林的质量现状，同时开展典型海洋生物的Co、Mn和硫酸盐耐受实验研究，获取更多有关基础数据支撑相关因子的海洋生态影响评价。一期事故排放会造成排污口周边海域COD大面积超标，且Ni、Co、Mn和硫酸盐指标增量也比较明显，故应严禁事故排放。</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同时根据中国（广西）自由贸易试验区钦州港片区行政审批局于2024年7月23日批复的《广西中伟新能源项目氢氧化钴处置线技改项目环境影响报告书》，本项目实施后中伟基地全厂外排废水量及各个污染物排放量均低于或持平《广西中伟新能源项目氢氧化钴处置线技改项目环境影响报告书》中全厂的排放量（对比情况见表4-22），因此从对外环境影响考虑是可接受的。</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全厂外排废水与</w:t>
      </w:r>
      <w:r>
        <w:rPr>
          <w:rFonts w:hint="eastAsia" w:ascii="Arial" w:hAnsi="Arial" w:eastAsia="宋体" w:cs="Arial"/>
          <w:b/>
          <w:sz w:val="24"/>
          <w:szCs w:val="24"/>
        </w:rPr>
        <w:t>氢氧化钴处置线技改项目</w:t>
      </w:r>
      <w:r>
        <w:rPr>
          <w:rFonts w:ascii="Arial" w:hAnsi="Arial" w:eastAsia="宋体" w:cs="Arial"/>
          <w:b/>
          <w:sz w:val="24"/>
          <w:szCs w:val="24"/>
        </w:rPr>
        <w:t>情况对比情况表</w:t>
      </w:r>
    </w:p>
    <w:tbl>
      <w:tblPr>
        <w:tblStyle w:val="88"/>
        <w:tblW w:w="89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
        <w:gridCol w:w="2465"/>
        <w:gridCol w:w="2696"/>
        <w:gridCol w:w="2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2465"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本项目变更</w:t>
            </w:r>
            <w:r>
              <w:rPr>
                <w:rFonts w:ascii="Arial" w:hAnsi="Arial" w:eastAsia="宋体" w:cs="Arial"/>
                <w:spacing w:val="10"/>
                <w:sz w:val="21"/>
                <w:szCs w:val="21"/>
              </w:rPr>
              <w:t>后全厂排污口排放量（t/a）</w:t>
            </w:r>
          </w:p>
        </w:tc>
        <w:tc>
          <w:tcPr>
            <w:tcW w:w="2696"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氢氧化钴处置线技改项目全厂排污口</w:t>
            </w:r>
            <w:r>
              <w:rPr>
                <w:rFonts w:ascii="Arial" w:hAnsi="Arial" w:eastAsia="宋体" w:cs="Arial"/>
                <w:spacing w:val="10"/>
                <w:sz w:val="21"/>
                <w:szCs w:val="21"/>
              </w:rPr>
              <w:t>排放量（t/a）</w:t>
            </w:r>
          </w:p>
        </w:tc>
        <w:tc>
          <w:tcPr>
            <w:tcW w:w="2927"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对比情况（t</w:t>
            </w:r>
            <w:r>
              <w:rPr>
                <w:rFonts w:hint="eastAsia" w:ascii="Arial" w:hAnsi="Arial" w:eastAsia="宋体" w:cs="Arial"/>
                <w:spacing w:val="10"/>
                <w:sz w:val="21"/>
                <w:szCs w:val="21"/>
              </w:rPr>
              <w:t>/a</w:t>
            </w: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2465"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211</w:t>
            </w:r>
            <w:r>
              <w:rPr>
                <w:rFonts w:hint="eastAsia" w:ascii="Arial" w:hAnsi="Arial" w:cs="Arial"/>
                <w:sz w:val="21"/>
                <w:szCs w:val="21"/>
              </w:rPr>
              <w:t>3900.8</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-111713.96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58.8315</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63.2529</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-4.4214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6.0813</w:t>
            </w:r>
          </w:p>
        </w:tc>
        <w:tc>
          <w:tcPr>
            <w:tcW w:w="2696"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6.0873</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15927.0315</w:t>
            </w:r>
          </w:p>
        </w:tc>
        <w:tc>
          <w:tcPr>
            <w:tcW w:w="2696" w:type="dxa"/>
            <w:vAlign w:val="center"/>
          </w:tcPr>
          <w:p>
            <w:pPr>
              <w:adjustRightInd w:val="0"/>
              <w:snapToGrid w:val="0"/>
              <w:jc w:val="center"/>
              <w:rPr>
                <w:rFonts w:ascii="Arial" w:hAnsi="Arial" w:eastAsia="宋体" w:cs="Arial"/>
                <w:sz w:val="21"/>
                <w:szCs w:val="21"/>
              </w:rPr>
            </w:pPr>
            <w:r>
              <w:rPr>
                <w:rFonts w:hint="eastAsia" w:ascii="Arial" w:hAnsi="Arial" w:cs="Arial"/>
                <w:sz w:val="21"/>
                <w:szCs w:val="21"/>
              </w:rPr>
              <w:t>26714.545</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-10787.5135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镍</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0.2502</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0.2557</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-0.0055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0.3067</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0.3</w:t>
            </w:r>
            <w:r>
              <w:rPr>
                <w:rFonts w:hint="eastAsia" w:ascii="Arial" w:hAnsi="Arial" w:cs="Arial"/>
                <w:sz w:val="21"/>
                <w:szCs w:val="21"/>
              </w:rPr>
              <w:t>43</w:t>
            </w:r>
            <w:r>
              <w:rPr>
                <w:rFonts w:ascii="Arial" w:hAnsi="Arial" w:cs="Arial"/>
                <w:sz w:val="21"/>
                <w:szCs w:val="21"/>
              </w:rPr>
              <w:t>6</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-0.0369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锰</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0.3215</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0.3</w:t>
            </w:r>
            <w:r>
              <w:rPr>
                <w:rFonts w:hint="eastAsia" w:ascii="Arial" w:hAnsi="Arial" w:cs="Arial"/>
                <w:sz w:val="21"/>
                <w:szCs w:val="21"/>
              </w:rPr>
              <w:t>54</w:t>
            </w:r>
            <w:r>
              <w:rPr>
                <w:rFonts w:ascii="Arial" w:hAnsi="Arial" w:cs="Arial"/>
                <w:sz w:val="21"/>
                <w:szCs w:val="21"/>
              </w:rPr>
              <w:t>1</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-0.0326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铜</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0.022</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0.0</w:t>
            </w:r>
            <w:r>
              <w:rPr>
                <w:rFonts w:hint="eastAsia" w:ascii="Arial" w:hAnsi="Arial" w:cs="Arial"/>
                <w:sz w:val="21"/>
                <w:szCs w:val="21"/>
              </w:rPr>
              <w:t>22</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3"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石油类</w:t>
            </w:r>
          </w:p>
        </w:tc>
        <w:tc>
          <w:tcPr>
            <w:tcW w:w="2465" w:type="dxa"/>
            <w:vAlign w:val="center"/>
          </w:tcPr>
          <w:p>
            <w:pPr>
              <w:adjustRightInd w:val="0"/>
              <w:snapToGrid w:val="0"/>
              <w:jc w:val="center"/>
              <w:rPr>
                <w:rFonts w:ascii="Arial" w:hAnsi="Arial" w:eastAsia="宋体" w:cs="Arial"/>
                <w:sz w:val="21"/>
                <w:szCs w:val="21"/>
              </w:rPr>
            </w:pPr>
            <w:r>
              <w:rPr>
                <w:rFonts w:ascii="Arial" w:hAnsi="Arial" w:cs="Arial"/>
                <w:sz w:val="21"/>
                <w:szCs w:val="21"/>
              </w:rPr>
              <w:t>2.3282</w:t>
            </w:r>
          </w:p>
        </w:tc>
        <w:tc>
          <w:tcPr>
            <w:tcW w:w="2696" w:type="dxa"/>
            <w:vAlign w:val="center"/>
          </w:tcPr>
          <w:p>
            <w:pPr>
              <w:adjustRightInd w:val="0"/>
              <w:snapToGrid w:val="0"/>
              <w:jc w:val="center"/>
              <w:rPr>
                <w:rFonts w:ascii="Arial" w:hAnsi="Arial" w:eastAsia="宋体" w:cs="Arial"/>
                <w:sz w:val="21"/>
                <w:szCs w:val="21"/>
              </w:rPr>
            </w:pPr>
            <w:r>
              <w:rPr>
                <w:rFonts w:ascii="Arial" w:hAnsi="Arial" w:cs="Arial"/>
                <w:sz w:val="21"/>
                <w:szCs w:val="21"/>
              </w:rPr>
              <w:t>2.</w:t>
            </w:r>
            <w:r>
              <w:rPr>
                <w:rFonts w:hint="eastAsia" w:ascii="Arial" w:hAnsi="Arial" w:cs="Arial"/>
                <w:sz w:val="21"/>
                <w:szCs w:val="21"/>
              </w:rPr>
              <w:t>328</w:t>
            </w:r>
            <w:r>
              <w:rPr>
                <w:rFonts w:ascii="Arial" w:hAnsi="Arial" w:cs="Arial"/>
                <w:sz w:val="21"/>
                <w:szCs w:val="21"/>
              </w:rPr>
              <w:t>2</w:t>
            </w:r>
          </w:p>
        </w:tc>
        <w:tc>
          <w:tcPr>
            <w:tcW w:w="2927" w:type="dxa"/>
            <w:vAlign w:val="center"/>
          </w:tcPr>
          <w:p>
            <w:pPr>
              <w:adjustRightInd w:val="0"/>
              <w:snapToGrid w:val="0"/>
              <w:jc w:val="center"/>
              <w:rPr>
                <w:rFonts w:ascii="Arial" w:hAnsi="Arial" w:cs="Arial"/>
                <w:sz w:val="21"/>
                <w:szCs w:val="21"/>
              </w:rPr>
            </w:pPr>
            <w:r>
              <w:rPr>
                <w:rFonts w:hint="eastAsia" w:ascii="Arial" w:hAnsi="Arial" w:cs="Arial"/>
                <w:sz w:val="21"/>
                <w:szCs w:val="21"/>
              </w:rPr>
              <w:t>0</w:t>
            </w:r>
          </w:p>
        </w:tc>
      </w:tr>
      <w:bookmarkEnd w:id="310"/>
    </w:tbl>
    <w:p>
      <w:pPr>
        <w:pStyle w:val="475"/>
        <w:numPr>
          <w:ilvl w:val="0"/>
          <w:numId w:val="24"/>
        </w:numPr>
        <w:spacing w:line="500" w:lineRule="exact"/>
        <w:ind w:firstLineChars="0"/>
        <w:outlineLvl w:val="3"/>
        <w:rPr>
          <w:rFonts w:ascii="Arial" w:hAnsi="Arial" w:cs="Arial"/>
          <w:b/>
        </w:rPr>
      </w:pPr>
      <w:r>
        <w:rPr>
          <w:rFonts w:ascii="Arial" w:hAnsi="Arial" w:cs="Arial"/>
          <w:b/>
        </w:rPr>
        <w:t>依托可行性分析</w:t>
      </w:r>
    </w:p>
    <w:p>
      <w:pPr>
        <w:pStyle w:val="5"/>
        <w:adjustRightInd w:val="0"/>
        <w:snapToGrid w:val="0"/>
        <w:spacing w:line="500" w:lineRule="exact"/>
      </w:pPr>
      <w:r>
        <w:t>1、处理规模可行性分析</w:t>
      </w:r>
    </w:p>
    <w:p>
      <w:pPr>
        <w:pStyle w:val="5"/>
        <w:spacing w:line="500" w:lineRule="exact"/>
        <w:ind w:firstLine="490" w:firstLineChars="200"/>
        <w:rPr>
          <w:szCs w:val="24"/>
        </w:rPr>
      </w:pPr>
      <w:r>
        <w:rPr>
          <w:szCs w:val="24"/>
        </w:rPr>
        <w:t>全厂污水处理车间设置12台60t/dMVR处理高盐废水，其中</w:t>
      </w:r>
      <w:r>
        <w:rPr>
          <w:rFonts w:hint="eastAsia"/>
          <w:szCs w:val="24"/>
        </w:rPr>
        <w:t>S5车间设置1台（1#），</w:t>
      </w:r>
      <w:r>
        <w:rPr>
          <w:szCs w:val="24"/>
        </w:rPr>
        <w:t>S</w:t>
      </w:r>
      <w:r>
        <w:rPr>
          <w:rFonts w:hint="eastAsia"/>
          <w:szCs w:val="24"/>
        </w:rPr>
        <w:t>8、S9车间设置11台（2#~12#）。本项目羟基钴生产线X19车间废水依托S8、S9污水处理车间4#~12#MVR设备处理，全厂</w:t>
      </w:r>
      <w:r>
        <w:rPr>
          <w:szCs w:val="24"/>
        </w:rPr>
        <w:t>各MVR处理情况见表</w:t>
      </w:r>
      <w:r>
        <w:rPr>
          <w:rFonts w:hint="eastAsia"/>
          <w:szCs w:val="24"/>
        </w:rPr>
        <w:t>4-23</w:t>
      </w:r>
      <w:r>
        <w:rPr>
          <w:szCs w:val="24"/>
        </w:rPr>
        <w:t>。</w:t>
      </w:r>
    </w:p>
    <w:p>
      <w:pPr>
        <w:numPr>
          <w:ilvl w:val="0"/>
          <w:numId w:val="22"/>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全厂</w:t>
      </w:r>
      <w:r>
        <w:rPr>
          <w:rFonts w:ascii="Arial" w:hAnsi="Arial" w:eastAsia="宋体" w:cs="Arial"/>
          <w:b/>
          <w:sz w:val="24"/>
          <w:szCs w:val="24"/>
        </w:rPr>
        <w:t>MVR处理废水情况表（单位：t/d）</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829"/>
        <w:gridCol w:w="2206"/>
        <w:gridCol w:w="812"/>
        <w:gridCol w:w="1111"/>
        <w:gridCol w:w="992"/>
        <w:gridCol w:w="1095"/>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编号</w:t>
            </w:r>
          </w:p>
        </w:tc>
        <w:tc>
          <w:tcPr>
            <w:tcW w:w="82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位置</w:t>
            </w:r>
          </w:p>
        </w:tc>
        <w:tc>
          <w:tcPr>
            <w:tcW w:w="2206"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w:t>
            </w:r>
          </w:p>
          <w:p>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变更前</w:t>
            </w:r>
          </w:p>
        </w:tc>
        <w:tc>
          <w:tcPr>
            <w:tcW w:w="2087"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2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220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1#</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S5车间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氢氧化钴处置线萃取废水和MHP生产线萃取废水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1440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153.6</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153.6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2#、3#</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MSP生产线X21、X22车间电积镍废水和氢氧化钴处置线X23车间电积钴废水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2880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592.31</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592.31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4#~12#</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2061.48</w:t>
            </w:r>
          </w:p>
        </w:tc>
        <w:tc>
          <w:tcPr>
            <w:tcW w:w="109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1890.36</w:t>
            </w:r>
          </w:p>
        </w:tc>
      </w:tr>
    </w:tbl>
    <w:p>
      <w:pPr>
        <w:pStyle w:val="5"/>
        <w:spacing w:line="500" w:lineRule="exact"/>
        <w:ind w:firstLine="490" w:firstLineChars="200"/>
        <w:rPr>
          <w:szCs w:val="24"/>
        </w:rPr>
      </w:pPr>
      <w:r>
        <w:rPr>
          <w:szCs w:val="24"/>
        </w:rPr>
        <w:t>项目变更后S</w:t>
      </w:r>
      <w:r>
        <w:rPr>
          <w:rFonts w:hint="eastAsia"/>
          <w:szCs w:val="24"/>
        </w:rPr>
        <w:t>5污水处理车间</w:t>
      </w:r>
      <w:r>
        <w:rPr>
          <w:szCs w:val="24"/>
        </w:rPr>
        <w:t>1#MVR废水处理量不变，处理氢氧化钴处置线萃取废水和MHP生产线萃取废水1286.4t/d，余量153.6t/d；S</w:t>
      </w:r>
      <w:r>
        <w:rPr>
          <w:rFonts w:hint="eastAsia"/>
          <w:szCs w:val="24"/>
        </w:rPr>
        <w:t>8、S9污水处理车间2</w:t>
      </w:r>
      <w:r>
        <w:rPr>
          <w:szCs w:val="24"/>
        </w:rPr>
        <w:t>#、3</w:t>
      </w:r>
      <w:r>
        <w:rPr>
          <w:rFonts w:hint="eastAsia"/>
          <w:szCs w:val="24"/>
        </w:rPr>
        <w:t>#</w:t>
      </w:r>
      <w:r>
        <w:rPr>
          <w:szCs w:val="24"/>
        </w:rPr>
        <w:t>MVR废水处理量不变，处理MSP生产线X21、X22车间电积镍废水和氢氧化钴处置线X23车间电积钴废水</w:t>
      </w:r>
      <w:r>
        <w:rPr>
          <w:rFonts w:hint="eastAsia"/>
          <w:szCs w:val="24"/>
        </w:rPr>
        <w:t>2287.69</w:t>
      </w:r>
      <w:r>
        <w:rPr>
          <w:szCs w:val="24"/>
        </w:rPr>
        <w:t>t/d，余量</w:t>
      </w:r>
      <w:r>
        <w:rPr>
          <w:rFonts w:hint="eastAsia"/>
          <w:szCs w:val="24"/>
        </w:rPr>
        <w:t>592.31</w:t>
      </w:r>
      <w:r>
        <w:rPr>
          <w:szCs w:val="24"/>
        </w:rPr>
        <w:t>t/d；S</w:t>
      </w:r>
      <w:r>
        <w:rPr>
          <w:rFonts w:hint="eastAsia"/>
          <w:szCs w:val="24"/>
        </w:rPr>
        <w:t>8、S9污水处理车间4#~12#</w:t>
      </w:r>
      <w:r>
        <w:rPr>
          <w:szCs w:val="24"/>
        </w:rPr>
        <w:t>MVR处理三元前驱体C1~C6车间废水、MSP生产线X5萃取车间废水、羟基钴生产线X</w:t>
      </w:r>
      <w:r>
        <w:rPr>
          <w:rFonts w:hint="eastAsia"/>
          <w:szCs w:val="24"/>
        </w:rPr>
        <w:t>19车间</w:t>
      </w:r>
      <w:r>
        <w:rPr>
          <w:szCs w:val="24"/>
        </w:rPr>
        <w:t>生产废水由10898.52t</w:t>
      </w:r>
      <w:r>
        <w:rPr>
          <w:rFonts w:hint="eastAsia"/>
          <w:szCs w:val="24"/>
        </w:rPr>
        <w:t>/d变更为11069.64t/d，余量由</w:t>
      </w:r>
      <w:r>
        <w:rPr>
          <w:szCs w:val="24"/>
        </w:rPr>
        <w:t>2061.48t</w:t>
      </w:r>
      <w:r>
        <w:rPr>
          <w:rFonts w:hint="eastAsia"/>
          <w:szCs w:val="24"/>
        </w:rPr>
        <w:t>/d变更为1890.36t/d。</w:t>
      </w:r>
      <w:r>
        <w:rPr>
          <w:szCs w:val="24"/>
        </w:rPr>
        <w:t>项目设计的MVR污水处理规模可满足全厂污水处理。</w:t>
      </w:r>
    </w:p>
    <w:p>
      <w:pPr>
        <w:pStyle w:val="5"/>
        <w:adjustRightInd w:val="0"/>
        <w:snapToGrid w:val="0"/>
        <w:spacing w:line="500" w:lineRule="exact"/>
        <w:ind w:firstLine="490" w:firstLineChars="200"/>
      </w:pPr>
      <w:r>
        <w:t>2、处理工艺可行性分析</w:t>
      </w:r>
    </w:p>
    <w:p>
      <w:pPr>
        <w:pStyle w:val="5"/>
        <w:spacing w:line="500" w:lineRule="exact"/>
        <w:ind w:firstLine="490" w:firstLineChars="200"/>
        <w:rPr>
          <w:szCs w:val="24"/>
        </w:rPr>
      </w:pPr>
      <w:r>
        <w:rPr>
          <w:rFonts w:hint="eastAsia"/>
          <w:szCs w:val="24"/>
        </w:rPr>
        <w:t>（1）脱氨塔</w:t>
      </w:r>
    </w:p>
    <w:p>
      <w:pPr>
        <w:pStyle w:val="5"/>
        <w:spacing w:line="500" w:lineRule="exact"/>
        <w:ind w:firstLine="490" w:firstLineChars="200"/>
        <w:rPr>
          <w:szCs w:val="24"/>
        </w:rPr>
      </w:pPr>
      <w:r>
        <w:rPr>
          <w:rFonts w:hint="eastAsia"/>
          <w:szCs w:val="24"/>
        </w:rPr>
        <w:t>项目废水在S7污水处理车间使用脱氨塔去除氨氮。废水</w:t>
      </w:r>
      <w:r>
        <w:rPr>
          <w:szCs w:val="24"/>
        </w:rPr>
        <w:t>首先与塔釜液和蒸汽冷凝水换热，预热后从中上部进入汽提精馏塔的提馏段，沿塔内部下降；再沸器生成的蒸汽进入汽提精馏塔下部，沿塔内部上升；上升蒸汽与下降液相逆流接触传质，氨从液相转移到气相，液相下降到塔釜时，氨含量小于环保指标要求的浓度。提馏段携带氨的汽相进入精馏段，与从塔顶向下流动的回流液逆流接触传质，汽相中的氨浓度上升，从塔顶离开汽提精馏塔，通过热泵系统回收潜热，然后进入冷凝器冷凝，产生设定浓度的氨水，进入氨水储罐。</w:t>
      </w:r>
    </w:p>
    <w:p>
      <w:pPr>
        <w:pStyle w:val="5"/>
        <w:spacing w:line="500" w:lineRule="exact"/>
        <w:ind w:firstLine="490" w:firstLineChars="200"/>
        <w:rPr>
          <w:szCs w:val="24"/>
          <w:highlight w:val="yellow"/>
        </w:rPr>
      </w:pPr>
      <w:r>
        <w:rPr>
          <w:rFonts w:hint="eastAsia"/>
        </w:rPr>
        <w:t>根据脱氨塔设计参数，氨氮设计进水浓度为8000mg/L，出水浓度为15mg/L，去除效率可达到99.81%；本项目生产废水中氨氮浓度为2200mg/L，小于脱氨塔设计进水浓度，本次评价保守考虑生产废水经脱氨塔处理后的氨氮浓度为15mg/L，去除效率为99%。</w:t>
      </w:r>
    </w:p>
    <w:p>
      <w:pPr>
        <w:pStyle w:val="5"/>
        <w:spacing w:line="500" w:lineRule="exact"/>
        <w:ind w:firstLine="490" w:firstLineChars="200"/>
        <w:rPr>
          <w:szCs w:val="24"/>
        </w:rPr>
      </w:pPr>
      <w:r>
        <w:rPr>
          <w:rFonts w:hint="eastAsia"/>
          <w:szCs w:val="24"/>
        </w:rPr>
        <w:t>（2）陶瓷膜过滤</w:t>
      </w:r>
    </w:p>
    <w:p>
      <w:pPr>
        <w:pStyle w:val="5"/>
        <w:spacing w:line="500" w:lineRule="exact"/>
        <w:rPr>
          <w:szCs w:val="24"/>
        </w:rPr>
      </w:pPr>
      <w:r>
        <w:rPr>
          <w:rFonts w:hint="eastAsia"/>
          <w:szCs w:val="24"/>
        </w:rPr>
        <w:t>项目废水在S7污水处理车间使用陶瓷膜过滤去除钴。陶瓷膜分离技术是基于多孔陶瓷介质的筛分效应而进行的物质分离技术，采用与传统“死端过滤”“滤饼过滤”等过滤方式截然不同的动态“错流过滤”方式：即在压力驱动下，原料液在膜管内侧膜层表面以一定的流速高速流动，小分子物质（液体）沿与之垂直方向透过微孔膜，大分子物质（或固体颗粒）被膜截留，使流体达到分离浓缩和纯化的目的。</w:t>
      </w:r>
    </w:p>
    <w:p>
      <w:pPr>
        <w:pStyle w:val="5"/>
        <w:adjustRightInd w:val="0"/>
        <w:snapToGrid w:val="0"/>
        <w:spacing w:line="500" w:lineRule="exact"/>
        <w:ind w:firstLine="490" w:firstLineChars="200"/>
        <w:rPr>
          <w:szCs w:val="24"/>
        </w:rPr>
      </w:pPr>
      <w:r>
        <w:rPr>
          <w:szCs w:val="24"/>
        </w:rPr>
        <w:t>根据</w:t>
      </w:r>
      <w:r>
        <w:rPr>
          <w:rFonts w:hint="eastAsia"/>
          <w:szCs w:val="24"/>
        </w:rPr>
        <w:t>中伟公司各地多年运行经验，陶瓷膜过滤去除重金属可达到91.6%以上，本次评价陶瓷膜过滤去除钴按90%计。</w:t>
      </w:r>
    </w:p>
    <w:p>
      <w:pPr>
        <w:pStyle w:val="5"/>
        <w:spacing w:line="500" w:lineRule="exact"/>
        <w:ind w:firstLine="490" w:firstLineChars="200"/>
        <w:rPr>
          <w:szCs w:val="24"/>
        </w:rPr>
      </w:pPr>
      <w:r>
        <w:rPr>
          <w:szCs w:val="24"/>
        </w:rPr>
        <w:t>（</w:t>
      </w:r>
      <w:r>
        <w:rPr>
          <w:rFonts w:hint="eastAsia"/>
          <w:szCs w:val="24"/>
        </w:rPr>
        <w:t>3</w:t>
      </w:r>
      <w:r>
        <w:rPr>
          <w:szCs w:val="24"/>
        </w:rPr>
        <w:t>）MVR蒸发结晶</w:t>
      </w:r>
    </w:p>
    <w:p>
      <w:pPr>
        <w:pStyle w:val="5"/>
        <w:adjustRightInd w:val="0"/>
        <w:snapToGrid w:val="0"/>
        <w:spacing w:line="500" w:lineRule="exact"/>
        <w:ind w:firstLine="490" w:firstLineChars="200"/>
      </w:pPr>
      <w:r>
        <w:rPr>
          <w:rFonts w:hint="eastAsia"/>
          <w:szCs w:val="24"/>
        </w:rPr>
        <w:t>项目废水在S8、S9污水处理车间使用MVR去除硫酸盐。</w:t>
      </w:r>
      <w:r>
        <w:t>MVR即机械式蒸汽再压缩蒸发器，其原理是利用高能效蒸汽压缩机压缩蒸发产生的二次蒸汽，把电能转换成热能，提高二次蒸汽的焓，被提高热能的二次蒸汽打入蒸发室进行加热，以达到循环利用二次蒸汽已有的热能，从而可以不需要外部鲜蒸汽，通过蒸发器自循环来实现蒸发浓缩的目的。</w:t>
      </w:r>
    </w:p>
    <w:p>
      <w:pPr>
        <w:pStyle w:val="5"/>
        <w:spacing w:line="500" w:lineRule="exact"/>
        <w:ind w:firstLine="490" w:firstLineChars="200"/>
      </w:pPr>
      <w:r>
        <w:t>根据进水水质条件，MVR采用双效降膜浓缩+强制循环蒸发结晶的方案。物料在进蒸发系统前，先经过三级预热，物料首先与MVR蒸馏水换热，再与系统内富余的二次蒸汽换热，再与鲜蒸汽换热，达到设计温度后，进入一效降膜蒸发器内进行蒸发浓缩，当物料浓缩到设计浓度时，进入二效降膜蒸发器内进行蒸发浓缩，达到设计浓度时，转移至强制循环换热器内进一步蒸发结晶，晶浆经旋流浓缩后，进入稠厚器内，稠厚器内的晶浆达到离心机进料浓度时，进行离心分离。出盐经皮带输送机送至流化床干燥系统内干燥后，进半自动打包机内打包。考虑到COD、氨氮、重金属等的富集对盐品质的影响，定期排放排浓液（开路母液）。</w:t>
      </w:r>
    </w:p>
    <w:p>
      <w:pPr>
        <w:pStyle w:val="5"/>
        <w:spacing w:line="500" w:lineRule="exact"/>
        <w:ind w:firstLine="490" w:firstLineChars="200"/>
        <w:rPr>
          <w:highlight w:val="yellow"/>
        </w:rPr>
      </w:pPr>
      <w:r>
        <w:rPr>
          <w:szCs w:val="24"/>
        </w:rPr>
        <w:t>本项目排入MVR系统废水均为硫酸钠废水，可排入MVR内蒸发结晶。根据建设单位对MVR控制，废水经MVR蒸发结晶后硫酸盐回收率≥</w:t>
      </w:r>
      <w:r>
        <w:rPr>
          <w:rFonts w:hint="eastAsia"/>
          <w:szCs w:val="24"/>
        </w:rPr>
        <w:t>93%。</w:t>
      </w:r>
    </w:p>
    <w:p>
      <w:pPr>
        <w:pStyle w:val="5"/>
        <w:spacing w:line="500" w:lineRule="exact"/>
        <w:ind w:firstLine="490" w:firstLineChars="200"/>
      </w:pPr>
      <w:r>
        <w:t>3、依托排污管排放可行性分析</w:t>
      </w:r>
    </w:p>
    <w:p>
      <w:pPr>
        <w:pStyle w:val="5"/>
        <w:spacing w:line="500" w:lineRule="exact"/>
        <w:ind w:firstLine="490" w:firstLineChars="200"/>
      </w:pPr>
      <w:r>
        <w:t>全厂生产废水排放口依托大榄坪污水处理厂排海管由污水处理厂接出，经第八大街及四号路转入第十一大街，最终向西进入金鼓江，排放至A2排放区。目前排海管已建成投入使用。</w:t>
      </w:r>
    </w:p>
    <w:p>
      <w:pPr>
        <w:pStyle w:val="5"/>
        <w:spacing w:line="500" w:lineRule="exact"/>
        <w:ind w:firstLine="490" w:firstLineChars="200"/>
      </w:pPr>
      <w:r>
        <w:t>排海工程管道水量设计按远期规模为20万m</w:t>
      </w:r>
      <w:r>
        <w:rPr>
          <w:vertAlign w:val="superscript"/>
        </w:rPr>
        <w:t>3</w:t>
      </w:r>
      <w:r>
        <w:t>/d，管道设计流量为2893.52L/s，设计流速为1.44m/s，采用DN1600钢管。废水在钦州港大榄坪污水深海排放区A2排放口（GX070DIV）排放，排放区位置是以E108°39′12.0″、N21°39′15.0″为中心，半径1km的海域，周围设0.5km水质过渡带。大榄坪污水处理厂近期规划排水量50000 m</w:t>
      </w:r>
      <w:r>
        <w:rPr>
          <w:vertAlign w:val="superscript"/>
        </w:rPr>
        <w:t>3</w:t>
      </w:r>
      <w:r>
        <w:t>/d，广西中伟新能源科技有限公司近期规划排水量25000 m</w:t>
      </w:r>
      <w:r>
        <w:rPr>
          <w:vertAlign w:val="superscript"/>
        </w:rPr>
        <w:t>3</w:t>
      </w:r>
      <w:r>
        <w:t>/d，废水排放量小于管道设计水量，全厂总废水排放总量在规划范围内。</w:t>
      </w:r>
    </w:p>
    <w:p>
      <w:pPr>
        <w:pStyle w:val="5"/>
        <w:spacing w:line="500" w:lineRule="exact"/>
        <w:ind w:firstLine="490" w:firstLineChars="200"/>
      </w:pPr>
      <w:r>
        <w:rPr>
          <w:rFonts w:hint="eastAsia"/>
        </w:rPr>
        <w:t>4、A2排污区纳污可行性分析</w:t>
      </w:r>
    </w:p>
    <w:p>
      <w:pPr>
        <w:pStyle w:val="5"/>
        <w:spacing w:line="500" w:lineRule="exact"/>
        <w:ind w:firstLine="490" w:firstLineChars="200"/>
      </w:pPr>
      <w:r>
        <w:rPr>
          <w:rFonts w:hint="eastAsia"/>
        </w:rPr>
        <w:t>根据《钦州港大榄坪物流加工区总体规划修编（2022-2035）环境影响报告书》，A2排污区设计容量为25万m</w:t>
      </w:r>
      <w:r>
        <w:rPr>
          <w:rFonts w:hint="eastAsia"/>
          <w:vertAlign w:val="superscript"/>
        </w:rPr>
        <w:t>3</w:t>
      </w:r>
      <w:r>
        <w:rPr>
          <w:rFonts w:hint="eastAsia"/>
        </w:rPr>
        <w:t>/d，其中COD最大允许排放量为25431.44t/a，氨氮214.62t/a，石油类194.4t/a。目前排入A2排污区有广西金桂浆纸业有限公司、大榄坪污水处理厂和本项目建设单位广西中伟新能源科技有限公司，其中广西金桂浆纸业有限公司废水排放量为5.0万m</w:t>
      </w:r>
      <w:r>
        <w:rPr>
          <w:rFonts w:hint="eastAsia"/>
          <w:vertAlign w:val="superscript"/>
        </w:rPr>
        <w:t>3</w:t>
      </w:r>
      <w:r>
        <w:rPr>
          <w:rFonts w:hint="eastAsia"/>
        </w:rPr>
        <w:t>/d，COD排放量879.45t/a，氨氮排放量9.65t/a；大榄坪污水处理厂废水排放量为0.6万m</w:t>
      </w:r>
      <w:r>
        <w:rPr>
          <w:rFonts w:hint="eastAsia"/>
          <w:vertAlign w:val="superscript"/>
        </w:rPr>
        <w:t>3</w:t>
      </w:r>
      <w:r>
        <w:rPr>
          <w:rFonts w:hint="eastAsia"/>
        </w:rPr>
        <w:t>/d，COD排放量28.727t/a，氨氮排放量2.258t/a；本项目实施后全厂废水排放量为0.61万m</w:t>
      </w:r>
      <w:r>
        <w:rPr>
          <w:rFonts w:hint="eastAsia"/>
          <w:vertAlign w:val="superscript"/>
        </w:rPr>
        <w:t>3</w:t>
      </w:r>
      <w:r>
        <w:rPr>
          <w:rFonts w:hint="eastAsia"/>
        </w:rPr>
        <w:t>/d，COD排放量58.8315t/a，氨氮排放量6.0813t/a，本项目实施后A2排污区未超过设计容量。</w:t>
      </w:r>
    </w:p>
    <w:p>
      <w:pPr>
        <w:pStyle w:val="5"/>
        <w:adjustRightInd w:val="0"/>
        <w:snapToGrid w:val="0"/>
        <w:spacing w:line="500" w:lineRule="exact"/>
        <w:ind w:firstLine="490" w:firstLineChars="200"/>
      </w:pPr>
      <w:r>
        <w:rPr>
          <w:rFonts w:hint="eastAsia"/>
        </w:rPr>
        <w:t>5</w:t>
      </w:r>
      <w:r>
        <w:t>、生活污水依托处理可行性分析</w:t>
      </w:r>
    </w:p>
    <w:p>
      <w:pPr>
        <w:pStyle w:val="5"/>
        <w:adjustRightInd w:val="0"/>
        <w:snapToGrid w:val="0"/>
        <w:spacing w:line="500" w:lineRule="exact"/>
        <w:ind w:firstLine="490" w:firstLineChars="200"/>
      </w:pPr>
      <w:r>
        <w:t>生活污水经三级化粪池处理可满足大榄坪污水处理厂进水标准。大榄坪污水处理厂位于钦州市大榄坪工业区规划第八大道及五号路交汇处（厂区南侧隔路紧邻），服务范围包括大榄坪综合物流加工区、中马钦州产业园区、钦南进出口加工区、钦州港行政服务中心和钦州保税港区等，项目所在位置属于园区大榄坪污水处理厂的服务范围，周边污水管网已建成。大榄坪污水处理厂近期污水处理规模为5万m</w:t>
      </w:r>
      <w:r>
        <w:rPr>
          <w:vertAlign w:val="superscript"/>
        </w:rPr>
        <w:t>3</w:t>
      </w:r>
      <w:r>
        <w:t>/d，本次项目</w:t>
      </w:r>
      <w:r>
        <w:rPr>
          <w:rFonts w:hint="eastAsia"/>
        </w:rPr>
        <w:t>不</w:t>
      </w:r>
      <w:r>
        <w:t>新增生活污水。</w:t>
      </w:r>
    </w:p>
    <w:p>
      <w:pPr>
        <w:pStyle w:val="6"/>
        <w:numPr>
          <w:ilvl w:val="0"/>
          <w:numId w:val="20"/>
        </w:numPr>
        <w:tabs>
          <w:tab w:val="clear" w:pos="1789"/>
        </w:tabs>
        <w:spacing w:line="400" w:lineRule="exact"/>
        <w:rPr>
          <w:rFonts w:ascii="Arial" w:hAnsi="Arial" w:eastAsia="宋体" w:cs="Arial"/>
        </w:rPr>
      </w:pPr>
      <w:bookmarkStart w:id="311" w:name="_Toc104677302"/>
      <w:bookmarkStart w:id="312" w:name="_Toc88674775"/>
      <w:bookmarkStart w:id="313" w:name="_Toc58596461"/>
      <w:bookmarkStart w:id="314" w:name="_Toc87124260"/>
      <w:bookmarkStart w:id="315" w:name="_Toc67921874"/>
      <w:bookmarkStart w:id="316" w:name="_Toc57715621"/>
      <w:r>
        <w:rPr>
          <w:rFonts w:ascii="Arial" w:hAnsi="Arial" w:eastAsia="宋体" w:cs="Arial"/>
        </w:rPr>
        <w:t>运营期地下水环境影响分析</w:t>
      </w:r>
      <w:bookmarkEnd w:id="311"/>
      <w:bookmarkEnd w:id="312"/>
      <w:bookmarkEnd w:id="313"/>
      <w:bookmarkEnd w:id="314"/>
      <w:bookmarkEnd w:id="315"/>
      <w:bookmarkEnd w:id="316"/>
    </w:p>
    <w:bookmarkEnd w:id="296"/>
    <w:bookmarkEnd w:id="297"/>
    <w:p>
      <w:pPr>
        <w:pStyle w:val="5"/>
        <w:spacing w:line="500" w:lineRule="exact"/>
        <w:rPr>
          <w:szCs w:val="24"/>
        </w:rPr>
      </w:pPr>
      <w:bookmarkStart w:id="317" w:name="_Toc301774442"/>
      <w:bookmarkStart w:id="318" w:name="_Toc301256134"/>
      <w:r>
        <w:rPr>
          <w:szCs w:val="24"/>
        </w:rPr>
        <w:t>本次地下水水文资料引用广西富吉工程技术有限公司2021年5月编制的《广西中伟新能源科技有限公司北部湾产业基地三元项目（一期一阶段）地下水环境影响评价专题报告》（以下简称一期工程地下水专题报告）。</w:t>
      </w:r>
    </w:p>
    <w:p>
      <w:pPr>
        <w:pStyle w:val="5"/>
        <w:numPr>
          <w:ilvl w:val="3"/>
          <w:numId w:val="25"/>
        </w:numPr>
        <w:spacing w:line="500" w:lineRule="exact"/>
        <w:ind w:left="0" w:firstLine="0"/>
        <w:outlineLvl w:val="3"/>
        <w:rPr>
          <w:b/>
          <w:szCs w:val="24"/>
        </w:rPr>
      </w:pPr>
      <w:r>
        <w:rPr>
          <w:b/>
          <w:szCs w:val="24"/>
        </w:rPr>
        <w:t>场区地层</w:t>
      </w:r>
    </w:p>
    <w:p>
      <w:pPr>
        <w:pStyle w:val="5"/>
        <w:spacing w:line="500" w:lineRule="exact"/>
        <w:rPr>
          <w:szCs w:val="24"/>
        </w:rPr>
      </w:pPr>
      <w:r>
        <w:rPr>
          <w:szCs w:val="24"/>
        </w:rPr>
        <w:t>根据一期工程地下水专题报告，场地地层岩性自上而下为第四系素填土（Q）、淤泥质砂(Q4</w:t>
      </w:r>
      <w:r>
        <w:rPr>
          <w:szCs w:val="24"/>
          <w:vertAlign w:val="superscript"/>
        </w:rPr>
        <w:t>al</w:t>
      </w:r>
      <w:r>
        <w:rPr>
          <w:szCs w:val="24"/>
        </w:rPr>
        <w:t>)，下伏岩层为侏罗系中统（J</w:t>
      </w:r>
      <w:r>
        <w:rPr>
          <w:szCs w:val="24"/>
          <w:vertAlign w:val="subscript"/>
        </w:rPr>
        <w:t>2</w:t>
      </w:r>
      <w:r>
        <w:rPr>
          <w:szCs w:val="24"/>
        </w:rPr>
        <w:t>）砂岩夹粉砂岩，依钻探揭露，场地地基土层自上而下详细叙述如下：</w:t>
      </w:r>
    </w:p>
    <w:p>
      <w:pPr>
        <w:pStyle w:val="5"/>
        <w:spacing w:line="500" w:lineRule="exact"/>
        <w:rPr>
          <w:szCs w:val="24"/>
        </w:rPr>
      </w:pPr>
      <w:r>
        <w:rPr>
          <w:szCs w:val="24"/>
        </w:rPr>
        <w:t>1.第四系素填土（Q</w:t>
      </w:r>
      <w:r>
        <w:rPr>
          <w:szCs w:val="24"/>
          <w:vertAlign w:val="subscript"/>
        </w:rPr>
        <w:t>4</w:t>
      </w:r>
      <w:r>
        <w:rPr>
          <w:szCs w:val="24"/>
          <w:vertAlign w:val="superscript"/>
        </w:rPr>
        <w:t>ml</w:t>
      </w:r>
      <w:r>
        <w:rPr>
          <w:szCs w:val="24"/>
        </w:rPr>
        <w:t>）：玫红色、土黄色，稍湿～湿，稍密～中密状，成分由粉砂质泥岩碎块和粘土组成。场地内填土厚 1.50～8.90m；</w:t>
      </w:r>
    </w:p>
    <w:p>
      <w:pPr>
        <w:pStyle w:val="5"/>
        <w:spacing w:line="500" w:lineRule="exact"/>
        <w:rPr>
          <w:szCs w:val="24"/>
        </w:rPr>
      </w:pPr>
      <w:r>
        <w:rPr>
          <w:szCs w:val="24"/>
        </w:rPr>
        <w:t>2.第四系淤泥质砂（Q</w:t>
      </w:r>
      <w:r>
        <w:rPr>
          <w:szCs w:val="24"/>
          <w:vertAlign w:val="subscript"/>
        </w:rPr>
        <w:t>4</w:t>
      </w:r>
      <w:r>
        <w:rPr>
          <w:szCs w:val="24"/>
          <w:vertAlign w:val="superscript"/>
        </w:rPr>
        <w:t>al</w:t>
      </w:r>
      <w:r>
        <w:rPr>
          <w:szCs w:val="24"/>
        </w:rPr>
        <w:t>）：浅灰黑色，湿，成分主要为泥质，其次为砂，无摇振反应，韧性低，干强度低，刀切面粗糙；</w:t>
      </w:r>
    </w:p>
    <w:p>
      <w:pPr>
        <w:pStyle w:val="5"/>
        <w:spacing w:line="500" w:lineRule="exact"/>
        <w:rPr>
          <w:szCs w:val="24"/>
        </w:rPr>
      </w:pPr>
      <w:r>
        <w:rPr>
          <w:szCs w:val="24"/>
        </w:rPr>
        <w:t>3.侏罗系中统（J</w:t>
      </w:r>
      <w:r>
        <w:rPr>
          <w:szCs w:val="24"/>
          <w:vertAlign w:val="subscript"/>
        </w:rPr>
        <w:t>2</w:t>
      </w:r>
      <w:r>
        <w:rPr>
          <w:szCs w:val="24"/>
        </w:rPr>
        <w:t>）砂岩夹粉砂岩：该层岩性主要为玫红色，泥质粉砂结构，中层状状构造，主要成分为石英质砂矿物，岩芯较完整，多呈柱状，少量为碎块状。分布于整个调查区内。根据场地水文勘察钻孔资料，基岩埋深 11.0～20.0m。裂隙发育，该层为厂区下伏基岩。</w:t>
      </w:r>
    </w:p>
    <w:p>
      <w:pPr>
        <w:pStyle w:val="5"/>
        <w:numPr>
          <w:ilvl w:val="3"/>
          <w:numId w:val="25"/>
        </w:numPr>
        <w:spacing w:line="500" w:lineRule="exact"/>
        <w:ind w:left="0" w:firstLine="0"/>
        <w:outlineLvl w:val="3"/>
        <w:rPr>
          <w:b/>
          <w:szCs w:val="24"/>
        </w:rPr>
      </w:pPr>
      <w:r>
        <w:rPr>
          <w:b/>
          <w:szCs w:val="24"/>
        </w:rPr>
        <w:t>场区含水层及其渗透性</w:t>
      </w:r>
    </w:p>
    <w:p>
      <w:pPr>
        <w:pStyle w:val="5"/>
        <w:spacing w:line="500" w:lineRule="exact"/>
        <w:rPr>
          <w:szCs w:val="24"/>
        </w:rPr>
      </w:pPr>
      <w:r>
        <w:rPr>
          <w:szCs w:val="24"/>
        </w:rPr>
        <w:t>1、场地含水层</w:t>
      </w:r>
    </w:p>
    <w:p>
      <w:pPr>
        <w:pStyle w:val="5"/>
        <w:spacing w:line="500" w:lineRule="exact"/>
        <w:rPr>
          <w:szCs w:val="24"/>
        </w:rPr>
      </w:pPr>
      <w:r>
        <w:rPr>
          <w:szCs w:val="24"/>
        </w:rPr>
        <w:t>根据项目区水文地质特征场地含水层主要为松散岩类孔隙水。岩性主要为淤泥质砂，中等渗透性，该层含水量贫乏。</w:t>
      </w:r>
    </w:p>
    <w:p>
      <w:pPr>
        <w:pStyle w:val="5"/>
        <w:spacing w:line="500" w:lineRule="exact"/>
        <w:rPr>
          <w:szCs w:val="24"/>
        </w:rPr>
      </w:pPr>
      <w:r>
        <w:rPr>
          <w:szCs w:val="24"/>
        </w:rPr>
        <w:t>下伏基岩为侏罗系中统（J</w:t>
      </w:r>
      <w:r>
        <w:rPr>
          <w:szCs w:val="24"/>
          <w:vertAlign w:val="subscript"/>
        </w:rPr>
        <w:t>2</w:t>
      </w:r>
      <w:r>
        <w:rPr>
          <w:szCs w:val="24"/>
        </w:rPr>
        <w:t>）：砂岩夹粉砂岩，含构造裂隙水，透水性能差，埋深较大，为相对隔水层。</w:t>
      </w:r>
    </w:p>
    <w:p>
      <w:pPr>
        <w:pStyle w:val="5"/>
        <w:spacing w:line="500" w:lineRule="exact"/>
        <w:rPr>
          <w:szCs w:val="24"/>
        </w:rPr>
      </w:pPr>
      <w:r>
        <w:rPr>
          <w:szCs w:val="24"/>
        </w:rPr>
        <w:t>2、渗透性</w:t>
      </w:r>
    </w:p>
    <w:p>
      <w:pPr>
        <w:pStyle w:val="5"/>
        <w:spacing w:line="500" w:lineRule="exact"/>
        <w:rPr>
          <w:szCs w:val="24"/>
        </w:rPr>
      </w:pPr>
      <w:r>
        <w:rPr>
          <w:szCs w:val="24"/>
        </w:rPr>
        <w:t>本项目区的包气带主要由第四系素填土及淤泥质砂地层组成。</w:t>
      </w:r>
    </w:p>
    <w:p>
      <w:pPr>
        <w:pStyle w:val="5"/>
        <w:spacing w:line="500" w:lineRule="exact"/>
        <w:rPr>
          <w:szCs w:val="24"/>
        </w:rPr>
      </w:pPr>
      <w:r>
        <w:rPr>
          <w:szCs w:val="24"/>
        </w:rPr>
        <w:t>根据现场双环试坑渗水实验及类似场地经验值可知，项目区及周围包气带素填土渗透系数取值 6.34×10</w:t>
      </w:r>
      <w:r>
        <w:rPr>
          <w:szCs w:val="24"/>
          <w:vertAlign w:val="superscript"/>
        </w:rPr>
        <w:t>-3</w:t>
      </w:r>
      <w:r>
        <w:rPr>
          <w:szCs w:val="24"/>
        </w:rPr>
        <w:t>cm/s，为中等透水性；淤泥质砂渗透系数取值 2.07×10</w:t>
      </w:r>
      <w:r>
        <w:rPr>
          <w:szCs w:val="24"/>
          <w:vertAlign w:val="superscript"/>
        </w:rPr>
        <w:t>-3</w:t>
      </w:r>
      <w:r>
        <w:rPr>
          <w:szCs w:val="24"/>
        </w:rPr>
        <w:t>cm/s，为中等透水性。</w:t>
      </w:r>
    </w:p>
    <w:p>
      <w:pPr>
        <w:pStyle w:val="5"/>
        <w:numPr>
          <w:ilvl w:val="3"/>
          <w:numId w:val="25"/>
        </w:numPr>
        <w:spacing w:line="500" w:lineRule="exact"/>
        <w:ind w:left="0" w:firstLine="0"/>
        <w:outlineLvl w:val="3"/>
        <w:rPr>
          <w:b/>
          <w:szCs w:val="24"/>
        </w:rPr>
      </w:pPr>
      <w:r>
        <w:rPr>
          <w:b/>
          <w:szCs w:val="24"/>
        </w:rPr>
        <w:t>场区地下水补给径流及其排泄条件</w:t>
      </w:r>
    </w:p>
    <w:p>
      <w:pPr>
        <w:pStyle w:val="5"/>
        <w:spacing w:line="500" w:lineRule="exact"/>
        <w:rPr>
          <w:szCs w:val="24"/>
        </w:rPr>
      </w:pPr>
      <w:r>
        <w:rPr>
          <w:szCs w:val="24"/>
        </w:rPr>
        <w:t>场区地下水主要受降水补给，以及在海水涨潮时一定程度上接受海水补给。区内以滨海滩涂地貌为主，现状为填海区，地势较平坦，上部覆盖层透水性中等，植被稀疏，不利于地下水的聚集，补给条件中等。</w:t>
      </w:r>
    </w:p>
    <w:p>
      <w:pPr>
        <w:pStyle w:val="5"/>
        <w:spacing w:line="500" w:lineRule="exact"/>
        <w:rPr>
          <w:szCs w:val="24"/>
        </w:rPr>
      </w:pPr>
      <w:r>
        <w:rPr>
          <w:szCs w:val="24"/>
        </w:rPr>
        <w:t>场区地下水主要赋存并运移于松散岩类孔隙中，地下水在含水层中通常作层状渗流运动，其地下水流向与地形基本一致，地下水流向受地形控制，总体自西北向东南方向径流、排泄。场区地下水由填海区高地以散流形式就近汇入东南侧鹿耳环江中，最终汇入钦州湾海域。</w:t>
      </w:r>
    </w:p>
    <w:p>
      <w:pPr>
        <w:pStyle w:val="5"/>
        <w:spacing w:line="500" w:lineRule="exact"/>
        <w:rPr>
          <w:szCs w:val="24"/>
        </w:rPr>
      </w:pPr>
      <w:r>
        <w:rPr>
          <w:szCs w:val="24"/>
        </w:rPr>
        <w:t>评价区含水层埋藏较浅，补迳排条件清晰，地下水类型较单一，水文地质条件较为简单。</w:t>
      </w:r>
    </w:p>
    <w:p>
      <w:pPr>
        <w:pStyle w:val="5"/>
        <w:numPr>
          <w:ilvl w:val="3"/>
          <w:numId w:val="25"/>
        </w:numPr>
        <w:spacing w:line="500" w:lineRule="exact"/>
        <w:ind w:left="0" w:firstLine="0"/>
        <w:outlineLvl w:val="3"/>
        <w:rPr>
          <w:b/>
          <w:szCs w:val="24"/>
        </w:rPr>
      </w:pPr>
      <w:bookmarkStart w:id="319" w:name="_Hlk69863668"/>
      <w:r>
        <w:rPr>
          <w:b/>
          <w:szCs w:val="24"/>
        </w:rPr>
        <w:t>预测方法</w:t>
      </w:r>
    </w:p>
    <w:p>
      <w:pPr>
        <w:autoSpaceDE w:val="0"/>
        <w:autoSpaceDN w:val="0"/>
        <w:adjustRightInd w:val="0"/>
        <w:spacing w:line="500" w:lineRule="exact"/>
        <w:ind w:firstLine="450" w:firstLineChars="200"/>
        <w:rPr>
          <w:rFonts w:ascii="Arial" w:hAnsi="Arial" w:eastAsia="宋体" w:cs="Arial"/>
          <w:sz w:val="24"/>
        </w:rPr>
      </w:pPr>
      <w:r>
        <w:rPr>
          <w:rFonts w:ascii="Arial" w:hAnsi="Arial" w:eastAsia="宋体" w:cs="Arial"/>
          <w:sz w:val="24"/>
        </w:rPr>
        <w:t>1、一维无限长多孔介质柱体，示踪剂瞬时注入</w:t>
      </w:r>
    </w:p>
    <w:p>
      <w:pPr>
        <w:autoSpaceDE w:val="0"/>
        <w:autoSpaceDN w:val="0"/>
        <w:adjustRightInd w:val="0"/>
        <w:ind w:firstLine="530" w:firstLineChars="200"/>
        <w:rPr>
          <w:rFonts w:ascii="Arial" w:hAnsi="Arial" w:eastAsia="宋体" w:cs="Arial"/>
          <w:sz w:val="24"/>
        </w:rPr>
      </w:pPr>
      <w:r>
        <w:rPr>
          <w:rFonts w:ascii="Arial" w:hAnsi="Arial" w:cs="Arial"/>
        </w:rPr>
        <w:drawing>
          <wp:inline distT="0" distB="0" distL="114300" distR="114300">
            <wp:extent cx="2094865" cy="576580"/>
            <wp:effectExtent l="0" t="0" r="635" b="13970"/>
            <wp:docPr id="33"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4"/>
                    <pic:cNvPicPr>
                      <a:picLocks noChangeAspect="1"/>
                    </pic:cNvPicPr>
                  </pic:nvPicPr>
                  <pic:blipFill>
                    <a:blip r:embed="rId49"/>
                    <a:stretch>
                      <a:fillRect/>
                    </a:stretch>
                  </pic:blipFill>
                  <pic:spPr>
                    <a:xfrm>
                      <a:off x="0" y="0"/>
                      <a:ext cx="2094865" cy="576580"/>
                    </a:xfrm>
                    <a:prstGeom prst="rect">
                      <a:avLst/>
                    </a:prstGeom>
                    <a:noFill/>
                    <a:ln>
                      <a:noFill/>
                    </a:ln>
                  </pic:spPr>
                </pic:pic>
              </a:graphicData>
            </a:graphic>
          </wp:inline>
        </w:drawing>
      </w:r>
    </w:p>
    <w:p>
      <w:pPr>
        <w:autoSpaceDE w:val="0"/>
        <w:autoSpaceDN w:val="0"/>
        <w:adjustRightInd w:val="0"/>
        <w:spacing w:line="500" w:lineRule="exact"/>
        <w:ind w:firstLine="225" w:firstLineChars="100"/>
        <w:rPr>
          <w:rFonts w:ascii="Arial" w:hAnsi="Arial" w:eastAsia="宋体" w:cs="Arial"/>
          <w:sz w:val="24"/>
        </w:rPr>
      </w:pPr>
      <w:r>
        <w:rPr>
          <w:rFonts w:ascii="Arial" w:hAnsi="Arial" w:eastAsia="宋体" w:cs="Arial"/>
          <w:sz w:val="24"/>
        </w:rPr>
        <w:t>式中：X——距注入点的距离，m；</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t——时间，d；</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C(x，t)——t时刻x处的示踪剂浓度，g/L；</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m——注入的示踪剂质量，kg；</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w——横截面面积，m</w:t>
      </w:r>
      <w:r>
        <w:rPr>
          <w:rFonts w:ascii="Arial" w:hAnsi="Arial" w:eastAsia="宋体" w:cs="Arial"/>
          <w:sz w:val="24"/>
          <w:vertAlign w:val="superscript"/>
        </w:rPr>
        <w:t>2</w:t>
      </w:r>
      <w:r>
        <w:rPr>
          <w:rFonts w:ascii="Arial" w:hAnsi="Arial" w:eastAsia="宋体" w:cs="Arial"/>
          <w:sz w:val="24"/>
        </w:rPr>
        <w:t>；</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u——水流速度，m/d；</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n</w:t>
      </w:r>
      <w:r>
        <w:rPr>
          <w:rFonts w:ascii="Arial" w:hAnsi="Arial" w:eastAsia="宋体" w:cs="Arial"/>
          <w:sz w:val="24"/>
          <w:vertAlign w:val="subscript"/>
        </w:rPr>
        <w:t>e</w:t>
      </w:r>
      <w:r>
        <w:rPr>
          <w:rFonts w:ascii="Arial" w:hAnsi="Arial" w:eastAsia="宋体" w:cs="Arial"/>
          <w:sz w:val="24"/>
        </w:rPr>
        <w:t>——有效孔隙度，无量纲；</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D</w:t>
      </w:r>
      <w:r>
        <w:rPr>
          <w:rFonts w:ascii="Arial" w:hAnsi="Arial" w:eastAsia="宋体" w:cs="Arial"/>
          <w:sz w:val="24"/>
          <w:vertAlign w:val="subscript"/>
        </w:rPr>
        <w:t>L</w:t>
      </w:r>
      <w:r>
        <w:rPr>
          <w:rFonts w:ascii="Arial" w:hAnsi="Arial" w:eastAsia="宋体" w:cs="Arial"/>
          <w:sz w:val="24"/>
        </w:rPr>
        <w:t>——纵向弥散系数，m</w:t>
      </w:r>
      <w:r>
        <w:rPr>
          <w:rFonts w:ascii="Arial" w:hAnsi="Arial" w:eastAsia="宋体" w:cs="Arial"/>
          <w:sz w:val="24"/>
          <w:vertAlign w:val="superscript"/>
        </w:rPr>
        <w:t>2</w:t>
      </w:r>
      <w:r>
        <w:rPr>
          <w:rFonts w:ascii="Arial" w:hAnsi="Arial" w:eastAsia="宋体" w:cs="Arial"/>
          <w:sz w:val="24"/>
        </w:rPr>
        <w:t>/d；</w:t>
      </w:r>
    </w:p>
    <w:p>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π——圆周率。</w:t>
      </w:r>
    </w:p>
    <w:p>
      <w:pPr>
        <w:autoSpaceDE w:val="0"/>
        <w:autoSpaceDN w:val="0"/>
        <w:adjustRightInd w:val="0"/>
        <w:spacing w:line="500" w:lineRule="exact"/>
        <w:ind w:firstLine="450" w:firstLineChars="200"/>
        <w:rPr>
          <w:rFonts w:ascii="Arial" w:hAnsi="Arial" w:eastAsia="宋体" w:cs="Arial"/>
          <w:sz w:val="24"/>
        </w:rPr>
      </w:pPr>
      <w:r>
        <w:rPr>
          <w:rFonts w:ascii="Arial" w:hAnsi="Arial" w:eastAsia="宋体" w:cs="Arial"/>
          <w:sz w:val="24"/>
        </w:rPr>
        <w:t>2、一维半无限长多孔介质柱体，一端为定浓度边界</w:t>
      </w:r>
    </w:p>
    <w:p>
      <w:pPr>
        <w:spacing w:line="360" w:lineRule="auto"/>
        <w:ind w:firstLine="570"/>
        <w:rPr>
          <w:rFonts w:ascii="Arial" w:hAnsi="Arial" w:eastAsia="宋体" w:cs="Arial"/>
          <w:sz w:val="24"/>
        </w:rPr>
      </w:pPr>
      <w:r>
        <w:rPr>
          <w:rFonts w:ascii="Arial" w:hAnsi="Arial" w:cs="Arial"/>
        </w:rPr>
        <w:drawing>
          <wp:inline distT="0" distB="0" distL="114300" distR="114300">
            <wp:extent cx="2628900" cy="511810"/>
            <wp:effectExtent l="0" t="0" r="0" b="2540"/>
            <wp:docPr id="3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53"/>
                    <pic:cNvPicPr>
                      <a:picLocks noChangeAspect="1"/>
                    </pic:cNvPicPr>
                  </pic:nvPicPr>
                  <pic:blipFill>
                    <a:blip r:embed="rId50"/>
                    <a:stretch>
                      <a:fillRect/>
                    </a:stretch>
                  </pic:blipFill>
                  <pic:spPr>
                    <a:xfrm>
                      <a:off x="0" y="0"/>
                      <a:ext cx="2628900" cy="511810"/>
                    </a:xfrm>
                    <a:prstGeom prst="rect">
                      <a:avLst/>
                    </a:prstGeom>
                    <a:noFill/>
                    <a:ln>
                      <a:noFill/>
                    </a:ln>
                  </pic:spPr>
                </pic:pic>
              </a:graphicData>
            </a:graphic>
          </wp:inline>
        </w:drawing>
      </w:r>
    </w:p>
    <w:p>
      <w:pPr>
        <w:spacing w:line="500" w:lineRule="exact"/>
        <w:ind w:firstLine="225" w:firstLineChars="100"/>
        <w:rPr>
          <w:rFonts w:ascii="Arial" w:hAnsi="Arial" w:eastAsia="宋体" w:cs="Arial"/>
          <w:sz w:val="24"/>
        </w:rPr>
      </w:pPr>
      <w:r>
        <w:rPr>
          <w:rFonts w:ascii="Arial" w:hAnsi="Arial" w:eastAsia="宋体" w:cs="Arial"/>
          <w:sz w:val="24"/>
        </w:rPr>
        <w:t>式中：C（x，t）——t 时刻x 处的污染物浓度（mg/L）；</w:t>
      </w:r>
    </w:p>
    <w:p>
      <w:pPr>
        <w:spacing w:line="500" w:lineRule="exact"/>
        <w:ind w:firstLine="983" w:firstLineChars="437"/>
        <w:rPr>
          <w:rFonts w:ascii="Arial" w:hAnsi="Arial" w:eastAsia="宋体" w:cs="Arial"/>
          <w:sz w:val="24"/>
        </w:rPr>
      </w:pPr>
      <w:r>
        <w:rPr>
          <w:rFonts w:ascii="Arial" w:hAnsi="Arial" w:eastAsia="宋体" w:cs="Arial"/>
          <w:sz w:val="24"/>
        </w:rPr>
        <w:t>X——距注入点的距离（m）；</w:t>
      </w:r>
    </w:p>
    <w:p>
      <w:pPr>
        <w:spacing w:line="500" w:lineRule="exact"/>
        <w:ind w:firstLine="983" w:firstLineChars="437"/>
        <w:rPr>
          <w:rFonts w:ascii="Arial" w:hAnsi="Arial" w:eastAsia="宋体" w:cs="Arial"/>
          <w:sz w:val="24"/>
        </w:rPr>
      </w:pPr>
      <w:r>
        <w:rPr>
          <w:rFonts w:ascii="Arial" w:hAnsi="Arial" w:eastAsia="宋体" w:cs="Arial"/>
          <w:sz w:val="24"/>
        </w:rPr>
        <w:t>t——时间（d）；</w:t>
      </w:r>
    </w:p>
    <w:p>
      <w:pPr>
        <w:spacing w:line="500" w:lineRule="exact"/>
        <w:ind w:firstLine="983" w:firstLineChars="437"/>
        <w:rPr>
          <w:rFonts w:ascii="Arial" w:hAnsi="Arial" w:eastAsia="宋体" w:cs="Arial"/>
          <w:sz w:val="24"/>
        </w:rPr>
      </w:pPr>
      <w:r>
        <w:rPr>
          <w:rFonts w:ascii="Arial" w:hAnsi="Arial" w:eastAsia="宋体" w:cs="Arial"/>
          <w:sz w:val="24"/>
        </w:rPr>
        <w:t>C</w:t>
      </w:r>
      <w:r>
        <w:rPr>
          <w:rFonts w:ascii="Arial" w:hAnsi="Arial" w:eastAsia="宋体" w:cs="Arial"/>
          <w:sz w:val="24"/>
          <w:vertAlign w:val="subscript"/>
        </w:rPr>
        <w:t>0</w:t>
      </w:r>
      <w:r>
        <w:rPr>
          <w:rFonts w:ascii="Arial" w:hAnsi="Arial" w:eastAsia="宋体" w:cs="Arial"/>
          <w:sz w:val="24"/>
        </w:rPr>
        <w:t>——注入的示踪剂浓度（g/L）；</w:t>
      </w:r>
    </w:p>
    <w:p>
      <w:pPr>
        <w:spacing w:line="500" w:lineRule="exact"/>
        <w:ind w:firstLine="983" w:firstLineChars="437"/>
        <w:rPr>
          <w:rFonts w:ascii="Arial" w:hAnsi="Arial" w:eastAsia="宋体" w:cs="Arial"/>
          <w:sz w:val="24"/>
        </w:rPr>
      </w:pPr>
      <w:r>
        <w:rPr>
          <w:rFonts w:ascii="Arial" w:hAnsi="Arial" w:eastAsia="宋体" w:cs="Arial"/>
          <w:sz w:val="24"/>
        </w:rPr>
        <w:t>u——水流速度（m/d）；</w:t>
      </w:r>
    </w:p>
    <w:p>
      <w:pPr>
        <w:spacing w:line="500" w:lineRule="exact"/>
        <w:ind w:firstLine="983" w:firstLineChars="437"/>
        <w:rPr>
          <w:rFonts w:ascii="Arial" w:hAnsi="Arial" w:eastAsia="宋体" w:cs="Arial"/>
          <w:sz w:val="24"/>
        </w:rPr>
      </w:pPr>
      <w:r>
        <w:rPr>
          <w:rFonts w:ascii="Arial" w:hAnsi="Arial" w:eastAsia="宋体" w:cs="Arial"/>
          <w:sz w:val="24"/>
        </w:rPr>
        <w:t>D</w:t>
      </w:r>
      <w:r>
        <w:rPr>
          <w:rFonts w:ascii="Arial" w:hAnsi="Arial" w:eastAsia="宋体" w:cs="Arial"/>
          <w:sz w:val="24"/>
          <w:vertAlign w:val="subscript"/>
        </w:rPr>
        <w:t>L</w:t>
      </w:r>
      <w:r>
        <w:rPr>
          <w:rFonts w:ascii="Arial" w:hAnsi="Arial" w:eastAsia="宋体" w:cs="Arial"/>
          <w:sz w:val="24"/>
        </w:rPr>
        <w:t>——纵向弥散系数（m</w:t>
      </w:r>
      <w:r>
        <w:rPr>
          <w:rFonts w:ascii="Arial" w:hAnsi="Arial" w:eastAsia="宋体" w:cs="Arial"/>
          <w:sz w:val="24"/>
          <w:vertAlign w:val="superscript"/>
        </w:rPr>
        <w:t>2</w:t>
      </w:r>
      <w:r>
        <w:rPr>
          <w:rFonts w:ascii="Arial" w:hAnsi="Arial" w:eastAsia="宋体" w:cs="Arial"/>
          <w:sz w:val="24"/>
        </w:rPr>
        <w:t>/d）；</w:t>
      </w:r>
    </w:p>
    <w:p>
      <w:pPr>
        <w:autoSpaceDE w:val="0"/>
        <w:autoSpaceDN w:val="0"/>
        <w:adjustRightInd w:val="0"/>
        <w:spacing w:line="500" w:lineRule="exact"/>
        <w:ind w:firstLine="983" w:firstLineChars="437"/>
        <w:rPr>
          <w:rFonts w:ascii="Arial" w:hAnsi="Arial" w:eastAsia="宋体" w:cs="Arial"/>
          <w:kern w:val="0"/>
          <w:sz w:val="24"/>
          <w:szCs w:val="22"/>
        </w:rPr>
      </w:pPr>
      <w:r>
        <w:rPr>
          <w:rFonts w:ascii="Arial" w:hAnsi="Arial" w:eastAsia="宋体" w:cs="Arial"/>
          <w:sz w:val="24"/>
        </w:rPr>
        <w:t>erfc（）——余误差函数。</w:t>
      </w:r>
    </w:p>
    <w:p>
      <w:pPr>
        <w:pStyle w:val="5"/>
        <w:numPr>
          <w:ilvl w:val="3"/>
          <w:numId w:val="25"/>
        </w:numPr>
        <w:spacing w:line="500" w:lineRule="exact"/>
        <w:ind w:left="0" w:firstLine="0"/>
        <w:outlineLvl w:val="3"/>
        <w:rPr>
          <w:b/>
          <w:szCs w:val="24"/>
          <w:u w:val="single"/>
        </w:rPr>
      </w:pPr>
      <w:r>
        <w:rPr>
          <w:b/>
          <w:szCs w:val="24"/>
          <w:u w:val="single"/>
        </w:rPr>
        <w:t>水文地质参数</w:t>
      </w:r>
    </w:p>
    <w:p>
      <w:pPr>
        <w:pStyle w:val="5"/>
        <w:spacing w:line="500" w:lineRule="exact"/>
        <w:rPr>
          <w:szCs w:val="24"/>
          <w:u w:val="single"/>
        </w:rPr>
      </w:pPr>
      <w:r>
        <w:rPr>
          <w:szCs w:val="24"/>
          <w:u w:val="single"/>
        </w:rPr>
        <w:t>根据《广西中伟新能源科技有限公司北部湾产业基地三元项目（一期一阶段）地下水环境影响评价专题报告》（广西富吉工程技术有限公司，2021年5月），预测参数根据实地调查及收集区域资料选取。项目所在区域水文地质参数见表4-2</w:t>
      </w:r>
      <w:r>
        <w:rPr>
          <w:rFonts w:hint="eastAsia"/>
          <w:szCs w:val="24"/>
          <w:u w:val="single"/>
        </w:rPr>
        <w:t>4</w:t>
      </w:r>
      <w:r>
        <w:rPr>
          <w:szCs w:val="24"/>
          <w:u w:val="single"/>
        </w:rPr>
        <w:t>。</w:t>
      </w:r>
    </w:p>
    <w:p>
      <w:pPr>
        <w:pStyle w:val="5"/>
        <w:spacing w:line="500" w:lineRule="exact"/>
        <w:rPr>
          <w:szCs w:val="24"/>
          <w:u w:val="single"/>
        </w:rPr>
      </w:pPr>
    </w:p>
    <w:p>
      <w:pPr>
        <w:keepNext/>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水文地质评价参数表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843"/>
        <w:gridCol w:w="986"/>
        <w:gridCol w:w="986"/>
        <w:gridCol w:w="835"/>
        <w:gridCol w:w="1139"/>
        <w:gridCol w:w="1101"/>
        <w:gridCol w:w="995"/>
        <w:gridCol w:w="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4" w:type="dxa"/>
            <w:vMerge w:val="restart"/>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岩土层</w:t>
            </w:r>
          </w:p>
        </w:tc>
        <w:tc>
          <w:tcPr>
            <w:tcW w:w="843" w:type="dxa"/>
            <w:vMerge w:val="restart"/>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岩组代号</w:t>
            </w:r>
          </w:p>
        </w:tc>
        <w:tc>
          <w:tcPr>
            <w:tcW w:w="986"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水平渗透系数K</w:t>
            </w:r>
          </w:p>
        </w:tc>
        <w:tc>
          <w:tcPr>
            <w:tcW w:w="986"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流速V</w:t>
            </w:r>
          </w:p>
        </w:tc>
        <w:tc>
          <w:tcPr>
            <w:tcW w:w="835"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入渗系数a</w:t>
            </w:r>
          </w:p>
        </w:tc>
        <w:tc>
          <w:tcPr>
            <w:tcW w:w="1139"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纵向弥散系数DL</w:t>
            </w:r>
          </w:p>
        </w:tc>
        <w:tc>
          <w:tcPr>
            <w:tcW w:w="1101"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横向弥散系数DT</w:t>
            </w:r>
          </w:p>
        </w:tc>
        <w:tc>
          <w:tcPr>
            <w:tcW w:w="995"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平均水力坡度I</w:t>
            </w:r>
          </w:p>
        </w:tc>
        <w:tc>
          <w:tcPr>
            <w:tcW w:w="864" w:type="dxa"/>
            <w:tcBorders>
              <w:top w:val="single" w:color="auto" w:sz="4" w:space="0"/>
            </w:tcBorders>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孔隙率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4" w:type="dxa"/>
            <w:vMerge w:val="continue"/>
            <w:vAlign w:val="center"/>
          </w:tcPr>
          <w:p>
            <w:pPr>
              <w:adjustRightInd w:val="0"/>
              <w:snapToGrid w:val="0"/>
              <w:jc w:val="center"/>
              <w:rPr>
                <w:rFonts w:ascii="Arial" w:hAnsi="Arial" w:eastAsia="宋体" w:cs="Arial"/>
                <w:sz w:val="21"/>
                <w:szCs w:val="21"/>
                <w:u w:val="single"/>
              </w:rPr>
            </w:pPr>
          </w:p>
        </w:tc>
        <w:tc>
          <w:tcPr>
            <w:tcW w:w="843" w:type="dxa"/>
            <w:vMerge w:val="continue"/>
            <w:vAlign w:val="center"/>
          </w:tcPr>
          <w:p>
            <w:pPr>
              <w:adjustRightInd w:val="0"/>
              <w:snapToGrid w:val="0"/>
              <w:jc w:val="center"/>
              <w:rPr>
                <w:rFonts w:ascii="Arial" w:hAnsi="Arial" w:eastAsia="宋体" w:cs="Arial"/>
                <w:sz w:val="21"/>
                <w:szCs w:val="21"/>
                <w:u w:val="single"/>
              </w:rPr>
            </w:pPr>
          </w:p>
        </w:tc>
        <w:tc>
          <w:tcPr>
            <w:tcW w:w="9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m/d</w:t>
            </w:r>
          </w:p>
        </w:tc>
        <w:tc>
          <w:tcPr>
            <w:tcW w:w="98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m/d</w:t>
            </w:r>
          </w:p>
        </w:tc>
        <w:tc>
          <w:tcPr>
            <w:tcW w:w="835"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c>
          <w:tcPr>
            <w:tcW w:w="1139"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w:t>
            </w:r>
            <w:r>
              <w:rPr>
                <w:rFonts w:ascii="Arial" w:hAnsi="Arial" w:eastAsia="宋体" w:cs="Arial"/>
                <w:sz w:val="21"/>
                <w:szCs w:val="21"/>
                <w:u w:val="single"/>
                <w:vertAlign w:val="superscript"/>
              </w:rPr>
              <w:t>2</w:t>
            </w:r>
            <w:r>
              <w:rPr>
                <w:rFonts w:ascii="Arial" w:hAnsi="Arial" w:eastAsia="宋体" w:cs="Arial"/>
                <w:sz w:val="21"/>
                <w:szCs w:val="21"/>
                <w:u w:val="single"/>
              </w:rPr>
              <w:t>/d</w:t>
            </w:r>
          </w:p>
        </w:tc>
        <w:tc>
          <w:tcPr>
            <w:tcW w:w="1101"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w:t>
            </w:r>
            <w:r>
              <w:rPr>
                <w:rFonts w:ascii="Arial" w:hAnsi="Arial" w:eastAsia="宋体" w:cs="Arial"/>
                <w:sz w:val="21"/>
                <w:szCs w:val="21"/>
                <w:u w:val="single"/>
                <w:vertAlign w:val="superscript"/>
              </w:rPr>
              <w:t>2</w:t>
            </w:r>
            <w:r>
              <w:rPr>
                <w:rFonts w:ascii="Arial" w:hAnsi="Arial" w:eastAsia="宋体" w:cs="Arial"/>
                <w:sz w:val="21"/>
                <w:szCs w:val="21"/>
                <w:u w:val="single"/>
              </w:rPr>
              <w:t>/d</w:t>
            </w:r>
          </w:p>
        </w:tc>
        <w:tc>
          <w:tcPr>
            <w:tcW w:w="995"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c>
          <w:tcPr>
            <w:tcW w:w="864"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素填土</w:t>
            </w:r>
          </w:p>
        </w:tc>
        <w:tc>
          <w:tcPr>
            <w:tcW w:w="843"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Q</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5.48</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0.07</w:t>
            </w:r>
          </w:p>
        </w:tc>
        <w:tc>
          <w:tcPr>
            <w:tcW w:w="83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0.20</w:t>
            </w:r>
          </w:p>
        </w:tc>
        <w:tc>
          <w:tcPr>
            <w:tcW w:w="1139"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1.0</w:t>
            </w:r>
          </w:p>
        </w:tc>
        <w:tc>
          <w:tcPr>
            <w:tcW w:w="1101"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0.1</w:t>
            </w:r>
          </w:p>
        </w:tc>
        <w:tc>
          <w:tcPr>
            <w:tcW w:w="99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0.4</w:t>
            </w:r>
          </w:p>
        </w:tc>
        <w:tc>
          <w:tcPr>
            <w:tcW w:w="86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淤泥质砂</w:t>
            </w:r>
          </w:p>
        </w:tc>
        <w:tc>
          <w:tcPr>
            <w:tcW w:w="843"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Q</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1.79</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0.029</w:t>
            </w:r>
          </w:p>
        </w:tc>
        <w:tc>
          <w:tcPr>
            <w:tcW w:w="83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0.18</w:t>
            </w:r>
          </w:p>
        </w:tc>
        <w:tc>
          <w:tcPr>
            <w:tcW w:w="1139"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2.0</w:t>
            </w:r>
          </w:p>
        </w:tc>
        <w:tc>
          <w:tcPr>
            <w:tcW w:w="1101"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0.2</w:t>
            </w:r>
          </w:p>
        </w:tc>
        <w:tc>
          <w:tcPr>
            <w:tcW w:w="99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0.4</w:t>
            </w:r>
          </w:p>
        </w:tc>
        <w:tc>
          <w:tcPr>
            <w:tcW w:w="86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4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泥质粉砂岩</w:t>
            </w:r>
          </w:p>
        </w:tc>
        <w:tc>
          <w:tcPr>
            <w:tcW w:w="843" w:type="dxa"/>
            <w:vAlign w:val="center"/>
          </w:tcPr>
          <w:p>
            <w:pPr>
              <w:pStyle w:val="942"/>
              <w:adjustRightInd w:val="0"/>
              <w:snapToGrid w:val="0"/>
              <w:jc w:val="center"/>
              <w:rPr>
                <w:rFonts w:ascii="Arial" w:hAnsi="Arial" w:cs="Arial"/>
                <w:sz w:val="21"/>
                <w:szCs w:val="21"/>
                <w:u w:val="single"/>
                <w:lang w:eastAsia="zh-CN"/>
              </w:rPr>
            </w:pPr>
            <w:r>
              <w:rPr>
                <w:rFonts w:ascii="Arial" w:hAnsi="Arial" w:cs="Arial"/>
                <w:sz w:val="21"/>
                <w:szCs w:val="21"/>
                <w:u w:val="single"/>
              </w:rPr>
              <w:t>S</w:t>
            </w:r>
            <w:r>
              <w:rPr>
                <w:rFonts w:ascii="Arial" w:hAnsi="Arial" w:cs="Arial"/>
                <w:position w:val="-2"/>
                <w:sz w:val="21"/>
                <w:szCs w:val="21"/>
                <w:u w:val="single"/>
                <w:vertAlign w:val="subscript"/>
              </w:rPr>
              <w:t>1</w:t>
            </w:r>
            <w:r>
              <w:rPr>
                <w:rFonts w:ascii="Arial" w:hAnsi="Arial" w:cs="Arial"/>
                <w:sz w:val="21"/>
                <w:szCs w:val="21"/>
                <w:u w:val="single"/>
              </w:rPr>
              <w:t>ln</w:t>
            </w:r>
            <w:r>
              <w:rPr>
                <w:rFonts w:ascii="Arial" w:hAnsi="Arial" w:cs="Arial"/>
                <w:sz w:val="21"/>
                <w:szCs w:val="21"/>
                <w:u w:val="single"/>
                <w:vertAlign w:val="superscript"/>
              </w:rPr>
              <w:t>C</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0.13</w:t>
            </w:r>
          </w:p>
        </w:tc>
        <w:tc>
          <w:tcPr>
            <w:tcW w:w="986"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0.01</w:t>
            </w:r>
          </w:p>
        </w:tc>
        <w:tc>
          <w:tcPr>
            <w:tcW w:w="83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0.30</w:t>
            </w:r>
          </w:p>
        </w:tc>
        <w:tc>
          <w:tcPr>
            <w:tcW w:w="1139"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2.0</w:t>
            </w:r>
          </w:p>
        </w:tc>
        <w:tc>
          <w:tcPr>
            <w:tcW w:w="1101"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0.2</w:t>
            </w:r>
          </w:p>
        </w:tc>
        <w:tc>
          <w:tcPr>
            <w:tcW w:w="995"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0.8</w:t>
            </w:r>
          </w:p>
        </w:tc>
        <w:tc>
          <w:tcPr>
            <w:tcW w:w="864" w:type="dxa"/>
            <w:vAlign w:val="center"/>
          </w:tcPr>
          <w:p>
            <w:pPr>
              <w:pStyle w:val="942"/>
              <w:adjustRightInd w:val="0"/>
              <w:snapToGrid w:val="0"/>
              <w:jc w:val="center"/>
              <w:rPr>
                <w:rFonts w:ascii="Arial" w:hAnsi="Arial" w:cs="Arial"/>
                <w:sz w:val="21"/>
                <w:szCs w:val="21"/>
                <w:u w:val="single"/>
              </w:rPr>
            </w:pPr>
            <w:r>
              <w:rPr>
                <w:rFonts w:ascii="Arial" w:hAnsi="Arial" w:cs="Arial"/>
                <w:sz w:val="21"/>
                <w:szCs w:val="21"/>
                <w:u w:val="single"/>
              </w:rPr>
              <w:t>/</w:t>
            </w:r>
          </w:p>
        </w:tc>
      </w:tr>
    </w:tbl>
    <w:p>
      <w:pPr>
        <w:pStyle w:val="5"/>
        <w:spacing w:line="500" w:lineRule="exact"/>
        <w:rPr>
          <w:szCs w:val="24"/>
          <w:u w:val="single"/>
        </w:rPr>
      </w:pPr>
      <w:r>
        <w:rPr>
          <w:szCs w:val="24"/>
          <w:u w:val="single"/>
        </w:rPr>
        <w:t>结合场地内地下水类型，场地内潜水含水层以松散岩类孔隙水为主，因此预测目标含水层为赋存于淤泥质砂中的松散岩类孔隙水。预测参数取上表中淤泥质砂水文地质参数。</w:t>
      </w:r>
    </w:p>
    <w:p>
      <w:pPr>
        <w:pStyle w:val="5"/>
        <w:numPr>
          <w:ilvl w:val="3"/>
          <w:numId w:val="25"/>
        </w:numPr>
        <w:spacing w:line="500" w:lineRule="exact"/>
        <w:ind w:left="0" w:firstLine="0"/>
        <w:outlineLvl w:val="3"/>
        <w:rPr>
          <w:b/>
          <w:szCs w:val="24"/>
        </w:rPr>
      </w:pPr>
      <w:r>
        <w:rPr>
          <w:b/>
          <w:szCs w:val="24"/>
        </w:rPr>
        <w:t>情景设定</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1、预测时间</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污水对地下水的影响是无意间排放的，加之地下水隔水性能的差异性、含水层、地层分布的各向异性等原因，对地下水的预测只能建立在人为的假设基础之上，预测不同情况下的污染变化。根据导则，预测时间按拟建项目运行期间的相关时间段进行，</w:t>
      </w:r>
      <w:r>
        <w:rPr>
          <w:rFonts w:ascii="Arial" w:hAnsi="Arial" w:eastAsia="宋体" w:cs="Arial"/>
          <w:spacing w:val="10"/>
          <w:sz w:val="24"/>
          <w:szCs w:val="32"/>
          <w:u w:val="single"/>
        </w:rPr>
        <w:t>选取预测时段分别为100d、365d、1</w:t>
      </w:r>
      <w:r>
        <w:rPr>
          <w:rFonts w:hint="eastAsia" w:ascii="Arial" w:hAnsi="Arial" w:eastAsia="宋体" w:cs="Arial"/>
          <w:spacing w:val="10"/>
          <w:sz w:val="24"/>
          <w:szCs w:val="32"/>
          <w:u w:val="single"/>
        </w:rPr>
        <w:t>000</w:t>
      </w:r>
      <w:r>
        <w:rPr>
          <w:rFonts w:ascii="Arial" w:hAnsi="Arial" w:eastAsia="宋体" w:cs="Arial"/>
          <w:spacing w:val="10"/>
          <w:sz w:val="24"/>
          <w:szCs w:val="32"/>
          <w:u w:val="single"/>
        </w:rPr>
        <w:t>d。</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2、预测源强</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本次模拟预测，根据污染风险分析的情景设计，在选定优先控制污染物的基础上，分别对地下水污染物在不同时段的运移距离、超标范围进行模拟预测，污染情景的源强数据通过工程分析类比调查予以确定。项目实施运行过程可能影响到地下水的为物料管道运输泄露、污水处理设施泄露和罐区泄露</w:t>
      </w:r>
      <w:r>
        <w:rPr>
          <w:rFonts w:hint="eastAsia" w:ascii="Arial" w:hAnsi="Arial" w:eastAsia="宋体" w:cs="Arial"/>
          <w:spacing w:val="10"/>
          <w:sz w:val="24"/>
          <w:szCs w:val="32"/>
        </w:rPr>
        <w:t>，</w:t>
      </w:r>
      <w:r>
        <w:rPr>
          <w:rFonts w:ascii="Arial" w:hAnsi="Arial" w:eastAsia="宋体" w:cs="Arial"/>
          <w:spacing w:val="10"/>
          <w:sz w:val="24"/>
          <w:szCs w:val="32"/>
        </w:rPr>
        <w:t>本次评价考虑</w:t>
      </w:r>
      <w:r>
        <w:rPr>
          <w:rFonts w:hint="eastAsia" w:ascii="Arial" w:hAnsi="Arial" w:eastAsia="宋体" w:cs="Arial"/>
          <w:spacing w:val="10"/>
          <w:sz w:val="24"/>
          <w:szCs w:val="32"/>
        </w:rPr>
        <w:t>洗水</w:t>
      </w:r>
      <w:r>
        <w:rPr>
          <w:rFonts w:ascii="Arial" w:hAnsi="Arial" w:eastAsia="宋体" w:cs="Arial"/>
          <w:spacing w:val="10"/>
          <w:sz w:val="24"/>
          <w:szCs w:val="32"/>
        </w:rPr>
        <w:t>外排槽发生</w:t>
      </w:r>
      <w:r>
        <w:rPr>
          <w:rFonts w:hint="eastAsia" w:ascii="Arial" w:hAnsi="Arial" w:eastAsia="宋体" w:cs="Arial"/>
          <w:spacing w:val="10"/>
          <w:sz w:val="24"/>
          <w:szCs w:val="32"/>
          <w:lang w:eastAsia="zh-CN"/>
        </w:rPr>
        <w:t>泄漏</w:t>
      </w:r>
      <w:r>
        <w:rPr>
          <w:rFonts w:ascii="Arial" w:hAnsi="Arial" w:eastAsia="宋体" w:cs="Arial"/>
          <w:spacing w:val="10"/>
          <w:sz w:val="24"/>
          <w:szCs w:val="32"/>
        </w:rPr>
        <w:t>对地下水水质影响进行预测</w:t>
      </w:r>
      <w:r>
        <w:rPr>
          <w:rFonts w:hint="eastAsia" w:ascii="Arial" w:hAnsi="Arial" w:eastAsia="宋体" w:cs="Arial"/>
          <w:spacing w:val="10"/>
          <w:sz w:val="24"/>
          <w:szCs w:val="32"/>
        </w:rPr>
        <w:t>。</w:t>
      </w:r>
      <w:r>
        <w:rPr>
          <w:rFonts w:ascii="Arial" w:hAnsi="Arial" w:eastAsia="宋体" w:cs="Arial"/>
          <w:spacing w:val="10"/>
          <w:sz w:val="24"/>
          <w:szCs w:val="32"/>
        </w:rPr>
        <w:t>当</w:t>
      </w:r>
      <w:r>
        <w:rPr>
          <w:rFonts w:hint="eastAsia" w:ascii="Arial" w:hAnsi="Arial" w:eastAsia="宋体" w:cs="Arial"/>
          <w:spacing w:val="10"/>
          <w:sz w:val="24"/>
          <w:szCs w:val="32"/>
        </w:rPr>
        <w:t>洗水</w:t>
      </w:r>
      <w:r>
        <w:rPr>
          <w:rFonts w:ascii="Arial" w:hAnsi="Arial" w:eastAsia="宋体" w:cs="Arial"/>
          <w:spacing w:val="10"/>
          <w:sz w:val="24"/>
          <w:szCs w:val="32"/>
        </w:rPr>
        <w:t>外排槽发生泄漏在围堰内贮存，从泄漏到处理、抽运完毕按</w:t>
      </w:r>
      <w:r>
        <w:rPr>
          <w:rFonts w:hint="eastAsia" w:ascii="Arial" w:hAnsi="Arial" w:eastAsia="宋体" w:cs="Arial"/>
          <w:spacing w:val="10"/>
          <w:sz w:val="24"/>
          <w:szCs w:val="32"/>
        </w:rPr>
        <w:t>1天考虑</w:t>
      </w:r>
      <w:r>
        <w:rPr>
          <w:rFonts w:ascii="Arial" w:hAnsi="Arial" w:eastAsia="宋体" w:cs="Arial"/>
          <w:spacing w:val="10"/>
          <w:sz w:val="24"/>
          <w:szCs w:val="32"/>
        </w:rPr>
        <w:t>。</w:t>
      </w:r>
    </w:p>
    <w:p>
      <w:pPr>
        <w:autoSpaceDE w:val="0"/>
        <w:autoSpaceDN w:val="0"/>
        <w:adjustRightInd w:val="0"/>
        <w:spacing w:line="500" w:lineRule="exact"/>
        <w:ind w:firstLine="490" w:firstLineChars="200"/>
        <w:rPr>
          <w:rFonts w:ascii="Arial" w:hAnsi="Arial" w:eastAsia="宋体" w:cs="Arial"/>
          <w:spacing w:val="10"/>
          <w:sz w:val="24"/>
          <w:szCs w:val="32"/>
          <w:u w:val="single"/>
        </w:rPr>
      </w:pPr>
      <w:r>
        <w:rPr>
          <w:rFonts w:ascii="Arial" w:hAnsi="Arial" w:eastAsia="宋体" w:cs="Arial"/>
          <w:spacing w:val="10"/>
          <w:sz w:val="24"/>
          <w:szCs w:val="32"/>
        </w:rPr>
        <w:t>根据《给水排水构筑物工程施工及验收规范》（GB50141-2008），水池渗水量计算应按池壁（不含内壁墙）和池底的浸湿面积计算；钢筋混凝土结构水池渗水量不得超过2L/（m</w:t>
      </w:r>
      <w:r>
        <w:rPr>
          <w:rFonts w:ascii="Arial" w:hAnsi="Arial" w:eastAsia="宋体" w:cs="Arial"/>
          <w:spacing w:val="10"/>
          <w:sz w:val="24"/>
          <w:szCs w:val="32"/>
          <w:vertAlign w:val="superscript"/>
        </w:rPr>
        <w:t>2</w:t>
      </w:r>
      <w:r>
        <w:rPr>
          <w:rFonts w:ascii="Arial" w:hAnsi="Arial" w:eastAsia="宋体" w:cs="Arial"/>
          <w:spacing w:val="10"/>
          <w:sz w:val="24"/>
          <w:szCs w:val="32"/>
        </w:rPr>
        <w:t>·d），砌体结构水池渗水量不得超过3L/（m</w:t>
      </w:r>
      <w:r>
        <w:rPr>
          <w:rFonts w:ascii="Arial" w:hAnsi="Arial" w:eastAsia="宋体" w:cs="Arial"/>
          <w:spacing w:val="10"/>
          <w:sz w:val="24"/>
          <w:szCs w:val="32"/>
          <w:vertAlign w:val="superscript"/>
        </w:rPr>
        <w:t>2</w:t>
      </w:r>
      <w:r>
        <w:rPr>
          <w:rFonts w:ascii="Arial" w:hAnsi="Arial" w:eastAsia="宋体" w:cs="Arial"/>
          <w:spacing w:val="10"/>
          <w:sz w:val="24"/>
          <w:szCs w:val="32"/>
        </w:rPr>
        <w:t>·d）</w:t>
      </w:r>
      <w:r>
        <w:rPr>
          <w:rFonts w:hint="eastAsia" w:ascii="Arial" w:hAnsi="Arial" w:eastAsia="宋体" w:cs="Arial"/>
          <w:spacing w:val="10"/>
          <w:sz w:val="24"/>
          <w:szCs w:val="32"/>
        </w:rPr>
        <w:t>。</w:t>
      </w:r>
      <w:r>
        <w:rPr>
          <w:rFonts w:ascii="Arial" w:hAnsi="Arial" w:eastAsia="宋体" w:cs="Arial"/>
          <w:spacing w:val="10"/>
          <w:sz w:val="24"/>
          <w:szCs w:val="32"/>
          <w:u w:val="single"/>
        </w:rPr>
        <w:t>本次评价选取X</w:t>
      </w:r>
      <w:r>
        <w:rPr>
          <w:rFonts w:hint="eastAsia" w:ascii="Arial" w:hAnsi="Arial" w:eastAsia="宋体" w:cs="Arial"/>
          <w:spacing w:val="10"/>
          <w:sz w:val="24"/>
          <w:szCs w:val="32"/>
          <w:u w:val="single"/>
        </w:rPr>
        <w:t>19</w:t>
      </w:r>
      <w:r>
        <w:rPr>
          <w:rFonts w:ascii="Arial" w:hAnsi="Arial" w:eastAsia="宋体" w:cs="Arial"/>
          <w:spacing w:val="10"/>
          <w:sz w:val="24"/>
          <w:szCs w:val="32"/>
          <w:u w:val="single"/>
        </w:rPr>
        <w:t>车间东面罐组洗水外排槽渗水进行分析</w:t>
      </w:r>
      <w:r>
        <w:rPr>
          <w:rFonts w:hint="eastAsia" w:ascii="Arial" w:hAnsi="Arial" w:eastAsia="宋体" w:cs="Arial"/>
          <w:spacing w:val="10"/>
          <w:sz w:val="24"/>
          <w:szCs w:val="32"/>
          <w:u w:val="single"/>
        </w:rPr>
        <w:t>，罐区围堰底部</w:t>
      </w:r>
      <w:r>
        <w:rPr>
          <w:rFonts w:ascii="Arial" w:hAnsi="Arial" w:eastAsia="宋体" w:cs="Arial"/>
          <w:spacing w:val="10"/>
          <w:sz w:val="24"/>
          <w:szCs w:val="32"/>
          <w:u w:val="single"/>
        </w:rPr>
        <w:t>为钢筋混凝土结构</w:t>
      </w:r>
      <w:r>
        <w:rPr>
          <w:rFonts w:hint="eastAsia" w:ascii="Arial" w:hAnsi="Arial" w:eastAsia="宋体" w:cs="Arial"/>
          <w:spacing w:val="10"/>
          <w:sz w:val="24"/>
          <w:szCs w:val="32"/>
          <w:u w:val="single"/>
        </w:rPr>
        <w:t>，</w:t>
      </w:r>
      <w:r>
        <w:rPr>
          <w:rFonts w:ascii="Arial" w:hAnsi="Arial" w:eastAsia="宋体" w:cs="Arial"/>
          <w:spacing w:val="10"/>
          <w:sz w:val="24"/>
          <w:szCs w:val="32"/>
          <w:u w:val="single"/>
        </w:rPr>
        <w:t>浸湿面积约</w:t>
      </w:r>
      <w:r>
        <w:rPr>
          <w:rFonts w:hint="eastAsia" w:ascii="Arial" w:hAnsi="Arial" w:eastAsia="宋体" w:cs="Arial"/>
          <w:spacing w:val="10"/>
          <w:sz w:val="24"/>
          <w:szCs w:val="32"/>
          <w:u w:val="single"/>
        </w:rPr>
        <w:t>120</w:t>
      </w:r>
      <w:r>
        <w:rPr>
          <w:rFonts w:ascii="Arial" w:hAnsi="Arial" w:eastAsia="宋体" w:cs="Arial"/>
          <w:spacing w:val="10"/>
          <w:sz w:val="24"/>
          <w:szCs w:val="32"/>
          <w:u w:val="single"/>
        </w:rPr>
        <w:t>m</w:t>
      </w:r>
      <w:r>
        <w:rPr>
          <w:rFonts w:ascii="Arial" w:hAnsi="Arial" w:eastAsia="宋体" w:cs="Arial"/>
          <w:spacing w:val="10"/>
          <w:sz w:val="24"/>
          <w:szCs w:val="32"/>
          <w:u w:val="single"/>
          <w:vertAlign w:val="superscript"/>
        </w:rPr>
        <w:t>2</w:t>
      </w:r>
      <w:r>
        <w:rPr>
          <w:rFonts w:hint="eastAsia" w:ascii="Arial" w:hAnsi="Arial" w:eastAsia="宋体" w:cs="Arial"/>
          <w:spacing w:val="10"/>
          <w:sz w:val="24"/>
          <w:szCs w:val="32"/>
          <w:u w:val="single"/>
        </w:rPr>
        <w:t>；</w:t>
      </w:r>
      <w:r>
        <w:rPr>
          <w:rFonts w:ascii="Arial" w:hAnsi="Arial" w:eastAsia="宋体" w:cs="Arial"/>
          <w:spacing w:val="10"/>
          <w:sz w:val="24"/>
          <w:szCs w:val="32"/>
          <w:u w:val="single"/>
        </w:rPr>
        <w:t>根据</w:t>
      </w:r>
      <w:r>
        <w:rPr>
          <w:rFonts w:hint="eastAsia" w:ascii="Arial" w:hAnsi="Arial" w:eastAsia="宋体" w:cs="Arial"/>
          <w:spacing w:val="10"/>
          <w:sz w:val="24"/>
          <w:szCs w:val="32"/>
          <w:u w:val="single"/>
        </w:rPr>
        <w:t>生态环境厅</w:t>
      </w:r>
      <w:r>
        <w:rPr>
          <w:rFonts w:ascii="Arial" w:hAnsi="Arial" w:eastAsia="宋体" w:cs="Arial"/>
          <w:spacing w:val="10"/>
          <w:sz w:val="24"/>
          <w:szCs w:val="32"/>
          <w:u w:val="single"/>
        </w:rPr>
        <w:t>组织的</w:t>
      </w:r>
      <w:r>
        <w:rPr>
          <w:rFonts w:hint="eastAsia" w:ascii="Arial" w:hAnsi="Arial" w:eastAsia="宋体" w:cs="Arial"/>
          <w:spacing w:val="10"/>
          <w:sz w:val="24"/>
          <w:szCs w:val="32"/>
          <w:u w:val="single"/>
        </w:rPr>
        <w:t>2023年专家库成员培训</w:t>
      </w:r>
      <w:r>
        <w:rPr>
          <w:rFonts w:ascii="Arial" w:hAnsi="Arial" w:eastAsia="宋体" w:cs="Arial"/>
          <w:spacing w:val="10"/>
          <w:sz w:val="24"/>
          <w:szCs w:val="32"/>
          <w:u w:val="single"/>
        </w:rPr>
        <w:t>，非正常工况下钢筋混凝土结构水池渗水量可按正常情况下的</w:t>
      </w:r>
      <w:r>
        <w:rPr>
          <w:rFonts w:hint="eastAsia" w:ascii="Arial" w:hAnsi="Arial" w:eastAsia="宋体" w:cs="Arial"/>
          <w:spacing w:val="10"/>
          <w:sz w:val="24"/>
          <w:szCs w:val="32"/>
          <w:u w:val="single"/>
        </w:rPr>
        <w:t>5倍计，因此本次评价</w:t>
      </w:r>
      <w:r>
        <w:rPr>
          <w:rFonts w:ascii="Arial" w:hAnsi="Arial" w:eastAsia="宋体" w:cs="Arial"/>
          <w:spacing w:val="10"/>
          <w:sz w:val="24"/>
          <w:szCs w:val="32"/>
          <w:u w:val="single"/>
        </w:rPr>
        <w:t>非正常工况下最大泄漏量</w:t>
      </w:r>
      <w:r>
        <w:rPr>
          <w:rFonts w:hint="eastAsia" w:ascii="Arial" w:hAnsi="Arial" w:eastAsia="宋体" w:cs="Arial"/>
          <w:spacing w:val="10"/>
          <w:sz w:val="24"/>
          <w:szCs w:val="32"/>
          <w:u w:val="single"/>
        </w:rPr>
        <w:t>取1.2</w:t>
      </w:r>
      <w:r>
        <w:rPr>
          <w:rFonts w:ascii="Arial" w:hAnsi="Arial" w:eastAsia="宋体" w:cs="Arial"/>
          <w:spacing w:val="10"/>
          <w:sz w:val="24"/>
          <w:szCs w:val="32"/>
          <w:u w:val="single"/>
        </w:rPr>
        <w:t>t/d。</w:t>
      </w:r>
    </w:p>
    <w:p>
      <w:pPr>
        <w:keepNext/>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非正常状况下源强</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0"/>
        <w:gridCol w:w="1736"/>
        <w:gridCol w:w="3160"/>
        <w:gridCol w:w="2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vMerge w:val="restart"/>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污染物</w:t>
            </w:r>
          </w:p>
        </w:tc>
        <w:tc>
          <w:tcPr>
            <w:tcW w:w="1736" w:type="dxa"/>
            <w:vMerge w:val="restart"/>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背景值</w:t>
            </w:r>
          </w:p>
        </w:tc>
        <w:tc>
          <w:tcPr>
            <w:tcW w:w="5547" w:type="dxa"/>
            <w:gridSpan w:val="2"/>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洗水外排槽发生泄</w:t>
            </w:r>
            <w:r>
              <w:rPr>
                <w:rFonts w:hint="eastAsia" w:ascii="Arial" w:hAnsi="Arial" w:eastAsia="宋体" w:cs="Arial"/>
                <w:sz w:val="21"/>
                <w:szCs w:val="21"/>
                <w:u w:val="single"/>
                <w:lang w:eastAsia="zh-CN"/>
              </w:rPr>
              <w:t>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vMerge w:val="continue"/>
            <w:shd w:val="clear" w:color="auto" w:fill="auto"/>
            <w:vAlign w:val="center"/>
          </w:tcPr>
          <w:p>
            <w:pPr>
              <w:adjustRightInd w:val="0"/>
              <w:snapToGrid w:val="0"/>
              <w:jc w:val="center"/>
              <w:rPr>
                <w:rFonts w:ascii="Arial" w:hAnsi="Arial" w:eastAsia="宋体" w:cs="Arial"/>
                <w:sz w:val="21"/>
                <w:szCs w:val="21"/>
                <w:u w:val="single"/>
              </w:rPr>
            </w:pPr>
          </w:p>
        </w:tc>
        <w:tc>
          <w:tcPr>
            <w:tcW w:w="1736" w:type="dxa"/>
            <w:vMerge w:val="continue"/>
            <w:vAlign w:val="center"/>
          </w:tcPr>
          <w:p>
            <w:pPr>
              <w:adjustRightInd w:val="0"/>
              <w:snapToGrid w:val="0"/>
              <w:jc w:val="center"/>
              <w:rPr>
                <w:rFonts w:ascii="Arial" w:hAnsi="Arial" w:eastAsia="宋体" w:cs="Arial"/>
                <w:sz w:val="21"/>
                <w:szCs w:val="21"/>
                <w:u w:val="single"/>
              </w:rPr>
            </w:pPr>
          </w:p>
        </w:tc>
        <w:tc>
          <w:tcPr>
            <w:tcW w:w="3160"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排放浓度mg/L</w:t>
            </w:r>
          </w:p>
        </w:tc>
        <w:tc>
          <w:tcPr>
            <w:tcW w:w="2387"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排放量g/d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耗氧量</w:t>
            </w:r>
          </w:p>
        </w:tc>
        <w:tc>
          <w:tcPr>
            <w:tcW w:w="1736" w:type="dxa"/>
            <w:vAlign w:val="center"/>
          </w:tcPr>
          <w:p>
            <w:pPr>
              <w:adjustRightInd w:val="0"/>
              <w:snapToGrid w:val="0"/>
              <w:jc w:val="center"/>
              <w:rPr>
                <w:rFonts w:ascii="Arial" w:hAnsi="Arial" w:cs="Arial"/>
                <w:sz w:val="21"/>
                <w:szCs w:val="21"/>
                <w:u w:val="single"/>
              </w:rPr>
            </w:pPr>
            <w:r>
              <w:rPr>
                <w:rFonts w:ascii="Arial" w:hAnsi="Arial" w:cs="Arial"/>
                <w:sz w:val="21"/>
                <w:szCs w:val="21"/>
                <w:u w:val="single"/>
              </w:rPr>
              <w:t>5.37</w:t>
            </w:r>
          </w:p>
        </w:tc>
        <w:tc>
          <w:tcPr>
            <w:tcW w:w="3160"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83</w:t>
            </w:r>
          </w:p>
        </w:tc>
        <w:tc>
          <w:tcPr>
            <w:tcW w:w="2387"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173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6.65</w:t>
            </w:r>
          </w:p>
        </w:tc>
        <w:tc>
          <w:tcPr>
            <w:tcW w:w="3160"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2200</w:t>
            </w:r>
          </w:p>
        </w:tc>
        <w:tc>
          <w:tcPr>
            <w:tcW w:w="2387"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173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828</w:t>
            </w:r>
          </w:p>
        </w:tc>
        <w:tc>
          <w:tcPr>
            <w:tcW w:w="3160"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21784</w:t>
            </w:r>
          </w:p>
        </w:tc>
        <w:tc>
          <w:tcPr>
            <w:tcW w:w="2387"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26140.8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10" w:type="dxa"/>
            <w:shd w:val="clear" w:color="auto" w:fill="auto"/>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钴</w:t>
            </w:r>
          </w:p>
        </w:tc>
        <w:tc>
          <w:tcPr>
            <w:tcW w:w="1736" w:type="dxa"/>
            <w:vAlign w:val="center"/>
          </w:tcPr>
          <w:p>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0.0</w:t>
            </w:r>
            <w:r>
              <w:rPr>
                <w:rFonts w:hint="eastAsia" w:ascii="Arial" w:hAnsi="Arial" w:eastAsia="宋体" w:cs="Arial"/>
                <w:sz w:val="21"/>
                <w:szCs w:val="21"/>
                <w:u w:val="single"/>
              </w:rPr>
              <w:t>1</w:t>
            </w:r>
          </w:p>
        </w:tc>
        <w:tc>
          <w:tcPr>
            <w:tcW w:w="3160"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2387"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w:t>
            </w:r>
          </w:p>
        </w:tc>
      </w:tr>
    </w:tbl>
    <w:p>
      <w:pPr>
        <w:adjustRightInd w:val="0"/>
        <w:snapToGrid w:val="0"/>
        <w:rPr>
          <w:rFonts w:ascii="Arial" w:hAnsi="Arial" w:eastAsia="宋体" w:cs="Arial"/>
          <w:b/>
          <w:spacing w:val="10"/>
          <w:sz w:val="24"/>
          <w:szCs w:val="24"/>
          <w:u w:val="single"/>
        </w:rPr>
      </w:pPr>
      <w:r>
        <w:rPr>
          <w:rFonts w:hint="eastAsia" w:ascii="Arial" w:hAnsi="Arial" w:eastAsia="宋体" w:cs="Arial"/>
          <w:b/>
          <w:spacing w:val="10"/>
          <w:sz w:val="24"/>
          <w:szCs w:val="24"/>
          <w:u w:val="single"/>
        </w:rPr>
        <w:t>注：表中耗氧量数据已由COD转换；背景值未检出按检出限的一半计；背景值取背景值最大的SK03点位。</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3、评价标准</w:t>
      </w:r>
    </w:p>
    <w:p>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按《地下水质量标准》（GB/T14848-2017）</w:t>
      </w:r>
      <w:r>
        <w:rPr>
          <w:rFonts w:hint="eastAsia" w:ascii="宋体" w:hAnsi="宋体" w:eastAsia="宋体" w:cs="宋体"/>
          <w:spacing w:val="10"/>
          <w:sz w:val="24"/>
          <w:szCs w:val="32"/>
        </w:rPr>
        <w:t>Ⅲ</w:t>
      </w:r>
      <w:r>
        <w:rPr>
          <w:rFonts w:ascii="Arial" w:hAnsi="Arial" w:eastAsia="宋体" w:cs="Arial"/>
          <w:spacing w:val="10"/>
          <w:sz w:val="24"/>
          <w:szCs w:val="32"/>
        </w:rPr>
        <w:t>类标准评价。</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《地下水质量标准》</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799"/>
        <w:gridCol w:w="1799"/>
        <w:gridCol w:w="1799"/>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801"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指标</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耗氧量</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氨氮</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硫酸盐</w:t>
            </w:r>
          </w:p>
        </w:tc>
        <w:tc>
          <w:tcPr>
            <w:tcW w:w="1795"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801" w:type="dxa"/>
            <w:shd w:val="clear" w:color="auto" w:fill="auto"/>
            <w:vAlign w:val="center"/>
          </w:tcPr>
          <w:p>
            <w:pPr>
              <w:widowControl/>
              <w:adjustRightInd w:val="0"/>
              <w:snapToGrid w:val="0"/>
              <w:jc w:val="center"/>
              <w:rPr>
                <w:rFonts w:ascii="Arial" w:hAnsi="Arial" w:eastAsia="宋体" w:cs="Arial"/>
                <w:kern w:val="0"/>
                <w:sz w:val="21"/>
                <w:szCs w:val="21"/>
              </w:rPr>
            </w:pPr>
            <w:r>
              <w:rPr>
                <w:rFonts w:hint="eastAsia" w:ascii="宋体" w:hAnsi="宋体" w:eastAsia="宋体" w:cs="宋体"/>
                <w:kern w:val="0"/>
                <w:sz w:val="21"/>
                <w:szCs w:val="21"/>
              </w:rPr>
              <w:t>Ⅲ</w:t>
            </w:r>
            <w:r>
              <w:rPr>
                <w:rFonts w:ascii="Arial" w:hAnsi="Arial" w:eastAsia="宋体" w:cs="Arial"/>
                <w:kern w:val="0"/>
                <w:sz w:val="21"/>
                <w:szCs w:val="21"/>
              </w:rPr>
              <w:t>类标准</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3.0</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0.50</w:t>
            </w:r>
          </w:p>
        </w:tc>
        <w:tc>
          <w:tcPr>
            <w:tcW w:w="1799"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250</w:t>
            </w:r>
          </w:p>
        </w:tc>
        <w:tc>
          <w:tcPr>
            <w:tcW w:w="1795" w:type="dxa"/>
            <w:shd w:val="clear" w:color="auto" w:fill="auto"/>
            <w:vAlign w:val="center"/>
          </w:tcPr>
          <w:p>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0.05</w:t>
            </w:r>
          </w:p>
        </w:tc>
      </w:tr>
    </w:tbl>
    <w:p>
      <w:pPr>
        <w:pStyle w:val="5"/>
        <w:numPr>
          <w:ilvl w:val="3"/>
          <w:numId w:val="25"/>
        </w:numPr>
        <w:spacing w:line="500" w:lineRule="exact"/>
        <w:ind w:left="0" w:firstLine="0"/>
        <w:outlineLvl w:val="3"/>
        <w:rPr>
          <w:b/>
          <w:szCs w:val="24"/>
          <w:u w:val="single"/>
        </w:rPr>
      </w:pPr>
      <w:r>
        <w:rPr>
          <w:b/>
          <w:szCs w:val="24"/>
          <w:u w:val="single"/>
        </w:rPr>
        <w:t>预测结果</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根据预测结果可知，当</w:t>
      </w:r>
      <w:r>
        <w:rPr>
          <w:rFonts w:hint="eastAsia" w:ascii="Arial" w:hAnsi="Arial" w:eastAsia="宋体" w:cs="Arial"/>
          <w:spacing w:val="10"/>
          <w:sz w:val="24"/>
          <w:szCs w:val="24"/>
          <w:u w:val="single"/>
        </w:rPr>
        <w:t>洗水</w:t>
      </w:r>
      <w:r>
        <w:rPr>
          <w:rFonts w:ascii="Arial" w:hAnsi="Arial" w:eastAsia="宋体" w:cs="Arial"/>
          <w:spacing w:val="10"/>
          <w:sz w:val="24"/>
          <w:szCs w:val="24"/>
          <w:u w:val="single"/>
        </w:rPr>
        <w:t>外排槽泄漏后，区域地下水中的污染物逐渐增加，泄漏后100天，污水预处理设施下游100m将受到污染；泄漏后365天，下游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（1）耗氧量：由于区域地下水中耗氧量背景值已超标（5.37mg/L），渗漏将加剧污染，泄漏后100天，下游</w:t>
      </w:r>
      <w:r>
        <w:rPr>
          <w:rFonts w:hint="eastAsia" w:ascii="Arial" w:hAnsi="Arial" w:eastAsia="宋体" w:cs="Arial"/>
          <w:spacing w:val="10"/>
          <w:sz w:val="24"/>
          <w:szCs w:val="24"/>
          <w:u w:val="single"/>
        </w:rPr>
        <w:t>10</w:t>
      </w:r>
      <w:r>
        <w:rPr>
          <w:rFonts w:ascii="Arial" w:hAnsi="Arial" w:eastAsia="宋体" w:cs="Arial"/>
          <w:spacing w:val="10"/>
          <w:sz w:val="24"/>
          <w:szCs w:val="24"/>
          <w:u w:val="single"/>
        </w:rPr>
        <w:t>0m耗氧量浓度趋近于背景浓度；泄漏后365天，下游1</w:t>
      </w:r>
      <w:r>
        <w:rPr>
          <w:rFonts w:hint="eastAsia" w:ascii="Arial" w:hAnsi="Arial" w:eastAsia="宋体" w:cs="Arial"/>
          <w:spacing w:val="10"/>
          <w:sz w:val="24"/>
          <w:szCs w:val="24"/>
          <w:u w:val="single"/>
        </w:rPr>
        <w:t>8</w:t>
      </w:r>
      <w:r>
        <w:rPr>
          <w:rFonts w:ascii="Arial" w:hAnsi="Arial" w:eastAsia="宋体" w:cs="Arial"/>
          <w:spacing w:val="10"/>
          <w:sz w:val="24"/>
          <w:szCs w:val="24"/>
          <w:u w:val="single"/>
        </w:rPr>
        <w:t>0m耗氧量浓度趋近于背景浓度；泄漏后1000天，下游</w:t>
      </w:r>
      <w:r>
        <w:rPr>
          <w:rFonts w:hint="eastAsia" w:ascii="Arial" w:hAnsi="Arial" w:eastAsia="宋体" w:cs="Arial"/>
          <w:spacing w:val="10"/>
          <w:sz w:val="24"/>
          <w:szCs w:val="24"/>
          <w:u w:val="single"/>
        </w:rPr>
        <w:t>28</w:t>
      </w:r>
      <w:r>
        <w:rPr>
          <w:rFonts w:ascii="Arial" w:hAnsi="Arial" w:eastAsia="宋体" w:cs="Arial"/>
          <w:spacing w:val="10"/>
          <w:sz w:val="24"/>
          <w:szCs w:val="24"/>
          <w:u w:val="single"/>
        </w:rPr>
        <w:t>0m耗氧量浓度趋近于背景浓度。</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（2）氨氮：由于区域地下水中氨氮背景值已超标（6.65mg/L），渗漏将加剧污染，泄漏后100天，下游</w:t>
      </w:r>
      <w:r>
        <w:rPr>
          <w:rFonts w:hint="eastAsia" w:ascii="Arial" w:hAnsi="Arial" w:eastAsia="宋体" w:cs="Arial"/>
          <w:spacing w:val="10"/>
          <w:sz w:val="24"/>
          <w:szCs w:val="24"/>
          <w:u w:val="single"/>
        </w:rPr>
        <w:t>12</w:t>
      </w:r>
      <w:r>
        <w:rPr>
          <w:rFonts w:ascii="Arial" w:hAnsi="Arial" w:eastAsia="宋体" w:cs="Arial"/>
          <w:spacing w:val="10"/>
          <w:sz w:val="24"/>
          <w:szCs w:val="24"/>
          <w:u w:val="single"/>
        </w:rPr>
        <w:t>0m氨氮浓度趋近于背景浓度；泄漏后365天，下游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0m氨氮浓度趋近于背景浓度；泄漏后1000天，下游</w:t>
      </w:r>
      <w:r>
        <w:rPr>
          <w:rFonts w:hint="eastAsia" w:ascii="Arial" w:hAnsi="Arial" w:eastAsia="宋体" w:cs="Arial"/>
          <w:spacing w:val="10"/>
          <w:sz w:val="24"/>
          <w:szCs w:val="24"/>
          <w:u w:val="single"/>
        </w:rPr>
        <w:t>35</w:t>
      </w:r>
      <w:r>
        <w:rPr>
          <w:rFonts w:ascii="Arial" w:hAnsi="Arial" w:eastAsia="宋体" w:cs="Arial"/>
          <w:spacing w:val="10"/>
          <w:sz w:val="24"/>
          <w:szCs w:val="24"/>
          <w:u w:val="single"/>
        </w:rPr>
        <w:t>0m氨氮浓度趋近于背景浓度。</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（3）硫酸盐：由于区域地下水中硫酸盐背景值已超标（828mg/L），渗漏将加剧污染，泄漏后100天，下游1</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0m硫酸盐浓度趋近于背景浓度；泄漏后365天，下游2</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0m硫酸盐浓度趋近于背景浓度；泄漏后1000天，下游</w:t>
      </w:r>
      <w:r>
        <w:rPr>
          <w:rFonts w:hint="eastAsia" w:ascii="Arial" w:hAnsi="Arial" w:eastAsia="宋体" w:cs="Arial"/>
          <w:spacing w:val="10"/>
          <w:sz w:val="24"/>
          <w:szCs w:val="24"/>
          <w:u w:val="single"/>
        </w:rPr>
        <w:t>60</w:t>
      </w:r>
      <w:r>
        <w:rPr>
          <w:rFonts w:ascii="Arial" w:hAnsi="Arial" w:eastAsia="宋体" w:cs="Arial"/>
          <w:spacing w:val="10"/>
          <w:sz w:val="24"/>
          <w:szCs w:val="24"/>
          <w:u w:val="single"/>
        </w:rPr>
        <w:t>0m硫酸盐浓度趋近于背景浓度。</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（4）钴：泄漏后100天，下游最大浓度0.</w:t>
      </w:r>
      <w:r>
        <w:rPr>
          <w:rFonts w:hint="eastAsia" w:ascii="Arial" w:hAnsi="Arial" w:eastAsia="宋体" w:cs="Arial"/>
          <w:spacing w:val="10"/>
          <w:sz w:val="24"/>
          <w:szCs w:val="24"/>
          <w:u w:val="single"/>
        </w:rPr>
        <w:t>0116</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w:t>
      </w:r>
      <w:r>
        <w:rPr>
          <w:rFonts w:hint="eastAsia" w:ascii="Arial" w:hAnsi="Arial" w:eastAsia="宋体" w:cs="Arial"/>
          <w:spacing w:val="10"/>
          <w:sz w:val="24"/>
          <w:szCs w:val="24"/>
          <w:u w:val="single"/>
        </w:rPr>
        <w:t>365</w:t>
      </w:r>
      <w:r>
        <w:rPr>
          <w:rFonts w:ascii="Arial" w:hAnsi="Arial" w:eastAsia="宋体" w:cs="Arial"/>
          <w:spacing w:val="10"/>
          <w:sz w:val="24"/>
          <w:szCs w:val="24"/>
          <w:u w:val="single"/>
        </w:rPr>
        <w:t>天，下游最大浓度0.</w:t>
      </w:r>
      <w:r>
        <w:rPr>
          <w:rFonts w:hint="eastAsia" w:ascii="Arial" w:hAnsi="Arial" w:eastAsia="宋体" w:cs="Arial"/>
          <w:spacing w:val="10"/>
          <w:sz w:val="24"/>
          <w:szCs w:val="24"/>
          <w:u w:val="single"/>
        </w:rPr>
        <w:t>0105</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泄漏后1</w:t>
      </w:r>
      <w:r>
        <w:rPr>
          <w:rFonts w:hint="eastAsia" w:ascii="Arial" w:hAnsi="Arial" w:eastAsia="宋体" w:cs="Arial"/>
          <w:spacing w:val="10"/>
          <w:sz w:val="24"/>
          <w:szCs w:val="24"/>
          <w:u w:val="single"/>
        </w:rPr>
        <w:t>0</w:t>
      </w:r>
      <w:r>
        <w:rPr>
          <w:rFonts w:ascii="Arial" w:hAnsi="Arial" w:eastAsia="宋体" w:cs="Arial"/>
          <w:spacing w:val="10"/>
          <w:sz w:val="24"/>
          <w:szCs w:val="24"/>
          <w:u w:val="single"/>
        </w:rPr>
        <w:t>00天，下游最大浓度0.</w:t>
      </w:r>
      <w:r>
        <w:rPr>
          <w:rFonts w:hint="eastAsia" w:ascii="Arial" w:hAnsi="Arial" w:eastAsia="宋体" w:cs="Arial"/>
          <w:spacing w:val="10"/>
          <w:sz w:val="24"/>
          <w:szCs w:val="24"/>
          <w:u w:val="single"/>
        </w:rPr>
        <w:t>0102</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。地下水水质均满足</w:t>
      </w:r>
      <w:r>
        <w:rPr>
          <w:rFonts w:ascii="Arial" w:hAnsi="Arial" w:eastAsia="宋体" w:cs="Arial"/>
          <w:spacing w:val="10"/>
          <w:sz w:val="24"/>
          <w:szCs w:val="24"/>
          <w:u w:val="single"/>
        </w:rPr>
        <w:t>《地下水质量标准》（GB/T14848-2017）</w:t>
      </w:r>
      <w:r>
        <w:rPr>
          <w:rFonts w:hint="eastAsia" w:ascii="宋体" w:hAnsi="宋体" w:eastAsia="宋体" w:cs="宋体"/>
          <w:spacing w:val="10"/>
          <w:sz w:val="24"/>
          <w:szCs w:val="24"/>
          <w:u w:val="single"/>
        </w:rPr>
        <w:t>Ⅲ</w:t>
      </w:r>
      <w:r>
        <w:rPr>
          <w:rFonts w:ascii="Arial" w:hAnsi="Arial" w:eastAsia="宋体" w:cs="Arial"/>
          <w:spacing w:val="10"/>
          <w:sz w:val="24"/>
          <w:szCs w:val="24"/>
          <w:u w:val="single"/>
        </w:rPr>
        <w:t>类水标准（0.05mg/L）。</w:t>
      </w:r>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综上所述，项目非正常工况下，区域地下水中的污染物逐渐增加，泄漏后100天，污水预处理设施下游100m将受到污染；泄漏后365天，下游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0m将受到污染。地下水下游不同程度出现超标现象，地下水下游无敏感目标，项目非正常工况下对周边环境影响较小。</w:t>
      </w:r>
    </w:p>
    <w:p>
      <w:pPr>
        <w:spacing w:line="264" w:lineRule="auto"/>
        <w:ind w:firstLine="476"/>
        <w:rPr>
          <w:rFonts w:ascii="Arial" w:hAnsi="Arial" w:eastAsia="宋体" w:cs="Arial"/>
          <w:spacing w:val="10"/>
          <w:sz w:val="24"/>
          <w:szCs w:val="24"/>
          <w:u w:val="single"/>
        </w:rPr>
      </w:pPr>
      <w:r>
        <w:rPr>
          <w:rFonts w:ascii="Arial" w:hAnsi="Arial" w:eastAsia="宋体" w:cs="Arial"/>
          <w:spacing w:val="10"/>
          <w:sz w:val="24"/>
          <w:szCs w:val="24"/>
          <w:u w:val="single"/>
        </w:rPr>
        <w:t>预测结果见表</w:t>
      </w:r>
      <w:r>
        <w:rPr>
          <w:rFonts w:hint="eastAsia" w:ascii="Arial" w:hAnsi="Arial" w:eastAsia="宋体" w:cs="Arial"/>
          <w:spacing w:val="10"/>
          <w:sz w:val="24"/>
          <w:szCs w:val="24"/>
          <w:u w:val="single"/>
        </w:rPr>
        <w:t>4-27。</w:t>
      </w:r>
    </w:p>
    <w:p>
      <w:pPr>
        <w:spacing w:line="264" w:lineRule="auto"/>
        <w:ind w:firstLine="476"/>
        <w:rPr>
          <w:rFonts w:ascii="Arial" w:hAnsi="Arial" w:eastAsia="宋体" w:cs="Arial"/>
          <w:spacing w:val="10"/>
          <w:sz w:val="24"/>
          <w:szCs w:val="24"/>
          <w:highlight w:val="yellow"/>
        </w:rPr>
        <w:sectPr>
          <w:footerReference r:id="rId18" w:type="default"/>
          <w:pgSz w:w="11907" w:h="16840"/>
          <w:pgMar w:top="1418" w:right="1406" w:bottom="1418" w:left="1157" w:header="1174" w:footer="1026" w:gutter="567"/>
          <w:cols w:space="720" w:num="1"/>
          <w:docGrid w:type="linesAndChars" w:linePitch="428" w:charSpace="-3161"/>
        </w:sectPr>
      </w:pPr>
    </w:p>
    <w:p>
      <w:pPr>
        <w:numPr>
          <w:ilvl w:val="0"/>
          <w:numId w:val="22"/>
        </w:numPr>
        <w:adjustRightInd w:val="0"/>
        <w:snapToGrid w:val="0"/>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洗水外排槽</w:t>
      </w:r>
      <w:r>
        <w:rPr>
          <w:rFonts w:ascii="Arial" w:hAnsi="Arial" w:eastAsia="宋体" w:cs="Arial"/>
          <w:b/>
          <w:sz w:val="24"/>
          <w:szCs w:val="24"/>
          <w:u w:val="single"/>
        </w:rPr>
        <w:t>泄漏预测结果（单位：mg</w:t>
      </w:r>
      <w:r>
        <w:rPr>
          <w:rFonts w:hint="eastAsia" w:ascii="Arial" w:hAnsi="Arial" w:eastAsia="宋体" w:cs="Arial"/>
          <w:b/>
          <w:sz w:val="24"/>
          <w:szCs w:val="24"/>
          <w:u w:val="single"/>
        </w:rPr>
        <w:t>/L</w:t>
      </w:r>
      <w:r>
        <w:rPr>
          <w:rFonts w:ascii="Arial" w:hAnsi="Arial" w:eastAsia="宋体" w:cs="Arial"/>
          <w:b/>
          <w:sz w:val="24"/>
          <w:szCs w:val="24"/>
          <w:u w:val="single"/>
        </w:rPr>
        <w:t>）</w:t>
      </w:r>
    </w:p>
    <w:tbl>
      <w:tblPr>
        <w:tblStyle w:val="88"/>
        <w:tblW w:w="14040" w:type="dxa"/>
        <w:tblInd w:w="93" w:type="dxa"/>
        <w:tblLayout w:type="fixed"/>
        <w:tblCellMar>
          <w:top w:w="0" w:type="dxa"/>
          <w:left w:w="108" w:type="dxa"/>
          <w:bottom w:w="0" w:type="dxa"/>
          <w:right w:w="108" w:type="dxa"/>
        </w:tblCellMar>
      </w:tblPr>
      <w:tblGrid>
        <w:gridCol w:w="1080"/>
        <w:gridCol w:w="1080"/>
        <w:gridCol w:w="1080"/>
        <w:gridCol w:w="1080"/>
        <w:gridCol w:w="1198"/>
        <w:gridCol w:w="1021"/>
        <w:gridCol w:w="1021"/>
        <w:gridCol w:w="1080"/>
        <w:gridCol w:w="1080"/>
        <w:gridCol w:w="1080"/>
        <w:gridCol w:w="1080"/>
        <w:gridCol w:w="1080"/>
        <w:gridCol w:w="1080"/>
      </w:tblGrid>
      <w:tr>
        <w:tblPrEx>
          <w:tblLayout w:type="fixed"/>
          <w:tblCellMar>
            <w:top w:w="0" w:type="dxa"/>
            <w:left w:w="108" w:type="dxa"/>
            <w:bottom w:w="0" w:type="dxa"/>
            <w:right w:w="108" w:type="dxa"/>
          </w:tblCellMar>
        </w:tblPrEx>
        <w:trPr>
          <w:trHeight w:val="340" w:hRule="atLeast"/>
        </w:trPr>
        <w:tc>
          <w:tcPr>
            <w:tcW w:w="1080" w:type="dxa"/>
            <w:tcBorders>
              <w:top w:val="single" w:color="auto" w:sz="8" w:space="0"/>
              <w:left w:val="single" w:color="auto" w:sz="8" w:space="0"/>
              <w:bottom w:val="nil"/>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距离</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耗氧量</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氨氮</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硫酸盐</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钴</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m</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5.3938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5.3821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5.3768</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7.2813</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6.9708</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6.8312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834.2507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831.1761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829.7942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5.5021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5.4053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5.3827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10.1518</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7.5849</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6.9867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862.674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837.2577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831.3342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0.0116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40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5.4334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5.4147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5.3878</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8.3299</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7.8348</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7.1218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844.634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839.731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832.6718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5.3787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5.4063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6.8808</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7.6126</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7.1979</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830.2858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837.5318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833.4249</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5.3906</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6.6604</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7.1967</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828.1034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833.4137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833.4117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5.3785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5.388</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6.6502</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6.8745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7.1267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828.0016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830.223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832.72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120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5.3726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5.3839</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6.7178</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7.0171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828.6711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831.6353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140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5.3795</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6.6652</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6.9012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828.1504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830.4576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160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5.3758</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6.6525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6.8034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828.0252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829.5186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180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5.3732</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6.6503</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6.7338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828.0032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828.8294</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5.371</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6.691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828.4061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220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828.1785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240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5.3703</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6.6571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828.0706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260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5.3701</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6.6525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828.0251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6.6502</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828.0023</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350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828.0006</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400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tblPrEx>
          <w:tblLayout w:type="fixed"/>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1700</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bl>
    <w:p>
      <w:pPr>
        <w:spacing w:line="264" w:lineRule="auto"/>
        <w:ind w:firstLine="476"/>
        <w:rPr>
          <w:rFonts w:ascii="Arial" w:hAnsi="Arial" w:eastAsia="宋体" w:cs="Arial"/>
          <w:spacing w:val="10"/>
          <w:sz w:val="24"/>
          <w:szCs w:val="24"/>
          <w:highlight w:val="yellow"/>
        </w:rPr>
        <w:sectPr>
          <w:pgSz w:w="16840" w:h="11907" w:orient="landscape"/>
          <w:pgMar w:top="1134" w:right="851" w:bottom="1134" w:left="851" w:header="1174" w:footer="1026" w:gutter="567"/>
          <w:cols w:space="720" w:num="1"/>
          <w:docGrid w:type="linesAndChars" w:linePitch="428" w:charSpace="-3161"/>
        </w:sectPr>
      </w:pPr>
    </w:p>
    <w:bookmarkEnd w:id="319"/>
    <w:p>
      <w:pPr>
        <w:pStyle w:val="6"/>
        <w:numPr>
          <w:ilvl w:val="0"/>
          <w:numId w:val="20"/>
        </w:numPr>
        <w:tabs>
          <w:tab w:val="clear" w:pos="1789"/>
        </w:tabs>
        <w:spacing w:line="400" w:lineRule="exact"/>
        <w:rPr>
          <w:rFonts w:ascii="Arial" w:hAnsi="Arial" w:eastAsia="宋体" w:cs="Arial"/>
        </w:rPr>
      </w:pPr>
      <w:bookmarkStart w:id="320" w:name="_Toc58596462"/>
      <w:bookmarkStart w:id="321" w:name="_Toc88674776"/>
      <w:bookmarkStart w:id="322" w:name="_Toc87124261"/>
      <w:bookmarkStart w:id="323" w:name="_Toc57715622"/>
      <w:bookmarkStart w:id="324" w:name="_Toc104677303"/>
      <w:bookmarkStart w:id="325" w:name="_Toc67921875"/>
      <w:r>
        <w:rPr>
          <w:rFonts w:ascii="Arial" w:hAnsi="Arial" w:eastAsia="宋体" w:cs="Arial"/>
        </w:rPr>
        <w:t>运营期声环境影响分析</w:t>
      </w:r>
      <w:bookmarkEnd w:id="320"/>
      <w:bookmarkEnd w:id="321"/>
      <w:bookmarkEnd w:id="322"/>
      <w:bookmarkEnd w:id="323"/>
      <w:bookmarkEnd w:id="324"/>
      <w:bookmarkEnd w:id="325"/>
    </w:p>
    <w:p>
      <w:pPr>
        <w:pStyle w:val="475"/>
        <w:numPr>
          <w:ilvl w:val="0"/>
          <w:numId w:val="26"/>
        </w:numPr>
        <w:spacing w:line="500" w:lineRule="exact"/>
        <w:ind w:firstLineChars="0"/>
        <w:outlineLvl w:val="3"/>
        <w:rPr>
          <w:rFonts w:ascii="Arial" w:hAnsi="Arial" w:cs="Arial"/>
          <w:b/>
        </w:rPr>
      </w:pPr>
      <w:r>
        <w:rPr>
          <w:rFonts w:ascii="Arial" w:hAnsi="Arial" w:cs="Arial"/>
          <w:b/>
        </w:rPr>
        <w:t>噪声源</w:t>
      </w:r>
    </w:p>
    <w:p>
      <w:pPr>
        <w:pStyle w:val="5"/>
      </w:pPr>
      <w:r>
        <w:rPr>
          <w:rFonts w:hint="eastAsia"/>
        </w:rPr>
        <w:t>项目新增噪声源强清单见表4-28、表4-29。</w:t>
      </w:r>
    </w:p>
    <w:p>
      <w:pPr>
        <w:numPr>
          <w:ilvl w:val="0"/>
          <w:numId w:val="22"/>
        </w:numPr>
        <w:adjustRightInd w:val="0"/>
        <w:snapToGrid w:val="0"/>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项目噪声源强调查清单（室外声源）</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665"/>
        <w:gridCol w:w="709"/>
        <w:gridCol w:w="709"/>
        <w:gridCol w:w="709"/>
        <w:gridCol w:w="455"/>
        <w:gridCol w:w="1185"/>
        <w:gridCol w:w="1666"/>
        <w:gridCol w:w="1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08" w:type="dxa"/>
            <w:vMerge w:val="restart"/>
            <w:shd w:val="clear" w:color="auto" w:fill="auto"/>
            <w:vAlign w:val="center"/>
          </w:tcPr>
          <w:p>
            <w:pPr>
              <w:pStyle w:val="5"/>
              <w:adjustRightInd w:val="0"/>
              <w:snapToGrid w:val="0"/>
              <w:spacing w:line="240" w:lineRule="auto"/>
              <w:ind w:firstLine="0"/>
              <w:jc w:val="center"/>
              <w:rPr>
                <w:sz w:val="21"/>
              </w:rPr>
            </w:pPr>
            <w:r>
              <w:rPr>
                <w:sz w:val="21"/>
              </w:rPr>
              <w:t>序号</w:t>
            </w:r>
          </w:p>
        </w:tc>
        <w:tc>
          <w:tcPr>
            <w:tcW w:w="1665" w:type="dxa"/>
            <w:vMerge w:val="restart"/>
            <w:shd w:val="clear" w:color="auto" w:fill="auto"/>
            <w:vAlign w:val="center"/>
          </w:tcPr>
          <w:p>
            <w:pPr>
              <w:pStyle w:val="5"/>
              <w:adjustRightInd w:val="0"/>
              <w:snapToGrid w:val="0"/>
              <w:spacing w:line="240" w:lineRule="auto"/>
              <w:ind w:firstLine="0"/>
              <w:jc w:val="center"/>
              <w:rPr>
                <w:sz w:val="21"/>
              </w:rPr>
            </w:pPr>
            <w:r>
              <w:rPr>
                <w:sz w:val="21"/>
              </w:rPr>
              <w:t>名称</w:t>
            </w:r>
          </w:p>
        </w:tc>
        <w:tc>
          <w:tcPr>
            <w:tcW w:w="709" w:type="dxa"/>
            <w:vMerge w:val="restart"/>
            <w:shd w:val="clear" w:color="auto" w:fill="auto"/>
            <w:vAlign w:val="center"/>
          </w:tcPr>
          <w:p>
            <w:pPr>
              <w:pStyle w:val="5"/>
              <w:adjustRightInd w:val="0"/>
              <w:snapToGrid w:val="0"/>
              <w:spacing w:line="240" w:lineRule="auto"/>
              <w:ind w:firstLine="0"/>
              <w:jc w:val="center"/>
              <w:rPr>
                <w:sz w:val="21"/>
              </w:rPr>
            </w:pPr>
            <w:r>
              <w:rPr>
                <w:sz w:val="21"/>
              </w:rPr>
              <w:t>型号</w:t>
            </w:r>
          </w:p>
        </w:tc>
        <w:tc>
          <w:tcPr>
            <w:tcW w:w="1873" w:type="dxa"/>
            <w:gridSpan w:val="3"/>
            <w:shd w:val="clear" w:color="auto" w:fill="auto"/>
            <w:vAlign w:val="center"/>
          </w:tcPr>
          <w:p>
            <w:pPr>
              <w:pStyle w:val="5"/>
              <w:adjustRightInd w:val="0"/>
              <w:snapToGrid w:val="0"/>
              <w:spacing w:line="240" w:lineRule="auto"/>
              <w:ind w:firstLine="0"/>
              <w:jc w:val="center"/>
              <w:rPr>
                <w:sz w:val="21"/>
              </w:rPr>
            </w:pPr>
            <w:r>
              <w:rPr>
                <w:sz w:val="21"/>
              </w:rPr>
              <w:t>空间位置</w:t>
            </w:r>
          </w:p>
        </w:tc>
        <w:tc>
          <w:tcPr>
            <w:tcW w:w="1185" w:type="dxa"/>
            <w:vMerge w:val="restart"/>
            <w:shd w:val="clear" w:color="auto" w:fill="auto"/>
            <w:vAlign w:val="center"/>
          </w:tcPr>
          <w:p>
            <w:pPr>
              <w:pStyle w:val="5"/>
              <w:adjustRightInd w:val="0"/>
              <w:snapToGrid w:val="0"/>
              <w:spacing w:line="240" w:lineRule="auto"/>
              <w:ind w:firstLine="0"/>
              <w:jc w:val="center"/>
              <w:rPr>
                <w:sz w:val="21"/>
              </w:rPr>
            </w:pPr>
            <w:r>
              <w:rPr>
                <w:sz w:val="21"/>
              </w:rPr>
              <w:t>声功率级</w:t>
            </w:r>
          </w:p>
          <w:p>
            <w:pPr>
              <w:pStyle w:val="5"/>
              <w:adjustRightInd w:val="0"/>
              <w:snapToGrid w:val="0"/>
              <w:spacing w:line="240" w:lineRule="auto"/>
              <w:ind w:firstLine="0"/>
              <w:jc w:val="center"/>
              <w:rPr>
                <w:sz w:val="21"/>
              </w:rPr>
            </w:pPr>
            <w:r>
              <w:rPr>
                <w:sz w:val="21"/>
              </w:rPr>
              <w:t>dB（A）</w:t>
            </w:r>
          </w:p>
        </w:tc>
        <w:tc>
          <w:tcPr>
            <w:tcW w:w="1666" w:type="dxa"/>
            <w:vMerge w:val="restart"/>
            <w:shd w:val="clear" w:color="auto" w:fill="auto"/>
            <w:vAlign w:val="center"/>
          </w:tcPr>
          <w:p>
            <w:pPr>
              <w:pStyle w:val="5"/>
              <w:adjustRightInd w:val="0"/>
              <w:snapToGrid w:val="0"/>
              <w:spacing w:line="240" w:lineRule="auto"/>
              <w:ind w:firstLine="0"/>
              <w:jc w:val="center"/>
              <w:rPr>
                <w:sz w:val="21"/>
              </w:rPr>
            </w:pPr>
            <w:r>
              <w:rPr>
                <w:sz w:val="21"/>
              </w:rPr>
              <w:t>声源控制措施</w:t>
            </w:r>
          </w:p>
        </w:tc>
        <w:tc>
          <w:tcPr>
            <w:tcW w:w="1187" w:type="dxa"/>
            <w:vMerge w:val="restart"/>
            <w:shd w:val="clear" w:color="auto" w:fill="auto"/>
            <w:vAlign w:val="center"/>
          </w:tcPr>
          <w:p>
            <w:pPr>
              <w:pStyle w:val="5"/>
              <w:adjustRightInd w:val="0"/>
              <w:snapToGrid w:val="0"/>
              <w:spacing w:line="240" w:lineRule="auto"/>
              <w:ind w:firstLine="0"/>
              <w:jc w:val="center"/>
              <w:rPr>
                <w:sz w:val="21"/>
              </w:rPr>
            </w:pPr>
            <w:r>
              <w:rPr>
                <w:sz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08" w:type="dxa"/>
            <w:vMerge w:val="continue"/>
            <w:shd w:val="clear" w:color="auto" w:fill="auto"/>
            <w:vAlign w:val="center"/>
          </w:tcPr>
          <w:p>
            <w:pPr>
              <w:pStyle w:val="5"/>
              <w:adjustRightInd w:val="0"/>
              <w:snapToGrid w:val="0"/>
              <w:spacing w:line="240" w:lineRule="auto"/>
              <w:ind w:firstLine="0"/>
              <w:jc w:val="center"/>
              <w:rPr>
                <w:sz w:val="21"/>
              </w:rPr>
            </w:pPr>
          </w:p>
        </w:tc>
        <w:tc>
          <w:tcPr>
            <w:tcW w:w="1665" w:type="dxa"/>
            <w:vMerge w:val="continue"/>
            <w:shd w:val="clear" w:color="auto" w:fill="auto"/>
            <w:vAlign w:val="center"/>
          </w:tcPr>
          <w:p>
            <w:pPr>
              <w:pStyle w:val="5"/>
              <w:adjustRightInd w:val="0"/>
              <w:snapToGrid w:val="0"/>
              <w:spacing w:line="240" w:lineRule="auto"/>
              <w:ind w:firstLine="0"/>
              <w:jc w:val="center"/>
              <w:rPr>
                <w:sz w:val="21"/>
              </w:rPr>
            </w:pPr>
          </w:p>
        </w:tc>
        <w:tc>
          <w:tcPr>
            <w:tcW w:w="709" w:type="dxa"/>
            <w:vMerge w:val="continue"/>
            <w:shd w:val="clear" w:color="auto" w:fill="auto"/>
            <w:vAlign w:val="center"/>
          </w:tcPr>
          <w:p>
            <w:pPr>
              <w:pStyle w:val="5"/>
              <w:adjustRightInd w:val="0"/>
              <w:snapToGrid w:val="0"/>
              <w:spacing w:line="240" w:lineRule="auto"/>
              <w:ind w:firstLine="0"/>
              <w:jc w:val="center"/>
              <w:rPr>
                <w:sz w:val="21"/>
              </w:rPr>
            </w:pPr>
          </w:p>
        </w:tc>
        <w:tc>
          <w:tcPr>
            <w:tcW w:w="709" w:type="dxa"/>
            <w:shd w:val="clear" w:color="auto" w:fill="auto"/>
            <w:vAlign w:val="center"/>
          </w:tcPr>
          <w:p>
            <w:pPr>
              <w:pStyle w:val="5"/>
              <w:adjustRightInd w:val="0"/>
              <w:snapToGrid w:val="0"/>
              <w:spacing w:line="240" w:lineRule="auto"/>
              <w:ind w:firstLine="0"/>
              <w:jc w:val="center"/>
              <w:rPr>
                <w:sz w:val="21"/>
              </w:rPr>
            </w:pPr>
            <w:r>
              <w:rPr>
                <w:sz w:val="21"/>
              </w:rPr>
              <w:t>X</w:t>
            </w:r>
          </w:p>
        </w:tc>
        <w:tc>
          <w:tcPr>
            <w:tcW w:w="709" w:type="dxa"/>
            <w:shd w:val="clear" w:color="auto" w:fill="auto"/>
            <w:vAlign w:val="center"/>
          </w:tcPr>
          <w:p>
            <w:pPr>
              <w:pStyle w:val="5"/>
              <w:adjustRightInd w:val="0"/>
              <w:snapToGrid w:val="0"/>
              <w:spacing w:line="240" w:lineRule="auto"/>
              <w:ind w:firstLine="0"/>
              <w:jc w:val="center"/>
              <w:rPr>
                <w:sz w:val="21"/>
              </w:rPr>
            </w:pPr>
            <w:r>
              <w:rPr>
                <w:sz w:val="21"/>
              </w:rPr>
              <w:t>Y</w:t>
            </w:r>
          </w:p>
        </w:tc>
        <w:tc>
          <w:tcPr>
            <w:tcW w:w="455" w:type="dxa"/>
            <w:shd w:val="clear" w:color="auto" w:fill="auto"/>
            <w:vAlign w:val="center"/>
          </w:tcPr>
          <w:p>
            <w:pPr>
              <w:pStyle w:val="5"/>
              <w:adjustRightInd w:val="0"/>
              <w:snapToGrid w:val="0"/>
              <w:spacing w:line="240" w:lineRule="auto"/>
              <w:ind w:firstLine="0"/>
              <w:jc w:val="center"/>
              <w:rPr>
                <w:sz w:val="21"/>
              </w:rPr>
            </w:pPr>
            <w:r>
              <w:rPr>
                <w:sz w:val="21"/>
              </w:rPr>
              <w:t>Z</w:t>
            </w:r>
          </w:p>
        </w:tc>
        <w:tc>
          <w:tcPr>
            <w:tcW w:w="1185" w:type="dxa"/>
            <w:vMerge w:val="continue"/>
            <w:shd w:val="clear" w:color="auto" w:fill="auto"/>
            <w:vAlign w:val="center"/>
          </w:tcPr>
          <w:p>
            <w:pPr>
              <w:pStyle w:val="5"/>
              <w:adjustRightInd w:val="0"/>
              <w:snapToGrid w:val="0"/>
              <w:spacing w:line="240" w:lineRule="auto"/>
              <w:ind w:firstLine="0"/>
              <w:jc w:val="center"/>
              <w:rPr>
                <w:sz w:val="21"/>
              </w:rPr>
            </w:pPr>
          </w:p>
        </w:tc>
        <w:tc>
          <w:tcPr>
            <w:tcW w:w="1666" w:type="dxa"/>
            <w:vMerge w:val="continue"/>
            <w:shd w:val="clear" w:color="auto" w:fill="auto"/>
            <w:vAlign w:val="center"/>
          </w:tcPr>
          <w:p>
            <w:pPr>
              <w:pStyle w:val="5"/>
              <w:adjustRightInd w:val="0"/>
              <w:snapToGrid w:val="0"/>
              <w:spacing w:line="240" w:lineRule="auto"/>
              <w:ind w:firstLine="0"/>
              <w:jc w:val="center"/>
              <w:rPr>
                <w:sz w:val="21"/>
              </w:rPr>
            </w:pPr>
          </w:p>
        </w:tc>
        <w:tc>
          <w:tcPr>
            <w:tcW w:w="1187" w:type="dxa"/>
            <w:vMerge w:val="continue"/>
            <w:shd w:val="clear" w:color="auto" w:fill="auto"/>
            <w:vAlign w:val="center"/>
          </w:tcPr>
          <w:p>
            <w:pPr>
              <w:pStyle w:val="5"/>
              <w:adjustRightInd w:val="0"/>
              <w:snapToGrid w:val="0"/>
              <w:spacing w:line="240" w:lineRule="auto"/>
              <w:ind w:firstLine="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08" w:type="dxa"/>
            <w:shd w:val="clear" w:color="auto" w:fill="auto"/>
            <w:vAlign w:val="center"/>
          </w:tcPr>
          <w:p>
            <w:pPr>
              <w:pStyle w:val="5"/>
              <w:adjustRightInd w:val="0"/>
              <w:snapToGrid w:val="0"/>
              <w:spacing w:line="240" w:lineRule="auto"/>
              <w:ind w:firstLine="0"/>
              <w:jc w:val="center"/>
              <w:rPr>
                <w:sz w:val="21"/>
              </w:rPr>
            </w:pPr>
            <w:r>
              <w:rPr>
                <w:rFonts w:hint="eastAsia"/>
                <w:sz w:val="21"/>
              </w:rPr>
              <w:t>1</w:t>
            </w:r>
          </w:p>
        </w:tc>
        <w:tc>
          <w:tcPr>
            <w:tcW w:w="1665" w:type="dxa"/>
            <w:shd w:val="clear" w:color="auto" w:fill="auto"/>
            <w:vAlign w:val="center"/>
          </w:tcPr>
          <w:p>
            <w:pPr>
              <w:pStyle w:val="5"/>
              <w:adjustRightInd w:val="0"/>
              <w:snapToGrid w:val="0"/>
              <w:spacing w:line="240" w:lineRule="auto"/>
              <w:ind w:firstLine="0"/>
              <w:jc w:val="center"/>
              <w:rPr>
                <w:sz w:val="21"/>
              </w:rPr>
            </w:pPr>
            <w:r>
              <w:rPr>
                <w:sz w:val="21"/>
              </w:rPr>
              <w:t>泵集中区</w:t>
            </w:r>
          </w:p>
        </w:tc>
        <w:tc>
          <w:tcPr>
            <w:tcW w:w="709" w:type="dxa"/>
            <w:shd w:val="clear" w:color="auto" w:fill="auto"/>
            <w:vAlign w:val="center"/>
          </w:tcPr>
          <w:p>
            <w:pPr>
              <w:pStyle w:val="5"/>
              <w:adjustRightInd w:val="0"/>
              <w:snapToGrid w:val="0"/>
              <w:spacing w:line="240" w:lineRule="auto"/>
              <w:ind w:firstLine="0"/>
              <w:jc w:val="center"/>
              <w:rPr>
                <w:sz w:val="21"/>
              </w:rPr>
            </w:pPr>
            <w:r>
              <w:rPr>
                <w:sz w:val="21"/>
              </w:rPr>
              <w:t>/</w:t>
            </w:r>
          </w:p>
        </w:tc>
        <w:tc>
          <w:tcPr>
            <w:tcW w:w="709" w:type="dxa"/>
            <w:shd w:val="clear" w:color="auto" w:fill="auto"/>
            <w:vAlign w:val="center"/>
          </w:tcPr>
          <w:p>
            <w:pPr>
              <w:pStyle w:val="5"/>
              <w:adjustRightInd w:val="0"/>
              <w:snapToGrid w:val="0"/>
              <w:spacing w:line="240" w:lineRule="auto"/>
              <w:ind w:firstLine="0"/>
              <w:jc w:val="center"/>
              <w:rPr>
                <w:sz w:val="21"/>
              </w:rPr>
            </w:pPr>
            <w:r>
              <w:rPr>
                <w:rFonts w:hint="eastAsia"/>
                <w:sz w:val="21"/>
              </w:rPr>
              <w:t>24</w:t>
            </w:r>
          </w:p>
        </w:tc>
        <w:tc>
          <w:tcPr>
            <w:tcW w:w="709" w:type="dxa"/>
            <w:shd w:val="clear" w:color="auto" w:fill="auto"/>
            <w:vAlign w:val="center"/>
          </w:tcPr>
          <w:p>
            <w:pPr>
              <w:pStyle w:val="5"/>
              <w:adjustRightInd w:val="0"/>
              <w:snapToGrid w:val="0"/>
              <w:spacing w:line="240" w:lineRule="auto"/>
              <w:ind w:firstLine="0"/>
              <w:jc w:val="center"/>
              <w:rPr>
                <w:sz w:val="21"/>
              </w:rPr>
            </w:pPr>
            <w:r>
              <w:rPr>
                <w:rFonts w:hint="eastAsia"/>
                <w:sz w:val="21"/>
              </w:rPr>
              <w:t>40</w:t>
            </w:r>
          </w:p>
        </w:tc>
        <w:tc>
          <w:tcPr>
            <w:tcW w:w="455" w:type="dxa"/>
            <w:shd w:val="clear" w:color="auto" w:fill="auto"/>
            <w:vAlign w:val="center"/>
          </w:tcPr>
          <w:p>
            <w:pPr>
              <w:pStyle w:val="5"/>
              <w:adjustRightInd w:val="0"/>
              <w:snapToGrid w:val="0"/>
              <w:spacing w:line="240" w:lineRule="auto"/>
              <w:ind w:firstLine="0"/>
              <w:jc w:val="center"/>
              <w:rPr>
                <w:sz w:val="21"/>
              </w:rPr>
            </w:pPr>
            <w:r>
              <w:rPr>
                <w:rFonts w:hint="eastAsia"/>
                <w:sz w:val="21"/>
              </w:rPr>
              <w:t>1</w:t>
            </w:r>
          </w:p>
        </w:tc>
        <w:tc>
          <w:tcPr>
            <w:tcW w:w="1185" w:type="dxa"/>
            <w:shd w:val="clear" w:color="auto" w:fill="auto"/>
            <w:vAlign w:val="center"/>
          </w:tcPr>
          <w:p>
            <w:pPr>
              <w:pStyle w:val="5"/>
              <w:adjustRightInd w:val="0"/>
              <w:snapToGrid w:val="0"/>
              <w:spacing w:line="240" w:lineRule="auto"/>
              <w:ind w:firstLine="0"/>
              <w:jc w:val="center"/>
              <w:rPr>
                <w:sz w:val="21"/>
              </w:rPr>
            </w:pPr>
            <w:r>
              <w:rPr>
                <w:rFonts w:hint="eastAsia"/>
                <w:sz w:val="21"/>
              </w:rPr>
              <w:t>95</w:t>
            </w:r>
          </w:p>
        </w:tc>
        <w:tc>
          <w:tcPr>
            <w:tcW w:w="1666" w:type="dxa"/>
            <w:shd w:val="clear" w:color="auto" w:fill="auto"/>
            <w:vAlign w:val="center"/>
          </w:tcPr>
          <w:p>
            <w:pPr>
              <w:pStyle w:val="5"/>
              <w:adjustRightInd w:val="0"/>
              <w:snapToGrid w:val="0"/>
              <w:spacing w:line="240" w:lineRule="auto"/>
              <w:ind w:firstLine="0"/>
              <w:jc w:val="center"/>
              <w:rPr>
                <w:sz w:val="21"/>
              </w:rPr>
            </w:pPr>
            <w:r>
              <w:rPr>
                <w:sz w:val="21"/>
              </w:rPr>
              <w:t>基础减震</w:t>
            </w:r>
          </w:p>
        </w:tc>
        <w:tc>
          <w:tcPr>
            <w:tcW w:w="1187" w:type="dxa"/>
            <w:shd w:val="clear" w:color="auto" w:fill="auto"/>
            <w:vAlign w:val="center"/>
          </w:tcPr>
          <w:p>
            <w:pPr>
              <w:pStyle w:val="5"/>
              <w:adjustRightInd w:val="0"/>
              <w:snapToGrid w:val="0"/>
              <w:spacing w:line="240" w:lineRule="auto"/>
              <w:ind w:firstLine="0"/>
              <w:jc w:val="center"/>
              <w:rPr>
                <w:sz w:val="21"/>
              </w:rPr>
            </w:pPr>
            <w:r>
              <w:rPr>
                <w:sz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08" w:type="dxa"/>
            <w:shd w:val="clear" w:color="auto" w:fill="auto"/>
            <w:vAlign w:val="center"/>
          </w:tcPr>
          <w:p>
            <w:pPr>
              <w:pStyle w:val="5"/>
              <w:adjustRightInd w:val="0"/>
              <w:snapToGrid w:val="0"/>
              <w:spacing w:line="240" w:lineRule="auto"/>
              <w:ind w:firstLine="0"/>
              <w:jc w:val="center"/>
              <w:rPr>
                <w:sz w:val="21"/>
              </w:rPr>
            </w:pPr>
            <w:r>
              <w:rPr>
                <w:rFonts w:hint="eastAsia"/>
                <w:sz w:val="21"/>
              </w:rPr>
              <w:t>2</w:t>
            </w:r>
          </w:p>
        </w:tc>
        <w:tc>
          <w:tcPr>
            <w:tcW w:w="1665" w:type="dxa"/>
            <w:shd w:val="clear" w:color="auto" w:fill="auto"/>
            <w:vAlign w:val="center"/>
          </w:tcPr>
          <w:p>
            <w:pPr>
              <w:pStyle w:val="5"/>
              <w:adjustRightInd w:val="0"/>
              <w:snapToGrid w:val="0"/>
              <w:spacing w:line="240" w:lineRule="auto"/>
              <w:ind w:firstLine="0"/>
              <w:jc w:val="center"/>
              <w:rPr>
                <w:sz w:val="21"/>
              </w:rPr>
            </w:pPr>
            <w:r>
              <w:rPr>
                <w:sz w:val="21"/>
              </w:rPr>
              <w:t>泵集中区</w:t>
            </w:r>
          </w:p>
        </w:tc>
        <w:tc>
          <w:tcPr>
            <w:tcW w:w="709" w:type="dxa"/>
            <w:shd w:val="clear" w:color="auto" w:fill="auto"/>
            <w:vAlign w:val="center"/>
          </w:tcPr>
          <w:p>
            <w:pPr>
              <w:pStyle w:val="5"/>
              <w:adjustRightInd w:val="0"/>
              <w:snapToGrid w:val="0"/>
              <w:spacing w:line="240" w:lineRule="auto"/>
              <w:ind w:firstLine="0"/>
              <w:jc w:val="center"/>
              <w:rPr>
                <w:sz w:val="21"/>
              </w:rPr>
            </w:pPr>
            <w:r>
              <w:rPr>
                <w:sz w:val="21"/>
              </w:rPr>
              <w:t>/</w:t>
            </w:r>
          </w:p>
        </w:tc>
        <w:tc>
          <w:tcPr>
            <w:tcW w:w="709" w:type="dxa"/>
            <w:shd w:val="clear" w:color="auto" w:fill="auto"/>
            <w:vAlign w:val="center"/>
          </w:tcPr>
          <w:p>
            <w:pPr>
              <w:pStyle w:val="5"/>
              <w:adjustRightInd w:val="0"/>
              <w:snapToGrid w:val="0"/>
              <w:spacing w:line="240" w:lineRule="auto"/>
              <w:ind w:firstLine="0"/>
              <w:jc w:val="center"/>
              <w:rPr>
                <w:sz w:val="21"/>
              </w:rPr>
            </w:pPr>
            <w:r>
              <w:rPr>
                <w:rFonts w:hint="eastAsia"/>
                <w:sz w:val="21"/>
              </w:rPr>
              <w:t>-12</w:t>
            </w:r>
          </w:p>
        </w:tc>
        <w:tc>
          <w:tcPr>
            <w:tcW w:w="709" w:type="dxa"/>
            <w:shd w:val="clear" w:color="auto" w:fill="auto"/>
            <w:vAlign w:val="center"/>
          </w:tcPr>
          <w:p>
            <w:pPr>
              <w:pStyle w:val="5"/>
              <w:adjustRightInd w:val="0"/>
              <w:snapToGrid w:val="0"/>
              <w:spacing w:line="240" w:lineRule="auto"/>
              <w:ind w:firstLine="0"/>
              <w:jc w:val="center"/>
              <w:rPr>
                <w:sz w:val="21"/>
              </w:rPr>
            </w:pPr>
            <w:r>
              <w:rPr>
                <w:rFonts w:hint="eastAsia"/>
                <w:sz w:val="21"/>
              </w:rPr>
              <w:t>36</w:t>
            </w:r>
          </w:p>
        </w:tc>
        <w:tc>
          <w:tcPr>
            <w:tcW w:w="455" w:type="dxa"/>
            <w:shd w:val="clear" w:color="auto" w:fill="auto"/>
            <w:vAlign w:val="center"/>
          </w:tcPr>
          <w:p>
            <w:pPr>
              <w:pStyle w:val="5"/>
              <w:adjustRightInd w:val="0"/>
              <w:snapToGrid w:val="0"/>
              <w:spacing w:line="240" w:lineRule="auto"/>
              <w:ind w:firstLine="0"/>
              <w:jc w:val="center"/>
              <w:rPr>
                <w:sz w:val="21"/>
              </w:rPr>
            </w:pPr>
            <w:r>
              <w:rPr>
                <w:rFonts w:hint="eastAsia"/>
                <w:sz w:val="21"/>
              </w:rPr>
              <w:t>1</w:t>
            </w:r>
          </w:p>
        </w:tc>
        <w:tc>
          <w:tcPr>
            <w:tcW w:w="1185" w:type="dxa"/>
            <w:shd w:val="clear" w:color="auto" w:fill="auto"/>
            <w:vAlign w:val="center"/>
          </w:tcPr>
          <w:p>
            <w:pPr>
              <w:pStyle w:val="5"/>
              <w:adjustRightInd w:val="0"/>
              <w:snapToGrid w:val="0"/>
              <w:spacing w:line="240" w:lineRule="auto"/>
              <w:ind w:firstLine="0"/>
              <w:jc w:val="center"/>
              <w:rPr>
                <w:sz w:val="21"/>
              </w:rPr>
            </w:pPr>
            <w:r>
              <w:rPr>
                <w:rFonts w:hint="eastAsia"/>
                <w:sz w:val="21"/>
              </w:rPr>
              <w:t>95</w:t>
            </w:r>
          </w:p>
        </w:tc>
        <w:tc>
          <w:tcPr>
            <w:tcW w:w="1666" w:type="dxa"/>
            <w:shd w:val="clear" w:color="auto" w:fill="auto"/>
            <w:vAlign w:val="center"/>
          </w:tcPr>
          <w:p>
            <w:pPr>
              <w:pStyle w:val="5"/>
              <w:adjustRightInd w:val="0"/>
              <w:snapToGrid w:val="0"/>
              <w:spacing w:line="240" w:lineRule="auto"/>
              <w:ind w:firstLine="0"/>
              <w:jc w:val="center"/>
              <w:rPr>
                <w:sz w:val="21"/>
              </w:rPr>
            </w:pPr>
            <w:r>
              <w:rPr>
                <w:sz w:val="21"/>
              </w:rPr>
              <w:t>基础减震</w:t>
            </w:r>
          </w:p>
        </w:tc>
        <w:tc>
          <w:tcPr>
            <w:tcW w:w="1187" w:type="dxa"/>
            <w:shd w:val="clear" w:color="auto" w:fill="auto"/>
            <w:vAlign w:val="center"/>
          </w:tcPr>
          <w:p>
            <w:pPr>
              <w:pStyle w:val="5"/>
              <w:adjustRightInd w:val="0"/>
              <w:snapToGrid w:val="0"/>
              <w:spacing w:line="240" w:lineRule="auto"/>
              <w:ind w:firstLine="0"/>
              <w:jc w:val="center"/>
              <w:rPr>
                <w:sz w:val="21"/>
              </w:rPr>
            </w:pPr>
            <w:r>
              <w:rPr>
                <w:sz w:val="21"/>
              </w:rPr>
              <w:t>全天</w:t>
            </w:r>
          </w:p>
        </w:tc>
      </w:tr>
    </w:tbl>
    <w:p>
      <w:pPr>
        <w:numPr>
          <w:ilvl w:val="0"/>
          <w:numId w:val="22"/>
        </w:numPr>
        <w:adjustRightInd w:val="0"/>
        <w:snapToGrid w:val="0"/>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项目噪声源强调查清单（室内声源）</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173"/>
        <w:gridCol w:w="788"/>
        <w:gridCol w:w="1155"/>
        <w:gridCol w:w="625"/>
        <w:gridCol w:w="643"/>
        <w:gridCol w:w="440"/>
        <w:gridCol w:w="837"/>
        <w:gridCol w:w="1112"/>
        <w:gridCol w:w="69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1173"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788"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声功</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率级</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dB</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（A）</w:t>
            </w:r>
          </w:p>
        </w:tc>
        <w:tc>
          <w:tcPr>
            <w:tcW w:w="1155"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声源控</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制措施</w:t>
            </w:r>
          </w:p>
        </w:tc>
        <w:tc>
          <w:tcPr>
            <w:tcW w:w="1708" w:type="dxa"/>
            <w:gridSpan w:val="3"/>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空间位置</w:t>
            </w:r>
          </w:p>
        </w:tc>
        <w:tc>
          <w:tcPr>
            <w:tcW w:w="837"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距室</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内边</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界距</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离m</w:t>
            </w:r>
          </w:p>
        </w:tc>
        <w:tc>
          <w:tcPr>
            <w:tcW w:w="1112"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室内边界</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声级dB（A）</w:t>
            </w:r>
          </w:p>
        </w:tc>
        <w:tc>
          <w:tcPr>
            <w:tcW w:w="692"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运行</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时段</w:t>
            </w:r>
          </w:p>
        </w:tc>
        <w:tc>
          <w:tcPr>
            <w:tcW w:w="1067" w:type="dxa"/>
            <w:vMerge w:val="restart"/>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建筑物插</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入损失</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173"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788"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155"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X</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Y</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Z</w:t>
            </w:r>
          </w:p>
        </w:tc>
        <w:tc>
          <w:tcPr>
            <w:tcW w:w="837"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112"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692" w:type="dxa"/>
            <w:vMerge w:val="continue"/>
            <w:shd w:val="clear" w:color="auto" w:fill="auto"/>
            <w:vAlign w:val="center"/>
          </w:tcPr>
          <w:p>
            <w:pPr>
              <w:adjustRightInd w:val="0"/>
              <w:snapToGrid w:val="0"/>
              <w:jc w:val="center"/>
              <w:rPr>
                <w:rFonts w:ascii="Arial" w:hAnsi="Arial" w:eastAsia="宋体" w:cs="Arial"/>
                <w:spacing w:val="10"/>
                <w:sz w:val="21"/>
                <w:szCs w:val="21"/>
              </w:rPr>
            </w:pPr>
          </w:p>
        </w:tc>
        <w:tc>
          <w:tcPr>
            <w:tcW w:w="1067" w:type="dxa"/>
            <w:vMerge w:val="continue"/>
            <w:shd w:val="clear" w:color="auto" w:fill="auto"/>
            <w:vAlign w:val="center"/>
          </w:tcPr>
          <w:p>
            <w:pPr>
              <w:adjustRightInd w:val="0"/>
              <w:snapToGrid w:val="0"/>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压滤机集中区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0</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5</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5</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烘箱集中区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28</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6</w:t>
            </w:r>
            <w:r>
              <w:rPr>
                <w:rFonts w:hint="eastAsia" w:ascii="Arial" w:hAnsi="Arial" w:cs="Arial"/>
                <w:sz w:val="21"/>
                <w:szCs w:val="21"/>
              </w:rPr>
              <w:t>0</w:t>
            </w:r>
            <w:r>
              <w:rPr>
                <w:rFonts w:ascii="Arial" w:hAnsi="Arial" w:cs="Arial"/>
                <w:sz w:val="21"/>
                <w:szCs w:val="21"/>
              </w:rPr>
              <w:t xml:space="preserve">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w:t>
            </w:r>
          </w:p>
        </w:tc>
        <w:tc>
          <w:tcPr>
            <w:tcW w:w="1173" w:type="dxa"/>
            <w:shd w:val="clear" w:color="auto" w:fill="auto"/>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对辊机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32</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64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w:t>
            </w:r>
          </w:p>
        </w:tc>
        <w:tc>
          <w:tcPr>
            <w:tcW w:w="1173" w:type="dxa"/>
            <w:shd w:val="clear" w:color="auto" w:fill="auto"/>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气流磨</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35</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cs="Arial"/>
                <w:sz w:val="21"/>
                <w:szCs w:val="21"/>
              </w:rPr>
              <w:t>64</w:t>
            </w:r>
            <w:r>
              <w:rPr>
                <w:rFonts w:ascii="Arial" w:hAnsi="Arial" w:cs="Arial"/>
                <w:sz w:val="21"/>
                <w:szCs w:val="21"/>
              </w:rPr>
              <w:t xml:space="preserve">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w:t>
            </w:r>
          </w:p>
        </w:tc>
        <w:tc>
          <w:tcPr>
            <w:tcW w:w="1173" w:type="dxa"/>
            <w:shd w:val="clear" w:color="auto" w:fill="auto"/>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空压机集中区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37</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包装</w:t>
            </w:r>
            <w:r>
              <w:rPr>
                <w:rFonts w:ascii="Arial" w:hAnsi="Arial" w:eastAsia="宋体" w:cs="Arial"/>
                <w:spacing w:val="10"/>
                <w:sz w:val="21"/>
                <w:szCs w:val="21"/>
              </w:rPr>
              <w:t>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33</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包装</w:t>
            </w:r>
            <w:r>
              <w:rPr>
                <w:rFonts w:ascii="Arial" w:hAnsi="Arial" w:eastAsia="宋体" w:cs="Arial"/>
                <w:spacing w:val="10"/>
                <w:sz w:val="21"/>
                <w:szCs w:val="21"/>
              </w:rPr>
              <w:t>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36</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泵集中区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95</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-30</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75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461"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11</w:t>
            </w:r>
          </w:p>
        </w:tc>
        <w:tc>
          <w:tcPr>
            <w:tcW w:w="1173"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泵集中区</w:t>
            </w:r>
          </w:p>
        </w:tc>
        <w:tc>
          <w:tcPr>
            <w:tcW w:w="78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95</w:t>
            </w:r>
          </w:p>
        </w:tc>
        <w:tc>
          <w:tcPr>
            <w:tcW w:w="1155"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625"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0</w:t>
            </w:r>
          </w:p>
        </w:tc>
        <w:tc>
          <w:tcPr>
            <w:tcW w:w="643"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33</w:t>
            </w:r>
          </w:p>
        </w:tc>
        <w:tc>
          <w:tcPr>
            <w:tcW w:w="440"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837"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112" w:type="dxa"/>
            <w:shd w:val="clear" w:color="auto" w:fill="auto"/>
            <w:vAlign w:val="center"/>
          </w:tcPr>
          <w:p>
            <w:pPr>
              <w:adjustRightInd w:val="0"/>
              <w:snapToGrid w:val="0"/>
              <w:jc w:val="center"/>
              <w:rPr>
                <w:rFonts w:ascii="Arial" w:hAnsi="Arial" w:eastAsia="宋体" w:cs="Arial"/>
                <w:sz w:val="21"/>
                <w:szCs w:val="21"/>
              </w:rPr>
            </w:pPr>
            <w:r>
              <w:rPr>
                <w:rFonts w:ascii="Arial" w:hAnsi="Arial" w:cs="Arial"/>
                <w:sz w:val="21"/>
                <w:szCs w:val="21"/>
              </w:rPr>
              <w:t xml:space="preserve">75 </w:t>
            </w:r>
          </w:p>
        </w:tc>
        <w:tc>
          <w:tcPr>
            <w:tcW w:w="692"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1067"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bl>
    <w:p>
      <w:pPr>
        <w:pStyle w:val="475"/>
        <w:numPr>
          <w:ilvl w:val="0"/>
          <w:numId w:val="26"/>
        </w:numPr>
        <w:spacing w:line="500" w:lineRule="exact"/>
        <w:ind w:firstLineChars="0"/>
        <w:outlineLvl w:val="3"/>
        <w:rPr>
          <w:rFonts w:ascii="Arial" w:hAnsi="Arial" w:cs="Arial"/>
          <w:b/>
        </w:rPr>
      </w:pPr>
      <w:r>
        <w:rPr>
          <w:rFonts w:hint="eastAsia" w:ascii="Arial" w:hAnsi="Arial" w:cs="Arial"/>
          <w:b/>
        </w:rPr>
        <w:t>预测模式</w:t>
      </w:r>
    </w:p>
    <w:p>
      <w:pPr>
        <w:pStyle w:val="5"/>
        <w:spacing w:line="500" w:lineRule="exact"/>
      </w:pPr>
      <w:r>
        <w:t>根据《环境影响评价技术导则 声环境》（HJ2.4-2021），预测本项目实施后对声环境的影响。预测中应用的主要计算公式有：</w:t>
      </w:r>
    </w:p>
    <w:p>
      <w:pPr>
        <w:pStyle w:val="5"/>
        <w:spacing w:line="500" w:lineRule="exact"/>
      </w:pPr>
      <w:r>
        <w:t>1、单个室外点声源在预测点的声级计算公式</w:t>
      </w:r>
    </w:p>
    <w:p>
      <w:pPr>
        <w:pStyle w:val="5"/>
        <w:spacing w:line="500" w:lineRule="exact"/>
      </w:pPr>
      <w:r>
        <w:t>已知声源的倍频带声功率级（从63Hz到8kHz标称频带中心频率的8个倍频带），本次采用500Hz倍频带声功率级进行噪声影响预测与评价。预测点位置的倍频带声压级Lp(r)可按公式</w:t>
      </w:r>
      <w:r>
        <w:rPr>
          <w:rFonts w:hint="eastAsia" w:ascii="宋体" w:hAnsi="宋体" w:cs="宋体"/>
        </w:rPr>
        <w:t>⑴</w:t>
      </w:r>
      <w:r>
        <w:t>计算：</w:t>
      </w:r>
    </w:p>
    <w:p>
      <w:pPr>
        <w:tabs>
          <w:tab w:val="left" w:pos="180"/>
        </w:tabs>
        <w:adjustRightInd w:val="0"/>
        <w:snapToGrid w:val="0"/>
        <w:spacing w:before="428" w:beforeLines="100" w:after="214" w:afterLines="50" w:line="360" w:lineRule="auto"/>
        <w:ind w:firstLine="539"/>
        <w:rPr>
          <w:rFonts w:ascii="Arial" w:hAnsi="Arial" w:eastAsia="宋体" w:cs="Arial"/>
          <w:sz w:val="24"/>
        </w:rPr>
      </w:pPr>
      <w:r>
        <w:rPr>
          <w:rFonts w:ascii="Arial" w:hAnsi="Arial" w:eastAsia="宋体" w:cs="Arial"/>
          <w:position w:val="-14"/>
          <w:sz w:val="24"/>
        </w:rPr>
        <w:object>
          <v:shape id="_x0000_i1029" o:spt="75" type="#_x0000_t75" style="height:18.75pt;width:102pt;" o:ole="t" filled="f" o:preferrelative="t" stroked="f" coordsize="21600,21600">
            <v:path/>
            <v:fill on="f" focussize="0,0"/>
            <v:stroke on="f" joinstyle="miter"/>
            <v:imagedata r:id="rId52" o:title=""/>
            <o:lock v:ext="edit" aspectratio="t"/>
            <w10:wrap type="none"/>
            <w10:anchorlock/>
          </v:shape>
          <o:OLEObject Type="Embed" ProgID="Equation.3" ShapeID="_x0000_i1029" DrawAspect="Content" ObjectID="_1468075729" r:id="rId51">
            <o:LockedField>false</o:LockedField>
          </o:OLEObject>
        </w:object>
      </w:r>
      <w:r>
        <w:rPr>
          <w:rFonts w:ascii="Arial" w:hAnsi="Arial" w:eastAsia="宋体" w:cs="Arial"/>
          <w:sz w:val="24"/>
        </w:rPr>
        <w:t xml:space="preserve">                           </w:t>
      </w:r>
      <w:r>
        <w:rPr>
          <w:rFonts w:hint="eastAsia" w:ascii="宋体" w:hAnsi="宋体" w:eastAsia="宋体" w:cs="宋体"/>
          <w:sz w:val="24"/>
        </w:rPr>
        <w:t>⑴</w:t>
      </w:r>
    </w:p>
    <w:p>
      <w:pPr>
        <w:tabs>
          <w:tab w:val="left" w:pos="180"/>
        </w:tabs>
        <w:adjustRightInd w:val="0"/>
        <w:snapToGrid w:val="0"/>
        <w:spacing w:before="428" w:beforeLines="100" w:after="214" w:afterLines="50" w:line="360" w:lineRule="auto"/>
        <w:ind w:firstLine="539"/>
        <w:rPr>
          <w:rFonts w:ascii="Arial" w:hAnsi="Arial" w:eastAsia="宋体" w:cs="Arial"/>
          <w:sz w:val="24"/>
        </w:rPr>
      </w:pPr>
      <w:r>
        <w:rPr>
          <w:rFonts w:ascii="Arial" w:hAnsi="Arial" w:eastAsia="宋体" w:cs="Arial"/>
          <w:position w:val="-14"/>
          <w:sz w:val="24"/>
        </w:rPr>
        <w:object>
          <v:shape id="_x0000_i1030" o:spt="75" type="#_x0000_t75" style="height:18.75pt;width:165.75pt;" o:ole="t" filled="f" o:preferrelative="t" stroked="f" coordsize="21600,21600">
            <v:path/>
            <v:fill on="f" focussize="0,0"/>
            <v:stroke on="f" joinstyle="miter"/>
            <v:imagedata r:id="rId54" o:title=""/>
            <o:lock v:ext="edit" aspectratio="t"/>
            <w10:wrap type="none"/>
            <w10:anchorlock/>
          </v:shape>
          <o:OLEObject Type="Embed" ProgID="Equation.3" ShapeID="_x0000_i1030" DrawAspect="Content" ObjectID="_1468075730" r:id="rId53">
            <o:LockedField>false</o:LockedField>
          </o:OLEObject>
        </w:object>
      </w:r>
    </w:p>
    <w:p>
      <w:pPr>
        <w:pStyle w:val="5"/>
        <w:spacing w:line="520" w:lineRule="exact"/>
      </w:pPr>
      <w:r>
        <w:t>式中：L</w:t>
      </w:r>
      <w:r>
        <w:rPr>
          <w:vertAlign w:val="subscript"/>
        </w:rPr>
        <w:t>w</w:t>
      </w:r>
      <w:r>
        <w:t>—倍频带声功率级，dB；</w:t>
      </w:r>
    </w:p>
    <w:p>
      <w:pPr>
        <w:pStyle w:val="5"/>
        <w:spacing w:line="520" w:lineRule="exact"/>
      </w:pPr>
      <w:r>
        <w:t xml:space="preserve">      D</w:t>
      </w:r>
      <w:r>
        <w:rPr>
          <w:vertAlign w:val="subscript"/>
        </w:rPr>
        <w:t>c</w:t>
      </w:r>
      <w:r>
        <w:t>—指向性校正，dB；对辐射到自由空间的全向点声源，Dc=0dB。</w:t>
      </w:r>
    </w:p>
    <w:p>
      <w:pPr>
        <w:pStyle w:val="5"/>
        <w:spacing w:line="520" w:lineRule="exact"/>
      </w:pPr>
      <w:r>
        <w:t xml:space="preserve">      A—倍频带衰减，dB；</w:t>
      </w:r>
    </w:p>
    <w:p>
      <w:pPr>
        <w:pStyle w:val="5"/>
        <w:spacing w:line="520" w:lineRule="exact"/>
      </w:pPr>
      <w:r>
        <w:t xml:space="preserve">      A</w:t>
      </w:r>
      <w:r>
        <w:rPr>
          <w:vertAlign w:val="subscript"/>
        </w:rPr>
        <w:t>div</w:t>
      </w:r>
      <w:r>
        <w:t>—几何发散引起的倍频带衰减，dB；</w:t>
      </w:r>
    </w:p>
    <w:p>
      <w:pPr>
        <w:pStyle w:val="5"/>
        <w:spacing w:line="520" w:lineRule="exact"/>
      </w:pPr>
      <w:r>
        <w:t xml:space="preserve">      A</w:t>
      </w:r>
      <w:r>
        <w:rPr>
          <w:vertAlign w:val="subscript"/>
        </w:rPr>
        <w:t>atm</w:t>
      </w:r>
      <w:r>
        <w:t>—大气吸收引起的倍频带衰减，dB；</w:t>
      </w:r>
    </w:p>
    <w:p>
      <w:pPr>
        <w:pStyle w:val="5"/>
        <w:spacing w:line="520" w:lineRule="exact"/>
      </w:pPr>
      <w:r>
        <w:t xml:space="preserve">      A</w:t>
      </w:r>
      <w:r>
        <w:rPr>
          <w:vertAlign w:val="subscript"/>
        </w:rPr>
        <w:t>gr</w:t>
      </w:r>
      <w:r>
        <w:t>—地面效应引起的倍频带衰减，dB；</w:t>
      </w:r>
    </w:p>
    <w:p>
      <w:pPr>
        <w:pStyle w:val="5"/>
        <w:spacing w:line="520" w:lineRule="exact"/>
      </w:pPr>
      <w:r>
        <w:t xml:space="preserve">      A</w:t>
      </w:r>
      <w:r>
        <w:rPr>
          <w:vertAlign w:val="subscript"/>
        </w:rPr>
        <w:t>bar</w:t>
      </w:r>
      <w:r>
        <w:t>—声屏障引起的倍频带衰减，dB；</w:t>
      </w:r>
    </w:p>
    <w:p>
      <w:pPr>
        <w:pStyle w:val="5"/>
        <w:spacing w:line="520" w:lineRule="exact"/>
      </w:pPr>
      <w:r>
        <w:t xml:space="preserve">      A</w:t>
      </w:r>
      <w:r>
        <w:rPr>
          <w:vertAlign w:val="subscript"/>
        </w:rPr>
        <w:t>misc</w:t>
      </w:r>
      <w:r>
        <w:t>—其他多方面效应引起的倍频带衰减，dB。</w:t>
      </w:r>
    </w:p>
    <w:p>
      <w:pPr>
        <w:pStyle w:val="5"/>
        <w:spacing w:line="520" w:lineRule="exact"/>
      </w:pPr>
      <w:r>
        <w:rPr>
          <w:rFonts w:hint="eastAsia" w:ascii="宋体" w:hAnsi="宋体" w:cs="宋体"/>
        </w:rPr>
        <w:t>Ⅰ</w:t>
      </w:r>
      <w:r>
        <w:t>、无指向性室外点声源几何发散衰减的基本公式</w:t>
      </w:r>
    </w:p>
    <w:p>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31" o:spt="75" type="#_x0000_t75" style="height:18.75pt;width:138.75pt;" o:ole="t" filled="f" o:preferrelative="t" stroked="f" coordsize="21600,21600">
            <v:path/>
            <v:fill on="f" focussize="0,0"/>
            <v:stroke on="f" joinstyle="miter"/>
            <v:imagedata r:id="rId56" o:title=""/>
            <o:lock v:ext="edit" aspectratio="t"/>
            <w10:wrap type="none"/>
            <w10:anchorlock/>
          </v:shape>
          <o:OLEObject Type="Embed" ProgID="Equation.3" ShapeID="_x0000_i1031" DrawAspect="Content" ObjectID="_1468075731" r:id="rId55">
            <o:LockedField>false</o:LockedField>
          </o:OLEObject>
        </w:object>
      </w:r>
    </w:p>
    <w:p>
      <w:pPr>
        <w:pStyle w:val="5"/>
        <w:spacing w:line="500" w:lineRule="exact"/>
      </w:pPr>
      <w:r>
        <w:rPr>
          <w:rFonts w:hint="eastAsia" w:ascii="宋体" w:hAnsi="宋体" w:cs="宋体"/>
        </w:rPr>
        <w:t>Ⅱ</w:t>
      </w:r>
      <w:r>
        <w:t>、有指向性室外点声源几何发散衰减的基本公式</w:t>
      </w:r>
    </w:p>
    <w:p>
      <w:pPr>
        <w:pStyle w:val="5"/>
        <w:spacing w:line="500" w:lineRule="exact"/>
      </w:pPr>
      <w:r>
        <w:t>对于自由空间的点声源，其在某一</w:t>
      </w:r>
      <w:r>
        <w:object>
          <v:shape id="_x0000_i1032" o:spt="75" type="#_x0000_t75" style="height:14.25pt;width:9.75pt;" o:ole="t" filled="f" o:preferrelative="t" stroked="f" coordsize="21600,21600">
            <v:path/>
            <v:fill on="f" focussize="0,0"/>
            <v:stroke on="f" joinstyle="miter"/>
            <v:imagedata r:id="rId58" o:title=""/>
            <o:lock v:ext="edit" aspectratio="t"/>
            <w10:wrap type="none"/>
            <w10:anchorlock/>
          </v:shape>
          <o:OLEObject Type="Embed" ProgID="Equation.3" ShapeID="_x0000_i1032" DrawAspect="Content" ObjectID="_1468075732" r:id="rId57">
            <o:LockedField>false</o:LockedField>
          </o:OLEObject>
        </w:object>
      </w:r>
      <w:r>
        <w:t>方向上距离r处的倍频带声压级</w:t>
      </w:r>
      <w:r>
        <w:object>
          <v:shape id="_x0000_i1033" o:spt="75" type="#_x0000_t75" style="height:18.75pt;width:36.75pt;" o:ole="t" filled="f" o:preferrelative="t" stroked="f" coordsize="21600,21600">
            <v:path/>
            <v:fill on="f" focussize="0,0"/>
            <v:stroke on="f" joinstyle="miter"/>
            <v:imagedata r:id="rId60" o:title=""/>
            <o:lock v:ext="edit" aspectratio="t"/>
            <w10:wrap type="none"/>
            <w10:anchorlock/>
          </v:shape>
          <o:OLEObject Type="Embed" ProgID="Equation.3" ShapeID="_x0000_i1033" DrawAspect="Content" ObjectID="_1468075733" r:id="rId59">
            <o:LockedField>false</o:LockedField>
          </o:OLEObject>
        </w:object>
      </w:r>
      <w:r>
        <w:t>：</w:t>
      </w:r>
    </w:p>
    <w:p>
      <w:pPr>
        <w:tabs>
          <w:tab w:val="left" w:pos="180"/>
        </w:tabs>
        <w:spacing w:line="360" w:lineRule="auto"/>
        <w:ind w:firstLine="450" w:firstLineChars="200"/>
        <w:rPr>
          <w:rFonts w:ascii="Arial" w:hAnsi="Arial" w:eastAsia="宋体" w:cs="Arial"/>
          <w:sz w:val="24"/>
        </w:rPr>
      </w:pPr>
      <w:r>
        <w:rPr>
          <w:rFonts w:ascii="Arial" w:hAnsi="Arial" w:eastAsia="宋体" w:cs="Arial"/>
          <w:position w:val="-14"/>
          <w:sz w:val="24"/>
        </w:rPr>
        <w:object>
          <v:shape id="_x0000_i1034" o:spt="75" type="#_x0000_t75" style="height:18.75pt;width:162.75pt;" o:ole="t" filled="f" o:preferrelative="t" stroked="f" coordsize="21600,21600">
            <v:path/>
            <v:fill on="f" focussize="0,0"/>
            <v:stroke on="f" joinstyle="miter"/>
            <v:imagedata r:id="rId62" o:title=""/>
            <o:lock v:ext="edit" aspectratio="t"/>
            <w10:wrap type="none"/>
            <w10:anchorlock/>
          </v:shape>
          <o:OLEObject Type="Embed" ProgID="Equation.3" ShapeID="_x0000_i1034" DrawAspect="Content" ObjectID="_1468075734" r:id="rId61">
            <o:LockedField>false</o:LockedField>
          </o:OLEObject>
        </w:object>
      </w:r>
    </w:p>
    <w:p>
      <w:pPr>
        <w:pStyle w:val="5"/>
        <w:spacing w:line="520" w:lineRule="exact"/>
      </w:pPr>
      <w:r>
        <w:t>式中：</w:t>
      </w:r>
      <w:r>
        <w:object>
          <v:shape id="_x0000_i1035" o:spt="75" type="#_x0000_t75" style="height:18.75pt;width:20.25pt;" o:ole="t" filled="f" o:preferrelative="t" stroked="f" coordsize="21600,21600">
            <v:path/>
            <v:fill on="f" focussize="0,0"/>
            <v:stroke on="f" joinstyle="miter"/>
            <v:imagedata r:id="rId64" o:title=""/>
            <o:lock v:ext="edit" aspectratio="t"/>
            <w10:wrap type="none"/>
            <w10:anchorlock/>
          </v:shape>
          <o:OLEObject Type="Embed" ProgID="Equation.3" ShapeID="_x0000_i1035" DrawAspect="Content" ObjectID="_1468075735" r:id="rId63">
            <o:LockedField>false</o:LockedField>
          </o:OLEObject>
        </w:object>
      </w:r>
      <w:r>
        <w:t>——为</w:t>
      </w:r>
      <w:r>
        <w:object>
          <v:shape id="_x0000_i1036" o:spt="75" type="#_x0000_t75" style="height:14.25pt;width:9.75pt;" o:ole="t" filled="f" o:preferrelative="t" stroked="f" coordsize="21600,21600">
            <v:path/>
            <v:fill on="f" focussize="0,0"/>
            <v:stroke on="f" joinstyle="miter"/>
            <v:imagedata r:id="rId66" o:title=""/>
            <o:lock v:ext="edit" aspectratio="t"/>
            <w10:wrap type="none"/>
            <w10:anchorlock/>
          </v:shape>
          <o:OLEObject Type="Embed" ProgID="Equation.3" ShapeID="_x0000_i1036" DrawAspect="Content" ObjectID="_1468075736" r:id="rId65">
            <o:LockedField>false</o:LockedField>
          </o:OLEObject>
        </w:object>
      </w:r>
      <w:r>
        <w:t>方向上的指向性参数，</w:t>
      </w:r>
      <w:r>
        <w:object>
          <v:shape id="_x0000_i1037" o:spt="75" type="#_x0000_t75" style="height:18.75pt;width:68.25pt;" o:ole="t" filled="f" o:preferrelative="t" stroked="f" coordsize="21600,21600">
            <v:path/>
            <v:fill on="f" focussize="0,0"/>
            <v:stroke on="f" joinstyle="miter"/>
            <v:imagedata r:id="rId68" o:title=""/>
            <o:lock v:ext="edit" aspectratio="t"/>
            <w10:wrap type="none"/>
            <w10:anchorlock/>
          </v:shape>
          <o:OLEObject Type="Embed" ProgID="Equation.3" ShapeID="_x0000_i1037" DrawAspect="Content" ObjectID="_1468075737" r:id="rId67">
            <o:LockedField>false</o:LockedField>
          </o:OLEObject>
        </w:object>
      </w:r>
      <w:r>
        <w:t>；</w:t>
      </w:r>
    </w:p>
    <w:p>
      <w:pPr>
        <w:pStyle w:val="5"/>
        <w:spacing w:line="520" w:lineRule="exact"/>
        <w:ind w:firstLine="1183" w:firstLineChars="483"/>
      </w:pPr>
      <w:r>
        <w:object>
          <v:shape id="_x0000_i1038" o:spt="75" type="#_x0000_t75" style="height:18.75pt;width:17.25pt;" o:ole="t" filled="f" o:preferrelative="t" stroked="f" coordsize="21600,21600">
            <v:path/>
            <v:fill on="f" focussize="0,0"/>
            <v:stroke on="f" joinstyle="miter"/>
            <v:imagedata r:id="rId70" o:title=""/>
            <o:lock v:ext="edit" aspectratio="t"/>
            <w10:wrap type="none"/>
            <w10:anchorlock/>
          </v:shape>
          <o:OLEObject Type="Embed" ProgID="Equation.3" ShapeID="_x0000_i1038" DrawAspect="Content" ObjectID="_1468075738" r:id="rId69">
            <o:LockedField>false</o:LockedField>
          </o:OLEObject>
        </w:object>
      </w:r>
      <w:r>
        <w:t>——指向性因素，</w:t>
      </w:r>
      <w:r>
        <w:object>
          <v:shape id="_x0000_i1039" o:spt="75" type="#_x0000_t75" style="height:18.75pt;width:17.25pt;" o:ole="t" filled="f" o:preferrelative="t" stroked="f" coordsize="21600,21600">
            <v:path/>
            <v:fill on="f" focussize="0,0"/>
            <v:stroke on="f" joinstyle="miter"/>
            <v:imagedata r:id="rId72" o:title=""/>
            <o:lock v:ext="edit" aspectratio="t"/>
            <w10:wrap type="none"/>
            <w10:anchorlock/>
          </v:shape>
          <o:OLEObject Type="Embed" ProgID="Equation.3" ShapeID="_x0000_i1039" DrawAspect="Content" ObjectID="_1468075739" r:id="rId71">
            <o:LockedField>false</o:LockedField>
          </o:OLEObject>
        </w:object>
      </w:r>
      <w:r>
        <w:t>=</w:t>
      </w:r>
      <w:r>
        <w:object>
          <v:shape id="_x0000_i1040" o:spt="75" type="#_x0000_t75" style="height:20.25pt;width:11.25pt;" o:ole="t" filled="f" o:preferrelative="t" stroked="f" coordsize="21600,21600">
            <v:path/>
            <v:fill on="f" focussize="0,0"/>
            <v:stroke on="f" joinstyle="miter"/>
            <v:imagedata r:id="rId74" o:title=""/>
            <o:lock v:ext="edit" aspectratio="t"/>
            <w10:wrap type="none"/>
            <w10:anchorlock/>
          </v:shape>
          <o:OLEObject Type="Embed" ProgID="Equation.3" ShapeID="_x0000_i1040" DrawAspect="Content" ObjectID="_1468075740" r:id="rId73">
            <o:LockedField>false</o:LockedField>
          </o:OLEObject>
        </w:object>
      </w:r>
      <w:r>
        <w:t>；</w:t>
      </w:r>
    </w:p>
    <w:p>
      <w:pPr>
        <w:pStyle w:val="5"/>
        <w:spacing w:line="520" w:lineRule="exact"/>
        <w:ind w:firstLine="1183" w:firstLineChars="483"/>
      </w:pPr>
      <w:r>
        <w:t>I——所有方向上的平均声强，W/m</w:t>
      </w:r>
      <w:r>
        <w:rPr>
          <w:vertAlign w:val="superscript"/>
        </w:rPr>
        <w:t>2</w:t>
      </w:r>
      <w:r>
        <w:t>；</w:t>
      </w:r>
    </w:p>
    <w:p>
      <w:pPr>
        <w:pStyle w:val="5"/>
        <w:spacing w:line="520" w:lineRule="exact"/>
        <w:ind w:firstLine="1183" w:firstLineChars="483"/>
      </w:pPr>
      <w:r>
        <w:object>
          <v:shape id="_x0000_i1041" o:spt="75" type="#_x0000_t75" style="height:18.75pt;width:12.75pt;" o:ole="t" filled="f" o:preferrelative="t" stroked="f" coordsize="21600,21600">
            <v:path/>
            <v:fill on="f" focussize="0,0"/>
            <v:stroke on="f" joinstyle="miter"/>
            <v:imagedata r:id="rId76" o:title=""/>
            <o:lock v:ext="edit" aspectratio="t"/>
            <w10:wrap type="none"/>
            <w10:anchorlock/>
          </v:shape>
          <o:OLEObject Type="Embed" ProgID="Equation.3" ShapeID="_x0000_i1041" DrawAspect="Content" ObjectID="_1468075741" r:id="rId75">
            <o:LockedField>false</o:LockedField>
          </o:OLEObject>
        </w:object>
      </w:r>
      <w:r>
        <w:t>——某一</w:t>
      </w:r>
      <w:r>
        <w:object>
          <v:shape id="_x0000_i1042" o:spt="75" type="#_x0000_t75" style="height:14.25pt;width:9.75pt;" o:ole="t" filled="f" o:preferrelative="t" stroked="f" coordsize="21600,21600">
            <v:path/>
            <v:fill on="f" focussize="0,0"/>
            <v:stroke on="f" joinstyle="miter"/>
            <v:imagedata r:id="rId66" o:title=""/>
            <o:lock v:ext="edit" aspectratio="t"/>
            <w10:wrap type="none"/>
            <w10:anchorlock/>
          </v:shape>
          <o:OLEObject Type="Embed" ProgID="Equation.3" ShapeID="_x0000_i1042" DrawAspect="Content" ObjectID="_1468075742" r:id="rId77">
            <o:LockedField>false</o:LockedField>
          </o:OLEObject>
        </w:object>
      </w:r>
      <w:r>
        <w:t>方向上的声强，W/m</w:t>
      </w:r>
      <w:r>
        <w:rPr>
          <w:vertAlign w:val="superscript"/>
        </w:rPr>
        <w:t>2</w:t>
      </w:r>
      <w:r>
        <w:t>。</w:t>
      </w:r>
    </w:p>
    <w:p>
      <w:pPr>
        <w:pStyle w:val="5"/>
        <w:spacing w:line="360" w:lineRule="auto"/>
      </w:pPr>
      <w:r>
        <w:rPr>
          <w:rFonts w:hint="eastAsia" w:ascii="宋体" w:hAnsi="宋体" w:cs="宋体"/>
        </w:rPr>
        <w:t>Ⅲ</w:t>
      </w:r>
      <w:r>
        <w:t>、无限长线声源</w:t>
      </w:r>
    </w:p>
    <w:p>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3" o:spt="75" type="#_x0000_t75" style="height:18.75pt;width:137.25pt;" o:ole="t" filled="f" o:preferrelative="t" stroked="f" coordsize="21600,21600">
            <v:path/>
            <v:fill on="f" focussize="0,0"/>
            <v:stroke on="f" joinstyle="miter"/>
            <v:imagedata r:id="rId79" o:title=""/>
            <o:lock v:ext="edit" aspectratio="t"/>
            <w10:wrap type="none"/>
            <w10:anchorlock/>
          </v:shape>
          <o:OLEObject Type="Embed" ProgID="Equation.3" ShapeID="_x0000_i1043" DrawAspect="Content" ObjectID="_1468075743" r:id="rId78">
            <o:LockedField>false</o:LockedField>
          </o:OLEObject>
        </w:object>
      </w:r>
    </w:p>
    <w:p>
      <w:pPr>
        <w:pStyle w:val="5"/>
        <w:spacing w:line="360" w:lineRule="auto"/>
      </w:pPr>
      <w:r>
        <w:rPr>
          <w:rFonts w:hint="eastAsia" w:ascii="宋体" w:hAnsi="宋体" w:cs="宋体"/>
        </w:rPr>
        <w:t>Ⅳ</w:t>
      </w:r>
      <w:r>
        <w:t>、有限长线声源</w:t>
      </w:r>
    </w:p>
    <w:p>
      <w:pPr>
        <w:tabs>
          <w:tab w:val="left" w:pos="180"/>
        </w:tabs>
        <w:spacing w:line="360" w:lineRule="auto"/>
        <w:ind w:left="539"/>
        <w:rPr>
          <w:rFonts w:ascii="Arial" w:hAnsi="Arial" w:eastAsia="宋体" w:cs="Arial"/>
          <w:sz w:val="24"/>
        </w:rPr>
      </w:pPr>
      <w:r>
        <w:rPr>
          <w:rFonts w:ascii="Arial" w:hAnsi="Arial" w:eastAsia="宋体" w:cs="Arial"/>
          <w:position w:val="-24"/>
          <w:sz w:val="24"/>
        </w:rPr>
        <w:object>
          <v:shape id="_x0000_i1044" o:spt="75" type="#_x0000_t75" style="height:32.25pt;width:171pt;" o:ole="t" filled="f" o:preferrelative="t" stroked="f" coordsize="21600,21600">
            <v:path/>
            <v:fill on="f" focussize="0,0"/>
            <v:stroke on="f" joinstyle="miter"/>
            <v:imagedata r:id="rId81" o:title=""/>
            <o:lock v:ext="edit" aspectratio="t"/>
            <w10:wrap type="none"/>
            <w10:anchorlock/>
          </v:shape>
          <o:OLEObject Type="Embed" ProgID="Equation.3" ShapeID="_x0000_i1044" DrawAspect="Content" ObjectID="_1468075744" r:id="rId80">
            <o:LockedField>false</o:LockedField>
          </o:OLEObject>
        </w:object>
      </w:r>
    </w:p>
    <w:p>
      <w:pPr>
        <w:pStyle w:val="5"/>
        <w:spacing w:line="360" w:lineRule="auto"/>
      </w:pPr>
      <w:r>
        <w:t>当r&gt;l</w:t>
      </w:r>
      <w:r>
        <w:rPr>
          <w:vertAlign w:val="subscript"/>
        </w:rPr>
        <w:t>0</w:t>
      </w:r>
      <w:r>
        <w:t>且r</w:t>
      </w:r>
      <w:r>
        <w:rPr>
          <w:vertAlign w:val="subscript"/>
        </w:rPr>
        <w:t>0</w:t>
      </w:r>
      <w:r>
        <w:t>&gt;l</w:t>
      </w:r>
      <w:r>
        <w:rPr>
          <w:vertAlign w:val="subscript"/>
        </w:rPr>
        <w:t>0</w:t>
      </w:r>
      <w:r>
        <w:t>，公式简化为</w:t>
      </w:r>
    </w:p>
    <w:p>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5" o:spt="75" type="#_x0000_t75" style="height:18.75pt;width:138.75pt;" o:ole="t" filled="f" o:preferrelative="t" stroked="f" coordsize="21600,21600">
            <v:path/>
            <v:fill on="f" focussize="0,0"/>
            <v:stroke on="f" joinstyle="miter"/>
            <v:imagedata r:id="rId83" o:title=""/>
            <o:lock v:ext="edit" aspectratio="t"/>
            <w10:wrap type="none"/>
            <w10:anchorlock/>
          </v:shape>
          <o:OLEObject Type="Embed" ProgID="Equation.3" ShapeID="_x0000_i1045" DrawAspect="Content" ObjectID="_1468075745" r:id="rId82">
            <o:LockedField>false</o:LockedField>
          </o:OLEObject>
        </w:object>
      </w:r>
    </w:p>
    <w:p>
      <w:pPr>
        <w:pStyle w:val="5"/>
        <w:spacing w:line="360" w:lineRule="auto"/>
      </w:pPr>
      <w:r>
        <w:t>当r&lt;l</w:t>
      </w:r>
      <w:r>
        <w:rPr>
          <w:vertAlign w:val="subscript"/>
        </w:rPr>
        <w:t>0</w:t>
      </w:r>
      <w:r>
        <w:t>/3且r</w:t>
      </w:r>
      <w:r>
        <w:rPr>
          <w:vertAlign w:val="subscript"/>
        </w:rPr>
        <w:t>0</w:t>
      </w:r>
      <w:r>
        <w:t>&lt;l</w:t>
      </w:r>
      <w:r>
        <w:rPr>
          <w:vertAlign w:val="subscript"/>
        </w:rPr>
        <w:t>0</w:t>
      </w:r>
      <w:r>
        <w:t>/3，公式简化为</w:t>
      </w:r>
    </w:p>
    <w:p>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6" o:spt="75" type="#_x0000_t75" style="height:18.75pt;width:137.25pt;" o:ole="t" filled="f" o:preferrelative="t" stroked="f" coordsize="21600,21600">
            <v:path/>
            <v:fill on="f" focussize="0,0"/>
            <v:stroke on="f" joinstyle="miter"/>
            <v:imagedata r:id="rId85" o:title=""/>
            <o:lock v:ext="edit" aspectratio="t"/>
            <w10:wrap type="none"/>
            <w10:anchorlock/>
          </v:shape>
          <o:OLEObject Type="Embed" ProgID="Equation.3" ShapeID="_x0000_i1046" DrawAspect="Content" ObjectID="_1468075746" r:id="rId84">
            <o:LockedField>false</o:LockedField>
          </o:OLEObject>
        </w:object>
      </w:r>
    </w:p>
    <w:p>
      <w:pPr>
        <w:pStyle w:val="5"/>
        <w:spacing w:line="360" w:lineRule="auto"/>
      </w:pPr>
      <w:r>
        <w:t>当l</w:t>
      </w:r>
      <w:r>
        <w:rPr>
          <w:vertAlign w:val="subscript"/>
        </w:rPr>
        <w:t>0</w:t>
      </w:r>
      <w:r>
        <w:t>/3&lt;r&lt;l</w:t>
      </w:r>
      <w:r>
        <w:rPr>
          <w:vertAlign w:val="subscript"/>
        </w:rPr>
        <w:t>0</w:t>
      </w:r>
      <w:r>
        <w:t>且l</w:t>
      </w:r>
      <w:r>
        <w:rPr>
          <w:vertAlign w:val="subscript"/>
        </w:rPr>
        <w:t>0</w:t>
      </w:r>
      <w:r>
        <w:t>/3&lt; r</w:t>
      </w:r>
      <w:r>
        <w:rPr>
          <w:vertAlign w:val="subscript"/>
        </w:rPr>
        <w:t>0</w:t>
      </w:r>
      <w:r>
        <w:t>&lt;l</w:t>
      </w:r>
      <w:r>
        <w:rPr>
          <w:vertAlign w:val="subscript"/>
        </w:rPr>
        <w:t>0</w:t>
      </w:r>
      <w:r>
        <w:t>，公式简化为</w:t>
      </w:r>
    </w:p>
    <w:p>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7" o:spt="75" type="#_x0000_t75" style="height:18.75pt;width:137.25pt;" o:ole="t" filled="f" o:preferrelative="t" stroked="f" coordsize="21600,21600">
            <v:path/>
            <v:fill on="f" focussize="0,0"/>
            <v:stroke on="f" joinstyle="miter"/>
            <v:imagedata r:id="rId87" o:title=""/>
            <o:lock v:ext="edit" aspectratio="t"/>
            <w10:wrap type="none"/>
            <w10:anchorlock/>
          </v:shape>
          <o:OLEObject Type="Embed" ProgID="Equation.3" ShapeID="_x0000_i1047" DrawAspect="Content" ObjectID="_1468075747" r:id="rId86">
            <o:LockedField>false</o:LockedField>
          </o:OLEObject>
        </w:object>
      </w:r>
    </w:p>
    <w:p>
      <w:pPr>
        <w:pStyle w:val="5"/>
        <w:spacing w:line="500" w:lineRule="exact"/>
      </w:pPr>
      <w:r>
        <w:rPr>
          <w:rFonts w:hint="eastAsia" w:ascii="宋体" w:hAnsi="宋体" w:cs="宋体"/>
        </w:rPr>
        <w:t>Ⅴ</w:t>
      </w:r>
      <w:r>
        <w:t>、面声源</w:t>
      </w:r>
    </w:p>
    <w:p>
      <w:pPr>
        <w:pStyle w:val="5"/>
        <w:spacing w:line="500" w:lineRule="exact"/>
      </w:pPr>
      <w:r>
        <w:t>面声源可看做是无数点声源连续分布组合而成，其合成声级可按能量叠加法求出。</w:t>
      </w:r>
    </w:p>
    <w:p>
      <w:pPr>
        <w:pStyle w:val="5"/>
        <w:spacing w:line="500" w:lineRule="exact"/>
      </w:pPr>
      <w:r>
        <w:rPr>
          <w:rFonts w:hint="eastAsia" w:ascii="宋体" w:hAnsi="宋体" w:cs="宋体"/>
        </w:rPr>
        <w:t>Ⅵ</w:t>
      </w:r>
      <w:r>
        <w:t>、空气衰减</w:t>
      </w:r>
    </w:p>
    <w:p>
      <w:pPr>
        <w:tabs>
          <w:tab w:val="left" w:pos="180"/>
        </w:tabs>
        <w:spacing w:line="360" w:lineRule="auto"/>
        <w:ind w:left="539"/>
        <w:rPr>
          <w:rFonts w:ascii="Arial" w:hAnsi="Arial" w:eastAsia="宋体" w:cs="Arial"/>
          <w:sz w:val="24"/>
        </w:rPr>
      </w:pPr>
      <w:r>
        <w:rPr>
          <w:rFonts w:ascii="Arial" w:hAnsi="Arial" w:eastAsia="宋体" w:cs="Arial"/>
          <w:position w:val="-24"/>
        </w:rPr>
        <w:object>
          <v:shape id="_x0000_i1048" o:spt="75" type="#_x0000_t75" style="height:30.75pt;width:83.25pt;" o:ole="t" filled="f" o:preferrelative="t" stroked="f" coordsize="21600,21600">
            <v:path/>
            <v:fill on="f" focussize="0,0"/>
            <v:stroke on="f" joinstyle="miter"/>
            <v:imagedata r:id="rId89" o:title=""/>
            <o:lock v:ext="edit" aspectratio="t"/>
            <w10:wrap type="none"/>
            <w10:anchorlock/>
          </v:shape>
          <o:OLEObject Type="Embed" ProgID="Equation.3" ShapeID="_x0000_i1048" DrawAspect="Content" ObjectID="_1468075748" r:id="rId88">
            <o:LockedField>false</o:LockedField>
          </o:OLEObject>
        </w:object>
      </w:r>
    </w:p>
    <w:p>
      <w:pPr>
        <w:pStyle w:val="5"/>
        <w:spacing w:line="500" w:lineRule="exact"/>
      </w:pPr>
      <w:r>
        <w:rPr>
          <w:rFonts w:hint="eastAsia" w:ascii="宋体" w:hAnsi="宋体" w:cs="宋体"/>
        </w:rPr>
        <w:t>Ⅶ</w:t>
      </w:r>
      <w:r>
        <w:t>、地面效应衰减</w:t>
      </w:r>
    </w:p>
    <w:p>
      <w:pPr>
        <w:tabs>
          <w:tab w:val="left" w:pos="180"/>
        </w:tabs>
        <w:spacing w:line="360" w:lineRule="auto"/>
        <w:ind w:left="539"/>
        <w:rPr>
          <w:rFonts w:ascii="Arial" w:hAnsi="Arial" w:eastAsia="宋体" w:cs="Arial"/>
          <w:sz w:val="24"/>
        </w:rPr>
      </w:pPr>
      <w:r>
        <w:rPr>
          <w:rFonts w:ascii="Arial" w:hAnsi="Arial" w:eastAsia="宋体" w:cs="Arial"/>
          <w:position w:val="-24"/>
          <w:sz w:val="24"/>
        </w:rPr>
        <w:object>
          <v:shape id="_x0000_i1049" o:spt="75" type="#_x0000_t75" style="height:32.25pt;width:146.25pt;" o:ole="t" filled="f" o:preferrelative="t" stroked="f" coordsize="21600,21600">
            <v:path/>
            <v:fill on="f" focussize="0,0"/>
            <v:stroke on="f" joinstyle="miter"/>
            <v:imagedata r:id="rId91" o:title=""/>
            <o:lock v:ext="edit" aspectratio="t"/>
            <w10:wrap type="none"/>
            <w10:anchorlock/>
          </v:shape>
          <o:OLEObject Type="Embed" ProgID="Equation.3" ShapeID="_x0000_i1049" DrawAspect="Content" ObjectID="_1468075749" r:id="rId90">
            <o:LockedField>false</o:LockedField>
          </o:OLEObject>
        </w:object>
      </w:r>
    </w:p>
    <w:p>
      <w:pPr>
        <w:pStyle w:val="5"/>
        <w:spacing w:line="500" w:lineRule="exact"/>
      </w:pPr>
      <w:r>
        <w:rPr>
          <w:rFonts w:hint="eastAsia" w:ascii="宋体" w:hAnsi="宋体" w:cs="宋体"/>
        </w:rPr>
        <w:t>Ⅷ</w:t>
      </w:r>
      <w:r>
        <w:t>、有限长屏障衰减</w:t>
      </w:r>
    </w:p>
    <w:p>
      <w:pPr>
        <w:pStyle w:val="5"/>
        <w:spacing w:line="500" w:lineRule="exact"/>
      </w:pPr>
    </w:p>
    <w:p>
      <w:pPr>
        <w:tabs>
          <w:tab w:val="left" w:pos="180"/>
        </w:tabs>
        <w:spacing w:line="360" w:lineRule="auto"/>
        <w:ind w:left="540"/>
        <w:rPr>
          <w:rFonts w:ascii="Arial" w:hAnsi="Arial" w:eastAsia="宋体" w:cs="Arial"/>
          <w:sz w:val="24"/>
        </w:rPr>
      </w:pPr>
      <w:r>
        <w:drawing>
          <wp:anchor distT="0" distB="0" distL="114300" distR="114300" simplePos="0" relativeHeight="251661312" behindDoc="0" locked="0" layoutInCell="1" allowOverlap="0">
            <wp:simplePos x="0" y="0"/>
            <wp:positionH relativeFrom="column">
              <wp:posOffset>733425</wp:posOffset>
            </wp:positionH>
            <wp:positionV relativeFrom="paragraph">
              <wp:posOffset>15240</wp:posOffset>
            </wp:positionV>
            <wp:extent cx="2581275" cy="485775"/>
            <wp:effectExtent l="0" t="0" r="9525" b="8890"/>
            <wp:wrapNone/>
            <wp:docPr id="2"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98"/>
                    <pic:cNvPicPr>
                      <a:picLocks noChangeAspect="1"/>
                    </pic:cNvPicPr>
                  </pic:nvPicPr>
                  <pic:blipFill>
                    <a:blip r:embed="rId92"/>
                    <a:stretch>
                      <a:fillRect/>
                    </a:stretch>
                  </pic:blipFill>
                  <pic:spPr>
                    <a:xfrm>
                      <a:off x="0" y="0"/>
                      <a:ext cx="2581275" cy="485775"/>
                    </a:xfrm>
                    <a:prstGeom prst="rect">
                      <a:avLst/>
                    </a:prstGeom>
                    <a:noFill/>
                    <a:ln>
                      <a:noFill/>
                    </a:ln>
                  </pic:spPr>
                </pic:pic>
              </a:graphicData>
            </a:graphic>
          </wp:anchor>
        </w:drawing>
      </w:r>
      <w:r>
        <w:rPr>
          <w:rFonts w:ascii="Arial" w:hAnsi="Arial" w:eastAsia="宋体" w:cs="Arial"/>
          <w:sz w:val="24"/>
        </w:rPr>
        <w:t>A</w:t>
      </w:r>
      <w:r>
        <w:rPr>
          <w:rFonts w:ascii="Arial" w:hAnsi="Arial" w:eastAsia="宋体" w:cs="Arial"/>
          <w:sz w:val="24"/>
          <w:vertAlign w:val="subscript"/>
        </w:rPr>
        <w:t>har</w:t>
      </w:r>
      <w:r>
        <w:rPr>
          <w:rFonts w:ascii="Arial" w:hAnsi="Arial" w:eastAsia="宋体" w:cs="Arial"/>
          <w:sz w:val="24"/>
        </w:rPr>
        <w:t>=</w:t>
      </w:r>
    </w:p>
    <w:p>
      <w:pPr>
        <w:pStyle w:val="5"/>
        <w:spacing w:line="500" w:lineRule="exact"/>
      </w:pPr>
      <w:r>
        <w:t>已知靠近声源处某点的倍频带声压级L</w:t>
      </w:r>
      <w:r>
        <w:rPr>
          <w:vertAlign w:val="subscript"/>
        </w:rPr>
        <w:t>p</w:t>
      </w:r>
      <w:r>
        <w:t>(r</w:t>
      </w:r>
      <w:r>
        <w:rPr>
          <w:vertAlign w:val="subscript"/>
        </w:rPr>
        <w:t>0</w:t>
      </w:r>
      <w:r>
        <w:t>)时，相同方向预测点位置的倍频带声压级L</w:t>
      </w:r>
      <w:r>
        <w:rPr>
          <w:vertAlign w:val="subscript"/>
        </w:rPr>
        <w:t>p</w:t>
      </w:r>
      <w:r>
        <w:t>(r)可按公式</w:t>
      </w:r>
      <w:r>
        <w:rPr>
          <w:rFonts w:hint="eastAsia" w:ascii="宋体" w:hAnsi="宋体" w:cs="宋体"/>
        </w:rPr>
        <w:t>⑵</w:t>
      </w:r>
      <w:r>
        <w:t>计算：</w:t>
      </w:r>
    </w:p>
    <w:p>
      <w:pPr>
        <w:tabs>
          <w:tab w:val="left" w:pos="180"/>
        </w:tabs>
        <w:spacing w:line="360" w:lineRule="auto"/>
        <w:ind w:firstLine="539"/>
        <w:rPr>
          <w:rFonts w:ascii="Arial" w:hAnsi="Arial" w:eastAsia="宋体" w:cs="Arial"/>
          <w:sz w:val="24"/>
        </w:rPr>
      </w:pPr>
      <w:r>
        <w:rPr>
          <w:rFonts w:ascii="Arial" w:hAnsi="Arial" w:eastAsia="宋体" w:cs="Arial"/>
          <w:position w:val="-14"/>
          <w:sz w:val="24"/>
        </w:rPr>
        <w:object>
          <v:shape id="_x0000_i1050" o:spt="75" type="#_x0000_t75" style="height:18.75pt;width:93.75pt;" o:ole="t" filled="f" o:preferrelative="t" stroked="f" coordsize="21600,21600">
            <v:path/>
            <v:fill on="f" focussize="0,0"/>
            <v:stroke on="f" joinstyle="miter"/>
            <v:imagedata r:id="rId94" o:title=""/>
            <o:lock v:ext="edit" aspectratio="t"/>
            <w10:wrap type="none"/>
            <w10:anchorlock/>
          </v:shape>
          <o:OLEObject Type="Embed" ProgID="Equation.3" ShapeID="_x0000_i1050" DrawAspect="Content" ObjectID="_1468075750" r:id="rId93">
            <o:LockedField>false</o:LockedField>
          </o:OLEObject>
        </w:object>
      </w:r>
      <w:r>
        <w:rPr>
          <w:rFonts w:ascii="Arial" w:hAnsi="Arial" w:eastAsia="宋体" w:cs="Arial"/>
          <w:sz w:val="24"/>
        </w:rPr>
        <w:t xml:space="preserve">                             </w:t>
      </w:r>
      <w:r>
        <w:rPr>
          <w:rFonts w:hint="eastAsia" w:ascii="宋体" w:hAnsi="宋体" w:eastAsia="宋体" w:cs="宋体"/>
          <w:sz w:val="24"/>
        </w:rPr>
        <w:t>⑵</w:t>
      </w:r>
    </w:p>
    <w:p>
      <w:pPr>
        <w:pStyle w:val="5"/>
        <w:spacing w:line="500" w:lineRule="exact"/>
      </w:pPr>
      <w:r>
        <w:t>预测点的A声级L</w:t>
      </w:r>
      <w:r>
        <w:rPr>
          <w:vertAlign w:val="subscript"/>
        </w:rPr>
        <w:t>A</w:t>
      </w:r>
      <w:r>
        <w:t>(r)，可利用8个倍频带的声压级按公式</w:t>
      </w:r>
      <w:r>
        <w:rPr>
          <w:rFonts w:hint="eastAsia" w:ascii="宋体" w:hAnsi="宋体" w:cs="宋体"/>
        </w:rPr>
        <w:t>⑶</w:t>
      </w:r>
      <w:r>
        <w:t>计算：</w:t>
      </w:r>
    </w:p>
    <w:p>
      <w:pPr>
        <w:tabs>
          <w:tab w:val="left" w:pos="180"/>
        </w:tabs>
        <w:spacing w:line="360" w:lineRule="auto"/>
        <w:ind w:firstLine="539"/>
        <w:rPr>
          <w:rFonts w:ascii="Arial" w:hAnsi="Arial" w:eastAsia="宋体" w:cs="Arial"/>
          <w:sz w:val="24"/>
        </w:rPr>
      </w:pPr>
      <w:r>
        <w:rPr>
          <w:rFonts w:ascii="Arial" w:hAnsi="Arial" w:eastAsia="宋体" w:cs="Arial"/>
          <w:position w:val="-28"/>
          <w:sz w:val="24"/>
        </w:rPr>
        <w:object>
          <v:shape id="_x0000_i1051" o:spt="75" type="#_x0000_t75" style="height:33.75pt;width:149.25pt;" o:ole="t" filled="f" o:preferrelative="t" stroked="f" coordsize="21600,21600">
            <v:path/>
            <v:fill on="f" focussize="0,0"/>
            <v:stroke on="f" joinstyle="miter"/>
            <v:imagedata r:id="rId96" o:title=""/>
            <o:lock v:ext="edit" aspectratio="t"/>
            <w10:wrap type="none"/>
            <w10:anchorlock/>
          </v:shape>
          <o:OLEObject Type="Embed" ProgID="Equation.3" ShapeID="_x0000_i1051" DrawAspect="Content" ObjectID="_1468075751" r:id="rId95">
            <o:LockedField>false</o:LockedField>
          </o:OLEObject>
        </w:object>
      </w:r>
      <w:r>
        <w:rPr>
          <w:rFonts w:ascii="Arial" w:hAnsi="Arial" w:eastAsia="宋体" w:cs="Arial"/>
          <w:sz w:val="24"/>
        </w:rPr>
        <w:t xml:space="preserve">                    </w:t>
      </w:r>
      <w:r>
        <w:rPr>
          <w:rFonts w:hint="eastAsia" w:ascii="宋体" w:hAnsi="宋体" w:eastAsia="宋体" w:cs="宋体"/>
          <w:sz w:val="24"/>
        </w:rPr>
        <w:t>⑶</w:t>
      </w:r>
    </w:p>
    <w:p>
      <w:pPr>
        <w:pStyle w:val="5"/>
        <w:spacing w:line="500" w:lineRule="exact"/>
      </w:pPr>
      <w:r>
        <w:t>式中：L</w:t>
      </w:r>
      <w:r>
        <w:rPr>
          <w:vertAlign w:val="subscript"/>
        </w:rPr>
        <w:t>pi</w:t>
      </w:r>
      <w:r>
        <w:t>(r)—预测点（r）处，第i倍频带声压级，dB；</w:t>
      </w:r>
    </w:p>
    <w:p>
      <w:pPr>
        <w:pStyle w:val="5"/>
        <w:spacing w:line="500" w:lineRule="exact"/>
      </w:pPr>
      <w:r>
        <w:t xml:space="preserve">      </w:t>
      </w:r>
      <w:r>
        <w:object>
          <v:shape id="_x0000_i1052" o:spt="75" type="#_x0000_t75" style="height:18.75pt;width:20.25pt;" o:ole="t" filled="f" o:preferrelative="t" stroked="f" coordsize="21600,21600">
            <v:path/>
            <v:fill on="f" focussize="0,0"/>
            <v:stroke on="f" joinstyle="miter"/>
            <v:imagedata r:id="rId98" o:title=""/>
            <o:lock v:ext="edit" aspectratio="t"/>
            <w10:wrap type="none"/>
            <w10:anchorlock/>
          </v:shape>
          <o:OLEObject Type="Embed" ProgID="Equation.3" ShapeID="_x0000_i1052" DrawAspect="Content" ObjectID="_1468075752" r:id="rId97">
            <o:LockedField>false</o:LockedField>
          </o:OLEObject>
        </w:object>
      </w:r>
      <w:r>
        <w:t>—i倍频带A计权网络修正值，dB。</w:t>
      </w:r>
    </w:p>
    <w:p>
      <w:pPr>
        <w:pStyle w:val="5"/>
        <w:spacing w:line="500" w:lineRule="exact"/>
      </w:pPr>
      <w:r>
        <w:t>在不能取得声源倍频带声功率级或倍频带声压级，只能获得A声功率级或某点的A声级时，可按公式</w:t>
      </w:r>
      <w:r>
        <w:rPr>
          <w:rFonts w:hint="eastAsia" w:ascii="宋体" w:hAnsi="宋体" w:cs="宋体"/>
        </w:rPr>
        <w:t>⑷</w:t>
      </w:r>
      <w:r>
        <w:t>和</w:t>
      </w:r>
      <w:r>
        <w:rPr>
          <w:rFonts w:hint="eastAsia" w:ascii="宋体" w:hAnsi="宋体" w:cs="宋体"/>
        </w:rPr>
        <w:t>⑸</w:t>
      </w:r>
      <w:r>
        <w:t>作近似计算：</w:t>
      </w:r>
    </w:p>
    <w:p>
      <w:pPr>
        <w:tabs>
          <w:tab w:val="left" w:pos="180"/>
        </w:tabs>
        <w:spacing w:line="360" w:lineRule="auto"/>
        <w:ind w:firstLine="539"/>
        <w:rPr>
          <w:rFonts w:ascii="Arial" w:hAnsi="Arial" w:eastAsia="宋体" w:cs="Arial"/>
          <w:sz w:val="24"/>
        </w:rPr>
      </w:pPr>
      <w:r>
        <w:rPr>
          <w:rFonts w:ascii="Arial" w:hAnsi="Arial" w:eastAsia="宋体" w:cs="Arial"/>
          <w:position w:val="-12"/>
          <w:sz w:val="24"/>
        </w:rPr>
        <w:object>
          <v:shape id="_x0000_i1053" o:spt="75" type="#_x0000_t75" style="height:18.75pt;width:105.75pt;" o:ole="t" filled="f" o:preferrelative="t" stroked="f" coordsize="21600,21600">
            <v:path/>
            <v:fill on="f" focussize="0,0"/>
            <v:stroke on="f" joinstyle="miter"/>
            <v:imagedata r:id="rId100" o:title=""/>
            <o:lock v:ext="edit" aspectratio="t"/>
            <w10:wrap type="none"/>
            <w10:anchorlock/>
          </v:shape>
          <o:OLEObject Type="Embed" ProgID="Equation.3" ShapeID="_x0000_i1053" DrawAspect="Content" ObjectID="_1468075753" r:id="rId99">
            <o:LockedField>false</o:LockedField>
          </o:OLEObject>
        </w:object>
      </w:r>
      <w:r>
        <w:rPr>
          <w:rFonts w:ascii="Arial" w:hAnsi="Arial" w:eastAsia="宋体" w:cs="Arial"/>
          <w:sz w:val="24"/>
        </w:rPr>
        <w:t xml:space="preserve">                           </w:t>
      </w:r>
      <w:r>
        <w:rPr>
          <w:rFonts w:hint="eastAsia" w:ascii="宋体" w:hAnsi="宋体" w:eastAsia="宋体" w:cs="宋体"/>
          <w:sz w:val="24"/>
        </w:rPr>
        <w:t>⑷</w:t>
      </w:r>
    </w:p>
    <w:p>
      <w:pPr>
        <w:tabs>
          <w:tab w:val="left" w:pos="180"/>
        </w:tabs>
        <w:spacing w:line="360" w:lineRule="auto"/>
        <w:rPr>
          <w:rFonts w:ascii="Arial" w:hAnsi="Arial" w:eastAsia="宋体" w:cs="Arial"/>
          <w:sz w:val="24"/>
        </w:rPr>
      </w:pPr>
      <w:r>
        <w:rPr>
          <w:rFonts w:ascii="Arial" w:hAnsi="Arial" w:eastAsia="宋体" w:cs="Arial"/>
          <w:sz w:val="24"/>
        </w:rPr>
        <w:t xml:space="preserve">或  </w:t>
      </w:r>
      <w:r>
        <w:rPr>
          <w:rFonts w:ascii="Arial" w:hAnsi="Arial" w:eastAsia="宋体" w:cs="Arial"/>
          <w:position w:val="-12"/>
          <w:sz w:val="24"/>
        </w:rPr>
        <w:object>
          <v:shape id="_x0000_i1054" o:spt="75" type="#_x0000_t75" style="height:18.75pt;width:93.75pt;" o:ole="t" filled="f" o:preferrelative="t" stroked="f" coordsize="21600,21600">
            <v:path/>
            <v:fill on="f" focussize="0,0"/>
            <v:stroke on="f" joinstyle="miter"/>
            <v:imagedata r:id="rId102" o:title=""/>
            <o:lock v:ext="edit" aspectratio="t"/>
            <w10:wrap type="none"/>
            <w10:anchorlock/>
          </v:shape>
          <o:OLEObject Type="Embed" ProgID="Equation.3" ShapeID="_x0000_i1054" DrawAspect="Content" ObjectID="_1468075754" r:id="rId101">
            <o:LockedField>false</o:LockedField>
          </o:OLEObject>
        </w:object>
      </w:r>
      <w:r>
        <w:rPr>
          <w:rFonts w:ascii="Arial" w:hAnsi="Arial" w:eastAsia="宋体" w:cs="Arial"/>
          <w:sz w:val="24"/>
        </w:rPr>
        <w:t xml:space="preserve">                              </w:t>
      </w:r>
      <w:r>
        <w:rPr>
          <w:rFonts w:hint="eastAsia" w:ascii="宋体" w:hAnsi="宋体" w:eastAsia="宋体" w:cs="宋体"/>
          <w:sz w:val="24"/>
        </w:rPr>
        <w:t>⑸</w:t>
      </w:r>
    </w:p>
    <w:p>
      <w:pPr>
        <w:pStyle w:val="5"/>
        <w:spacing w:line="520" w:lineRule="exact"/>
      </w:pPr>
      <w:r>
        <w:t>A可选择对A声级影响最大的倍频带计算，一般可选中心频率为500Hz的倍频带作估算。</w:t>
      </w:r>
    </w:p>
    <w:p>
      <w:pPr>
        <w:pStyle w:val="5"/>
        <w:spacing w:line="520" w:lineRule="exact"/>
      </w:pPr>
      <w:r>
        <w:t>2、室内声源等效室外声源声功率级计算方法</w:t>
      </w:r>
    </w:p>
    <w:p>
      <w:pPr>
        <w:pStyle w:val="5"/>
        <w:spacing w:line="520" w:lineRule="exact"/>
      </w:pPr>
      <w:r>
        <w:t>设靠近开口处（或窗户）室内、室外某倍频带的声压级分别为L</w:t>
      </w:r>
      <w:r>
        <w:rPr>
          <w:vertAlign w:val="subscript"/>
        </w:rPr>
        <w:t>p1</w:t>
      </w:r>
      <w:r>
        <w:t>和L</w:t>
      </w:r>
      <w:r>
        <w:rPr>
          <w:vertAlign w:val="subscript"/>
        </w:rPr>
        <w:t>p2</w:t>
      </w:r>
      <w:r>
        <w:t>。若声源所在室内声场为近似扩散声场，则室外的倍频带声压级可按公式</w:t>
      </w:r>
      <w:r>
        <w:rPr>
          <w:rFonts w:hint="eastAsia" w:ascii="宋体" w:hAnsi="宋体" w:cs="宋体"/>
        </w:rPr>
        <w:t>⑹</w:t>
      </w:r>
      <w:r>
        <w:t>近似求出：</w:t>
      </w:r>
    </w:p>
    <w:p>
      <w:pPr>
        <w:spacing w:line="360" w:lineRule="auto"/>
        <w:ind w:firstLine="539"/>
        <w:rPr>
          <w:rFonts w:ascii="Arial" w:hAnsi="Arial" w:eastAsia="宋体" w:cs="Arial"/>
          <w:sz w:val="24"/>
        </w:rPr>
      </w:pPr>
      <w:r>
        <w:rPr>
          <w:rFonts w:ascii="Arial" w:hAnsi="Arial" w:eastAsia="宋体" w:cs="Arial"/>
          <w:position w:val="-14"/>
          <w:sz w:val="24"/>
        </w:rPr>
        <w:object>
          <v:shape id="_x0000_i1055" o:spt="75" type="#_x0000_t75" style="height:18.75pt;width:99.75pt;" o:ole="t" filled="f" o:preferrelative="t" stroked="f" coordsize="21600,21600">
            <v:path/>
            <v:fill on="f" focussize="0,0"/>
            <v:stroke on="f" joinstyle="miter"/>
            <v:imagedata r:id="rId104" o:title=""/>
            <o:lock v:ext="edit" aspectratio="t"/>
            <w10:wrap type="none"/>
            <w10:anchorlock/>
          </v:shape>
          <o:OLEObject Type="Embed" ProgID="Equation.3" ShapeID="_x0000_i1055" DrawAspect="Content" ObjectID="_1468075755" r:id="rId103">
            <o:LockedField>false</o:LockedField>
          </o:OLEObject>
        </w:object>
      </w:r>
      <w:r>
        <w:rPr>
          <w:rFonts w:ascii="Arial" w:hAnsi="Arial" w:eastAsia="宋体" w:cs="Arial"/>
          <w:sz w:val="24"/>
        </w:rPr>
        <w:t xml:space="preserve">                          </w:t>
      </w:r>
      <w:r>
        <w:rPr>
          <w:rFonts w:hint="eastAsia" w:ascii="宋体" w:hAnsi="宋体" w:eastAsia="宋体" w:cs="宋体"/>
          <w:sz w:val="24"/>
        </w:rPr>
        <w:t>⑹</w:t>
      </w:r>
    </w:p>
    <w:p>
      <w:pPr>
        <w:pStyle w:val="5"/>
        <w:spacing w:line="500" w:lineRule="exact"/>
      </w:pPr>
      <w:r>
        <w:t>式中：TL－隔墙（或窗户）倍频带的隔声量，dB。</w:t>
      </w:r>
    </w:p>
    <w:p>
      <w:pPr>
        <w:pStyle w:val="5"/>
        <w:spacing w:line="500" w:lineRule="exact"/>
      </w:pPr>
      <w:r>
        <w:t>也可按公式</w:t>
      </w:r>
      <w:r>
        <w:rPr>
          <w:rFonts w:hint="eastAsia" w:ascii="宋体" w:hAnsi="宋体" w:cs="宋体"/>
        </w:rPr>
        <w:t>⑺</w:t>
      </w:r>
      <w:r>
        <w:t>计算某一室内声源靠近围护结构处产生的倍频带声压级：</w:t>
      </w:r>
    </w:p>
    <w:p>
      <w:pPr>
        <w:spacing w:line="360" w:lineRule="auto"/>
        <w:ind w:firstLine="539"/>
        <w:rPr>
          <w:rFonts w:ascii="Arial" w:hAnsi="Arial" w:eastAsia="宋体" w:cs="Arial"/>
          <w:sz w:val="24"/>
        </w:rPr>
      </w:pPr>
      <w:r>
        <w:rPr>
          <w:rFonts w:ascii="Arial" w:hAnsi="Arial" w:eastAsia="宋体" w:cs="Arial"/>
          <w:position w:val="-24"/>
          <w:sz w:val="24"/>
        </w:rPr>
        <w:object>
          <v:shape id="_x0000_i1056" o:spt="75" type="#_x0000_t75" style="height:30.75pt;width:134.25pt;" o:ole="t" filled="f" o:preferrelative="t" stroked="f" coordsize="21600,21600">
            <v:path/>
            <v:fill on="f" focussize="0,0"/>
            <v:stroke on="f" joinstyle="miter"/>
            <v:imagedata r:id="rId106" o:title=""/>
            <o:lock v:ext="edit" aspectratio="t"/>
            <w10:wrap type="none"/>
            <w10:anchorlock/>
          </v:shape>
          <o:OLEObject Type="Embed" ProgID="Equation.3" ShapeID="_x0000_i1056" DrawAspect="Content" ObjectID="_1468075756" r:id="rId105">
            <o:LockedField>false</o:LockedField>
          </o:OLEObject>
        </w:object>
      </w:r>
      <w:r>
        <w:rPr>
          <w:rFonts w:ascii="Arial" w:hAnsi="Arial" w:eastAsia="宋体" w:cs="Arial"/>
          <w:sz w:val="24"/>
        </w:rPr>
        <w:t xml:space="preserve">                    </w:t>
      </w:r>
      <w:r>
        <w:rPr>
          <w:rFonts w:hint="eastAsia" w:ascii="宋体" w:hAnsi="宋体" w:eastAsia="宋体" w:cs="宋体"/>
          <w:sz w:val="24"/>
        </w:rPr>
        <w:t>⑺</w:t>
      </w:r>
    </w:p>
    <w:p>
      <w:pPr>
        <w:pStyle w:val="5"/>
        <w:spacing w:line="500" w:lineRule="exact"/>
      </w:pPr>
      <w:r>
        <w:t>式中：Q—指向性因数；通常对无指向性声源，当声源放在房间中心式，Q=1；当放在一面墙的中心时，Q=2；当放在两面墙夹角处时，Q=4；当放在三面墙夹角处时，Q=8。</w:t>
      </w:r>
    </w:p>
    <w:p>
      <w:pPr>
        <w:pStyle w:val="5"/>
        <w:spacing w:line="500" w:lineRule="exact"/>
      </w:pPr>
      <w:r>
        <w:t xml:space="preserve"> R—房间常数；</w:t>
      </w:r>
      <w:r>
        <w:object>
          <v:shape id="_x0000_i1057" o:spt="75" type="#_x0000_t75" style="height:15.75pt;width:76.5pt;" o:ole="t" filled="f" o:preferrelative="t" stroked="f" coordsize="21600,21600">
            <v:path/>
            <v:fill on="f" focussize="0,0"/>
            <v:stroke on="f" joinstyle="miter"/>
            <v:imagedata r:id="rId108" o:title=""/>
            <o:lock v:ext="edit" aspectratio="t"/>
            <w10:wrap type="none"/>
            <w10:anchorlock/>
          </v:shape>
          <o:OLEObject Type="Embed" ProgID="Equation.3" ShapeID="_x0000_i1057" DrawAspect="Content" ObjectID="_1468075757" r:id="rId107">
            <o:LockedField>false</o:LockedField>
          </o:OLEObject>
        </w:object>
      </w:r>
      <w:r>
        <w:t>，S为房间内表面面积，m</w:t>
      </w:r>
      <w:r>
        <w:rPr>
          <w:vertAlign w:val="superscript"/>
        </w:rPr>
        <w:t>2</w:t>
      </w:r>
      <w:r>
        <w:t>；</w:t>
      </w:r>
      <w:r>
        <w:object>
          <v:shape id="_x0000_i1058" o:spt="75" type="#_x0000_t75" style="height:11.25pt;width:11.25pt;" o:ole="t" filled="f" o:preferrelative="t" stroked="f" coordsize="21600,21600">
            <v:path/>
            <v:fill on="f" focussize="0,0"/>
            <v:stroke on="f" joinstyle="miter"/>
            <v:imagedata r:id="rId110" o:title=""/>
            <o:lock v:ext="edit" aspectratio="t"/>
            <w10:wrap type="none"/>
            <w10:anchorlock/>
          </v:shape>
          <o:OLEObject Type="Embed" ProgID="Equation.3" ShapeID="_x0000_i1058" DrawAspect="Content" ObjectID="_1468075758" r:id="rId109">
            <o:LockedField>false</o:LockedField>
          </o:OLEObject>
        </w:object>
      </w:r>
      <w:r>
        <w:t>为平均吸声系数。</w:t>
      </w:r>
    </w:p>
    <w:p>
      <w:pPr>
        <w:pStyle w:val="5"/>
        <w:spacing w:line="500" w:lineRule="exact"/>
      </w:pPr>
      <w:r>
        <w:t xml:space="preserve"> r—声源到靠近围护结构某点处的距离，m。</w:t>
      </w:r>
    </w:p>
    <w:p>
      <w:pPr>
        <w:pStyle w:val="5"/>
        <w:spacing w:line="500" w:lineRule="exact"/>
      </w:pPr>
      <w:r>
        <w:t>然后按公式</w:t>
      </w:r>
      <w:r>
        <w:rPr>
          <w:rFonts w:hint="eastAsia" w:ascii="宋体" w:hAnsi="宋体" w:cs="宋体"/>
        </w:rPr>
        <w:t>⑻</w:t>
      </w:r>
      <w:r>
        <w:t>计算出所有室内声源在围护结构处产生的i倍频带声压级：</w:t>
      </w:r>
    </w:p>
    <w:p>
      <w:pPr>
        <w:spacing w:line="360" w:lineRule="auto"/>
        <w:ind w:firstLine="539"/>
        <w:rPr>
          <w:rFonts w:ascii="Arial" w:hAnsi="Arial" w:eastAsia="宋体" w:cs="Arial"/>
          <w:sz w:val="24"/>
        </w:rPr>
      </w:pPr>
      <w:r>
        <w:rPr>
          <w:rFonts w:ascii="Arial" w:hAnsi="Arial" w:eastAsia="宋体" w:cs="Arial"/>
          <w:position w:val="-30"/>
          <w:sz w:val="24"/>
        </w:rPr>
        <w:object>
          <v:shape id="_x0000_i1059" o:spt="75" type="#_x0000_t75" style="height:35.25pt;width:131.25pt;" o:ole="t" filled="f" o:preferrelative="t" stroked="f" coordsize="21600,21600">
            <v:path/>
            <v:fill on="f" focussize="0,0"/>
            <v:stroke on="f" joinstyle="miter"/>
            <v:imagedata r:id="rId112" o:title=""/>
            <o:lock v:ext="edit" aspectratio="t"/>
            <w10:wrap type="none"/>
            <w10:anchorlock/>
          </v:shape>
          <o:OLEObject Type="Embed" ProgID="Equation.3" ShapeID="_x0000_i1059" DrawAspect="Content" ObjectID="_1468075759" r:id="rId111">
            <o:LockedField>false</o:LockedField>
          </o:OLEObject>
        </w:object>
      </w:r>
      <w:r>
        <w:rPr>
          <w:rFonts w:ascii="Arial" w:hAnsi="Arial" w:eastAsia="宋体" w:cs="Arial"/>
          <w:sz w:val="24"/>
        </w:rPr>
        <w:t xml:space="preserve">                    </w:t>
      </w:r>
      <w:r>
        <w:rPr>
          <w:rFonts w:hint="eastAsia" w:ascii="宋体" w:hAnsi="宋体" w:eastAsia="宋体" w:cs="宋体"/>
          <w:sz w:val="24"/>
        </w:rPr>
        <w:t>⑻</w:t>
      </w:r>
    </w:p>
    <w:p>
      <w:pPr>
        <w:pStyle w:val="5"/>
        <w:spacing w:line="500" w:lineRule="exact"/>
      </w:pPr>
      <w:r>
        <w:t>式中：L</w:t>
      </w:r>
      <w:r>
        <w:rPr>
          <w:vertAlign w:val="subscript"/>
        </w:rPr>
        <w:t>P1i</w:t>
      </w:r>
      <w:r>
        <w:t>(T)—靠近围护结构处室内N个声源i倍频带的叠加声压级，dB；</w:t>
      </w:r>
    </w:p>
    <w:p>
      <w:pPr>
        <w:pStyle w:val="5"/>
        <w:spacing w:line="500" w:lineRule="exact"/>
      </w:pPr>
      <w:r>
        <w:t xml:space="preserve">      L</w:t>
      </w:r>
      <w:r>
        <w:rPr>
          <w:vertAlign w:val="subscript"/>
        </w:rPr>
        <w:t>P1ij</w:t>
      </w:r>
      <w:r>
        <w:t>—室内j声源i倍频带的声压级，dB；</w:t>
      </w:r>
    </w:p>
    <w:p>
      <w:pPr>
        <w:pStyle w:val="5"/>
        <w:spacing w:line="500" w:lineRule="exact"/>
      </w:pPr>
      <w:r>
        <w:t xml:space="preserve">      N—室内声源总数。</w:t>
      </w:r>
    </w:p>
    <w:p>
      <w:pPr>
        <w:pStyle w:val="5"/>
        <w:spacing w:line="500" w:lineRule="exact"/>
      </w:pPr>
      <w:r>
        <w:t>在室内近似为扩散声场时，按公式</w:t>
      </w:r>
      <w:r>
        <w:rPr>
          <w:rFonts w:hint="eastAsia" w:ascii="宋体" w:hAnsi="宋体" w:cs="宋体"/>
        </w:rPr>
        <w:t>⑼</w:t>
      </w:r>
      <w:r>
        <w:t>计算出靠近室外围护结构处的声压级：</w:t>
      </w:r>
    </w:p>
    <w:p>
      <w:pPr>
        <w:spacing w:line="360" w:lineRule="auto"/>
        <w:ind w:firstLine="539"/>
        <w:rPr>
          <w:rFonts w:ascii="Arial" w:hAnsi="Arial" w:eastAsia="宋体" w:cs="Arial"/>
          <w:sz w:val="24"/>
        </w:rPr>
      </w:pPr>
      <w:r>
        <w:rPr>
          <w:rFonts w:ascii="Arial" w:hAnsi="Arial" w:eastAsia="宋体" w:cs="Arial"/>
          <w:position w:val="-12"/>
          <w:sz w:val="24"/>
        </w:rPr>
        <w:object>
          <v:shape id="_x0000_i1060" o:spt="75" type="#_x0000_t75" style="height:18.75pt;width:139.5pt;" o:ole="t" filled="f" o:preferrelative="t" stroked="f" coordsize="21600,21600">
            <v:path/>
            <v:fill on="f" focussize="0,0"/>
            <v:stroke on="f" joinstyle="miter"/>
            <v:imagedata r:id="rId114" o:title=""/>
            <o:lock v:ext="edit" aspectratio="t"/>
            <w10:wrap type="none"/>
            <w10:anchorlock/>
          </v:shape>
          <o:OLEObject Type="Embed" ProgID="Equation.3" ShapeID="_x0000_i1060" DrawAspect="Content" ObjectID="_1468075760" r:id="rId113">
            <o:LockedField>false</o:LockedField>
          </o:OLEObject>
        </w:object>
      </w:r>
      <w:r>
        <w:rPr>
          <w:rFonts w:ascii="Arial" w:hAnsi="Arial" w:eastAsia="宋体" w:cs="Arial"/>
          <w:sz w:val="24"/>
        </w:rPr>
        <w:t xml:space="preserve">                  </w:t>
      </w:r>
      <w:r>
        <w:rPr>
          <w:rFonts w:hint="eastAsia" w:ascii="宋体" w:hAnsi="宋体" w:eastAsia="宋体" w:cs="宋体"/>
          <w:sz w:val="24"/>
        </w:rPr>
        <w:t>⑼</w:t>
      </w:r>
    </w:p>
    <w:p>
      <w:pPr>
        <w:pStyle w:val="5"/>
        <w:spacing w:line="520" w:lineRule="exact"/>
      </w:pPr>
      <w:r>
        <w:t>式中：L</w:t>
      </w:r>
      <w:r>
        <w:rPr>
          <w:vertAlign w:val="subscript"/>
        </w:rPr>
        <w:t>P2i</w:t>
      </w:r>
      <w:r>
        <w:t>(T)—靠近围护结构处室外N个声源i倍频带的叠加声压级，dB；</w:t>
      </w:r>
    </w:p>
    <w:p>
      <w:pPr>
        <w:pStyle w:val="5"/>
        <w:spacing w:line="520" w:lineRule="exact"/>
      </w:pPr>
      <w:r>
        <w:t xml:space="preserve">      TL</w:t>
      </w:r>
      <w:r>
        <w:rPr>
          <w:vertAlign w:val="subscript"/>
        </w:rPr>
        <w:t>i</w:t>
      </w:r>
      <w:r>
        <w:t>—围护结构i倍频带的隔声量，dB。</w:t>
      </w:r>
    </w:p>
    <w:p>
      <w:pPr>
        <w:pStyle w:val="5"/>
        <w:spacing w:line="520" w:lineRule="exact"/>
      </w:pPr>
      <w:r>
        <w:t>然后按公式</w:t>
      </w:r>
      <w:r>
        <w:rPr>
          <w:rFonts w:hint="eastAsia" w:ascii="宋体" w:hAnsi="宋体" w:cs="宋体"/>
        </w:rPr>
        <w:t>⑽</w:t>
      </w:r>
      <w:r>
        <w:t>将室外声源的声压级和透过面积换算成等效的室外声源，计算出中心位置位于透声面积（S）处的等效声源的倍频带声功率级。</w:t>
      </w:r>
    </w:p>
    <w:p>
      <w:pPr>
        <w:spacing w:line="360" w:lineRule="auto"/>
        <w:ind w:firstLine="539"/>
        <w:rPr>
          <w:rFonts w:ascii="Arial" w:hAnsi="Arial" w:eastAsia="宋体" w:cs="Arial"/>
          <w:sz w:val="24"/>
        </w:rPr>
      </w:pPr>
      <w:r>
        <w:rPr>
          <w:rFonts w:ascii="Arial" w:hAnsi="Arial" w:eastAsia="宋体" w:cs="Arial"/>
          <w:position w:val="-12"/>
          <w:sz w:val="24"/>
        </w:rPr>
        <w:object>
          <v:shape id="_x0000_i1061" o:spt="75" type="#_x0000_t75" style="height:18.75pt;width:104.25pt;" o:ole="t" filled="f" o:preferrelative="t" stroked="f" coordsize="21600,21600">
            <v:path/>
            <v:fill on="f" focussize="0,0"/>
            <v:stroke on="f" joinstyle="miter"/>
            <v:imagedata r:id="rId116" o:title=""/>
            <o:lock v:ext="edit" aspectratio="t"/>
            <w10:wrap type="none"/>
            <w10:anchorlock/>
          </v:shape>
          <o:OLEObject Type="Embed" ProgID="Equation.3" ShapeID="_x0000_i1061" DrawAspect="Content" ObjectID="_1468075761" r:id="rId115">
            <o:LockedField>false</o:LockedField>
          </o:OLEObject>
        </w:object>
      </w:r>
      <w:r>
        <w:rPr>
          <w:rFonts w:ascii="Arial" w:hAnsi="Arial" w:eastAsia="宋体" w:cs="Arial"/>
          <w:sz w:val="24"/>
        </w:rPr>
        <w:t xml:space="preserve">                         </w:t>
      </w:r>
      <w:r>
        <w:rPr>
          <w:rFonts w:hint="eastAsia" w:ascii="宋体" w:hAnsi="宋体" w:eastAsia="宋体" w:cs="宋体"/>
          <w:sz w:val="24"/>
        </w:rPr>
        <w:t>⑽</w:t>
      </w:r>
    </w:p>
    <w:p>
      <w:pPr>
        <w:pStyle w:val="5"/>
        <w:spacing w:line="500" w:lineRule="exact"/>
        <w:ind w:firstLine="490" w:firstLineChars="200"/>
      </w:pPr>
      <w:r>
        <w:t>然后按室外声源预测方法计算预测点处的A声级。</w:t>
      </w:r>
    </w:p>
    <w:p>
      <w:pPr>
        <w:pStyle w:val="5"/>
        <w:spacing w:line="500" w:lineRule="exact"/>
        <w:ind w:firstLine="490" w:firstLineChars="200"/>
      </w:pPr>
      <w:r>
        <w:t>3、噪声贡献值计算</w:t>
      </w:r>
    </w:p>
    <w:p>
      <w:pPr>
        <w:pStyle w:val="5"/>
        <w:spacing w:line="500" w:lineRule="exact"/>
        <w:ind w:firstLine="490" w:firstLineChars="200"/>
      </w:pPr>
      <w:r>
        <w:t>设第i个室外声源在预测点产生的A声级为L</w:t>
      </w:r>
      <w:r>
        <w:rPr>
          <w:vertAlign w:val="subscript"/>
        </w:rPr>
        <w:t>Ai</w:t>
      </w:r>
      <w:r>
        <w:t>，在T时间内该声源工作时间为ti；第j个等效室外声源在预测点产生的A声级为L</w:t>
      </w:r>
      <w:r>
        <w:rPr>
          <w:vertAlign w:val="subscript"/>
        </w:rPr>
        <w:t>Aj</w:t>
      </w:r>
      <w:r>
        <w:t>，在T时间内该声源工作时间为tj，则拟建工程声源对预测点产生的贡献值（Leqg）为：</w:t>
      </w:r>
    </w:p>
    <w:p>
      <w:pPr>
        <w:spacing w:line="360" w:lineRule="auto"/>
        <w:ind w:firstLine="539"/>
        <w:rPr>
          <w:rFonts w:ascii="Arial" w:hAnsi="Arial" w:eastAsia="宋体" w:cs="Arial"/>
          <w:sz w:val="24"/>
        </w:rPr>
      </w:pPr>
      <w:r>
        <w:rPr>
          <w:rFonts w:ascii="Arial" w:hAnsi="Arial" w:eastAsia="宋体" w:cs="Arial"/>
          <w:position w:val="-30"/>
          <w:sz w:val="24"/>
        </w:rPr>
        <w:object>
          <v:shape id="_x0000_i1062" o:spt="75" type="#_x0000_t75" style="height:35.25pt;width:204pt;" o:ole="t" filled="f" o:preferrelative="t" stroked="f" coordsize="21600,21600">
            <v:path/>
            <v:fill on="f" focussize="0,0"/>
            <v:stroke on="f" joinstyle="miter"/>
            <v:imagedata r:id="rId118" o:title=""/>
            <o:lock v:ext="edit" aspectratio="t"/>
            <w10:wrap type="none"/>
            <w10:anchorlock/>
          </v:shape>
          <o:OLEObject Type="Embed" ProgID="Equation.3" ShapeID="_x0000_i1062" DrawAspect="Content" ObjectID="_1468075762" r:id="rId117">
            <o:LockedField>false</o:LockedField>
          </o:OLEObject>
        </w:object>
      </w:r>
      <w:r>
        <w:rPr>
          <w:rFonts w:ascii="Arial" w:hAnsi="Arial" w:eastAsia="宋体" w:cs="Arial"/>
          <w:sz w:val="24"/>
        </w:rPr>
        <w:t xml:space="preserve">        （11）</w:t>
      </w:r>
    </w:p>
    <w:p>
      <w:pPr>
        <w:pStyle w:val="5"/>
        <w:spacing w:line="500" w:lineRule="exact"/>
      </w:pPr>
      <w:r>
        <w:t>式中：t</w:t>
      </w:r>
      <w:r>
        <w:rPr>
          <w:vertAlign w:val="subscript"/>
        </w:rPr>
        <w:t>j</w:t>
      </w:r>
      <w:r>
        <w:t>—在T时间内j声源工作时间，s；</w:t>
      </w:r>
    </w:p>
    <w:p>
      <w:pPr>
        <w:pStyle w:val="5"/>
        <w:spacing w:line="500" w:lineRule="exact"/>
      </w:pPr>
      <w:r>
        <w:t xml:space="preserve">      t</w:t>
      </w:r>
      <w:r>
        <w:rPr>
          <w:vertAlign w:val="subscript"/>
        </w:rPr>
        <w:t>i</w:t>
      </w:r>
      <w:r>
        <w:t>—在T时间内i声源工作时间，s；</w:t>
      </w:r>
    </w:p>
    <w:p>
      <w:pPr>
        <w:pStyle w:val="5"/>
        <w:spacing w:line="500" w:lineRule="exact"/>
      </w:pPr>
      <w:r>
        <w:t xml:space="preserve">      T—用于计算等效声级的时间，s；</w:t>
      </w:r>
    </w:p>
    <w:p>
      <w:pPr>
        <w:pStyle w:val="5"/>
        <w:spacing w:line="500" w:lineRule="exact"/>
      </w:pPr>
      <w:r>
        <w:t xml:space="preserve">      N—室外声源个数；</w:t>
      </w:r>
    </w:p>
    <w:p>
      <w:pPr>
        <w:pStyle w:val="5"/>
        <w:spacing w:line="500" w:lineRule="exact"/>
      </w:pPr>
      <w:r>
        <w:t xml:space="preserve">      M—等效室外声源个数。</w:t>
      </w:r>
    </w:p>
    <w:p>
      <w:pPr>
        <w:pStyle w:val="5"/>
        <w:spacing w:line="500" w:lineRule="exact"/>
        <w:ind w:firstLine="490" w:firstLineChars="200"/>
      </w:pPr>
      <w:r>
        <w:t>4、预测点预测值计算</w:t>
      </w:r>
    </w:p>
    <w:p>
      <w:pPr>
        <w:spacing w:line="360" w:lineRule="auto"/>
        <w:ind w:firstLine="450" w:firstLineChars="200"/>
        <w:rPr>
          <w:rFonts w:ascii="Arial" w:hAnsi="Arial" w:eastAsia="宋体" w:cs="Arial"/>
          <w:sz w:val="24"/>
        </w:rPr>
      </w:pPr>
      <w:r>
        <w:rPr>
          <w:rFonts w:ascii="Arial" w:hAnsi="Arial" w:eastAsia="宋体" w:cs="Arial"/>
          <w:position w:val="-14"/>
          <w:sz w:val="24"/>
        </w:rPr>
        <w:object>
          <v:shape id="_x0000_i1063" o:spt="75" type="#_x0000_t75" style="height:21.75pt;width:134.25pt;" o:ole="t" filled="f" o:preferrelative="t" stroked="f" coordsize="21600,21600">
            <v:path/>
            <v:fill on="f" focussize="0,0"/>
            <v:stroke on="f" joinstyle="miter"/>
            <v:imagedata r:id="rId120" o:title=""/>
            <o:lock v:ext="edit" aspectratio="t"/>
            <w10:wrap type="none"/>
            <w10:anchorlock/>
          </v:shape>
          <o:OLEObject Type="Embed" ProgID="Equation.3" ShapeID="_x0000_i1063" DrawAspect="Content" ObjectID="_1468075763" r:id="rId119">
            <o:LockedField>false</o:LockedField>
          </o:OLEObject>
        </w:object>
      </w:r>
      <w:r>
        <w:rPr>
          <w:rFonts w:ascii="Arial" w:hAnsi="Arial" w:eastAsia="宋体" w:cs="Arial"/>
          <w:sz w:val="24"/>
        </w:rPr>
        <w:t xml:space="preserve">                    （12）</w:t>
      </w:r>
    </w:p>
    <w:p>
      <w:pPr>
        <w:pStyle w:val="5"/>
        <w:spacing w:line="500" w:lineRule="exact"/>
      </w:pPr>
      <w:r>
        <w:t xml:space="preserve">    式中：L</w:t>
      </w:r>
      <w:r>
        <w:rPr>
          <w:vertAlign w:val="subscript"/>
        </w:rPr>
        <w:t>eqg</w:t>
      </w:r>
      <w:r>
        <w:t>—建设项目声源在预测点的等效声级贡献值，dB(A)；</w:t>
      </w:r>
    </w:p>
    <w:p>
      <w:pPr>
        <w:pStyle w:val="5"/>
        <w:spacing w:line="500" w:lineRule="exact"/>
        <w:ind w:firstLine="490" w:firstLineChars="200"/>
        <w:rPr>
          <w:highlight w:val="yellow"/>
        </w:rPr>
      </w:pPr>
      <w:r>
        <w:rPr>
          <w:szCs w:val="24"/>
        </w:rPr>
        <w:t xml:space="preserve">        </w:t>
      </w:r>
      <w:r>
        <w:t xml:space="preserve"> L</w:t>
      </w:r>
      <w:r>
        <w:rPr>
          <w:vertAlign w:val="subscript"/>
        </w:rPr>
        <w:t>eqb</w:t>
      </w:r>
      <w:r>
        <w:t>—预测点的背景值，dB(A)。</w:t>
      </w:r>
    </w:p>
    <w:p>
      <w:pPr>
        <w:pStyle w:val="475"/>
        <w:numPr>
          <w:ilvl w:val="0"/>
          <w:numId w:val="26"/>
        </w:numPr>
        <w:spacing w:line="500" w:lineRule="exact"/>
        <w:ind w:firstLineChars="0"/>
        <w:outlineLvl w:val="3"/>
        <w:rPr>
          <w:rFonts w:ascii="Arial" w:hAnsi="Arial" w:cs="Arial"/>
          <w:b/>
        </w:rPr>
      </w:pPr>
      <w:r>
        <w:rPr>
          <w:rFonts w:ascii="Arial" w:hAnsi="Arial" w:cs="Arial"/>
          <w:b/>
        </w:rPr>
        <w:t>预测结果与评价</w:t>
      </w:r>
    </w:p>
    <w:p>
      <w:pPr>
        <w:pStyle w:val="5"/>
        <w:spacing w:line="500" w:lineRule="exact"/>
        <w:ind w:firstLine="490" w:firstLineChars="200"/>
      </w:pPr>
      <w:r>
        <w:t>在计算声能在户外传播中各种衰减因素时，只考虑屏障衰减、距离衰减，</w:t>
      </w:r>
      <w:r>
        <w:rPr>
          <w:rFonts w:hint="eastAsia"/>
          <w:lang w:eastAsia="zh-CN"/>
        </w:rPr>
        <w:t>其他影响</w:t>
      </w:r>
      <w:r>
        <w:t>的衰减如空气吸收、地面效应、温度梯度等均作为预测计算的安全系数。根据以上给出的预测模式，代入相关的声源资料，计算出项目对厂界的噪声贡献值。</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各声源噪声贡献预测结果表     单位：dB（A）</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1014"/>
        <w:gridCol w:w="1018"/>
        <w:gridCol w:w="872"/>
        <w:gridCol w:w="872"/>
        <w:gridCol w:w="872"/>
        <w:gridCol w:w="872"/>
        <w:gridCol w:w="873"/>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Merge w:val="restart"/>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预测点</w:t>
            </w:r>
          </w:p>
        </w:tc>
        <w:tc>
          <w:tcPr>
            <w:tcW w:w="2032"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贡献值</w:t>
            </w:r>
          </w:p>
        </w:tc>
        <w:tc>
          <w:tcPr>
            <w:tcW w:w="174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背景值</w:t>
            </w:r>
          </w:p>
        </w:tc>
        <w:tc>
          <w:tcPr>
            <w:tcW w:w="1744"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叠加值</w:t>
            </w:r>
          </w:p>
        </w:tc>
        <w:tc>
          <w:tcPr>
            <w:tcW w:w="1727" w:type="dxa"/>
            <w:gridSpan w:val="2"/>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Merge w:val="continue"/>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东面</w:t>
            </w: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51.56</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51.56</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62</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52</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62.47</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53.46</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南面</w:t>
            </w: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11.32</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11.32</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西面</w:t>
            </w: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13.62</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13.62</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47</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47</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70</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北面</w:t>
            </w: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9.95</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9.95</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58</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45</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58</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45</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746"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鸡墩头村</w:t>
            </w:r>
          </w:p>
        </w:tc>
        <w:tc>
          <w:tcPr>
            <w:tcW w:w="101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10.02</w:t>
            </w:r>
          </w:p>
        </w:tc>
        <w:tc>
          <w:tcPr>
            <w:tcW w:w="1018"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10.02</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48.5</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43.4</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48.5</w:t>
            </w:r>
          </w:p>
        </w:tc>
        <w:tc>
          <w:tcPr>
            <w:tcW w:w="872"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43.4</w:t>
            </w:r>
          </w:p>
        </w:tc>
        <w:tc>
          <w:tcPr>
            <w:tcW w:w="873"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60</w:t>
            </w:r>
          </w:p>
        </w:tc>
        <w:tc>
          <w:tcPr>
            <w:tcW w:w="854" w:type="dxa"/>
            <w:vAlign w:val="center"/>
          </w:tcPr>
          <w:p>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w:t>
            </w:r>
          </w:p>
        </w:tc>
      </w:tr>
    </w:tbl>
    <w:p>
      <w:pPr>
        <w:pStyle w:val="5"/>
        <w:spacing w:line="500" w:lineRule="exact"/>
        <w:ind w:firstLine="490" w:firstLineChars="200"/>
        <w:rPr>
          <w:highlight w:val="yellow"/>
        </w:rPr>
      </w:pPr>
    </w:p>
    <w:p>
      <w:pPr>
        <w:pStyle w:val="5"/>
        <w:spacing w:line="240" w:lineRule="auto"/>
        <w:ind w:firstLine="0"/>
        <w:rPr>
          <w:highlight w:val="yellow"/>
        </w:rPr>
      </w:pPr>
      <w:r>
        <w:drawing>
          <wp:inline distT="0" distB="0" distL="114300" distR="114300">
            <wp:extent cx="5485765" cy="6424295"/>
            <wp:effectExtent l="0" t="0" r="635" b="1460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121"/>
                    <a:stretch>
                      <a:fillRect/>
                    </a:stretch>
                  </pic:blipFill>
                  <pic:spPr>
                    <a:xfrm>
                      <a:off x="0" y="0"/>
                      <a:ext cx="5485765" cy="6424295"/>
                    </a:xfrm>
                    <a:prstGeom prst="rect">
                      <a:avLst/>
                    </a:prstGeom>
                    <a:noFill/>
                    <a:ln>
                      <a:noFill/>
                    </a:ln>
                  </pic:spPr>
                </pic:pic>
              </a:graphicData>
            </a:graphic>
          </wp:inline>
        </w:drawing>
      </w:r>
    </w:p>
    <w:p>
      <w:pPr>
        <w:numPr>
          <w:ilvl w:val="0"/>
          <w:numId w:val="23"/>
        </w:numPr>
        <w:spacing w:line="500" w:lineRule="exact"/>
        <w:ind w:left="0" w:firstLine="0"/>
        <w:jc w:val="center"/>
        <w:rPr>
          <w:rFonts w:ascii="Arial" w:hAnsi="Arial" w:eastAsia="宋体" w:cs="Arial"/>
          <w:b/>
          <w:spacing w:val="10"/>
          <w:sz w:val="24"/>
        </w:rPr>
      </w:pPr>
      <w:r>
        <w:rPr>
          <w:rFonts w:ascii="Arial" w:hAnsi="Arial" w:eastAsia="宋体" w:cs="Arial"/>
          <w:b/>
          <w:spacing w:val="10"/>
          <w:sz w:val="24"/>
        </w:rPr>
        <w:t>项目噪声等效声值曲线图</w:t>
      </w:r>
    </w:p>
    <w:p>
      <w:pPr>
        <w:pStyle w:val="5"/>
        <w:spacing w:line="500" w:lineRule="exact"/>
        <w:ind w:firstLine="490" w:firstLineChars="200"/>
      </w:pPr>
      <w:r>
        <w:t>根据预测结果，厂界东、南、北面噪声预测值符合《工业企业厂界环境噪声排放标准》（GB12348-2008）中3类标准限值的要求，厂界西面符合4类标准限值要求，鸡墩头村噪声预测值符合《声环境质量标准》（GB3096-2008）2类区标准。</w:t>
      </w:r>
    </w:p>
    <w:p>
      <w:pPr>
        <w:pStyle w:val="6"/>
        <w:numPr>
          <w:ilvl w:val="0"/>
          <w:numId w:val="20"/>
        </w:numPr>
        <w:tabs>
          <w:tab w:val="clear" w:pos="1789"/>
        </w:tabs>
        <w:spacing w:line="400" w:lineRule="exact"/>
        <w:rPr>
          <w:rFonts w:ascii="Arial" w:hAnsi="Arial" w:eastAsia="宋体" w:cs="Arial"/>
        </w:rPr>
      </w:pPr>
      <w:bookmarkStart w:id="326" w:name="_Toc57715623"/>
      <w:bookmarkStart w:id="327" w:name="_Toc104677304"/>
      <w:bookmarkStart w:id="328" w:name="_Toc67921876"/>
      <w:bookmarkStart w:id="329" w:name="_Toc88674777"/>
      <w:bookmarkStart w:id="330" w:name="_Toc58596463"/>
      <w:bookmarkStart w:id="331" w:name="_Toc87124262"/>
      <w:r>
        <w:rPr>
          <w:rFonts w:ascii="Arial" w:hAnsi="Arial" w:eastAsia="宋体" w:cs="Arial"/>
        </w:rPr>
        <w:t>运营期固体废物影响分析</w:t>
      </w:r>
      <w:bookmarkEnd w:id="326"/>
      <w:bookmarkEnd w:id="327"/>
      <w:bookmarkEnd w:id="328"/>
      <w:bookmarkEnd w:id="329"/>
      <w:bookmarkEnd w:id="330"/>
      <w:bookmarkEnd w:id="331"/>
    </w:p>
    <w:p>
      <w:pPr>
        <w:pStyle w:val="5"/>
      </w:pPr>
      <w:r>
        <w:t>项目变更后固废产排情况见表4-</w:t>
      </w:r>
      <w:r>
        <w:rPr>
          <w:rFonts w:hint="eastAsia"/>
        </w:rPr>
        <w:t>31</w:t>
      </w:r>
      <w:r>
        <w:t>。</w:t>
      </w:r>
    </w:p>
    <w:p>
      <w:pPr>
        <w:keepNext/>
        <w:numPr>
          <w:ilvl w:val="0"/>
          <w:numId w:val="22"/>
        </w:numPr>
        <w:adjustRightInd w:val="0"/>
        <w:snapToGrid w:val="0"/>
        <w:spacing w:line="500" w:lineRule="exact"/>
        <w:ind w:left="0" w:firstLine="0"/>
        <w:jc w:val="center"/>
        <w:outlineLvl w:val="4"/>
        <w:rPr>
          <w:rFonts w:ascii="Arial" w:hAnsi="Arial" w:eastAsia="宋体" w:cs="Arial"/>
          <w:b/>
          <w:sz w:val="24"/>
          <w:szCs w:val="21"/>
        </w:rPr>
      </w:pPr>
      <w:r>
        <w:rPr>
          <w:rFonts w:ascii="Arial" w:hAnsi="Arial" w:eastAsia="宋体" w:cs="Arial"/>
          <w:b/>
          <w:sz w:val="24"/>
          <w:szCs w:val="21"/>
        </w:rPr>
        <w:t>项目变更后固废产排情况</w:t>
      </w:r>
    </w:p>
    <w:bookmarkEnd w:id="317"/>
    <w:bookmarkEnd w:id="318"/>
    <w:tbl>
      <w:tblPr>
        <w:tblStyle w:val="88"/>
        <w:tblW w:w="8891"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
      <w:tblGrid>
        <w:gridCol w:w="1175"/>
        <w:gridCol w:w="1367"/>
        <w:gridCol w:w="1435"/>
        <w:gridCol w:w="1967"/>
        <w:gridCol w:w="985"/>
        <w:gridCol w:w="982"/>
        <w:gridCol w:w="9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vMerge w:val="restart"/>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装置名称</w:t>
            </w:r>
          </w:p>
        </w:tc>
        <w:tc>
          <w:tcPr>
            <w:tcW w:w="1367" w:type="dxa"/>
            <w:vMerge w:val="restart"/>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固废名称</w:t>
            </w:r>
          </w:p>
        </w:tc>
        <w:tc>
          <w:tcPr>
            <w:tcW w:w="1435" w:type="dxa"/>
            <w:vMerge w:val="restart"/>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主要成分</w:t>
            </w:r>
          </w:p>
        </w:tc>
        <w:tc>
          <w:tcPr>
            <w:tcW w:w="1967" w:type="dxa"/>
            <w:vMerge w:val="restart"/>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固废类别</w:t>
            </w:r>
          </w:p>
        </w:tc>
        <w:tc>
          <w:tcPr>
            <w:tcW w:w="2947" w:type="dxa"/>
            <w:gridSpan w:val="3"/>
            <w:vAlign w:val="center"/>
          </w:tcPr>
          <w:p>
            <w:pPr>
              <w:spacing w:line="0" w:lineRule="atLeast"/>
              <w:jc w:val="center"/>
              <w:rPr>
                <w:rFonts w:ascii="Arial" w:hAnsi="Arial" w:eastAsia="宋体" w:cs="Arial"/>
                <w:sz w:val="21"/>
                <w:szCs w:val="21"/>
              </w:rPr>
            </w:pPr>
            <w:r>
              <w:rPr>
                <w:rFonts w:ascii="Arial" w:hAnsi="Arial" w:eastAsia="宋体" w:cs="Arial"/>
                <w:sz w:val="21"/>
                <w:szCs w:val="21"/>
              </w:rPr>
              <w:t>变更后情况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vMerge w:val="continue"/>
            <w:tcMar>
              <w:left w:w="57" w:type="dxa"/>
              <w:right w:w="57" w:type="dxa"/>
            </w:tcMar>
            <w:vAlign w:val="center"/>
          </w:tcPr>
          <w:p>
            <w:pPr>
              <w:spacing w:line="0" w:lineRule="atLeast"/>
              <w:jc w:val="center"/>
              <w:rPr>
                <w:rFonts w:ascii="Arial" w:hAnsi="Arial" w:eastAsia="宋体" w:cs="Arial"/>
                <w:sz w:val="21"/>
                <w:szCs w:val="21"/>
              </w:rPr>
            </w:pPr>
          </w:p>
        </w:tc>
        <w:tc>
          <w:tcPr>
            <w:tcW w:w="1367" w:type="dxa"/>
            <w:vMerge w:val="continue"/>
            <w:tcMar>
              <w:left w:w="57" w:type="dxa"/>
              <w:right w:w="57" w:type="dxa"/>
            </w:tcMar>
            <w:vAlign w:val="center"/>
          </w:tcPr>
          <w:p>
            <w:pPr>
              <w:spacing w:line="0" w:lineRule="atLeast"/>
              <w:jc w:val="center"/>
              <w:rPr>
                <w:rFonts w:ascii="Arial" w:hAnsi="Arial" w:eastAsia="宋体" w:cs="Arial"/>
                <w:sz w:val="21"/>
                <w:szCs w:val="21"/>
              </w:rPr>
            </w:pPr>
          </w:p>
        </w:tc>
        <w:tc>
          <w:tcPr>
            <w:tcW w:w="1435" w:type="dxa"/>
            <w:vMerge w:val="continue"/>
            <w:tcMar>
              <w:left w:w="57" w:type="dxa"/>
              <w:right w:w="57" w:type="dxa"/>
            </w:tcMar>
            <w:vAlign w:val="center"/>
          </w:tcPr>
          <w:p>
            <w:pPr>
              <w:spacing w:line="0" w:lineRule="atLeast"/>
              <w:jc w:val="center"/>
              <w:rPr>
                <w:rFonts w:ascii="Arial" w:hAnsi="Arial" w:eastAsia="宋体" w:cs="Arial"/>
                <w:sz w:val="21"/>
                <w:szCs w:val="21"/>
              </w:rPr>
            </w:pPr>
          </w:p>
        </w:tc>
        <w:tc>
          <w:tcPr>
            <w:tcW w:w="1967" w:type="dxa"/>
            <w:vMerge w:val="continue"/>
            <w:tcMar>
              <w:left w:w="57" w:type="dxa"/>
              <w:right w:w="57" w:type="dxa"/>
            </w:tcMar>
            <w:vAlign w:val="center"/>
          </w:tcPr>
          <w:p>
            <w:pPr>
              <w:spacing w:line="0" w:lineRule="atLeast"/>
              <w:jc w:val="center"/>
              <w:rPr>
                <w:rFonts w:ascii="Arial" w:hAnsi="Arial" w:eastAsia="宋体" w:cs="Arial"/>
                <w:sz w:val="21"/>
                <w:szCs w:val="21"/>
              </w:rPr>
            </w:pPr>
          </w:p>
        </w:tc>
        <w:tc>
          <w:tcPr>
            <w:tcW w:w="985"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产生量（t/a）</w:t>
            </w:r>
          </w:p>
        </w:tc>
        <w:tc>
          <w:tcPr>
            <w:tcW w:w="982"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处理量（t/a）</w:t>
            </w:r>
          </w:p>
        </w:tc>
        <w:tc>
          <w:tcPr>
            <w:tcW w:w="980"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去向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布袋除尘器</w:t>
            </w:r>
          </w:p>
        </w:tc>
        <w:tc>
          <w:tcPr>
            <w:tcW w:w="1367"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收集粉尘</w:t>
            </w:r>
            <w:r>
              <w:rPr>
                <w:rFonts w:ascii="Arial" w:hAnsi="Arial" w:eastAsia="宋体" w:cs="Arial"/>
                <w:sz w:val="21"/>
                <w:szCs w:val="21"/>
              </w:rPr>
              <w:t>（S1-1）</w:t>
            </w:r>
          </w:p>
        </w:tc>
        <w:tc>
          <w:tcPr>
            <w:tcW w:w="143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羟基钴</w:t>
            </w:r>
            <w:r>
              <w:rPr>
                <w:rFonts w:ascii="Arial" w:hAnsi="Arial" w:eastAsia="宋体" w:cs="Arial"/>
                <w:sz w:val="21"/>
                <w:szCs w:val="21"/>
              </w:rPr>
              <w:t>产品</w:t>
            </w:r>
          </w:p>
        </w:tc>
        <w:tc>
          <w:tcPr>
            <w:tcW w:w="1967"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kern w:val="0"/>
                <w:sz w:val="21"/>
                <w:szCs w:val="21"/>
              </w:rPr>
              <w:t>不作为固体废物管理</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1.062</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1.062</w:t>
            </w:r>
          </w:p>
        </w:tc>
        <w:tc>
          <w:tcPr>
            <w:tcW w:w="980"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X19车间回用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吸收塔</w:t>
            </w:r>
          </w:p>
        </w:tc>
        <w:tc>
          <w:tcPr>
            <w:tcW w:w="1367"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沉淀渣（S</w:t>
            </w:r>
            <w:r>
              <w:rPr>
                <w:rFonts w:hint="eastAsia" w:ascii="Arial" w:hAnsi="Arial" w:eastAsia="宋体" w:cs="Arial"/>
                <w:sz w:val="21"/>
                <w:szCs w:val="21"/>
              </w:rPr>
              <w:t>1-2</w:t>
            </w:r>
            <w:r>
              <w:rPr>
                <w:rFonts w:ascii="Arial" w:hAnsi="Arial" w:eastAsia="宋体" w:cs="Arial"/>
                <w:sz w:val="21"/>
                <w:szCs w:val="21"/>
              </w:rPr>
              <w:t>）</w:t>
            </w:r>
          </w:p>
        </w:tc>
        <w:tc>
          <w:tcPr>
            <w:tcW w:w="143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含Co滤渣</w:t>
            </w:r>
          </w:p>
        </w:tc>
        <w:tc>
          <w:tcPr>
            <w:tcW w:w="1967" w:type="dxa"/>
            <w:tcMar>
              <w:left w:w="57" w:type="dxa"/>
              <w:right w:w="57" w:type="dxa"/>
            </w:tcMar>
            <w:vAlign w:val="center"/>
          </w:tcPr>
          <w:p>
            <w:pPr>
              <w:spacing w:line="0" w:lineRule="atLeast"/>
              <w:jc w:val="center"/>
              <w:rPr>
                <w:rFonts w:ascii="Arial" w:hAnsi="Arial" w:eastAsia="宋体" w:cs="Arial"/>
                <w:kern w:val="0"/>
                <w:sz w:val="21"/>
                <w:szCs w:val="21"/>
              </w:rPr>
            </w:pPr>
            <w:r>
              <w:rPr>
                <w:rFonts w:ascii="Arial" w:hAnsi="Arial" w:eastAsia="宋体" w:cs="Arial"/>
                <w:kern w:val="0"/>
                <w:sz w:val="21"/>
                <w:szCs w:val="21"/>
              </w:rPr>
              <w:t>不作为固体废物管理</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14.834</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14.834</w:t>
            </w:r>
          </w:p>
        </w:tc>
        <w:tc>
          <w:tcPr>
            <w:tcW w:w="980"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X13车间回用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精密过滤器</w:t>
            </w:r>
          </w:p>
        </w:tc>
        <w:tc>
          <w:tcPr>
            <w:tcW w:w="1367"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微孔过滤膜（S1-3）</w:t>
            </w:r>
          </w:p>
        </w:tc>
        <w:tc>
          <w:tcPr>
            <w:tcW w:w="143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过滤膜</w:t>
            </w:r>
          </w:p>
        </w:tc>
        <w:tc>
          <w:tcPr>
            <w:tcW w:w="1967" w:type="dxa"/>
            <w:tcMar>
              <w:left w:w="57" w:type="dxa"/>
              <w:right w:w="57" w:type="dxa"/>
            </w:tcMar>
            <w:vAlign w:val="center"/>
          </w:tcPr>
          <w:p>
            <w:pPr>
              <w:spacing w:line="0" w:lineRule="atLeast"/>
              <w:jc w:val="center"/>
              <w:rPr>
                <w:rFonts w:ascii="Arial" w:hAnsi="Arial" w:eastAsia="宋体" w:cs="Arial"/>
                <w:kern w:val="0"/>
                <w:sz w:val="21"/>
                <w:szCs w:val="21"/>
              </w:rPr>
            </w:pPr>
            <w:r>
              <w:rPr>
                <w:rFonts w:hint="eastAsia" w:ascii="Arial" w:hAnsi="Arial" w:eastAsia="宋体" w:cs="Arial"/>
                <w:kern w:val="0"/>
                <w:sz w:val="21"/>
                <w:szCs w:val="21"/>
              </w:rPr>
              <w:t>一般工业固体废物</w:t>
            </w:r>
          </w:p>
          <w:p>
            <w:pPr>
              <w:spacing w:line="0" w:lineRule="atLeast"/>
              <w:jc w:val="center"/>
              <w:rPr>
                <w:rFonts w:ascii="Arial" w:hAnsi="Arial" w:eastAsia="宋体" w:cs="Arial"/>
                <w:kern w:val="0"/>
                <w:sz w:val="21"/>
                <w:szCs w:val="21"/>
              </w:rPr>
            </w:pPr>
            <w:r>
              <w:rPr>
                <w:rFonts w:ascii="Arial" w:hAnsi="Arial" w:eastAsia="宋体" w:cs="Arial"/>
                <w:kern w:val="0"/>
                <w:sz w:val="21"/>
                <w:szCs w:val="21"/>
              </w:rPr>
              <w:t>900-009-S59</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0.05</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0.05</w:t>
            </w:r>
          </w:p>
        </w:tc>
        <w:tc>
          <w:tcPr>
            <w:tcW w:w="980"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委托处理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精密过滤器</w:t>
            </w:r>
          </w:p>
          <w:p>
            <w:pPr>
              <w:spacing w:line="0" w:lineRule="atLeast"/>
              <w:jc w:val="center"/>
              <w:rPr>
                <w:rFonts w:ascii="Arial" w:hAnsi="Arial" w:eastAsia="宋体" w:cs="Arial"/>
                <w:sz w:val="21"/>
                <w:szCs w:val="21"/>
              </w:rPr>
            </w:pPr>
            <w:r>
              <w:rPr>
                <w:rFonts w:hint="eastAsia" w:ascii="Arial" w:hAnsi="Arial" w:eastAsia="宋体" w:cs="Arial"/>
                <w:sz w:val="21"/>
                <w:szCs w:val="21"/>
              </w:rPr>
              <w:t>板框压滤机</w:t>
            </w:r>
          </w:p>
        </w:tc>
        <w:tc>
          <w:tcPr>
            <w:tcW w:w="1367"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滤渣（S1-4）</w:t>
            </w:r>
          </w:p>
        </w:tc>
        <w:tc>
          <w:tcPr>
            <w:tcW w:w="1435" w:type="dxa"/>
            <w:tcMar>
              <w:left w:w="57" w:type="dxa"/>
              <w:right w:w="57" w:type="dxa"/>
            </w:tcMar>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钴</w:t>
            </w:r>
          </w:p>
        </w:tc>
        <w:tc>
          <w:tcPr>
            <w:tcW w:w="1967"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kern w:val="0"/>
                <w:sz w:val="21"/>
                <w:szCs w:val="21"/>
              </w:rPr>
              <w:t>不</w:t>
            </w:r>
            <w:r>
              <w:rPr>
                <w:rFonts w:hint="eastAsia" w:ascii="Arial" w:hAnsi="Arial" w:eastAsia="宋体" w:cs="Arial"/>
                <w:kern w:val="0"/>
                <w:sz w:val="21"/>
                <w:szCs w:val="21"/>
              </w:rPr>
              <w:t>按</w:t>
            </w:r>
            <w:r>
              <w:rPr>
                <w:rFonts w:ascii="Arial" w:hAnsi="Arial" w:eastAsia="宋体" w:cs="Arial"/>
                <w:kern w:val="0"/>
                <w:sz w:val="21"/>
                <w:szCs w:val="21"/>
              </w:rPr>
              <w:t>固体废物管理</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w:t>
            </w:r>
            <w:r>
              <w:rPr>
                <w:rFonts w:ascii="Arial" w:hAnsi="Arial" w:eastAsia="宋体" w:cs="Arial"/>
                <w:sz w:val="21"/>
                <w:szCs w:val="21"/>
              </w:rPr>
              <w:t>.</w:t>
            </w:r>
            <w:r>
              <w:rPr>
                <w:rFonts w:hint="eastAsia" w:ascii="Arial" w:hAnsi="Arial" w:eastAsia="宋体" w:cs="Arial"/>
                <w:sz w:val="21"/>
                <w:szCs w:val="21"/>
              </w:rPr>
              <w:t>2</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w:t>
            </w:r>
            <w:r>
              <w:rPr>
                <w:rFonts w:ascii="Arial" w:hAnsi="Arial" w:eastAsia="宋体" w:cs="Arial"/>
                <w:sz w:val="21"/>
                <w:szCs w:val="21"/>
              </w:rPr>
              <w:t>.</w:t>
            </w:r>
            <w:r>
              <w:rPr>
                <w:rFonts w:hint="eastAsia" w:ascii="Arial" w:hAnsi="Arial" w:eastAsia="宋体" w:cs="Arial"/>
                <w:sz w:val="21"/>
                <w:szCs w:val="21"/>
              </w:rPr>
              <w:t>2</w:t>
            </w:r>
          </w:p>
        </w:tc>
        <w:tc>
          <w:tcPr>
            <w:tcW w:w="980"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X19车间压滤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包装</w:t>
            </w:r>
          </w:p>
        </w:tc>
        <w:tc>
          <w:tcPr>
            <w:tcW w:w="1367"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废包装袋（S1-5）</w:t>
            </w:r>
          </w:p>
        </w:tc>
        <w:tc>
          <w:tcPr>
            <w:tcW w:w="1435"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塑料</w:t>
            </w:r>
          </w:p>
        </w:tc>
        <w:tc>
          <w:tcPr>
            <w:tcW w:w="1967" w:type="dxa"/>
            <w:tcMar>
              <w:left w:w="57" w:type="dxa"/>
              <w:right w:w="57" w:type="dxa"/>
            </w:tcMar>
            <w:vAlign w:val="center"/>
          </w:tcPr>
          <w:p>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一般工业固体废物</w:t>
            </w:r>
          </w:p>
          <w:p>
            <w:pPr>
              <w:spacing w:line="0" w:lineRule="atLeast"/>
              <w:jc w:val="center"/>
              <w:rPr>
                <w:rFonts w:ascii="Arial" w:hAnsi="Arial" w:eastAsia="宋体" w:cs="Arial"/>
                <w:kern w:val="0"/>
                <w:sz w:val="21"/>
                <w:szCs w:val="21"/>
                <w:u w:val="single"/>
              </w:rPr>
            </w:pPr>
            <w:r>
              <w:rPr>
                <w:rFonts w:ascii="Arial" w:hAnsi="Arial" w:eastAsia="宋体" w:cs="Arial"/>
                <w:kern w:val="0"/>
                <w:sz w:val="21"/>
                <w:szCs w:val="21"/>
                <w:u w:val="single"/>
              </w:rPr>
              <w:t>900-003-S17</w:t>
            </w:r>
          </w:p>
        </w:tc>
        <w:tc>
          <w:tcPr>
            <w:tcW w:w="985"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29.57</w:t>
            </w:r>
          </w:p>
        </w:tc>
        <w:tc>
          <w:tcPr>
            <w:tcW w:w="982"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29.57</w:t>
            </w:r>
          </w:p>
        </w:tc>
        <w:tc>
          <w:tcPr>
            <w:tcW w:w="980"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废包装袋生产线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w:t>
            </w:r>
          </w:p>
        </w:tc>
        <w:tc>
          <w:tcPr>
            <w:tcW w:w="1367"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沉降粉尘（S1-6）</w:t>
            </w:r>
          </w:p>
        </w:tc>
        <w:tc>
          <w:tcPr>
            <w:tcW w:w="1435" w:type="dxa"/>
            <w:tcMar>
              <w:left w:w="57" w:type="dxa"/>
              <w:right w:w="57" w:type="dxa"/>
            </w:tcMar>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钴</w:t>
            </w:r>
          </w:p>
        </w:tc>
        <w:tc>
          <w:tcPr>
            <w:tcW w:w="1967" w:type="dxa"/>
            <w:tcMar>
              <w:left w:w="57" w:type="dxa"/>
              <w:right w:w="57" w:type="dxa"/>
            </w:tcMar>
            <w:vAlign w:val="center"/>
          </w:tcPr>
          <w:p>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一般工业固体废物</w:t>
            </w:r>
          </w:p>
          <w:p>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900-002-S17</w:t>
            </w:r>
          </w:p>
        </w:tc>
        <w:tc>
          <w:tcPr>
            <w:tcW w:w="985"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0.12</w:t>
            </w:r>
          </w:p>
        </w:tc>
        <w:tc>
          <w:tcPr>
            <w:tcW w:w="982"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0.12</w:t>
            </w:r>
          </w:p>
        </w:tc>
        <w:tc>
          <w:tcPr>
            <w:tcW w:w="980"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X19车间回用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设备维修</w:t>
            </w:r>
          </w:p>
        </w:tc>
        <w:tc>
          <w:tcPr>
            <w:tcW w:w="1367" w:type="dxa"/>
            <w:tcMar>
              <w:left w:w="57" w:type="dxa"/>
              <w:right w:w="57" w:type="dxa"/>
            </w:tcMar>
            <w:vAlign w:val="center"/>
          </w:tcPr>
          <w:p>
            <w:pPr>
              <w:pStyle w:val="5"/>
              <w:adjustRightInd w:val="0"/>
              <w:snapToGrid w:val="0"/>
              <w:spacing w:line="240" w:lineRule="auto"/>
              <w:ind w:firstLine="0"/>
              <w:jc w:val="center"/>
              <w:rPr>
                <w:sz w:val="21"/>
                <w:szCs w:val="21"/>
              </w:rPr>
            </w:pPr>
            <w:r>
              <w:rPr>
                <w:sz w:val="21"/>
                <w:szCs w:val="21"/>
              </w:rPr>
              <w:t>废润滑油（S</w:t>
            </w:r>
            <w:r>
              <w:rPr>
                <w:rFonts w:hint="eastAsia"/>
                <w:sz w:val="21"/>
                <w:szCs w:val="21"/>
              </w:rPr>
              <w:t>2</w:t>
            </w:r>
            <w:r>
              <w:rPr>
                <w:sz w:val="21"/>
                <w:szCs w:val="21"/>
              </w:rPr>
              <w:t>-1）</w:t>
            </w:r>
          </w:p>
        </w:tc>
        <w:tc>
          <w:tcPr>
            <w:tcW w:w="1435" w:type="dxa"/>
            <w:tcMar>
              <w:left w:w="57" w:type="dxa"/>
              <w:right w:w="57" w:type="dxa"/>
            </w:tcMar>
            <w:vAlign w:val="center"/>
          </w:tcPr>
          <w:p>
            <w:pPr>
              <w:pStyle w:val="5"/>
              <w:adjustRightInd w:val="0"/>
              <w:snapToGrid w:val="0"/>
              <w:spacing w:line="240" w:lineRule="auto"/>
              <w:ind w:firstLine="0"/>
              <w:jc w:val="center"/>
              <w:rPr>
                <w:sz w:val="21"/>
                <w:szCs w:val="21"/>
              </w:rPr>
            </w:pPr>
            <w:r>
              <w:rPr>
                <w:sz w:val="21"/>
                <w:szCs w:val="21"/>
              </w:rPr>
              <w:t>废润滑油</w:t>
            </w:r>
          </w:p>
        </w:tc>
        <w:tc>
          <w:tcPr>
            <w:tcW w:w="1967" w:type="dxa"/>
            <w:tcMar>
              <w:left w:w="57" w:type="dxa"/>
              <w:right w:w="57" w:type="dxa"/>
            </w:tcMar>
            <w:vAlign w:val="center"/>
          </w:tcPr>
          <w:p>
            <w:pPr>
              <w:spacing w:line="0" w:lineRule="atLeast"/>
              <w:jc w:val="center"/>
              <w:rPr>
                <w:rFonts w:ascii="Arial" w:hAnsi="Arial" w:eastAsia="宋体" w:cs="Arial"/>
                <w:kern w:val="0"/>
                <w:sz w:val="21"/>
                <w:szCs w:val="21"/>
              </w:rPr>
            </w:pPr>
            <w:r>
              <w:rPr>
                <w:rFonts w:ascii="Arial" w:hAnsi="Arial" w:eastAsia="宋体" w:cs="Arial"/>
                <w:kern w:val="0"/>
                <w:sz w:val="21"/>
                <w:szCs w:val="21"/>
              </w:rPr>
              <w:t>危险废物900-214-08</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0.5</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0.5</w:t>
            </w:r>
          </w:p>
        </w:tc>
        <w:tc>
          <w:tcPr>
            <w:tcW w:w="980"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委托处理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57" w:type="dxa"/>
          </w:tblCellMar>
        </w:tblPrEx>
        <w:trPr>
          <w:cantSplit/>
          <w:trHeight w:val="347" w:hRule="atLeast"/>
          <w:tblHeader/>
          <w:jc w:val="center"/>
        </w:trPr>
        <w:tc>
          <w:tcPr>
            <w:tcW w:w="1175" w:type="dxa"/>
            <w:tcMar>
              <w:left w:w="57" w:type="dxa"/>
              <w:right w:w="57" w:type="dxa"/>
            </w:tcMar>
            <w:vAlign w:val="center"/>
          </w:tcPr>
          <w:p>
            <w:pPr>
              <w:spacing w:line="0" w:lineRule="atLeast"/>
              <w:jc w:val="center"/>
              <w:rPr>
                <w:rFonts w:ascii="Arial" w:hAnsi="Arial" w:eastAsia="宋体" w:cs="Arial"/>
                <w:sz w:val="21"/>
                <w:szCs w:val="21"/>
              </w:rPr>
            </w:pPr>
            <w:r>
              <w:rPr>
                <w:rFonts w:ascii="Arial" w:hAnsi="Arial" w:eastAsia="宋体" w:cs="Arial"/>
                <w:sz w:val="21"/>
                <w:szCs w:val="21"/>
              </w:rPr>
              <w:t>员工</w:t>
            </w:r>
          </w:p>
        </w:tc>
        <w:tc>
          <w:tcPr>
            <w:tcW w:w="1367" w:type="dxa"/>
            <w:tcMar>
              <w:left w:w="57" w:type="dxa"/>
              <w:right w:w="57" w:type="dxa"/>
            </w:tcMar>
            <w:vAlign w:val="center"/>
          </w:tcPr>
          <w:p>
            <w:pPr>
              <w:pStyle w:val="5"/>
              <w:adjustRightInd w:val="0"/>
              <w:snapToGrid w:val="0"/>
              <w:spacing w:line="240" w:lineRule="auto"/>
              <w:ind w:firstLine="0"/>
              <w:jc w:val="center"/>
              <w:rPr>
                <w:sz w:val="21"/>
                <w:szCs w:val="21"/>
              </w:rPr>
            </w:pPr>
            <w:r>
              <w:rPr>
                <w:sz w:val="21"/>
                <w:szCs w:val="21"/>
              </w:rPr>
              <w:t>生活垃圾（S</w:t>
            </w:r>
            <w:r>
              <w:rPr>
                <w:rFonts w:hint="eastAsia"/>
                <w:sz w:val="21"/>
                <w:szCs w:val="21"/>
              </w:rPr>
              <w:t>2</w:t>
            </w:r>
            <w:r>
              <w:rPr>
                <w:sz w:val="21"/>
                <w:szCs w:val="21"/>
              </w:rPr>
              <w:t>-2）</w:t>
            </w:r>
          </w:p>
        </w:tc>
        <w:tc>
          <w:tcPr>
            <w:tcW w:w="1435" w:type="dxa"/>
            <w:tcMar>
              <w:left w:w="57" w:type="dxa"/>
              <w:right w:w="57" w:type="dxa"/>
            </w:tcMar>
            <w:vAlign w:val="center"/>
          </w:tcPr>
          <w:p>
            <w:pPr>
              <w:pStyle w:val="5"/>
              <w:adjustRightInd w:val="0"/>
              <w:snapToGrid w:val="0"/>
              <w:spacing w:line="240" w:lineRule="auto"/>
              <w:ind w:firstLine="0"/>
              <w:jc w:val="center"/>
              <w:rPr>
                <w:sz w:val="21"/>
                <w:szCs w:val="21"/>
              </w:rPr>
            </w:pPr>
            <w:r>
              <w:rPr>
                <w:sz w:val="21"/>
                <w:szCs w:val="21"/>
              </w:rPr>
              <w:t>生活垃圾</w:t>
            </w:r>
          </w:p>
        </w:tc>
        <w:tc>
          <w:tcPr>
            <w:tcW w:w="1967" w:type="dxa"/>
            <w:tcMar>
              <w:left w:w="57" w:type="dxa"/>
              <w:right w:w="57" w:type="dxa"/>
            </w:tcMar>
            <w:vAlign w:val="center"/>
          </w:tcPr>
          <w:p>
            <w:pPr>
              <w:spacing w:line="0" w:lineRule="atLeast"/>
              <w:jc w:val="center"/>
              <w:rPr>
                <w:rFonts w:ascii="Arial" w:hAnsi="Arial" w:eastAsia="宋体" w:cs="Arial"/>
                <w:kern w:val="0"/>
                <w:sz w:val="21"/>
                <w:szCs w:val="21"/>
              </w:rPr>
            </w:pPr>
            <w:r>
              <w:rPr>
                <w:rFonts w:ascii="Arial" w:hAnsi="Arial" w:eastAsia="宋体" w:cs="Arial"/>
                <w:kern w:val="0"/>
                <w:sz w:val="21"/>
                <w:szCs w:val="21"/>
              </w:rPr>
              <w:t>生活垃圾</w:t>
            </w:r>
          </w:p>
        </w:tc>
        <w:tc>
          <w:tcPr>
            <w:tcW w:w="985"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10</w:t>
            </w:r>
          </w:p>
        </w:tc>
        <w:tc>
          <w:tcPr>
            <w:tcW w:w="98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10</w:t>
            </w:r>
          </w:p>
        </w:tc>
        <w:tc>
          <w:tcPr>
            <w:tcW w:w="980"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委托处理</w:t>
            </w:r>
          </w:p>
        </w:tc>
      </w:tr>
    </w:tbl>
    <w:p>
      <w:pPr>
        <w:pStyle w:val="5"/>
        <w:numPr>
          <w:ilvl w:val="1"/>
          <w:numId w:val="27"/>
        </w:numPr>
        <w:spacing w:line="500" w:lineRule="exact"/>
        <w:ind w:left="0" w:firstLine="0"/>
        <w:outlineLvl w:val="3"/>
        <w:rPr>
          <w:b/>
        </w:rPr>
      </w:pPr>
      <w:r>
        <w:rPr>
          <w:rFonts w:hint="eastAsia"/>
          <w:b/>
        </w:rPr>
        <w:t>一般</w:t>
      </w:r>
      <w:r>
        <w:rPr>
          <w:b/>
        </w:rPr>
        <w:t>工业固体废物</w:t>
      </w:r>
    </w:p>
    <w:p>
      <w:pPr>
        <w:pStyle w:val="5"/>
        <w:spacing w:line="500" w:lineRule="exact"/>
        <w:ind w:firstLine="490" w:firstLineChars="200"/>
      </w:pPr>
      <w:r>
        <w:rPr>
          <w:szCs w:val="24"/>
          <w:u w:val="single"/>
        </w:rPr>
        <w:t>本项目产生的</w:t>
      </w:r>
      <w:r>
        <w:rPr>
          <w:rFonts w:hint="eastAsia"/>
          <w:szCs w:val="24"/>
          <w:u w:val="single"/>
        </w:rPr>
        <w:t>一般工业固体废物主要为</w:t>
      </w:r>
      <w:r>
        <w:rPr>
          <w:rFonts w:hint="eastAsia"/>
          <w:u w:val="single"/>
        </w:rPr>
        <w:t>精密过滤器通过设备上的微孔过滤膜、废包装袋和沉降粉尘。微孔过滤膜（废物代码</w:t>
      </w:r>
      <w:r>
        <w:rPr>
          <w:u w:val="single"/>
        </w:rPr>
        <w:t>900-009-S59</w:t>
      </w:r>
      <w:r>
        <w:rPr>
          <w:rFonts w:hint="eastAsia"/>
          <w:u w:val="single"/>
        </w:rPr>
        <w:t>）约每年更换一次，产生量约为0.05t/a，委托一般工业固体废物单位</w:t>
      </w:r>
      <w:r>
        <w:rPr>
          <w:bCs/>
          <w:u w:val="single"/>
        </w:rPr>
        <w:t>综合处理</w:t>
      </w:r>
      <w:r>
        <w:rPr>
          <w:rFonts w:hint="eastAsia"/>
          <w:bCs/>
          <w:u w:val="single"/>
        </w:rPr>
        <w:t>；</w:t>
      </w:r>
      <w:r>
        <w:rPr>
          <w:bCs/>
          <w:u w:val="single"/>
        </w:rPr>
        <w:t>废包装袋（</w:t>
      </w:r>
      <w:r>
        <w:rPr>
          <w:rFonts w:hint="eastAsia"/>
          <w:u w:val="single"/>
        </w:rPr>
        <w:t>废物代码</w:t>
      </w:r>
      <w:r>
        <w:rPr>
          <w:u w:val="single"/>
        </w:rPr>
        <w:t>900-003-S17</w:t>
      </w:r>
      <w:r>
        <w:rPr>
          <w:bCs/>
          <w:u w:val="single"/>
        </w:rPr>
        <w:t>）产生量为</w:t>
      </w:r>
      <w:r>
        <w:rPr>
          <w:rFonts w:hint="eastAsia"/>
          <w:bCs/>
          <w:u w:val="single"/>
        </w:rPr>
        <w:t>29.57t/a（约147843个/a），</w:t>
      </w:r>
      <w:r>
        <w:rPr>
          <w:rFonts w:hint="eastAsia"/>
          <w:u w:val="single"/>
        </w:rPr>
        <w:t>经收集后定期送入位于地块三废包装袋生产线回用；车间沉降粉尘（废物代码</w:t>
      </w:r>
      <w:r>
        <w:rPr>
          <w:u w:val="single"/>
        </w:rPr>
        <w:t>900-002-S17</w:t>
      </w:r>
      <w:r>
        <w:rPr>
          <w:rFonts w:hint="eastAsia"/>
          <w:u w:val="single"/>
        </w:rPr>
        <w:t>）产生量为0.12t/a，经车间吸尘器收集后定期送入溶解车间回用。</w:t>
      </w:r>
    </w:p>
    <w:p>
      <w:pPr>
        <w:pStyle w:val="5"/>
        <w:numPr>
          <w:ilvl w:val="1"/>
          <w:numId w:val="27"/>
        </w:numPr>
        <w:spacing w:line="500" w:lineRule="exact"/>
        <w:ind w:left="0" w:firstLine="0"/>
        <w:outlineLvl w:val="3"/>
        <w:rPr>
          <w:b/>
        </w:rPr>
      </w:pPr>
      <w:r>
        <w:rPr>
          <w:b/>
        </w:rPr>
        <w:t>危险废物</w:t>
      </w:r>
    </w:p>
    <w:p>
      <w:pPr>
        <w:pStyle w:val="5"/>
        <w:spacing w:line="500" w:lineRule="exact"/>
        <w:ind w:firstLine="490" w:firstLineChars="200"/>
      </w:pPr>
      <w:r>
        <w:t>1、产生情况</w:t>
      </w:r>
    </w:p>
    <w:p>
      <w:pPr>
        <w:pStyle w:val="5"/>
        <w:spacing w:line="500" w:lineRule="exact"/>
        <w:ind w:firstLine="490" w:firstLineChars="200"/>
      </w:pPr>
      <w:r>
        <w:t>本项目产生的危废主要为废润滑油，废润滑油为机械设备维修、保养过程中产生，产生量为</w:t>
      </w:r>
      <w:r>
        <w:rPr>
          <w:rFonts w:hint="eastAsia"/>
        </w:rPr>
        <w:t>0.5</w:t>
      </w:r>
      <w:r>
        <w:t>t/a。</w:t>
      </w:r>
    </w:p>
    <w:p>
      <w:pPr>
        <w:pStyle w:val="5"/>
        <w:spacing w:line="500" w:lineRule="exact"/>
        <w:ind w:firstLine="490" w:firstLineChars="200"/>
      </w:pPr>
      <w:r>
        <w:t>2、收集方式</w:t>
      </w:r>
    </w:p>
    <w:p>
      <w:pPr>
        <w:pStyle w:val="5"/>
        <w:spacing w:line="500" w:lineRule="exact"/>
        <w:ind w:firstLine="490" w:firstLineChars="200"/>
      </w:pPr>
      <w:r>
        <w:t>废润滑油采用密闭油桶收集，暂存危废暂存间临时储存。</w:t>
      </w:r>
    </w:p>
    <w:p>
      <w:pPr>
        <w:pStyle w:val="5"/>
        <w:spacing w:line="500" w:lineRule="exact"/>
        <w:ind w:firstLine="490" w:firstLineChars="200"/>
      </w:pPr>
      <w:r>
        <w:t>3、危险废物临时贮存场所</w:t>
      </w:r>
    </w:p>
    <w:p>
      <w:pPr>
        <w:pStyle w:val="5"/>
        <w:spacing w:line="500" w:lineRule="exact"/>
        <w:ind w:firstLine="490" w:firstLineChars="200"/>
      </w:pPr>
      <w:r>
        <w:t>废润滑油密闭收集后，暂存于现有工程危废暂存间，危废暂存间为位于地块二西侧，面积约为800m</w:t>
      </w:r>
      <w:r>
        <w:rPr>
          <w:vertAlign w:val="superscript"/>
        </w:rPr>
        <w:t>2</w:t>
      </w:r>
      <w:r>
        <w:t>，设计危废最大储存量约为1000t；其中废润滑油储存能力</w:t>
      </w:r>
      <w:r>
        <w:rPr>
          <w:rFonts w:hint="eastAsia"/>
        </w:rPr>
        <w:t>120t，</w:t>
      </w:r>
      <w:r>
        <w:t>余量可满足拟建项目危废暂存。危废间现已建成，已按照《危险废物贮存污染控制标准》(GB18597-2023)要求对</w:t>
      </w:r>
      <w:bookmarkStart w:id="332" w:name="_Hlk52305161"/>
      <w:r>
        <w:t>暂存间</w:t>
      </w:r>
      <w:bookmarkEnd w:id="332"/>
      <w:r>
        <w:t>内的危废暂存间进行防风、防雨、防晒、防渗漏处理。</w:t>
      </w:r>
    </w:p>
    <w:p>
      <w:pPr>
        <w:pStyle w:val="5"/>
        <w:spacing w:line="500" w:lineRule="exact"/>
        <w:ind w:firstLine="490" w:firstLineChars="200"/>
      </w:pPr>
      <w:r>
        <w:rPr>
          <w:rFonts w:hint="eastAsia"/>
        </w:rPr>
        <w:t>本项目产生废润滑油为0.5t/a，平均每半年产生一次，即每次产生量为0.25t；</w:t>
      </w:r>
      <w:r>
        <w:t>危废暂存间废润滑油剩余储存能力约</w:t>
      </w:r>
      <w:r>
        <w:rPr>
          <w:rFonts w:hint="eastAsia"/>
        </w:rPr>
        <w:t>120t，余量可满足本项目危险废物的存放。</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项目危险废物贮存场所（设施）基本情况表</w:t>
      </w:r>
    </w:p>
    <w:tbl>
      <w:tblPr>
        <w:tblStyle w:val="88"/>
        <w:tblW w:w="899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1459"/>
        <w:gridCol w:w="908"/>
        <w:gridCol w:w="1279"/>
        <w:gridCol w:w="1133"/>
        <w:gridCol w:w="851"/>
        <w:gridCol w:w="710"/>
        <w:gridCol w:w="710"/>
        <w:gridCol w:w="8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2"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贮存场所</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名称</w:t>
            </w:r>
          </w:p>
        </w:tc>
        <w:tc>
          <w:tcPr>
            <w:tcW w:w="145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危险废物名称</w:t>
            </w:r>
          </w:p>
        </w:tc>
        <w:tc>
          <w:tcPr>
            <w:tcW w:w="908"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危险废物类别</w:t>
            </w:r>
          </w:p>
        </w:tc>
        <w:tc>
          <w:tcPr>
            <w:tcW w:w="127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代码</w:t>
            </w:r>
          </w:p>
        </w:tc>
        <w:tc>
          <w:tcPr>
            <w:tcW w:w="113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位置</w:t>
            </w:r>
          </w:p>
        </w:tc>
        <w:tc>
          <w:tcPr>
            <w:tcW w:w="85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占地面积</w:t>
            </w:r>
          </w:p>
        </w:tc>
        <w:tc>
          <w:tcPr>
            <w:tcW w:w="710"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贮存方式</w:t>
            </w:r>
          </w:p>
        </w:tc>
        <w:tc>
          <w:tcPr>
            <w:tcW w:w="710"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能力</w:t>
            </w:r>
          </w:p>
        </w:tc>
        <w:tc>
          <w:tcPr>
            <w:tcW w:w="80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w:t>
            </w:r>
          </w:p>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2"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sz w:val="21"/>
                <w:szCs w:val="21"/>
              </w:rPr>
              <w:t>危险废物暂存间</w:t>
            </w:r>
          </w:p>
        </w:tc>
        <w:tc>
          <w:tcPr>
            <w:tcW w:w="145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废润滑油</w:t>
            </w:r>
          </w:p>
        </w:tc>
        <w:tc>
          <w:tcPr>
            <w:tcW w:w="908"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HW08</w:t>
            </w:r>
          </w:p>
        </w:tc>
        <w:tc>
          <w:tcPr>
            <w:tcW w:w="1279"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900-214-08</w:t>
            </w:r>
          </w:p>
        </w:tc>
        <w:tc>
          <w:tcPr>
            <w:tcW w:w="1133"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地块二西侧</w:t>
            </w:r>
          </w:p>
        </w:tc>
        <w:tc>
          <w:tcPr>
            <w:tcW w:w="85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800m</w:t>
            </w:r>
            <w:r>
              <w:rPr>
                <w:rFonts w:ascii="Arial" w:hAnsi="Arial" w:eastAsia="宋体" w:cs="Arial"/>
                <w:kern w:val="0"/>
                <w:sz w:val="21"/>
                <w:szCs w:val="21"/>
                <w:vertAlign w:val="superscript"/>
              </w:rPr>
              <w:t>2</w:t>
            </w:r>
          </w:p>
        </w:tc>
        <w:tc>
          <w:tcPr>
            <w:tcW w:w="710"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桶装</w:t>
            </w:r>
          </w:p>
        </w:tc>
        <w:tc>
          <w:tcPr>
            <w:tcW w:w="710"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w:t>
            </w:r>
            <w:r>
              <w:rPr>
                <w:rFonts w:hint="eastAsia" w:ascii="Arial" w:hAnsi="Arial" w:eastAsia="宋体" w:cs="Arial"/>
                <w:kern w:val="0"/>
                <w:sz w:val="21"/>
                <w:szCs w:val="21"/>
              </w:rPr>
              <w:t>2</w:t>
            </w:r>
            <w:r>
              <w:rPr>
                <w:rFonts w:ascii="Arial" w:hAnsi="Arial" w:eastAsia="宋体" w:cs="Arial"/>
                <w:kern w:val="0"/>
                <w:sz w:val="21"/>
                <w:szCs w:val="21"/>
              </w:rPr>
              <w:t>0t</w:t>
            </w:r>
          </w:p>
        </w:tc>
        <w:tc>
          <w:tcPr>
            <w:tcW w:w="801" w:type="dxa"/>
            <w:vAlign w:val="center"/>
          </w:tcPr>
          <w:p>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3个月</w:t>
            </w:r>
          </w:p>
        </w:tc>
      </w:tr>
    </w:tbl>
    <w:p>
      <w:pPr>
        <w:pStyle w:val="5"/>
        <w:spacing w:line="500" w:lineRule="exact"/>
        <w:ind w:firstLine="490" w:firstLineChars="200"/>
      </w:pPr>
      <w:r>
        <w:t>4、运输</w:t>
      </w:r>
    </w:p>
    <w:p>
      <w:pPr>
        <w:pStyle w:val="5"/>
        <w:spacing w:line="500" w:lineRule="exact"/>
      </w:pPr>
      <w:r>
        <w:t>项目产生的危险废物委托有相关资质的单位收集处置，运输过程由受委托单位负责。危险废物运输应由具有从事危险废物运输经营许可</w:t>
      </w:r>
      <w:r>
        <w:rPr>
          <w:rFonts w:hint="eastAsia"/>
        </w:rPr>
        <w:t>证</w:t>
      </w:r>
      <w:r>
        <w:t>的运输单位完成，运输应满足《危险废物收集 贮存 运输技术规范》（HJ 2025-2012）。</w:t>
      </w:r>
    </w:p>
    <w:p>
      <w:pPr>
        <w:pStyle w:val="5"/>
        <w:spacing w:line="500" w:lineRule="exact"/>
      </w:pPr>
      <w:r>
        <w:rPr>
          <w:rFonts w:hint="eastAsia" w:ascii="宋体" w:hAnsi="宋体" w:cs="宋体"/>
        </w:rPr>
        <w:t>⑴</w:t>
      </w:r>
      <w:r>
        <w:t>运输危险废物的车辆必须严格交通、消防、治安等法规并控制车速，保持与前车的距离，严禁违章超车，确保行车安全；装载危废的车辆不得在居民集聚区、行人稠密地段、风景游览区停车；</w:t>
      </w:r>
    </w:p>
    <w:p>
      <w:pPr>
        <w:pStyle w:val="5"/>
        <w:spacing w:line="500" w:lineRule="exact"/>
      </w:pPr>
      <w:r>
        <w:rPr>
          <w:rFonts w:hint="eastAsia" w:ascii="宋体" w:hAnsi="宋体" w:cs="宋体"/>
        </w:rPr>
        <w:t>⑵</w:t>
      </w:r>
      <w:r>
        <w:t>运输危险废物必须配备随车人员在途中经常检查，不得搭乘无关人员，车上人员严禁吸烟；</w:t>
      </w:r>
    </w:p>
    <w:p>
      <w:pPr>
        <w:pStyle w:val="5"/>
        <w:spacing w:line="500" w:lineRule="exact"/>
      </w:pPr>
      <w:r>
        <w:rPr>
          <w:rFonts w:hint="eastAsia" w:ascii="宋体" w:hAnsi="宋体" w:cs="宋体"/>
        </w:rPr>
        <w:t>⑶</w:t>
      </w:r>
      <w:r>
        <w:t>根据车上废物性质，采取遮阳、控温、防火、防爆、防震、防水、防冻等措施；</w:t>
      </w:r>
    </w:p>
    <w:p>
      <w:pPr>
        <w:pStyle w:val="5"/>
        <w:spacing w:line="500" w:lineRule="exact"/>
      </w:pPr>
      <w:r>
        <w:rPr>
          <w:rFonts w:hint="eastAsia" w:ascii="宋体" w:hAnsi="宋体" w:cs="宋体"/>
        </w:rPr>
        <w:t>⑷</w:t>
      </w:r>
      <w:r>
        <w:t>危险废物随车人员不得擅自改变作业计划，严禁擅自拼装、超载。危险废物运输应优先安排；</w:t>
      </w:r>
    </w:p>
    <w:p>
      <w:pPr>
        <w:pStyle w:val="5"/>
        <w:spacing w:line="500" w:lineRule="exact"/>
        <w:ind w:firstLine="490" w:firstLineChars="200"/>
      </w:pPr>
      <w:r>
        <w:rPr>
          <w:rFonts w:hint="eastAsia" w:ascii="宋体" w:hAnsi="宋体" w:cs="宋体"/>
        </w:rPr>
        <w:t>⑸</w:t>
      </w:r>
      <w:r>
        <w:t>危险废物装卸作业必须严格遵守操作规程，轻装、轻卸，严禁摔碰、撞击、重压、倒置。</w:t>
      </w:r>
    </w:p>
    <w:p>
      <w:pPr>
        <w:pStyle w:val="5"/>
        <w:spacing w:line="500" w:lineRule="exact"/>
        <w:ind w:firstLine="490" w:firstLineChars="200"/>
      </w:pPr>
      <w:r>
        <w:t>5、处置方式</w:t>
      </w:r>
    </w:p>
    <w:p>
      <w:pPr>
        <w:pStyle w:val="5"/>
        <w:spacing w:line="500" w:lineRule="exact"/>
      </w:pPr>
      <w:r>
        <w:t>废润滑油（危废代码900-214-08）拟暂存现有工程危废暂存间内，定期委托具有相应资质单位上门回收处置。</w:t>
      </w:r>
    </w:p>
    <w:p>
      <w:pPr>
        <w:pStyle w:val="5"/>
        <w:spacing w:line="500" w:lineRule="exact"/>
        <w:ind w:firstLine="490" w:firstLineChars="200"/>
      </w:pPr>
      <w:r>
        <w:t>6、管理要求</w:t>
      </w:r>
    </w:p>
    <w:p>
      <w:pPr>
        <w:pStyle w:val="5"/>
        <w:spacing w:line="500" w:lineRule="exact"/>
        <w:ind w:firstLine="490" w:firstLineChars="200"/>
      </w:pPr>
      <w:r>
        <w:t>根据《排污许可证申请与核发技术规范 工业固体废物（试行）》（HJ1200-2021），企业应建立环境管理台账制度，按照《危险废物产生单位管理计划制定指南》制定危险废物环境管理台账。</w:t>
      </w:r>
    </w:p>
    <w:p>
      <w:pPr>
        <w:pStyle w:val="5"/>
        <w:spacing w:line="500" w:lineRule="exact"/>
        <w:ind w:firstLine="490" w:firstLineChars="200"/>
      </w:pPr>
      <w:r>
        <w:t>根据危险废物的产生工序记录、危险废物特性和危险废物产生情况，如实填写危险废物产生工序记录表、危险废物特性表、危险废物产生情况一览表（详见指南附表1.1~1.3）。</w:t>
      </w:r>
    </w:p>
    <w:p>
      <w:pPr>
        <w:pStyle w:val="5"/>
        <w:spacing w:line="500" w:lineRule="exact"/>
        <w:ind w:firstLine="490" w:firstLineChars="200"/>
      </w:pPr>
      <w:r>
        <w:t>根据危险废物产生、贮存、利用处置等环节的动态流向，如实填写危险废物产生环节记录表、贮存环节记录表、产生单位自行利用处置环节记录表（详见指南附表2.1~2.3）。</w:t>
      </w:r>
    </w:p>
    <w:p>
      <w:pPr>
        <w:pStyle w:val="5"/>
        <w:spacing w:line="500" w:lineRule="exact"/>
        <w:ind w:firstLine="490" w:firstLineChars="200"/>
      </w:pPr>
      <w:r>
        <w:t>定期（如按月、季或年）汇总危险废物台账记录表和转移联单，总结危险废物产生量、自行利用处置情况、委托外单位利用处置情况、临时贮存量等内容，形成内部报表。相应的产生工序调查表及工序图、危险废物特性表、危险废物产生情况一览表、委托利用处置合同、台账记录表和转移联单等相关材料要随报表封装。</w:t>
      </w:r>
    </w:p>
    <w:p>
      <w:pPr>
        <w:pStyle w:val="5"/>
        <w:spacing w:line="500" w:lineRule="exact"/>
        <w:ind w:firstLine="490" w:firstLineChars="200"/>
      </w:pPr>
      <w:r>
        <w:t>危险废物台账应分类装订成册，由专人管理，防止遗失。有条件的单位应采用信息软件辅助记录和管理危险废物台账。危险废物台账保存期限至少为5年。</w:t>
      </w:r>
    </w:p>
    <w:p>
      <w:pPr>
        <w:pStyle w:val="5"/>
        <w:spacing w:line="500" w:lineRule="exact"/>
        <w:ind w:firstLine="490" w:firstLineChars="200"/>
      </w:pPr>
      <w:r>
        <w:t>7、结论</w:t>
      </w:r>
    </w:p>
    <w:p>
      <w:pPr>
        <w:pStyle w:val="5"/>
        <w:spacing w:line="500" w:lineRule="exact"/>
        <w:ind w:firstLine="490" w:firstLineChars="200"/>
      </w:pPr>
      <w:r>
        <w:t>危废暂存间位于地块二西侧，选址远离居民敏感点，位于所在区域敏感点的下风向，采用密闭容器储存减少危废挥发气体产生的影响，满足《危险废物贮存污染控制标准》（GB18597-2023）要求。同时危废暂存间配备活性炭吸附装置，正常贮存情况下，对周边环境空气、地表水、地下水、土壤以及周边环境敏感点影响不大。</w:t>
      </w:r>
    </w:p>
    <w:p>
      <w:pPr>
        <w:pStyle w:val="5"/>
        <w:numPr>
          <w:ilvl w:val="1"/>
          <w:numId w:val="27"/>
        </w:numPr>
        <w:spacing w:line="500" w:lineRule="exact"/>
        <w:ind w:left="0" w:firstLine="0"/>
        <w:outlineLvl w:val="3"/>
        <w:rPr>
          <w:b/>
        </w:rPr>
      </w:pPr>
      <w:r>
        <w:rPr>
          <w:b/>
        </w:rPr>
        <w:t>生活垃圾</w:t>
      </w:r>
    </w:p>
    <w:p>
      <w:pPr>
        <w:pStyle w:val="5"/>
        <w:spacing w:line="500" w:lineRule="exact"/>
        <w:ind w:firstLine="490" w:firstLineChars="200"/>
      </w:pPr>
      <w:r>
        <w:t>生活垃圾收集后由环卫部门清运处理，不置于外界环境中，不会对周边环境造成不利影响。</w:t>
      </w:r>
    </w:p>
    <w:p>
      <w:pPr>
        <w:pStyle w:val="475"/>
        <w:spacing w:line="500" w:lineRule="exact"/>
        <w:ind w:firstLine="489"/>
        <w:rPr>
          <w:rFonts w:ascii="Arial" w:hAnsi="Arial" w:cs="Arial"/>
          <w:spacing w:val="10"/>
        </w:rPr>
      </w:pPr>
      <w:r>
        <w:rPr>
          <w:rFonts w:ascii="Arial" w:hAnsi="Arial" w:cs="Arial"/>
          <w:spacing w:val="10"/>
        </w:rPr>
        <w:t>综上所述，项目固体废物处置符合国家技术政策及相关的环保要求，最终均可得到合理有效处置，不会对周边环境造成二次污染。</w:t>
      </w:r>
    </w:p>
    <w:p>
      <w:pPr>
        <w:pStyle w:val="6"/>
        <w:numPr>
          <w:ilvl w:val="0"/>
          <w:numId w:val="20"/>
        </w:numPr>
        <w:tabs>
          <w:tab w:val="clear" w:pos="1789"/>
        </w:tabs>
        <w:spacing w:line="400" w:lineRule="exact"/>
        <w:rPr>
          <w:rFonts w:ascii="Arial" w:hAnsi="Arial" w:eastAsia="宋体" w:cs="Arial"/>
        </w:rPr>
      </w:pPr>
      <w:bookmarkStart w:id="333" w:name="_Toc88674778"/>
      <w:bookmarkStart w:id="334" w:name="_Toc57715624"/>
      <w:bookmarkStart w:id="335" w:name="_Toc87124263"/>
      <w:bookmarkStart w:id="336" w:name="_Toc67921877"/>
      <w:bookmarkStart w:id="337" w:name="_Toc58596464"/>
      <w:bookmarkStart w:id="338" w:name="_Toc104677309"/>
      <w:r>
        <w:rPr>
          <w:rFonts w:ascii="Arial" w:hAnsi="Arial" w:eastAsia="宋体" w:cs="Arial"/>
        </w:rPr>
        <w:t>运营期土壤影响分析</w:t>
      </w:r>
      <w:bookmarkEnd w:id="333"/>
      <w:bookmarkEnd w:id="334"/>
      <w:bookmarkEnd w:id="335"/>
      <w:bookmarkEnd w:id="336"/>
      <w:bookmarkEnd w:id="337"/>
      <w:bookmarkEnd w:id="338"/>
    </w:p>
    <w:p>
      <w:pPr>
        <w:pStyle w:val="5"/>
        <w:numPr>
          <w:ilvl w:val="0"/>
          <w:numId w:val="28"/>
        </w:numPr>
        <w:ind w:left="0" w:firstLine="0"/>
        <w:outlineLvl w:val="3"/>
        <w:rPr>
          <w:b/>
        </w:rPr>
      </w:pPr>
      <w:r>
        <w:rPr>
          <w:b/>
        </w:rPr>
        <w:t>土壤环境影响类型与影响途经识别</w:t>
      </w:r>
    </w:p>
    <w:p>
      <w:pPr>
        <w:pStyle w:val="475"/>
        <w:spacing w:line="500" w:lineRule="exact"/>
        <w:ind w:firstLine="489"/>
        <w:rPr>
          <w:rFonts w:ascii="Arial" w:hAnsi="Arial" w:cs="Arial"/>
          <w:spacing w:val="10"/>
        </w:rPr>
      </w:pPr>
      <w:r>
        <w:rPr>
          <w:rFonts w:ascii="Arial" w:hAnsi="Arial" w:cs="Arial"/>
          <w:spacing w:val="10"/>
        </w:rPr>
        <w:t>土壤环境影响类型与影响途经识别见表4-</w:t>
      </w:r>
      <w:r>
        <w:rPr>
          <w:rFonts w:hint="eastAsia" w:ascii="Arial" w:hAnsi="Arial" w:cs="Arial"/>
          <w:spacing w:val="10"/>
        </w:rPr>
        <w:t>33</w:t>
      </w:r>
      <w:r>
        <w:rPr>
          <w:rFonts w:ascii="Arial" w:hAnsi="Arial" w:cs="Arial"/>
          <w:spacing w:val="10"/>
        </w:rPr>
        <w:t>。</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土壤环境影响类型与影响途经表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1799"/>
        <w:gridCol w:w="1798"/>
        <w:gridCol w:w="1798"/>
        <w:gridCol w:w="1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99" w:type="dxa"/>
            <w:vMerge w:val="restart"/>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不同时段</w:t>
            </w:r>
          </w:p>
        </w:tc>
        <w:tc>
          <w:tcPr>
            <w:tcW w:w="7194" w:type="dxa"/>
            <w:gridSpan w:val="4"/>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99" w:type="dxa"/>
            <w:vMerge w:val="continue"/>
            <w:shd w:val="clear" w:color="auto" w:fill="auto"/>
            <w:vAlign w:val="center"/>
          </w:tcPr>
          <w:p>
            <w:pPr>
              <w:adjustRightInd w:val="0"/>
              <w:snapToGrid w:val="0"/>
              <w:jc w:val="center"/>
              <w:rPr>
                <w:rFonts w:ascii="Arial" w:hAnsi="Arial" w:eastAsia="宋体" w:cs="Arial"/>
                <w:sz w:val="21"/>
                <w:szCs w:val="24"/>
              </w:rPr>
            </w:pP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大气沉降</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地面漫流</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垂直下渗</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建设期</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运营期</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服务期满后</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w:t>
            </w:r>
          </w:p>
        </w:tc>
      </w:tr>
    </w:tbl>
    <w:p>
      <w:pPr>
        <w:pStyle w:val="5"/>
        <w:numPr>
          <w:ilvl w:val="0"/>
          <w:numId w:val="28"/>
        </w:numPr>
        <w:ind w:left="0" w:firstLine="0"/>
        <w:outlineLvl w:val="3"/>
        <w:rPr>
          <w:b/>
        </w:rPr>
      </w:pPr>
      <w:r>
        <w:rPr>
          <w:b/>
        </w:rPr>
        <w:t>土壤环境影响源及影响因子识别</w:t>
      </w:r>
    </w:p>
    <w:p>
      <w:pPr>
        <w:pStyle w:val="475"/>
        <w:spacing w:line="500" w:lineRule="exact"/>
        <w:ind w:firstLine="489"/>
        <w:rPr>
          <w:rFonts w:ascii="Arial" w:hAnsi="Arial" w:cs="Arial"/>
          <w:spacing w:val="10"/>
        </w:rPr>
      </w:pPr>
      <w:r>
        <w:rPr>
          <w:rFonts w:ascii="Arial" w:hAnsi="Arial" w:cs="Arial"/>
          <w:spacing w:val="10"/>
        </w:rPr>
        <w:t>土壤环境影响源及影响因子识别见表4-3</w:t>
      </w:r>
      <w:r>
        <w:rPr>
          <w:rFonts w:hint="eastAsia" w:ascii="Arial" w:hAnsi="Arial" w:cs="Arial"/>
          <w:spacing w:val="10"/>
        </w:rPr>
        <w:t>4</w:t>
      </w:r>
      <w:r>
        <w:rPr>
          <w:rFonts w:ascii="Arial" w:hAnsi="Arial" w:cs="Arial"/>
          <w:spacing w:val="10"/>
        </w:rPr>
        <w:t>。</w:t>
      </w: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污染影响型建设项目土壤环境影响源及影响因子识别表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1272"/>
        <w:gridCol w:w="1419"/>
        <w:gridCol w:w="2410"/>
        <w:gridCol w:w="2061"/>
        <w:gridCol w:w="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340" w:hRule="atLeast"/>
        </w:trPr>
        <w:tc>
          <w:tcPr>
            <w:tcW w:w="1104"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污染源</w:t>
            </w:r>
          </w:p>
        </w:tc>
        <w:tc>
          <w:tcPr>
            <w:tcW w:w="1272"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工艺</w:t>
            </w:r>
          </w:p>
        </w:tc>
        <w:tc>
          <w:tcPr>
            <w:tcW w:w="1419"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污染途经</w:t>
            </w:r>
          </w:p>
        </w:tc>
        <w:tc>
          <w:tcPr>
            <w:tcW w:w="241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全部污染物指标</w:t>
            </w:r>
          </w:p>
        </w:tc>
        <w:tc>
          <w:tcPr>
            <w:tcW w:w="206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特征因子</w:t>
            </w:r>
          </w:p>
        </w:tc>
        <w:tc>
          <w:tcPr>
            <w:tcW w:w="72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04"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DA146排气筒</w:t>
            </w:r>
          </w:p>
        </w:tc>
        <w:tc>
          <w:tcPr>
            <w:tcW w:w="1272"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烘干</w:t>
            </w:r>
            <w:r>
              <w:rPr>
                <w:rFonts w:ascii="Arial" w:hAnsi="Arial" w:eastAsia="宋体" w:cs="Arial"/>
                <w:sz w:val="21"/>
                <w:szCs w:val="21"/>
              </w:rPr>
              <w:t>、破碎、包装</w:t>
            </w:r>
          </w:p>
        </w:tc>
        <w:tc>
          <w:tcPr>
            <w:tcW w:w="1419"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大气沉降</w:t>
            </w:r>
          </w:p>
        </w:tc>
        <w:tc>
          <w:tcPr>
            <w:tcW w:w="241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颗粒物、</w:t>
            </w:r>
            <w:r>
              <w:rPr>
                <w:rFonts w:hint="eastAsia" w:ascii="Arial" w:hAnsi="Arial" w:eastAsia="宋体" w:cs="Arial"/>
                <w:sz w:val="21"/>
                <w:szCs w:val="21"/>
              </w:rPr>
              <w:t>钴</w:t>
            </w:r>
          </w:p>
        </w:tc>
        <w:tc>
          <w:tcPr>
            <w:tcW w:w="2061" w:type="dxa"/>
            <w:shd w:val="clear" w:color="auto" w:fill="auto"/>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钴</w:t>
            </w:r>
          </w:p>
        </w:tc>
        <w:tc>
          <w:tcPr>
            <w:tcW w:w="72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04"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储槽</w:t>
            </w:r>
          </w:p>
        </w:tc>
        <w:tc>
          <w:tcPr>
            <w:tcW w:w="1272"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储槽</w:t>
            </w:r>
          </w:p>
        </w:tc>
        <w:tc>
          <w:tcPr>
            <w:tcW w:w="1419"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垂直下渗</w:t>
            </w:r>
          </w:p>
        </w:tc>
        <w:tc>
          <w:tcPr>
            <w:tcW w:w="241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氨水、</w:t>
            </w:r>
            <w:r>
              <w:rPr>
                <w:rFonts w:hint="eastAsia" w:ascii="Arial" w:hAnsi="Arial" w:eastAsia="宋体" w:cs="Arial"/>
                <w:sz w:val="21"/>
                <w:szCs w:val="21"/>
              </w:rPr>
              <w:t>氢氧化钠</w:t>
            </w:r>
          </w:p>
        </w:tc>
        <w:tc>
          <w:tcPr>
            <w:tcW w:w="206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氨水、</w:t>
            </w:r>
            <w:r>
              <w:rPr>
                <w:rFonts w:hint="eastAsia" w:ascii="Arial" w:hAnsi="Arial" w:eastAsia="宋体" w:cs="Arial"/>
                <w:sz w:val="21"/>
                <w:szCs w:val="21"/>
              </w:rPr>
              <w:t>氢氧化钠</w:t>
            </w:r>
          </w:p>
        </w:tc>
        <w:tc>
          <w:tcPr>
            <w:tcW w:w="72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04" w:type="dxa"/>
            <w:vMerge w:val="restart"/>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污水</w:t>
            </w:r>
            <w:r>
              <w:rPr>
                <w:rFonts w:hint="eastAsia" w:ascii="Arial" w:hAnsi="Arial" w:eastAsia="宋体" w:cs="Arial"/>
                <w:sz w:val="21"/>
                <w:szCs w:val="21"/>
              </w:rPr>
              <w:t>外排槽</w:t>
            </w:r>
          </w:p>
        </w:tc>
        <w:tc>
          <w:tcPr>
            <w:tcW w:w="1272" w:type="dxa"/>
            <w:vMerge w:val="restart"/>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污水处理</w:t>
            </w:r>
          </w:p>
        </w:tc>
        <w:tc>
          <w:tcPr>
            <w:tcW w:w="1419"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地面漫流</w:t>
            </w:r>
          </w:p>
        </w:tc>
        <w:tc>
          <w:tcPr>
            <w:tcW w:w="241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COD、氨氮、钴、硫酸盐</w:t>
            </w:r>
          </w:p>
        </w:tc>
        <w:tc>
          <w:tcPr>
            <w:tcW w:w="206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钴、硫酸盐</w:t>
            </w:r>
          </w:p>
        </w:tc>
        <w:tc>
          <w:tcPr>
            <w:tcW w:w="72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04" w:type="dxa"/>
            <w:vMerge w:val="continue"/>
            <w:shd w:val="clear" w:color="auto" w:fill="auto"/>
            <w:vAlign w:val="center"/>
          </w:tcPr>
          <w:p>
            <w:pPr>
              <w:adjustRightInd w:val="0"/>
              <w:snapToGrid w:val="0"/>
              <w:jc w:val="center"/>
              <w:rPr>
                <w:rFonts w:ascii="Arial" w:hAnsi="Arial" w:eastAsia="宋体" w:cs="Arial"/>
                <w:sz w:val="21"/>
                <w:szCs w:val="21"/>
              </w:rPr>
            </w:pPr>
          </w:p>
        </w:tc>
        <w:tc>
          <w:tcPr>
            <w:tcW w:w="1272" w:type="dxa"/>
            <w:vMerge w:val="continue"/>
            <w:shd w:val="clear" w:color="auto" w:fill="auto"/>
            <w:vAlign w:val="center"/>
          </w:tcPr>
          <w:p>
            <w:pPr>
              <w:adjustRightInd w:val="0"/>
              <w:snapToGrid w:val="0"/>
              <w:jc w:val="center"/>
              <w:rPr>
                <w:rFonts w:ascii="Arial" w:hAnsi="Arial" w:eastAsia="宋体" w:cs="Arial"/>
                <w:sz w:val="21"/>
                <w:szCs w:val="21"/>
              </w:rPr>
            </w:pPr>
          </w:p>
        </w:tc>
        <w:tc>
          <w:tcPr>
            <w:tcW w:w="1419"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垂直下渗</w:t>
            </w:r>
          </w:p>
        </w:tc>
        <w:tc>
          <w:tcPr>
            <w:tcW w:w="2410"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COD、氨氮、钴、硫酸盐</w:t>
            </w:r>
          </w:p>
        </w:tc>
        <w:tc>
          <w:tcPr>
            <w:tcW w:w="2061"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钴、硫酸盐</w:t>
            </w:r>
          </w:p>
        </w:tc>
        <w:tc>
          <w:tcPr>
            <w:tcW w:w="727"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w:t>
            </w:r>
          </w:p>
        </w:tc>
      </w:tr>
    </w:tbl>
    <w:p>
      <w:pPr>
        <w:pStyle w:val="5"/>
        <w:numPr>
          <w:ilvl w:val="0"/>
          <w:numId w:val="28"/>
        </w:numPr>
        <w:adjustRightInd w:val="0"/>
        <w:snapToGrid w:val="0"/>
        <w:spacing w:line="500" w:lineRule="exact"/>
        <w:ind w:left="0" w:firstLine="0"/>
        <w:outlineLvl w:val="3"/>
        <w:rPr>
          <w:b/>
        </w:rPr>
      </w:pPr>
      <w:r>
        <w:rPr>
          <w:b/>
        </w:rPr>
        <w:t>土壤环境影响分析</w:t>
      </w:r>
    </w:p>
    <w:p>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1、大气沉降对土壤的影响</w:t>
      </w:r>
    </w:p>
    <w:p>
      <w:pPr>
        <w:spacing w:line="500" w:lineRule="exact"/>
        <w:ind w:firstLine="450" w:firstLineChars="200"/>
        <w:rPr>
          <w:rFonts w:ascii="Arial" w:hAnsi="Arial" w:eastAsia="宋体" w:cs="Arial"/>
          <w:snapToGrid w:val="0"/>
          <w:kern w:val="0"/>
          <w:sz w:val="24"/>
          <w:szCs w:val="21"/>
        </w:rPr>
      </w:pPr>
      <w:r>
        <w:rPr>
          <w:rFonts w:hint="eastAsia" w:ascii="Arial" w:hAnsi="Arial" w:eastAsia="宋体" w:cs="Arial"/>
          <w:snapToGrid w:val="0"/>
          <w:kern w:val="0"/>
          <w:sz w:val="24"/>
          <w:szCs w:val="21"/>
        </w:rPr>
        <w:t>（1）颗粒物对土壤影响</w:t>
      </w:r>
    </w:p>
    <w:p>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项目排放的</w:t>
      </w:r>
      <w:r>
        <w:rPr>
          <w:rFonts w:hint="eastAsia" w:ascii="Arial" w:hAnsi="Arial" w:eastAsia="宋体" w:cs="Arial"/>
          <w:snapToGrid w:val="0"/>
          <w:kern w:val="0"/>
          <w:sz w:val="24"/>
          <w:szCs w:val="21"/>
        </w:rPr>
        <w:t>颗粒物中的钴及其化合物</w:t>
      </w:r>
      <w:r>
        <w:rPr>
          <w:rFonts w:ascii="Arial" w:hAnsi="Arial" w:eastAsia="宋体" w:cs="Arial"/>
          <w:snapToGrid w:val="0"/>
          <w:kern w:val="0"/>
          <w:sz w:val="24"/>
          <w:szCs w:val="21"/>
        </w:rPr>
        <w:t>对周围土壤环境的污染，主要是以大气扩散沉降的方式进入土壤，在土壤中与某些物质发生物理、化学作用，</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在土壤中不易被自然淋溶迁移。为了解项目大气中</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对土壤的影响，本环评对</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在土壤中的累积影响进行预测分析。</w:t>
      </w:r>
    </w:p>
    <w:p>
      <w:pPr>
        <w:spacing w:line="500" w:lineRule="exact"/>
        <w:ind w:firstLine="450" w:firstLineChars="200"/>
        <w:rPr>
          <w:rFonts w:ascii="Arial" w:hAnsi="Arial" w:eastAsia="宋体" w:cs="Arial"/>
          <w:snapToGrid w:val="0"/>
          <w:kern w:val="0"/>
          <w:sz w:val="24"/>
          <w:szCs w:val="21"/>
        </w:rPr>
      </w:pP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对土壤的累积影响采用《环境影响评价技术导则 土壤环境（试行）》（HJ964-2018）附录E土壤环境影响预测方法计算：</w:t>
      </w:r>
    </w:p>
    <w:p>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 xml:space="preserve">    </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S=n（Is-Ls-Rs）/（ Ρ</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×A×D）</w:t>
      </w:r>
    </w:p>
    <w:p>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 xml:space="preserve">      S=S</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w:t>
      </w:r>
    </w:p>
    <w:p>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式中：</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S：单位质量表层土壤中某种物质的增量，g/kg；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S：单位质量土壤中某种物质的预测值，g/kg；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S</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：单位质量土壤中某种物质的现状值，g/kg；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Is：预测评价范围内单位年份表层土壤中某种物质的输入量，g；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Ls：预测评价范围内单位年份表层土壤中某种物质经淋溶排出的量，g；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Rs：预测评价范围内单位年份表层土壤中某种物质经径流排出的量，g；</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Ρ</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：表层土壤容重，kg/m</w:t>
      </w:r>
      <w:r>
        <w:rPr>
          <w:rFonts w:ascii="Arial" w:hAnsi="Arial" w:eastAsia="宋体" w:cs="Arial"/>
          <w:snapToGrid w:val="0"/>
          <w:kern w:val="0"/>
          <w:sz w:val="24"/>
          <w:szCs w:val="21"/>
          <w:vertAlign w:val="superscript"/>
        </w:rPr>
        <w:t>3</w:t>
      </w:r>
      <w:r>
        <w:rPr>
          <w:rFonts w:ascii="Arial" w:hAnsi="Arial" w:eastAsia="宋体" w:cs="Arial"/>
          <w:snapToGrid w:val="0"/>
          <w:kern w:val="0"/>
          <w:sz w:val="24"/>
          <w:szCs w:val="21"/>
        </w:rPr>
        <w:t>，本项目表层土壤容重为1220kg/m</w:t>
      </w:r>
      <w:r>
        <w:rPr>
          <w:rFonts w:ascii="Arial" w:hAnsi="Arial" w:eastAsia="宋体" w:cs="Arial"/>
          <w:snapToGrid w:val="0"/>
          <w:kern w:val="0"/>
          <w:sz w:val="24"/>
          <w:szCs w:val="21"/>
          <w:vertAlign w:val="superscript"/>
        </w:rPr>
        <w:t>3</w:t>
      </w:r>
      <w:r>
        <w:rPr>
          <w:rFonts w:ascii="Arial" w:hAnsi="Arial" w:eastAsia="宋体" w:cs="Arial"/>
          <w:snapToGrid w:val="0"/>
          <w:kern w:val="0"/>
          <w:sz w:val="24"/>
          <w:szCs w:val="21"/>
        </w:rPr>
        <w:t>；</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A：预测评价范围，m</w:t>
      </w:r>
      <w:r>
        <w:rPr>
          <w:rFonts w:ascii="Arial" w:hAnsi="Arial" w:eastAsia="宋体" w:cs="Arial"/>
          <w:snapToGrid w:val="0"/>
          <w:kern w:val="0"/>
          <w:sz w:val="24"/>
          <w:szCs w:val="21"/>
          <w:vertAlign w:val="superscript"/>
        </w:rPr>
        <w:t>2</w:t>
      </w:r>
      <w:r>
        <w:rPr>
          <w:rFonts w:ascii="Arial" w:hAnsi="Arial" w:eastAsia="宋体" w:cs="Arial"/>
          <w:snapToGrid w:val="0"/>
          <w:kern w:val="0"/>
          <w:sz w:val="24"/>
          <w:szCs w:val="21"/>
        </w:rPr>
        <w:t>，按单位面积1m</w:t>
      </w:r>
      <w:r>
        <w:rPr>
          <w:rFonts w:ascii="Arial" w:hAnsi="Arial" w:eastAsia="宋体" w:cs="Arial"/>
          <w:snapToGrid w:val="0"/>
          <w:kern w:val="0"/>
          <w:sz w:val="24"/>
          <w:szCs w:val="21"/>
          <w:vertAlign w:val="superscript"/>
        </w:rPr>
        <w:t>2</w:t>
      </w:r>
      <w:r>
        <w:rPr>
          <w:rFonts w:ascii="Arial" w:hAnsi="Arial" w:eastAsia="宋体" w:cs="Arial"/>
          <w:snapToGrid w:val="0"/>
          <w:kern w:val="0"/>
          <w:sz w:val="24"/>
          <w:szCs w:val="21"/>
        </w:rPr>
        <w:t>；</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D：表层土壤深度，一般取0.2m；</w:t>
      </w:r>
    </w:p>
    <w:p>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n：持续年份，a，分别取1、5、10、30年。</w:t>
      </w:r>
    </w:p>
    <w:p>
      <w:pPr>
        <w:pStyle w:val="475"/>
        <w:ind w:firstLine="489"/>
        <w:rPr>
          <w:rFonts w:ascii="Arial" w:hAnsi="Arial" w:cs="Arial"/>
          <w:spacing w:val="10"/>
        </w:rPr>
      </w:pPr>
      <w:r>
        <w:rPr>
          <w:rFonts w:hint="eastAsia" w:ascii="Arial" w:hAnsi="Arial" w:cs="Arial"/>
          <w:spacing w:val="10"/>
        </w:rPr>
        <w:t>钴及其化合物</w:t>
      </w:r>
      <w:r>
        <w:rPr>
          <w:rFonts w:ascii="Arial" w:hAnsi="Arial" w:cs="Arial"/>
          <w:spacing w:val="10"/>
        </w:rPr>
        <w:t>在土壤中不易被自然淋溶迁移，考虑污染物输入量中自然输入量与自然淋溶迁移量的动态平衡，土壤背景值较为稳定平衡时，自然输入量等于自然淋溶迁移量。即不考虑某种物质经淋溶或径流排出量，均按0计算，项目</w:t>
      </w:r>
      <w:r>
        <w:rPr>
          <w:rFonts w:hint="eastAsia" w:ascii="Arial" w:hAnsi="Arial" w:cs="Arial"/>
          <w:snapToGrid w:val="0"/>
          <w:kern w:val="0"/>
          <w:szCs w:val="21"/>
        </w:rPr>
        <w:t>钴及其化合物</w:t>
      </w:r>
      <w:r>
        <w:rPr>
          <w:rFonts w:ascii="Arial" w:hAnsi="Arial" w:cs="Arial"/>
          <w:spacing w:val="10"/>
        </w:rPr>
        <w:t>的累积影响最大。</w:t>
      </w:r>
    </w:p>
    <w:p>
      <w:pPr>
        <w:pStyle w:val="475"/>
        <w:ind w:firstLine="489"/>
        <w:rPr>
          <w:rFonts w:ascii="Arial" w:hAnsi="Arial" w:cs="Arial"/>
          <w:spacing w:val="10"/>
        </w:rPr>
      </w:pPr>
      <w:r>
        <w:rPr>
          <w:rFonts w:ascii="Arial" w:hAnsi="Arial" w:cs="Arial"/>
          <w:spacing w:val="10"/>
        </w:rPr>
        <w:t>烟气中的污染物在表层土壤的输入量为干沉降量和湿沉降量两部分，由于项目排放烟尘的粒度较细，受重用作用沉降的颗粒物较少，绝大部分颗粒物沉降主要以湿沉降为主，因此本次预测以干沉降占10%，湿沉降占90%。则项目污染物的输入量为：</w:t>
      </w:r>
    </w:p>
    <w:p>
      <w:pPr>
        <w:pStyle w:val="475"/>
        <w:ind w:firstLine="1208" w:firstLineChars="493"/>
        <w:rPr>
          <w:rFonts w:ascii="Arial" w:hAnsi="Arial" w:cs="Arial"/>
          <w:spacing w:val="10"/>
        </w:rPr>
      </w:pPr>
      <w:r>
        <w:rPr>
          <w:rFonts w:ascii="Cambria Math" w:hAnsi="Cambria Math" w:cs="Cambria Math"/>
          <w:spacing w:val="10"/>
        </w:rPr>
        <w:t>△</w:t>
      </w:r>
      <w:r>
        <w:rPr>
          <w:rFonts w:ascii="Arial" w:hAnsi="Arial" w:cs="Arial"/>
          <w:spacing w:val="10"/>
        </w:rPr>
        <w:t>S=10×S</w:t>
      </w:r>
      <w:r>
        <w:rPr>
          <w:rFonts w:ascii="Arial" w:hAnsi="Arial" w:cs="Arial"/>
          <w:spacing w:val="10"/>
          <w:vertAlign w:val="subscript"/>
        </w:rPr>
        <w:t>干</w:t>
      </w:r>
    </w:p>
    <w:p>
      <w:pPr>
        <w:pStyle w:val="475"/>
        <w:ind w:firstLine="1208" w:firstLineChars="493"/>
        <w:rPr>
          <w:rFonts w:ascii="Arial" w:hAnsi="Arial" w:cs="Arial"/>
          <w:spacing w:val="10"/>
        </w:rPr>
      </w:pPr>
      <w:r>
        <w:rPr>
          <w:rFonts w:ascii="Arial" w:hAnsi="Arial" w:cs="Arial"/>
          <w:spacing w:val="10"/>
        </w:rPr>
        <w:t>S</w:t>
      </w:r>
      <w:r>
        <w:rPr>
          <w:rFonts w:ascii="Arial" w:hAnsi="Arial" w:cs="Arial"/>
          <w:spacing w:val="10"/>
          <w:vertAlign w:val="subscript"/>
        </w:rPr>
        <w:t>干</w:t>
      </w:r>
      <w:r>
        <w:rPr>
          <w:rFonts w:ascii="Arial" w:hAnsi="Arial" w:cs="Arial"/>
          <w:spacing w:val="10"/>
        </w:rPr>
        <w:t>=C×V×T/M</w:t>
      </w:r>
    </w:p>
    <w:p>
      <w:pPr>
        <w:pStyle w:val="475"/>
        <w:ind w:firstLine="489"/>
        <w:rPr>
          <w:rFonts w:ascii="Arial" w:hAnsi="Arial" w:cs="Arial"/>
          <w:spacing w:val="10"/>
        </w:rPr>
      </w:pPr>
      <w:r>
        <w:rPr>
          <w:rFonts w:ascii="Arial" w:hAnsi="Arial" w:cs="Arial"/>
          <w:spacing w:val="10"/>
        </w:rPr>
        <w:t>式中：</w:t>
      </w:r>
      <w:r>
        <w:rPr>
          <w:rFonts w:ascii="Cambria Math" w:hAnsi="Cambria Math" w:cs="Cambria Math"/>
          <w:spacing w:val="10"/>
        </w:rPr>
        <w:t>△</w:t>
      </w:r>
      <w:r>
        <w:rPr>
          <w:rFonts w:ascii="Arial" w:hAnsi="Arial" w:cs="Arial"/>
          <w:spacing w:val="10"/>
        </w:rPr>
        <w:t>S：单位面积的污染物沉降量，mg/kg；</w:t>
      </w:r>
    </w:p>
    <w:p>
      <w:pPr>
        <w:pStyle w:val="475"/>
        <w:ind w:left="1693" w:leftChars="500" w:hanging="368" w:hangingChars="150"/>
        <w:rPr>
          <w:rFonts w:ascii="Arial" w:hAnsi="Arial" w:cs="Arial"/>
          <w:spacing w:val="10"/>
        </w:rPr>
      </w:pPr>
      <w:r>
        <w:rPr>
          <w:rFonts w:ascii="Arial" w:hAnsi="Arial" w:cs="Arial"/>
          <w:spacing w:val="10"/>
        </w:rPr>
        <w:t>S干：单位面积的污染物干沉降量，mg/kg；</w:t>
      </w:r>
    </w:p>
    <w:p>
      <w:pPr>
        <w:pStyle w:val="475"/>
        <w:ind w:firstLine="1225" w:firstLineChars="500"/>
        <w:rPr>
          <w:rFonts w:ascii="Arial" w:hAnsi="Arial" w:cs="Arial"/>
          <w:spacing w:val="10"/>
        </w:rPr>
      </w:pPr>
      <w:r>
        <w:rPr>
          <w:rFonts w:ascii="Arial" w:hAnsi="Arial" w:cs="Arial"/>
          <w:spacing w:val="10"/>
        </w:rPr>
        <w:t>C：污染物浓度，mg/m</w:t>
      </w:r>
      <w:r>
        <w:rPr>
          <w:rFonts w:ascii="Arial" w:hAnsi="Arial" w:cs="Arial"/>
          <w:spacing w:val="10"/>
          <w:vertAlign w:val="superscript"/>
        </w:rPr>
        <w:t>3</w:t>
      </w:r>
      <w:r>
        <w:rPr>
          <w:rFonts w:ascii="Arial" w:hAnsi="Arial" w:cs="Arial"/>
          <w:spacing w:val="10"/>
        </w:rPr>
        <w:t>；</w:t>
      </w:r>
    </w:p>
    <w:p>
      <w:pPr>
        <w:pStyle w:val="475"/>
        <w:ind w:left="1693" w:leftChars="500" w:hanging="368" w:hangingChars="150"/>
        <w:rPr>
          <w:rFonts w:ascii="Arial" w:hAnsi="Arial" w:cs="Arial"/>
          <w:spacing w:val="10"/>
        </w:rPr>
      </w:pPr>
      <w:r>
        <w:rPr>
          <w:rFonts w:ascii="Arial" w:hAnsi="Arial" w:cs="Arial"/>
          <w:spacing w:val="10"/>
        </w:rPr>
        <w:t>V：污染物沉降速率，m/s；由于项目排放烟尘的粒度较细，沉降速率取0.1cm/s(即0.001m/s)；</w:t>
      </w:r>
    </w:p>
    <w:p>
      <w:pPr>
        <w:pStyle w:val="475"/>
        <w:ind w:firstLine="1225" w:firstLineChars="500"/>
        <w:rPr>
          <w:rFonts w:ascii="Arial" w:hAnsi="Arial" w:cs="Arial"/>
          <w:spacing w:val="10"/>
        </w:rPr>
      </w:pPr>
      <w:r>
        <w:rPr>
          <w:rFonts w:ascii="Arial" w:hAnsi="Arial" w:cs="Arial"/>
          <w:spacing w:val="10"/>
        </w:rPr>
        <w:t>T：年内污染物沉降时间，s。</w:t>
      </w:r>
    </w:p>
    <w:p>
      <w:pPr>
        <w:pStyle w:val="475"/>
        <w:ind w:firstLine="1225" w:firstLineChars="500"/>
        <w:rPr>
          <w:rFonts w:ascii="Arial" w:hAnsi="Arial" w:cs="Arial"/>
          <w:spacing w:val="10"/>
        </w:rPr>
      </w:pPr>
      <w:r>
        <w:rPr>
          <w:rFonts w:ascii="Arial" w:hAnsi="Arial" w:cs="Arial"/>
          <w:spacing w:val="10"/>
        </w:rPr>
        <w:t>M：单位面积土壤质量，kg/m</w:t>
      </w:r>
      <w:r>
        <w:rPr>
          <w:rFonts w:ascii="Arial" w:hAnsi="Arial" w:cs="Arial"/>
          <w:spacing w:val="10"/>
          <w:vertAlign w:val="superscript"/>
        </w:rPr>
        <w:t>2</w:t>
      </w:r>
      <w:r>
        <w:rPr>
          <w:rFonts w:ascii="Arial" w:hAnsi="Arial" w:cs="Arial"/>
          <w:spacing w:val="10"/>
        </w:rPr>
        <w:t>，为厚度(0.2m)×土壤容重（根据监测取1.37g/cm</w:t>
      </w:r>
      <w:r>
        <w:rPr>
          <w:rFonts w:ascii="Arial" w:hAnsi="Arial" w:cs="Arial"/>
          <w:spacing w:val="10"/>
          <w:vertAlign w:val="superscript"/>
        </w:rPr>
        <w:t>3</w:t>
      </w:r>
      <w:r>
        <w:rPr>
          <w:rFonts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根据大气预测结果可知大气沉降最大落地浓度点位于厂址南面，用地类型为建设用地，由于项目土壤评价范围内有农业用地和建设用地，因此本次评价选取厂区南面（大气沉降最大落地浓度点）和项目周边农业用地中受项目影响最大点（鸡墩头村）进行预测。</w:t>
      </w:r>
    </w:p>
    <w:p>
      <w:pPr>
        <w:numPr>
          <w:ilvl w:val="0"/>
          <w:numId w:val="22"/>
        </w:numPr>
        <w:spacing w:line="500" w:lineRule="exact"/>
        <w:ind w:left="0" w:firstLine="0"/>
        <w:jc w:val="center"/>
        <w:outlineLvl w:val="4"/>
        <w:rPr>
          <w:rFonts w:ascii="Arial" w:hAnsi="Arial" w:eastAsia="宋体" w:cs="Arial"/>
          <w:b/>
          <w:sz w:val="24"/>
          <w:szCs w:val="24"/>
        </w:rPr>
      </w:pPr>
      <w:bookmarkStart w:id="339" w:name="_Hlk69865160"/>
      <w:r>
        <w:rPr>
          <w:rFonts w:ascii="Arial" w:hAnsi="Arial" w:eastAsia="宋体" w:cs="Arial"/>
          <w:b/>
          <w:sz w:val="24"/>
          <w:szCs w:val="24"/>
        </w:rPr>
        <w:t>土壤累积影响预测</w:t>
      </w:r>
      <w:bookmarkEnd w:id="339"/>
      <w:r>
        <w:rPr>
          <w:rFonts w:ascii="Arial" w:hAnsi="Arial" w:eastAsia="宋体" w:cs="Arial"/>
          <w:b/>
          <w:sz w:val="24"/>
          <w:szCs w:val="24"/>
        </w:rPr>
        <w:t>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273"/>
        <w:gridCol w:w="802"/>
        <w:gridCol w:w="1347"/>
        <w:gridCol w:w="1347"/>
        <w:gridCol w:w="1347"/>
        <w:gridCol w:w="1348"/>
        <w:gridCol w:w="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因子</w:t>
            </w:r>
          </w:p>
        </w:tc>
        <w:tc>
          <w:tcPr>
            <w:tcW w:w="1273"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点位</w:t>
            </w: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时段</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累积值</w:t>
            </w:r>
          </w:p>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背景值</w:t>
            </w:r>
          </w:p>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叠加值</w:t>
            </w:r>
          </w:p>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标准值</w:t>
            </w:r>
          </w:p>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p>
            <w:pPr>
              <w:pStyle w:val="5"/>
              <w:adjustRightInd w:val="0"/>
              <w:snapToGrid w:val="0"/>
              <w:spacing w:line="240" w:lineRule="auto"/>
              <w:ind w:firstLine="0"/>
              <w:jc w:val="center"/>
              <w:rPr>
                <w:sz w:val="21"/>
                <w:szCs w:val="21"/>
                <w:u w:val="single"/>
              </w:rPr>
            </w:pPr>
            <w:r>
              <w:rPr>
                <w:sz w:val="21"/>
                <w:szCs w:val="21"/>
                <w:u w:val="singl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restart"/>
            <w:tcBorders>
              <w:top w:val="single" w:color="auto" w:sz="4" w:space="0"/>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钴</w:t>
            </w:r>
          </w:p>
        </w:tc>
        <w:tc>
          <w:tcPr>
            <w:tcW w:w="1273" w:type="dxa"/>
            <w:vMerge w:val="restart"/>
            <w:tcBorders>
              <w:top w:val="single" w:color="auto" w:sz="4" w:space="0"/>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厂区南面</w:t>
            </w: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0.1276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2.3876</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5年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0.638</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2.898</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10年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1.276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3.536</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30年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3.828</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6.088</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restart"/>
            <w:tcBorders>
              <w:top w:val="single" w:color="auto" w:sz="4" w:space="0"/>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鸡墩头村</w:t>
            </w: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0.0032</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5.1632</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5年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0.016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5.176</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10年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0.032</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5.192</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1273" w:type="dxa"/>
            <w:vMerge w:val="continue"/>
            <w:tcBorders>
              <w:left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p>
        </w:tc>
        <w:tc>
          <w:tcPr>
            <w:tcW w:w="8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30年</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0.096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13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ascii="Arial" w:hAnsi="Arial" w:cs="Arial"/>
                <w:sz w:val="21"/>
                <w:szCs w:val="22"/>
                <w:u w:val="single"/>
              </w:rPr>
              <w:t>5.256</w:t>
            </w:r>
          </w:p>
        </w:tc>
        <w:tc>
          <w:tcPr>
            <w:tcW w:w="13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765" w:type="dxa"/>
            <w:tcBorders>
              <w:top w:val="single" w:color="auto" w:sz="4" w:space="0"/>
              <w:left w:val="single" w:color="auto" w:sz="4" w:space="0"/>
              <w:bottom w:val="single" w:color="auto" w:sz="4" w:space="0"/>
              <w:right w:val="single" w:color="auto" w:sz="4" w:space="0"/>
            </w:tcBorders>
            <w:vAlign w:val="center"/>
          </w:tcPr>
          <w:p>
            <w:pPr>
              <w:pStyle w:val="5"/>
              <w:adjustRightInd w:val="0"/>
              <w:snapToGrid w:val="0"/>
              <w:spacing w:line="240" w:lineRule="auto"/>
              <w:ind w:firstLine="0"/>
              <w:jc w:val="center"/>
              <w:rPr>
                <w:sz w:val="21"/>
                <w:szCs w:val="21"/>
                <w:u w:val="single"/>
              </w:rPr>
            </w:pPr>
            <w:r>
              <w:rPr>
                <w:sz w:val="21"/>
                <w:szCs w:val="21"/>
                <w:u w:val="single"/>
              </w:rPr>
              <w:t>达标</w:t>
            </w:r>
          </w:p>
        </w:tc>
      </w:tr>
    </w:tbl>
    <w:p>
      <w:pPr>
        <w:pStyle w:val="475"/>
        <w:spacing w:line="500" w:lineRule="exact"/>
        <w:ind w:firstLine="489"/>
        <w:rPr>
          <w:rFonts w:ascii="Arial" w:hAnsi="Arial" w:cs="Arial"/>
          <w:spacing w:val="10"/>
        </w:rPr>
      </w:pPr>
      <w:r>
        <w:rPr>
          <w:rFonts w:ascii="Arial" w:hAnsi="Arial" w:cs="Arial"/>
          <w:spacing w:val="10"/>
        </w:rPr>
        <w:t>项目排放的</w:t>
      </w:r>
      <w:r>
        <w:rPr>
          <w:rFonts w:hint="eastAsia" w:ascii="Arial" w:hAnsi="Arial" w:cs="Arial"/>
          <w:snapToGrid w:val="0"/>
          <w:kern w:val="0"/>
          <w:szCs w:val="21"/>
        </w:rPr>
        <w:t>钴及其化合物</w:t>
      </w:r>
      <w:r>
        <w:rPr>
          <w:rFonts w:ascii="Arial" w:hAnsi="Arial" w:cs="Arial"/>
          <w:spacing w:val="10"/>
        </w:rPr>
        <w:t>对周边土壤有一定的累积影响，厂区周边建设用地均可达到《土壤环境质量 建设用地土壤污染风险管控标准（试行）》（GB36600-2018）中第二类用地筛选值标准。</w:t>
      </w:r>
    </w:p>
    <w:p>
      <w:pPr>
        <w:pStyle w:val="475"/>
        <w:spacing w:line="500" w:lineRule="exact"/>
        <w:ind w:firstLine="489"/>
        <w:rPr>
          <w:rFonts w:ascii="Arial" w:hAnsi="Arial" w:cs="Arial"/>
          <w:spacing w:val="10"/>
        </w:rPr>
      </w:pPr>
      <w:r>
        <w:rPr>
          <w:rFonts w:hint="eastAsia" w:ascii="Arial" w:hAnsi="Arial" w:cs="Arial"/>
          <w:spacing w:val="10"/>
        </w:rPr>
        <w:t>（2）</w:t>
      </w:r>
      <w:r>
        <w:rPr>
          <w:rFonts w:ascii="Arial" w:hAnsi="Arial" w:cs="Arial"/>
          <w:spacing w:val="10"/>
        </w:rPr>
        <w:t>氨气对土壤环境影响</w:t>
      </w:r>
    </w:p>
    <w:p>
      <w:pPr>
        <w:pStyle w:val="475"/>
        <w:spacing w:line="500" w:lineRule="exact"/>
        <w:ind w:firstLine="489"/>
        <w:rPr>
          <w:rFonts w:ascii="Arial" w:hAnsi="Arial" w:cs="Arial"/>
          <w:spacing w:val="10"/>
        </w:rPr>
      </w:pPr>
      <w:r>
        <w:rPr>
          <w:rFonts w:ascii="Arial" w:hAnsi="Arial" w:cs="Arial"/>
          <w:spacing w:val="10"/>
        </w:rPr>
        <w:t>根据大气预测结果可知，区域</w:t>
      </w:r>
      <w:r>
        <w:rPr>
          <w:rFonts w:hint="eastAsia" w:ascii="Arial" w:hAnsi="Arial" w:cs="Arial"/>
          <w:spacing w:val="10"/>
        </w:rPr>
        <w:t>氨气</w:t>
      </w:r>
      <w:r>
        <w:rPr>
          <w:rFonts w:ascii="Arial" w:hAnsi="Arial" w:cs="Arial"/>
          <w:spacing w:val="10"/>
        </w:rPr>
        <w:t>小时贡献值最大浓度为</w:t>
      </w:r>
      <w:r>
        <w:rPr>
          <w:rFonts w:hint="eastAsia" w:ascii="Arial" w:hAnsi="Arial" w:cs="Arial"/>
          <w:spacing w:val="10"/>
        </w:rPr>
        <w:t>39.97</w:t>
      </w:r>
      <w:r>
        <w:rPr>
          <w:rFonts w:ascii="Arial" w:hAnsi="Arial" w:cs="Arial"/>
          <w:spacing w:val="10"/>
        </w:rPr>
        <w:t>μg/m</w:t>
      </w:r>
      <w:r>
        <w:rPr>
          <w:rFonts w:ascii="Arial" w:hAnsi="Arial" w:cs="Arial"/>
          <w:spacing w:val="10"/>
          <w:vertAlign w:val="superscript"/>
        </w:rPr>
        <w:t>3</w:t>
      </w:r>
      <w:r>
        <w:rPr>
          <w:rFonts w:hint="eastAsia" w:ascii="Arial" w:hAnsi="Arial" w:cs="Arial"/>
          <w:spacing w:val="10"/>
        </w:rPr>
        <w:t>，</w:t>
      </w:r>
      <w:r>
        <w:rPr>
          <w:rFonts w:ascii="Arial" w:hAnsi="Arial" w:cs="Arial"/>
          <w:spacing w:val="10"/>
        </w:rPr>
        <w:t>排放的浓度较低，并且均为气体物质，不易沉降，对土壤环境影响较小。</w:t>
      </w:r>
    </w:p>
    <w:p>
      <w:pPr>
        <w:pStyle w:val="475"/>
        <w:ind w:firstLine="489"/>
        <w:rPr>
          <w:rFonts w:ascii="Arial" w:hAnsi="Arial" w:cs="Arial"/>
          <w:spacing w:val="10"/>
        </w:rPr>
      </w:pPr>
      <w:r>
        <w:rPr>
          <w:rFonts w:ascii="Arial" w:hAnsi="Arial" w:cs="Arial"/>
          <w:spacing w:val="10"/>
        </w:rPr>
        <w:t>2、垂直下渗对土壤影响分析</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项目垂直下渗对土壤影响主要为事故状态下车间各储槽、污水外排槽渗漏等。由于</w:t>
      </w:r>
      <w:r>
        <w:rPr>
          <w:rFonts w:hint="eastAsia" w:ascii="Arial" w:hAnsi="Arial" w:eastAsia="宋体" w:cs="Arial"/>
          <w:spacing w:val="10"/>
          <w:sz w:val="24"/>
        </w:rPr>
        <w:t>项目</w:t>
      </w:r>
      <w:r>
        <w:rPr>
          <w:rFonts w:ascii="Arial" w:hAnsi="Arial" w:eastAsia="宋体" w:cs="Arial"/>
          <w:spacing w:val="10"/>
          <w:sz w:val="24"/>
        </w:rPr>
        <w:t>各储槽均为</w:t>
      </w:r>
      <w:r>
        <w:rPr>
          <w:rFonts w:hint="eastAsia" w:ascii="Arial" w:hAnsi="Arial" w:eastAsia="宋体" w:cs="Arial"/>
          <w:spacing w:val="10"/>
          <w:sz w:val="24"/>
        </w:rPr>
        <w:t>地面</w:t>
      </w:r>
      <w:r>
        <w:rPr>
          <w:rFonts w:ascii="Arial" w:hAnsi="Arial" w:eastAsia="宋体" w:cs="Arial"/>
          <w:spacing w:val="10"/>
          <w:sz w:val="24"/>
        </w:rPr>
        <w:t>槽罐，发生渗漏时易发现，且各槽罐区设置围堰，</w:t>
      </w:r>
      <w:r>
        <w:rPr>
          <w:rFonts w:hint="eastAsia" w:ascii="Arial" w:hAnsi="Arial" w:eastAsia="宋体" w:cs="Arial"/>
          <w:spacing w:val="10"/>
          <w:sz w:val="24"/>
        </w:rPr>
        <w:t>围堰</w:t>
      </w:r>
      <w:r>
        <w:rPr>
          <w:rFonts w:ascii="Arial" w:hAnsi="Arial" w:eastAsia="宋体" w:cs="Arial"/>
          <w:spacing w:val="10"/>
          <w:sz w:val="24"/>
        </w:rPr>
        <w:t>采取防渗措施，因此本次评价不考虑垂直下渗对土壤影响情形。</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3、地面漫流对土壤影响分析</w:t>
      </w:r>
    </w:p>
    <w:p>
      <w:pPr>
        <w:spacing w:line="500" w:lineRule="exact"/>
        <w:ind w:firstLine="490" w:firstLineChars="200"/>
        <w:jc w:val="left"/>
        <w:rPr>
          <w:rFonts w:ascii="Arial" w:hAnsi="Arial" w:cs="Arial"/>
          <w:spacing w:val="10"/>
        </w:rPr>
      </w:pPr>
      <w:r>
        <w:rPr>
          <w:rFonts w:ascii="Arial" w:hAnsi="Arial" w:eastAsia="宋体" w:cs="Arial"/>
          <w:spacing w:val="10"/>
          <w:sz w:val="24"/>
        </w:rPr>
        <w:t>项目地面漫流对土壤影响主要为事故状态下污水</w:t>
      </w:r>
      <w:r>
        <w:rPr>
          <w:rFonts w:hint="eastAsia" w:ascii="Arial" w:hAnsi="Arial" w:eastAsia="宋体" w:cs="Arial"/>
          <w:spacing w:val="10"/>
          <w:sz w:val="24"/>
        </w:rPr>
        <w:t>外排槽</w:t>
      </w:r>
      <w:r>
        <w:rPr>
          <w:rFonts w:ascii="Arial" w:hAnsi="Arial" w:eastAsia="宋体" w:cs="Arial"/>
          <w:spacing w:val="10"/>
          <w:sz w:val="24"/>
        </w:rPr>
        <w:t>泄漏</w:t>
      </w:r>
      <w:r>
        <w:rPr>
          <w:rFonts w:hint="eastAsia" w:ascii="Arial" w:hAnsi="Arial" w:eastAsia="宋体" w:cs="Arial"/>
          <w:spacing w:val="10"/>
          <w:sz w:val="24"/>
        </w:rPr>
        <w:t>导致</w:t>
      </w:r>
      <w:r>
        <w:rPr>
          <w:rFonts w:ascii="Arial" w:hAnsi="Arial" w:eastAsia="宋体" w:cs="Arial"/>
          <w:spacing w:val="10"/>
          <w:sz w:val="24"/>
        </w:rPr>
        <w:t>废水漫流。由于废水外排槽设置围堰，当污水</w:t>
      </w:r>
      <w:r>
        <w:rPr>
          <w:rFonts w:hint="eastAsia" w:ascii="Arial" w:hAnsi="Arial" w:eastAsia="宋体" w:cs="Arial"/>
          <w:spacing w:val="10"/>
          <w:sz w:val="24"/>
        </w:rPr>
        <w:t>外排槽</w:t>
      </w:r>
      <w:r>
        <w:rPr>
          <w:rFonts w:ascii="Arial" w:hAnsi="Arial" w:eastAsia="宋体" w:cs="Arial"/>
          <w:spacing w:val="10"/>
          <w:sz w:val="24"/>
        </w:rPr>
        <w:t>泄漏污水发生漫流时，废水能截留在</w:t>
      </w:r>
      <w:r>
        <w:rPr>
          <w:rFonts w:hint="eastAsia" w:ascii="Arial" w:hAnsi="Arial" w:eastAsia="宋体" w:cs="Arial"/>
          <w:spacing w:val="10"/>
          <w:sz w:val="24"/>
        </w:rPr>
        <w:t>围堰</w:t>
      </w:r>
      <w:r>
        <w:rPr>
          <w:rFonts w:ascii="Arial" w:hAnsi="Arial" w:eastAsia="宋体" w:cs="Arial"/>
          <w:spacing w:val="10"/>
          <w:sz w:val="24"/>
        </w:rPr>
        <w:t>内，应急水泵可及时将废水通过管道抽送至事故池中，因此本次评价不考虑地面漫流对土壤影响情形。</w:t>
      </w:r>
    </w:p>
    <w:p>
      <w:pPr>
        <w:pStyle w:val="475"/>
        <w:spacing w:line="500" w:lineRule="exact"/>
        <w:ind w:firstLine="489"/>
        <w:rPr>
          <w:rFonts w:ascii="Arial" w:hAnsi="Arial" w:cs="Arial"/>
          <w:spacing w:val="10"/>
        </w:rPr>
      </w:pPr>
      <w:r>
        <w:rPr>
          <w:rFonts w:ascii="Arial" w:hAnsi="Arial" w:cs="Arial"/>
          <w:spacing w:val="10"/>
        </w:rPr>
        <w:t>4、小结</w:t>
      </w:r>
    </w:p>
    <w:p>
      <w:pPr>
        <w:pStyle w:val="475"/>
        <w:ind w:firstLine="489"/>
        <w:rPr>
          <w:rFonts w:ascii="Arial" w:hAnsi="Arial" w:cs="Arial"/>
          <w:spacing w:val="10"/>
        </w:rPr>
      </w:pPr>
      <w:r>
        <w:rPr>
          <w:rFonts w:ascii="Arial" w:hAnsi="Arial" w:cs="Arial"/>
          <w:spacing w:val="10"/>
        </w:rPr>
        <w:t>项目所在区域土壤环境受本项目大气沉降影响、垂直下渗和地面漫流影响，大气沉降主要影响因素为钴及其化合物，垂直下渗</w:t>
      </w:r>
      <w:r>
        <w:rPr>
          <w:rFonts w:hint="eastAsia" w:ascii="Arial" w:hAnsi="Arial" w:cs="Arial"/>
          <w:spacing w:val="10"/>
        </w:rPr>
        <w:t>、</w:t>
      </w:r>
      <w:r>
        <w:rPr>
          <w:rFonts w:ascii="Arial" w:hAnsi="Arial" w:cs="Arial"/>
          <w:spacing w:val="10"/>
        </w:rPr>
        <w:t>地面漫流主要因素为</w:t>
      </w:r>
      <w:r>
        <w:rPr>
          <w:rFonts w:hint="eastAsia" w:ascii="Arial" w:hAnsi="Arial" w:cs="Arial"/>
          <w:spacing w:val="10"/>
        </w:rPr>
        <w:t>储槽</w:t>
      </w:r>
      <w:r>
        <w:rPr>
          <w:rFonts w:ascii="Arial" w:hAnsi="Arial" w:cs="Arial"/>
          <w:spacing w:val="10"/>
        </w:rPr>
        <w:t>泄漏。通过上述分析可知，项目排放的</w:t>
      </w:r>
      <w:r>
        <w:rPr>
          <w:rFonts w:hint="eastAsia" w:ascii="Arial" w:hAnsi="Arial" w:cs="Arial"/>
          <w:spacing w:val="10"/>
        </w:rPr>
        <w:t>钴及其化合物</w:t>
      </w:r>
      <w:r>
        <w:rPr>
          <w:rFonts w:ascii="Arial" w:hAnsi="Arial" w:cs="Arial"/>
          <w:spacing w:val="10"/>
        </w:rPr>
        <w:t>对周边土壤有一定的累积影响，但厂区周边建设用地均可达到《土壤环境质量 建设用地土壤污染风险管控标准（试行）》（GB36600-2018）中第二类用地筛选值标准；垂直下渗对土壤影响主要为事故状态下车间各储槽、污水外排槽渗漏等。由于</w:t>
      </w:r>
      <w:r>
        <w:rPr>
          <w:rFonts w:hint="eastAsia" w:ascii="Arial" w:hAnsi="Arial" w:cs="Arial"/>
          <w:spacing w:val="10"/>
        </w:rPr>
        <w:t>项目</w:t>
      </w:r>
      <w:r>
        <w:rPr>
          <w:rFonts w:ascii="Arial" w:hAnsi="Arial" w:cs="Arial"/>
          <w:spacing w:val="10"/>
        </w:rPr>
        <w:t>各储槽均为</w:t>
      </w:r>
      <w:r>
        <w:rPr>
          <w:rFonts w:hint="eastAsia" w:ascii="Arial" w:hAnsi="Arial" w:cs="Arial"/>
          <w:spacing w:val="10"/>
        </w:rPr>
        <w:t>地面</w:t>
      </w:r>
      <w:r>
        <w:rPr>
          <w:rFonts w:ascii="Arial" w:hAnsi="Arial" w:cs="Arial"/>
          <w:spacing w:val="10"/>
        </w:rPr>
        <w:t>槽罐，发生渗漏时易发现，且各槽罐区设置围堰，</w:t>
      </w:r>
      <w:r>
        <w:rPr>
          <w:rFonts w:hint="eastAsia" w:ascii="Arial" w:hAnsi="Arial" w:cs="Arial"/>
          <w:spacing w:val="10"/>
        </w:rPr>
        <w:t>围堰</w:t>
      </w:r>
      <w:r>
        <w:rPr>
          <w:rFonts w:ascii="Arial" w:hAnsi="Arial" w:cs="Arial"/>
          <w:spacing w:val="10"/>
        </w:rPr>
        <w:t>采取防渗措施，因此本次评价不考虑垂直下渗对土壤影响情形；地面漫流对土壤影响主要为事故状态下污水</w:t>
      </w:r>
      <w:r>
        <w:rPr>
          <w:rFonts w:hint="eastAsia" w:ascii="Arial" w:hAnsi="Arial" w:cs="Arial"/>
          <w:spacing w:val="10"/>
        </w:rPr>
        <w:t>外排槽</w:t>
      </w:r>
      <w:r>
        <w:rPr>
          <w:rFonts w:ascii="Arial" w:hAnsi="Arial" w:cs="Arial"/>
          <w:spacing w:val="10"/>
        </w:rPr>
        <w:t>泄漏</w:t>
      </w:r>
      <w:r>
        <w:rPr>
          <w:rFonts w:hint="eastAsia" w:ascii="Arial" w:hAnsi="Arial" w:cs="Arial"/>
          <w:spacing w:val="10"/>
        </w:rPr>
        <w:t>导致</w:t>
      </w:r>
      <w:r>
        <w:rPr>
          <w:rFonts w:ascii="Arial" w:hAnsi="Arial" w:cs="Arial"/>
          <w:spacing w:val="10"/>
        </w:rPr>
        <w:t>废水漫流。由于废水外排槽设置围堰，当污水</w:t>
      </w:r>
      <w:r>
        <w:rPr>
          <w:rFonts w:hint="eastAsia" w:ascii="Arial" w:hAnsi="Arial" w:cs="Arial"/>
          <w:spacing w:val="10"/>
        </w:rPr>
        <w:t>外排槽</w:t>
      </w:r>
      <w:r>
        <w:rPr>
          <w:rFonts w:ascii="Arial" w:hAnsi="Arial" w:cs="Arial"/>
          <w:spacing w:val="10"/>
        </w:rPr>
        <w:t>泄漏污水发生漫流时，废水能截留在</w:t>
      </w:r>
      <w:r>
        <w:rPr>
          <w:rFonts w:hint="eastAsia" w:ascii="Arial" w:hAnsi="Arial" w:cs="Arial"/>
          <w:spacing w:val="10"/>
        </w:rPr>
        <w:t>围堰</w:t>
      </w:r>
      <w:r>
        <w:rPr>
          <w:rFonts w:ascii="Arial" w:hAnsi="Arial" w:cs="Arial"/>
          <w:spacing w:val="10"/>
        </w:rPr>
        <w:t>内，应急水泵可及时将废水通过管道抽送至事故池中，因此本次评价不考虑地面漫流对土壤影响情形。</w:t>
      </w:r>
    </w:p>
    <w:p>
      <w:pPr>
        <w:pStyle w:val="6"/>
        <w:numPr>
          <w:ilvl w:val="0"/>
          <w:numId w:val="20"/>
        </w:numPr>
        <w:tabs>
          <w:tab w:val="clear" w:pos="1789"/>
        </w:tabs>
        <w:spacing w:line="400" w:lineRule="exact"/>
        <w:rPr>
          <w:rFonts w:ascii="Arial" w:hAnsi="Arial" w:eastAsia="宋体" w:cs="Arial"/>
        </w:rPr>
      </w:pPr>
      <w:r>
        <w:rPr>
          <w:rFonts w:ascii="Arial" w:hAnsi="Arial" w:eastAsia="宋体" w:cs="Arial"/>
        </w:rPr>
        <w:t>运营期生态影响分析</w:t>
      </w:r>
    </w:p>
    <w:p>
      <w:pPr>
        <w:pStyle w:val="475"/>
        <w:spacing w:line="500" w:lineRule="exact"/>
        <w:ind w:firstLine="489"/>
        <w:rPr>
          <w:rFonts w:ascii="Arial" w:hAnsi="Arial" w:cs="Arial"/>
          <w:spacing w:val="10"/>
        </w:rPr>
      </w:pPr>
      <w:r>
        <w:rPr>
          <w:rFonts w:ascii="Arial" w:hAnsi="Arial" w:cs="Arial"/>
          <w:spacing w:val="10"/>
        </w:rPr>
        <w:t>变更工程在现有厂区、车间范围内，项目区附近均为工业用地，主要植被为工业区内工业企业绿化植被及市政绿化植被，周边无大型野生动物出没。拟建项目的实施对周边生态环境影响较小。</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340" w:name="_Toc182491391"/>
      <w:bookmarkStart w:id="341" w:name="_Toc185950230"/>
      <w:bookmarkStart w:id="342" w:name="_Toc166675372"/>
      <w:r>
        <w:rPr>
          <w:rFonts w:ascii="Arial" w:eastAsia="宋体" w:cs="Arial"/>
          <w:b/>
        </w:rPr>
        <w:t>风险评价</w:t>
      </w:r>
      <w:bookmarkEnd w:id="340"/>
      <w:bookmarkEnd w:id="341"/>
      <w:bookmarkEnd w:id="342"/>
    </w:p>
    <w:p>
      <w:pPr>
        <w:pStyle w:val="475"/>
        <w:spacing w:line="500" w:lineRule="exact"/>
        <w:ind w:firstLine="489"/>
        <w:rPr>
          <w:rFonts w:ascii="Arial" w:hAnsi="Arial" w:cs="Arial"/>
          <w:spacing w:val="10"/>
        </w:rPr>
      </w:pPr>
      <w:r>
        <w:rPr>
          <w:rFonts w:hint="eastAsia" w:ascii="Arial" w:hAnsi="Arial" w:cs="Arial"/>
          <w:spacing w:val="10"/>
          <w:szCs w:val="24"/>
        </w:rPr>
        <w:t>由于二阶段项目的三元前驱体生产线及相关配套工程已完成环保验收，企业排污许可证已包括该部分内容，其环保手续均已履行，本报告风险评价内容不再考虑三元前驱体生产线。</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风险调查</w:t>
      </w:r>
    </w:p>
    <w:p>
      <w:pPr>
        <w:numPr>
          <w:ilvl w:val="0"/>
          <w:numId w:val="30"/>
        </w:numPr>
        <w:spacing w:line="500" w:lineRule="exact"/>
        <w:jc w:val="left"/>
        <w:outlineLvl w:val="3"/>
        <w:rPr>
          <w:rFonts w:ascii="Arial" w:hAnsi="Arial" w:eastAsia="宋体" w:cs="Arial"/>
          <w:b/>
          <w:bCs/>
          <w:spacing w:val="10"/>
          <w:sz w:val="24"/>
          <w:szCs w:val="22"/>
        </w:rPr>
      </w:pPr>
      <w:r>
        <w:rPr>
          <w:rFonts w:ascii="Arial" w:hAnsi="Arial" w:eastAsia="宋体" w:cs="Arial"/>
          <w:b/>
          <w:bCs/>
          <w:spacing w:val="10"/>
          <w:sz w:val="24"/>
          <w:szCs w:val="22"/>
        </w:rPr>
        <w:t>风险源调查</w:t>
      </w:r>
    </w:p>
    <w:p>
      <w:pPr>
        <w:spacing w:line="500" w:lineRule="exact"/>
        <w:ind w:firstLine="450" w:firstLineChars="200"/>
        <w:rPr>
          <w:rFonts w:ascii="Arial" w:hAnsi="Arial" w:eastAsia="宋体" w:cs="Arial"/>
          <w:sz w:val="24"/>
          <w:szCs w:val="24"/>
        </w:rPr>
      </w:pPr>
      <w:r>
        <w:rPr>
          <w:rFonts w:ascii="Arial" w:hAnsi="Arial" w:eastAsia="宋体" w:cs="Arial"/>
          <w:sz w:val="24"/>
          <w:szCs w:val="24"/>
        </w:rPr>
        <w:t>1.危险物质识别</w:t>
      </w:r>
    </w:p>
    <w:p>
      <w:pPr>
        <w:spacing w:line="500" w:lineRule="exact"/>
        <w:ind w:firstLine="490" w:firstLineChars="200"/>
        <w:jc w:val="left"/>
        <w:rPr>
          <w:rFonts w:ascii="Arial" w:hAnsi="Arial" w:eastAsia="宋体" w:cs="Arial"/>
          <w:spacing w:val="10"/>
          <w:sz w:val="24"/>
          <w:szCs w:val="22"/>
        </w:rPr>
      </w:pPr>
      <w:r>
        <w:rPr>
          <w:rFonts w:ascii="Arial" w:hAnsi="Arial" w:eastAsia="宋体" w:cs="Arial"/>
          <w:spacing w:val="10"/>
          <w:sz w:val="24"/>
          <w:szCs w:val="22"/>
        </w:rPr>
        <w:t>根据项目生产、使用、储存的物质并根据《建设项目环境风险评价技术导则》（HJ169-2018）（以下简称“风险导则”）识别是否属于危险物质，详见表4-</w:t>
      </w:r>
      <w:r>
        <w:rPr>
          <w:rFonts w:hint="eastAsia" w:ascii="Arial" w:hAnsi="Arial" w:eastAsia="宋体" w:cs="Arial"/>
          <w:spacing w:val="10"/>
          <w:sz w:val="24"/>
          <w:szCs w:val="22"/>
        </w:rPr>
        <w:t>36</w:t>
      </w:r>
      <w:r>
        <w:rPr>
          <w:rFonts w:ascii="Arial" w:hAnsi="Arial" w:eastAsia="宋体" w:cs="Arial"/>
          <w:spacing w:val="10"/>
          <w:sz w:val="24"/>
          <w:szCs w:val="22"/>
        </w:rPr>
        <w:t>。</w:t>
      </w:r>
    </w:p>
    <w:p>
      <w:pPr>
        <w:spacing w:line="500" w:lineRule="exact"/>
        <w:ind w:firstLine="490" w:firstLineChars="200"/>
        <w:jc w:val="left"/>
        <w:rPr>
          <w:rFonts w:ascii="Arial" w:hAnsi="Arial" w:eastAsia="宋体" w:cs="Arial"/>
          <w:spacing w:val="10"/>
          <w:sz w:val="24"/>
          <w:szCs w:val="22"/>
        </w:rPr>
      </w:pPr>
    </w:p>
    <w:p>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危险物质识别表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4230"/>
        <w:gridCol w:w="3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物质名称</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是否属于危险物质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硫酸钴晶体</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27.5%双氧水</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32%液碱</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4</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21%氨水</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5</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纯水</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6</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蒸汽</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生产废水</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稀硫酸（15%~20%）</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9</w:t>
            </w:r>
          </w:p>
        </w:tc>
        <w:tc>
          <w:tcPr>
            <w:tcW w:w="42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羟基钴</w:t>
            </w:r>
          </w:p>
        </w:tc>
        <w:tc>
          <w:tcPr>
            <w:tcW w:w="30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是</w:t>
            </w:r>
          </w:p>
        </w:tc>
      </w:tr>
    </w:tbl>
    <w:p>
      <w:pPr>
        <w:spacing w:line="500" w:lineRule="exact"/>
        <w:ind w:firstLine="450" w:firstLineChars="200"/>
        <w:jc w:val="left"/>
        <w:rPr>
          <w:rFonts w:ascii="Arial" w:hAnsi="Arial" w:eastAsia="宋体" w:cs="Arial"/>
          <w:spacing w:val="10"/>
          <w:sz w:val="24"/>
          <w:szCs w:val="22"/>
        </w:rPr>
      </w:pPr>
      <w:r>
        <w:rPr>
          <w:rFonts w:ascii="Arial" w:hAnsi="Arial" w:eastAsia="宋体" w:cs="Arial"/>
          <w:sz w:val="24"/>
          <w:szCs w:val="24"/>
        </w:rPr>
        <w:t>2.危险物质数量和分布情况</w:t>
      </w:r>
    </w:p>
    <w:p>
      <w:pPr>
        <w:spacing w:line="500" w:lineRule="exact"/>
        <w:ind w:firstLine="490" w:firstLineChars="200"/>
        <w:jc w:val="left"/>
        <w:rPr>
          <w:rFonts w:ascii="Arial" w:hAnsi="Arial" w:eastAsia="宋体" w:cs="Arial"/>
          <w:sz w:val="24"/>
          <w:szCs w:val="24"/>
        </w:rPr>
      </w:pPr>
      <w:r>
        <w:rPr>
          <w:rFonts w:ascii="Arial" w:hAnsi="Arial" w:eastAsia="宋体" w:cs="Arial"/>
          <w:spacing w:val="10"/>
          <w:sz w:val="24"/>
          <w:szCs w:val="22"/>
        </w:rPr>
        <w:t>根据表4-</w:t>
      </w:r>
      <w:r>
        <w:rPr>
          <w:rFonts w:hint="eastAsia" w:ascii="Arial" w:hAnsi="Arial" w:eastAsia="宋体" w:cs="Arial"/>
          <w:spacing w:val="10"/>
          <w:sz w:val="24"/>
          <w:szCs w:val="22"/>
        </w:rPr>
        <w:t>36</w:t>
      </w:r>
      <w:r>
        <w:rPr>
          <w:rFonts w:ascii="Arial" w:hAnsi="Arial" w:eastAsia="宋体" w:cs="Arial"/>
          <w:spacing w:val="10"/>
          <w:sz w:val="24"/>
          <w:szCs w:val="22"/>
        </w:rPr>
        <w:t>，项目危险物质的分布情况及</w:t>
      </w:r>
      <w:r>
        <w:rPr>
          <w:rFonts w:ascii="Arial" w:hAnsi="Arial" w:eastAsia="宋体" w:cs="Arial"/>
          <w:sz w:val="24"/>
          <w:szCs w:val="24"/>
        </w:rPr>
        <w:t>最大存在量见表4-</w:t>
      </w:r>
      <w:r>
        <w:rPr>
          <w:rFonts w:hint="eastAsia" w:ascii="Arial" w:hAnsi="Arial" w:eastAsia="宋体" w:cs="Arial"/>
          <w:sz w:val="24"/>
          <w:szCs w:val="24"/>
        </w:rPr>
        <w:t>37</w:t>
      </w:r>
      <w:r>
        <w:rPr>
          <w:rFonts w:ascii="Arial" w:hAnsi="Arial" w:eastAsia="宋体" w:cs="Arial"/>
          <w:sz w:val="24"/>
          <w:szCs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危险物质分布情况</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2257"/>
        <w:gridCol w:w="3272"/>
        <w:gridCol w:w="2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2257"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危险物质名称</w:t>
            </w:r>
          </w:p>
        </w:tc>
        <w:tc>
          <w:tcPr>
            <w:tcW w:w="3272"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分布情况</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2257" w:type="dxa"/>
            <w:vMerge w:val="restart"/>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rPr>
              <w:t>硫酸钴晶体</w:t>
            </w: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原料暂存区</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100（折钴20.45）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vMerge w:val="continue"/>
            <w:tcBorders>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p>
        </w:tc>
        <w:tc>
          <w:tcPr>
            <w:tcW w:w="2257" w:type="dxa"/>
            <w:vMerge w:val="continue"/>
            <w:tcBorders>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rPr>
            </w:pP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湿区</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2.29（折钴）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2257" w:type="dxa"/>
            <w:vMerge w:val="restart"/>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21%氨水</w:t>
            </w: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X19车间（西面氨水中转罐）</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p>
        </w:tc>
        <w:tc>
          <w:tcPr>
            <w:tcW w:w="2257" w:type="dxa"/>
            <w:vMerge w:val="continue"/>
            <w:tcBorders>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湿区</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22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lang w:bidi="ar"/>
              </w:rPr>
              <w:t>生产废水（中转）</w:t>
            </w: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highlight w:val="yellow"/>
              </w:rPr>
            </w:pPr>
            <w:r>
              <w:rPr>
                <w:rFonts w:hint="eastAsia" w:ascii="Arial" w:hAnsi="Arial" w:eastAsia="宋体" w:cs="Arial"/>
                <w:spacing w:val="10"/>
                <w:sz w:val="21"/>
                <w:szCs w:val="21"/>
              </w:rPr>
              <w:t>X19车间（东面洗水外排槽）</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highlight w:val="yellow"/>
              </w:rPr>
            </w:pPr>
            <w:r>
              <w:rPr>
                <w:rFonts w:hint="eastAsia" w:ascii="Arial" w:hAnsi="Arial" w:eastAsia="宋体" w:cs="Arial"/>
                <w:sz w:val="21"/>
                <w:szCs w:val="21"/>
              </w:rPr>
              <w:t>75</w:t>
            </w:r>
            <w:r>
              <w:rPr>
                <w:rFonts w:hint="eastAsia" w:ascii="Arial" w:hAnsi="Arial" w:eastAsia="宋体" w:cs="Arial"/>
                <w:spacing w:val="10"/>
                <w:sz w:val="21"/>
                <w:szCs w:val="21"/>
              </w:rPr>
              <w:t>（折钴0.000075）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w:t>
            </w:r>
          </w:p>
        </w:tc>
        <w:tc>
          <w:tcPr>
            <w:tcW w:w="22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lang w:bidi="ar"/>
              </w:rPr>
            </w:pPr>
            <w:r>
              <w:rPr>
                <w:rFonts w:hint="eastAsia" w:ascii="Arial" w:hAnsi="Arial" w:eastAsia="宋体" w:cs="Arial"/>
                <w:kern w:val="0"/>
                <w:sz w:val="21"/>
                <w:szCs w:val="21"/>
                <w:lang w:bidi="ar"/>
              </w:rPr>
              <w:t>稀硫酸</w:t>
            </w: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X19车间（西面配酸槽）</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1（折纯0.2）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6"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5</w:t>
            </w:r>
          </w:p>
        </w:tc>
        <w:tc>
          <w:tcPr>
            <w:tcW w:w="2257"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羟基钴</w:t>
            </w:r>
          </w:p>
        </w:tc>
        <w:tc>
          <w:tcPr>
            <w:tcW w:w="32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X1</w:t>
            </w:r>
            <w:r>
              <w:rPr>
                <w:rFonts w:hint="eastAsia" w:ascii="Arial" w:hAnsi="Arial" w:eastAsia="宋体" w:cs="Arial"/>
                <w:spacing w:val="10"/>
                <w:sz w:val="21"/>
                <w:szCs w:val="21"/>
                <w:u w:val="single"/>
              </w:rPr>
              <w:t>9</w:t>
            </w:r>
            <w:r>
              <w:rPr>
                <w:rFonts w:ascii="Arial" w:hAnsi="Arial" w:eastAsia="宋体" w:cs="Arial"/>
                <w:spacing w:val="10"/>
                <w:sz w:val="21"/>
                <w:szCs w:val="21"/>
                <w:u w:val="single"/>
              </w:rPr>
              <w:t>车间</w:t>
            </w:r>
            <w:r>
              <w:rPr>
                <w:rFonts w:hint="eastAsia" w:ascii="Arial" w:hAnsi="Arial" w:eastAsia="宋体" w:cs="Arial"/>
                <w:spacing w:val="10"/>
                <w:sz w:val="21"/>
                <w:szCs w:val="21"/>
                <w:u w:val="single"/>
              </w:rPr>
              <w:t>产品区</w:t>
            </w:r>
          </w:p>
        </w:tc>
        <w:tc>
          <w:tcPr>
            <w:tcW w:w="264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20（</w:t>
            </w:r>
            <w:r>
              <w:rPr>
                <w:rFonts w:hint="eastAsia" w:ascii="Arial" w:hAnsi="Arial" w:eastAsia="宋体" w:cs="Arial"/>
                <w:spacing w:val="10"/>
                <w:sz w:val="21"/>
                <w:szCs w:val="21"/>
                <w:u w:val="single"/>
              </w:rPr>
              <w:t>折钴12.416</w:t>
            </w:r>
            <w:r>
              <w:rPr>
                <w:rFonts w:hint="eastAsia" w:ascii="Arial" w:hAnsi="Arial" w:eastAsia="宋体" w:cs="Arial"/>
                <w:sz w:val="21"/>
                <w:szCs w:val="21"/>
                <w:u w:val="single"/>
              </w:rPr>
              <w:t>）</w:t>
            </w:r>
          </w:p>
        </w:tc>
      </w:tr>
    </w:tbl>
    <w:p>
      <w:pPr>
        <w:spacing w:line="500" w:lineRule="exact"/>
        <w:ind w:firstLine="450" w:firstLineChars="200"/>
        <w:rPr>
          <w:rFonts w:ascii="Arial" w:hAnsi="Arial" w:eastAsia="宋体" w:cs="Arial"/>
          <w:sz w:val="24"/>
          <w:szCs w:val="24"/>
        </w:rPr>
      </w:pPr>
      <w:r>
        <w:rPr>
          <w:rFonts w:ascii="Arial" w:hAnsi="Arial" w:eastAsia="宋体" w:cs="Arial"/>
          <w:sz w:val="24"/>
          <w:szCs w:val="24"/>
        </w:rPr>
        <w:t>3.生产工艺特点</w:t>
      </w:r>
    </w:p>
    <w:p>
      <w:pPr>
        <w:spacing w:line="500" w:lineRule="exact"/>
        <w:ind w:firstLine="490" w:firstLineChars="200"/>
        <w:jc w:val="left"/>
        <w:rPr>
          <w:rFonts w:ascii="Arial" w:hAnsi="Arial" w:eastAsia="宋体" w:cs="Arial"/>
          <w:spacing w:val="10"/>
          <w:sz w:val="24"/>
          <w:szCs w:val="22"/>
        </w:rPr>
      </w:pPr>
      <w:r>
        <w:rPr>
          <w:rFonts w:ascii="Arial" w:hAnsi="Arial" w:eastAsia="宋体" w:cs="Arial"/>
          <w:spacing w:val="10"/>
          <w:sz w:val="24"/>
          <w:szCs w:val="22"/>
        </w:rPr>
        <w:t>根据《国家安全监管总局关于公布首批重点监管的危险化工工艺目录的通知》（安监总管三〔2009〕116号）中附件1以及《国家安全监管总局关于公布第二批重点监管危险化工工艺目录和调整首批重点监管危险化工工艺中部分典型工艺的通知》（国家安监总管三〔2013〕3号），项目涉及氧化工艺。</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4.危险物质安全技术说明书（MSDS）</w:t>
      </w:r>
    </w:p>
    <w:p>
      <w:pPr>
        <w:numPr>
          <w:ilvl w:val="0"/>
          <w:numId w:val="22"/>
        </w:numPr>
        <w:spacing w:line="500" w:lineRule="exact"/>
        <w:ind w:left="0" w:firstLine="0"/>
        <w:jc w:val="center"/>
        <w:outlineLvl w:val="4"/>
        <w:rPr>
          <w:rFonts w:ascii="Arial" w:hAnsi="Arial" w:eastAsia="宋体" w:cs="Arial"/>
          <w:b/>
          <w:bCs/>
          <w:spacing w:val="10"/>
          <w:sz w:val="24"/>
          <w:szCs w:val="22"/>
        </w:rPr>
      </w:pPr>
      <w:r>
        <w:rPr>
          <w:rFonts w:ascii="Arial" w:hAnsi="Arial" w:eastAsia="宋体" w:cs="Arial"/>
          <w:b/>
          <w:bCs/>
          <w:spacing w:val="10"/>
          <w:sz w:val="24"/>
          <w:szCs w:val="22"/>
        </w:rPr>
        <w:t>氨水安全技术说明书</w:t>
      </w:r>
    </w:p>
    <w:tbl>
      <w:tblPr>
        <w:tblStyle w:val="88"/>
        <w:tblW w:w="899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383"/>
        <w:gridCol w:w="2302"/>
        <w:gridCol w:w="1861"/>
        <w:gridCol w:w="2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标识</w:t>
            </w: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中文名</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氨水、氨溶液</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英文名</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Ammonia water；</w:t>
            </w:r>
          </w:p>
          <w:p>
            <w:pPr>
              <w:spacing w:line="240" w:lineRule="exact"/>
              <w:jc w:val="center"/>
              <w:rPr>
                <w:rFonts w:ascii="Arial" w:hAnsi="Arial" w:eastAsia="宋体" w:cs="Arial"/>
                <w:sz w:val="21"/>
                <w:szCs w:val="21"/>
              </w:rPr>
            </w:pPr>
            <w:r>
              <w:rPr>
                <w:rFonts w:ascii="Arial" w:hAnsi="Arial" w:eastAsia="宋体" w:cs="Arial"/>
                <w:sz w:val="21"/>
                <w:szCs w:val="21"/>
              </w:rPr>
              <w:t>Ammonium hydroxide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分子式</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4</w:t>
            </w:r>
            <w:r>
              <w:rPr>
                <w:rFonts w:ascii="Arial" w:hAnsi="Arial" w:eastAsia="宋体" w:cs="Arial"/>
                <w:sz w:val="21"/>
                <w:szCs w:val="21"/>
              </w:rPr>
              <w:t>OH</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目录序号</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分子量</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35.05</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UN编号</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p>
        </w:tc>
        <w:tc>
          <w:tcPr>
            <w:tcW w:w="2302" w:type="dxa"/>
            <w:vAlign w:val="center"/>
          </w:tcPr>
          <w:p>
            <w:pPr>
              <w:spacing w:line="240" w:lineRule="exact"/>
              <w:jc w:val="center"/>
              <w:rPr>
                <w:rFonts w:ascii="Arial" w:hAnsi="Arial" w:eastAsia="宋体" w:cs="Arial"/>
                <w:sz w:val="21"/>
                <w:szCs w:val="21"/>
              </w:rPr>
            </w:pP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CAS号</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1336-21-6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皮肤腐蚀/刺激，类别1B；严重眼损伤/眼刺激，类别1；特异性靶器官毒性-一次接触,类别3（呼吸道刺激）；危害水生环境-急性危害，类别1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理化性质</w:t>
            </w: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相对密度(水=1)</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相对密度(空气=1)</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溶解性</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溶于水、醇</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饱和蒸汽压(kPa)</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1.59(20</w:t>
            </w:r>
            <w:r>
              <w:rPr>
                <w:rFonts w:hint="eastAsia" w:ascii="宋体" w:hAnsi="宋体" w:eastAsia="宋体" w:cs="宋体"/>
                <w:sz w:val="21"/>
                <w:szCs w:val="21"/>
              </w:rPr>
              <w:t>℃</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临界温度(</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临界压力(MPa)</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性状</w:t>
            </w:r>
          </w:p>
        </w:tc>
        <w:tc>
          <w:tcPr>
            <w:tcW w:w="6425" w:type="dxa"/>
            <w:gridSpan w:val="3"/>
            <w:vAlign w:val="center"/>
          </w:tcPr>
          <w:p>
            <w:pPr>
              <w:spacing w:line="240" w:lineRule="exact"/>
              <w:jc w:val="center"/>
              <w:rPr>
                <w:rFonts w:ascii="Arial" w:hAnsi="Arial" w:eastAsia="宋体" w:cs="Arial"/>
                <w:sz w:val="21"/>
                <w:szCs w:val="21"/>
              </w:rPr>
            </w:pPr>
            <w:r>
              <w:rPr>
                <w:rFonts w:ascii="Arial" w:hAnsi="Arial" w:eastAsia="宋体" w:cs="Arial"/>
                <w:sz w:val="21"/>
                <w:szCs w:val="21"/>
              </w:rPr>
              <w:t>无色透明液体，有强烈的刺激性臭味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主要用途</w:t>
            </w:r>
          </w:p>
        </w:tc>
        <w:tc>
          <w:tcPr>
            <w:tcW w:w="6425" w:type="dxa"/>
            <w:gridSpan w:val="3"/>
            <w:vAlign w:val="center"/>
          </w:tcPr>
          <w:p>
            <w:pPr>
              <w:spacing w:line="240" w:lineRule="exact"/>
              <w:jc w:val="center"/>
              <w:rPr>
                <w:rFonts w:ascii="Arial" w:hAnsi="Arial" w:eastAsia="宋体" w:cs="Arial"/>
                <w:sz w:val="21"/>
                <w:szCs w:val="21"/>
              </w:rPr>
            </w:pPr>
            <w:r>
              <w:rPr>
                <w:rFonts w:ascii="Arial" w:hAnsi="Arial" w:eastAsia="宋体" w:cs="Arial"/>
                <w:sz w:val="21"/>
                <w:szCs w:val="21"/>
              </w:rPr>
              <w:t>用于制药工业，纱罩业，晒图，农业施肥等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燃烧爆炸危险性</w:t>
            </w: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燃烧性</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不燃</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燃烧分解产物</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聚合危害</w:t>
            </w:r>
          </w:p>
        </w:tc>
        <w:tc>
          <w:tcPr>
            <w:tcW w:w="230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不聚合</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稳定性</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禁忌物</w:t>
            </w:r>
          </w:p>
        </w:tc>
        <w:tc>
          <w:tcPr>
            <w:tcW w:w="6425" w:type="dxa"/>
            <w:gridSpan w:val="3"/>
            <w:vAlign w:val="center"/>
          </w:tcPr>
          <w:p>
            <w:pPr>
              <w:spacing w:line="240" w:lineRule="exact"/>
              <w:jc w:val="center"/>
              <w:rPr>
                <w:rFonts w:ascii="Arial" w:hAnsi="Arial" w:eastAsia="宋体" w:cs="Arial"/>
                <w:sz w:val="21"/>
                <w:szCs w:val="21"/>
              </w:rPr>
            </w:pPr>
            <w:r>
              <w:rPr>
                <w:rFonts w:ascii="Arial" w:hAnsi="Arial" w:eastAsia="宋体" w:cs="Arial"/>
                <w:sz w:val="21"/>
                <w:szCs w:val="21"/>
              </w:rPr>
              <w:t>酸类、铝、铜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危险特性</w:t>
            </w:r>
          </w:p>
        </w:tc>
        <w:tc>
          <w:tcPr>
            <w:tcW w:w="6425" w:type="dxa"/>
            <w:gridSpan w:val="3"/>
            <w:vAlign w:val="center"/>
          </w:tcPr>
          <w:p>
            <w:pPr>
              <w:spacing w:line="240" w:lineRule="exact"/>
              <w:jc w:val="center"/>
              <w:rPr>
                <w:rFonts w:ascii="Arial" w:hAnsi="Arial" w:eastAsia="宋体" w:cs="Arial"/>
                <w:spacing w:val="-6"/>
                <w:sz w:val="21"/>
                <w:szCs w:val="21"/>
              </w:rPr>
            </w:pPr>
            <w:r>
              <w:rPr>
                <w:rFonts w:ascii="Arial" w:hAnsi="Arial" w:eastAsia="宋体" w:cs="Arial"/>
                <w:sz w:val="21"/>
                <w:szCs w:val="21"/>
              </w:rPr>
              <w:t>易分解放出氨气，温度较高，分解速度越快，可形成爆炸性气体环境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灭火剂</w:t>
            </w:r>
          </w:p>
        </w:tc>
        <w:tc>
          <w:tcPr>
            <w:tcW w:w="6425" w:type="dxa"/>
            <w:gridSpan w:val="3"/>
            <w:vAlign w:val="center"/>
          </w:tcPr>
          <w:p>
            <w:pPr>
              <w:spacing w:line="240" w:lineRule="exact"/>
              <w:jc w:val="center"/>
              <w:rPr>
                <w:rFonts w:ascii="Arial" w:hAnsi="Arial" w:eastAsia="宋体" w:cs="Arial"/>
                <w:sz w:val="21"/>
                <w:szCs w:val="21"/>
              </w:rPr>
            </w:pPr>
            <w:r>
              <w:rPr>
                <w:rFonts w:ascii="Arial" w:hAnsi="Arial" w:eastAsia="宋体" w:cs="Arial"/>
                <w:sz w:val="21"/>
                <w:szCs w:val="21"/>
              </w:rPr>
              <w:t>水、雾状水、砂土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毒性</w:t>
            </w: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接触限值：中国MAC未制定标准；前苏联MAC未制定标准；美国TLV-TWA未制定标准；美国TLV-STEL未制定标准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人体危害</w:t>
            </w: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吸入后对鼻、喉和肺有刺激性，引起咳嗽、气短和哮喘等；重者发生喉头水肿、肺水肿及心、肝、肾损害。溅入眼内可造成灼伤。皮肤接触可致灼伤。口服灼伤消化道。</w:t>
            </w:r>
          </w:p>
          <w:p>
            <w:pPr>
              <w:spacing w:line="240" w:lineRule="exact"/>
              <w:rPr>
                <w:rFonts w:ascii="Arial" w:hAnsi="Arial" w:eastAsia="宋体" w:cs="Arial"/>
                <w:sz w:val="21"/>
                <w:szCs w:val="21"/>
              </w:rPr>
            </w:pPr>
            <w:r>
              <w:rPr>
                <w:rFonts w:ascii="Arial" w:hAnsi="Arial" w:eastAsia="宋体" w:cs="Arial"/>
                <w:sz w:val="21"/>
                <w:szCs w:val="21"/>
              </w:rPr>
              <w:t>慢性影响：反复低浓度接触，可引起支气管炎；可致皮炎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急救</w:t>
            </w: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皮肤接触立即脱去被污染的衣着，用大量流动清水冲洗，至少15分钟。就医。</w:t>
            </w:r>
          </w:p>
          <w:p>
            <w:pPr>
              <w:spacing w:line="240" w:lineRule="exact"/>
              <w:rPr>
                <w:rFonts w:ascii="Arial" w:hAnsi="Arial" w:eastAsia="宋体" w:cs="Arial"/>
                <w:sz w:val="21"/>
                <w:szCs w:val="21"/>
              </w:rPr>
            </w:pPr>
            <w:r>
              <w:rPr>
                <w:rFonts w:ascii="Arial" w:hAnsi="Arial" w:eastAsia="宋体" w:cs="Arial"/>
                <w:sz w:val="21"/>
                <w:szCs w:val="21"/>
              </w:rPr>
              <w:t>吸入后迅速脱离现场至空气新鲜处；保持呼吸道通畅。如呼吸困难，给输氧。如呼吸停止，立即进行人工呼吸。就医。</w:t>
            </w:r>
          </w:p>
          <w:p>
            <w:pPr>
              <w:spacing w:line="240" w:lineRule="exact"/>
              <w:rPr>
                <w:rFonts w:ascii="Arial" w:hAnsi="Arial" w:eastAsia="宋体" w:cs="Arial"/>
                <w:sz w:val="21"/>
                <w:szCs w:val="21"/>
              </w:rPr>
            </w:pPr>
            <w:r>
              <w:rPr>
                <w:rFonts w:ascii="Arial" w:hAnsi="Arial" w:eastAsia="宋体" w:cs="Arial"/>
                <w:sz w:val="21"/>
                <w:szCs w:val="21"/>
              </w:rPr>
              <w:t>误服者用水漱口，给饮牛奶或蛋清。就医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防护</w:t>
            </w: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工程控制：严加密闭，提供充分的局部排风。提供安全淋浴和洗眼设备。</w:t>
            </w:r>
          </w:p>
          <w:p>
            <w:pPr>
              <w:spacing w:line="240" w:lineRule="exact"/>
              <w:rPr>
                <w:rFonts w:ascii="Arial" w:hAnsi="Arial" w:eastAsia="宋体" w:cs="Arial"/>
                <w:sz w:val="21"/>
                <w:szCs w:val="21"/>
              </w:rPr>
            </w:pPr>
            <w:r>
              <w:rPr>
                <w:rFonts w:ascii="Arial" w:hAnsi="Arial" w:eastAsia="宋体" w:cs="Arial"/>
                <w:sz w:val="21"/>
                <w:szCs w:val="21"/>
              </w:rPr>
              <w:t>个体防护：可能接触其蒸气时，应该佩戴导管式防毒面具或直接式防毒面具（半面罩）。戴化学安全防护眼镜。穿防酸碱工作服。戴橡胶手套。</w:t>
            </w:r>
          </w:p>
          <w:p>
            <w:pPr>
              <w:spacing w:line="240" w:lineRule="exact"/>
              <w:rPr>
                <w:rFonts w:ascii="Arial" w:hAnsi="Arial" w:eastAsia="宋体" w:cs="Arial"/>
                <w:sz w:val="21"/>
                <w:szCs w:val="21"/>
              </w:rPr>
            </w:pPr>
            <w:r>
              <w:rPr>
                <w:rFonts w:hint="eastAsia" w:ascii="Arial" w:hAnsi="Arial" w:eastAsia="宋体" w:cs="Arial"/>
                <w:sz w:val="21"/>
                <w:szCs w:val="21"/>
                <w:lang w:eastAsia="zh-CN"/>
              </w:rPr>
              <w:t>其他</w:t>
            </w:r>
            <w:r>
              <w:rPr>
                <w:rFonts w:ascii="Arial" w:hAnsi="Arial" w:eastAsia="宋体" w:cs="Arial"/>
                <w:sz w:val="21"/>
                <w:szCs w:val="21"/>
              </w:rPr>
              <w:t>：工作现场禁止吸烟、进食和饮水。工作毕淋浴更衣。保持良好卫生习惯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泄漏处理</w:t>
            </w:r>
          </w:p>
        </w:tc>
        <w:tc>
          <w:tcPr>
            <w:tcW w:w="7808" w:type="dxa"/>
            <w:gridSpan w:val="4"/>
          </w:tcPr>
          <w:p>
            <w:pPr>
              <w:spacing w:line="240" w:lineRule="exact"/>
              <w:rPr>
                <w:rFonts w:ascii="Arial" w:hAnsi="Arial" w:eastAsia="宋体" w:cs="Arial"/>
                <w:sz w:val="21"/>
                <w:szCs w:val="21"/>
              </w:rPr>
            </w:pPr>
            <w:r>
              <w:rPr>
                <w:rFonts w:ascii="Arial" w:hAnsi="Arial" w:eastAsia="宋体" w:cs="Arial"/>
                <w:sz w:val="21"/>
                <w:szCs w:val="21"/>
              </w:rPr>
              <w:t>迅速撤离泄漏污染区人员至安全区，并进行隔离，严格限制出入。建议应急处理人员戴自给正压式呼吸器，穿防酸碱工作服。不要直接接触泄漏物。尽可能切断泄漏源。防止进入下水道、排洪沟等限制性空间。</w:t>
            </w:r>
          </w:p>
          <w:p>
            <w:pPr>
              <w:spacing w:line="240" w:lineRule="exact"/>
              <w:rPr>
                <w:rFonts w:ascii="Arial" w:hAnsi="Arial" w:eastAsia="宋体" w:cs="Arial"/>
                <w:sz w:val="21"/>
                <w:szCs w:val="21"/>
              </w:rPr>
            </w:pPr>
            <w:r>
              <w:rPr>
                <w:rFonts w:ascii="Arial" w:hAnsi="Arial" w:eastAsia="宋体" w:cs="Arial"/>
                <w:sz w:val="21"/>
                <w:szCs w:val="21"/>
              </w:rPr>
              <w:t>小量泄漏：用砂土、蛭石</w:t>
            </w:r>
            <w:r>
              <w:rPr>
                <w:rFonts w:ascii="Arial" w:hAnsi="Arial" w:cs="Arial"/>
                <w:sz w:val="21"/>
                <w:szCs w:val="21"/>
              </w:rPr>
              <w:t>或其他</w:t>
            </w:r>
            <w:r>
              <w:rPr>
                <w:rFonts w:ascii="Arial" w:hAnsi="Arial" w:eastAsia="宋体" w:cs="Arial"/>
                <w:sz w:val="21"/>
                <w:szCs w:val="21"/>
              </w:rPr>
              <w:t>惰性材料吸收。也可以用大量水冲洗，洗水稀释后放入废水系统。</w:t>
            </w:r>
          </w:p>
          <w:p>
            <w:pPr>
              <w:spacing w:line="240" w:lineRule="exact"/>
              <w:rPr>
                <w:rFonts w:ascii="Arial" w:hAnsi="Arial" w:eastAsia="宋体" w:cs="Arial"/>
                <w:sz w:val="21"/>
                <w:szCs w:val="21"/>
              </w:rPr>
            </w:pPr>
            <w:r>
              <w:rPr>
                <w:rFonts w:ascii="Arial" w:hAnsi="Arial" w:eastAsia="宋体" w:cs="Arial"/>
                <w:sz w:val="21"/>
                <w:szCs w:val="21"/>
              </w:rPr>
              <w:t>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储运</w:t>
            </w:r>
          </w:p>
        </w:tc>
        <w:tc>
          <w:tcPr>
            <w:tcW w:w="7808" w:type="dxa"/>
            <w:gridSpan w:val="4"/>
          </w:tcPr>
          <w:p>
            <w:pPr>
              <w:spacing w:line="240" w:lineRule="exact"/>
              <w:rPr>
                <w:rFonts w:ascii="Arial" w:hAnsi="Arial" w:eastAsia="宋体" w:cs="Arial"/>
                <w:spacing w:val="-2"/>
                <w:sz w:val="21"/>
                <w:szCs w:val="21"/>
              </w:rPr>
            </w:pPr>
            <w:r>
              <w:rPr>
                <w:rFonts w:ascii="Arial" w:hAnsi="Arial" w:eastAsia="宋体" w:cs="Arial"/>
                <w:spacing w:val="-2"/>
                <w:sz w:val="21"/>
                <w:szCs w:val="21"/>
              </w:rPr>
              <w:t>储存于阴凉、干燥、通风良好的仓间。远离火种、热源，防止阳光直射。保持容器密封。应与酸类、金属粉末等分开存放。露天贮罐夏季要有降温措施。分装和搬运作业要注意个人防护。搬运时要轻装轻卸，防止包装及容器损坏。运输按规定路线行驶，勿在居民区和人口稠密区停留</w:t>
            </w:r>
          </w:p>
        </w:tc>
      </w:tr>
    </w:tbl>
    <w:p>
      <w:pPr>
        <w:numPr>
          <w:ilvl w:val="0"/>
          <w:numId w:val="22"/>
        </w:numPr>
        <w:spacing w:line="500" w:lineRule="exact"/>
        <w:ind w:left="0" w:firstLine="0"/>
        <w:jc w:val="center"/>
        <w:outlineLvl w:val="4"/>
        <w:rPr>
          <w:rFonts w:ascii="Arial" w:hAnsi="Arial" w:eastAsia="宋体" w:cs="Arial"/>
          <w:b/>
          <w:bCs/>
          <w:spacing w:val="10"/>
          <w:sz w:val="24"/>
          <w:szCs w:val="22"/>
        </w:rPr>
      </w:pPr>
      <w:r>
        <w:rPr>
          <w:rFonts w:hint="eastAsia" w:ascii="Arial" w:hAnsi="Arial" w:eastAsia="宋体" w:cs="Arial"/>
          <w:b/>
          <w:bCs/>
          <w:spacing w:val="10"/>
          <w:sz w:val="24"/>
          <w:szCs w:val="22"/>
        </w:rPr>
        <w:t>硫酸安全技术说明书</w:t>
      </w:r>
    </w:p>
    <w:tbl>
      <w:tblPr>
        <w:tblStyle w:val="88"/>
        <w:tblW w:w="8993"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61"/>
        <w:gridCol w:w="171"/>
        <w:gridCol w:w="351"/>
        <w:gridCol w:w="183"/>
        <w:gridCol w:w="174"/>
        <w:gridCol w:w="707"/>
        <w:gridCol w:w="531"/>
        <w:gridCol w:w="351"/>
        <w:gridCol w:w="523"/>
        <w:gridCol w:w="360"/>
        <w:gridCol w:w="167"/>
        <w:gridCol w:w="362"/>
        <w:gridCol w:w="178"/>
        <w:gridCol w:w="872"/>
        <w:gridCol w:w="358"/>
        <w:gridCol w:w="26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052" w:type="dxa"/>
            <w:gridSpan w:val="9"/>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化学品中文名称：硫酸</w:t>
            </w:r>
          </w:p>
        </w:tc>
        <w:tc>
          <w:tcPr>
            <w:tcW w:w="4941" w:type="dxa"/>
            <w:gridSpan w:val="7"/>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危规号  81007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052" w:type="dxa"/>
            <w:gridSpan w:val="9"/>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化学品英文名称：</w:t>
            </w:r>
            <w:r>
              <w:rPr>
                <w:rFonts w:ascii="Arial" w:hAnsi="Arial" w:eastAsia="宋体" w:cs="Arial"/>
                <w:sz w:val="21"/>
                <w:szCs w:val="21"/>
                <w:shd w:val="clear" w:color="auto" w:fill="FFFFFF"/>
              </w:rPr>
              <w:t>Sulfuric acid</w:t>
            </w:r>
          </w:p>
        </w:tc>
        <w:tc>
          <w:tcPr>
            <w:tcW w:w="4941" w:type="dxa"/>
            <w:gridSpan w:val="7"/>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CAS：</w:t>
            </w:r>
            <w:r>
              <w:rPr>
                <w:rFonts w:ascii="Arial" w:hAnsi="Arial" w:eastAsia="宋体" w:cs="Arial"/>
                <w:sz w:val="21"/>
                <w:szCs w:val="21"/>
                <w:shd w:val="clear" w:color="auto" w:fill="FFFFFF"/>
              </w:rPr>
              <w:t>7664-93-9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052" w:type="dxa"/>
            <w:gridSpan w:val="9"/>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分子式：</w:t>
            </w:r>
            <w:r>
              <w:rPr>
                <w:rFonts w:ascii="Arial" w:hAnsi="Arial" w:eastAsia="宋体" w:cs="Arial"/>
                <w:sz w:val="21"/>
                <w:szCs w:val="21"/>
                <w:shd w:val="clear" w:color="auto" w:fill="FFFFFF"/>
              </w:rPr>
              <w:t>H</w:t>
            </w:r>
            <w:r>
              <w:rPr>
                <w:rFonts w:ascii="Cambria Math" w:hAnsi="Cambria Math" w:eastAsia="宋体" w:cs="Cambria Math"/>
                <w:sz w:val="21"/>
                <w:szCs w:val="21"/>
                <w:shd w:val="clear" w:color="auto" w:fill="FFFFFF"/>
              </w:rPr>
              <w:t>₂</w:t>
            </w:r>
            <w:r>
              <w:rPr>
                <w:rFonts w:ascii="Arial" w:hAnsi="Arial" w:eastAsia="宋体" w:cs="Arial"/>
                <w:sz w:val="21"/>
                <w:szCs w:val="21"/>
                <w:shd w:val="clear" w:color="auto" w:fill="FFFFFF"/>
              </w:rPr>
              <w:t>SO</w:t>
            </w:r>
            <w:r>
              <w:rPr>
                <w:rFonts w:ascii="Cambria Math" w:hAnsi="Cambria Math" w:eastAsia="宋体" w:cs="Cambria Math"/>
                <w:sz w:val="21"/>
                <w:szCs w:val="21"/>
                <w:shd w:val="clear" w:color="auto" w:fill="FFFFFF"/>
              </w:rPr>
              <w:t>₄</w:t>
            </w:r>
          </w:p>
        </w:tc>
        <w:tc>
          <w:tcPr>
            <w:tcW w:w="4941" w:type="dxa"/>
            <w:gridSpan w:val="7"/>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分子量：</w:t>
            </w:r>
            <w:r>
              <w:rPr>
                <w:rFonts w:ascii="Arial" w:hAnsi="Arial" w:eastAsia="宋体" w:cs="Arial"/>
                <w:sz w:val="21"/>
                <w:szCs w:val="21"/>
                <w:shd w:val="clear" w:color="auto" w:fill="FFFFFF"/>
              </w:rPr>
              <w:t>98.078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理化特性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940"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707"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10.5</w:t>
            </w:r>
          </w:p>
        </w:tc>
        <w:tc>
          <w:tcPr>
            <w:tcW w:w="1765"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4581" w:type="dxa"/>
            <w:gridSpan w:val="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330.0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940"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比重（水=1）</w:t>
            </w:r>
          </w:p>
        </w:tc>
        <w:tc>
          <w:tcPr>
            <w:tcW w:w="707"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1.83</w:t>
            </w:r>
          </w:p>
        </w:tc>
        <w:tc>
          <w:tcPr>
            <w:tcW w:w="1765"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饱和蒸气压（kPa）</w:t>
            </w:r>
          </w:p>
        </w:tc>
        <w:tc>
          <w:tcPr>
            <w:tcW w:w="4581" w:type="dxa"/>
            <w:gridSpan w:val="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0.13（145.8</w:t>
            </w:r>
            <w:r>
              <w:rPr>
                <w:rFonts w:hint="eastAsia" w:ascii="宋体" w:hAnsi="宋体" w:eastAsia="宋体" w:cs="宋体"/>
                <w:sz w:val="21"/>
                <w:szCs w:val="21"/>
              </w:rPr>
              <w:t>℃</w:t>
            </w:r>
            <w:r>
              <w:rPr>
                <w:rFonts w:ascii="Arial" w:hAnsi="Arial" w:eastAsia="宋体" w:cs="Arial"/>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940"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蒸气密度（空气=1）</w:t>
            </w:r>
          </w:p>
        </w:tc>
        <w:tc>
          <w:tcPr>
            <w:tcW w:w="707"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3.4</w:t>
            </w:r>
          </w:p>
        </w:tc>
        <w:tc>
          <w:tcPr>
            <w:tcW w:w="1765"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溶解性</w:t>
            </w:r>
          </w:p>
        </w:tc>
        <w:tc>
          <w:tcPr>
            <w:tcW w:w="4581" w:type="dxa"/>
            <w:gridSpan w:val="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与水混溶。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940"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外观与性状</w:t>
            </w:r>
          </w:p>
        </w:tc>
        <w:tc>
          <w:tcPr>
            <w:tcW w:w="7053" w:type="dxa"/>
            <w:gridSpan w:val="11"/>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纯品为无色透明油状液体，无臭。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火灾爆炸危险性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66"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1412"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无意义</w:t>
            </w:r>
          </w:p>
        </w:tc>
        <w:tc>
          <w:tcPr>
            <w:tcW w:w="1941" w:type="dxa"/>
            <w:gridSpan w:val="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爆炸极限（％）</w:t>
            </w:r>
          </w:p>
        </w:tc>
        <w:tc>
          <w:tcPr>
            <w:tcW w:w="3874"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无意义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61"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危险特性</w:t>
            </w:r>
          </w:p>
        </w:tc>
        <w:tc>
          <w:tcPr>
            <w:tcW w:w="7932" w:type="dxa"/>
            <w:gridSpan w:val="1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遇水大量放热，可发生沸溅。与易燃物（如苯）和可燃物（如糖、维生素等）接触会发生剧烈反应，甚至引起燃烧。遇电石、高氯酸盐、</w:t>
            </w:r>
            <w:r>
              <w:rPr>
                <w:rFonts w:hint="eastAsia" w:ascii="Arial" w:hAnsi="Arial" w:eastAsia="宋体" w:cs="Arial"/>
                <w:sz w:val="21"/>
                <w:szCs w:val="21"/>
              </w:rPr>
              <w:t>磷酸</w:t>
            </w:r>
            <w:r>
              <w:rPr>
                <w:rFonts w:ascii="Arial" w:hAnsi="Arial" w:eastAsia="宋体" w:cs="Arial"/>
                <w:sz w:val="21"/>
                <w:szCs w:val="21"/>
              </w:rPr>
              <w:t>盐、硝酸盐、苦味酸盐、金属粉末等猛烈反应，发生爆炸或燃烧。有强烈的腐蚀性和洗水性。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61"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灭火方法</w:t>
            </w:r>
          </w:p>
        </w:tc>
        <w:tc>
          <w:tcPr>
            <w:tcW w:w="7932" w:type="dxa"/>
            <w:gridSpan w:val="1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消防人员必须穿全身耐酸碱消防服。灭火剂：干粉、二氧化碳、砂土。避免水流冲击物品，以免遇水会放出大量热量发生喷溅而灼伤皮肤。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反应活性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稳定性</w:t>
            </w:r>
          </w:p>
        </w:tc>
        <w:tc>
          <w:tcPr>
            <w:tcW w:w="1946"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 xml:space="preserve">稳定 </w:t>
            </w:r>
          </w:p>
        </w:tc>
        <w:tc>
          <w:tcPr>
            <w:tcW w:w="1412"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聚合危险性</w:t>
            </w:r>
          </w:p>
        </w:tc>
        <w:tc>
          <w:tcPr>
            <w:tcW w:w="4052" w:type="dxa"/>
            <w:gridSpan w:val="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不聚合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禁忌物</w:t>
            </w:r>
          </w:p>
        </w:tc>
        <w:tc>
          <w:tcPr>
            <w:tcW w:w="2829" w:type="dxa"/>
            <w:gridSpan w:val="7"/>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碱类、碱金属、水、强还原剂、易燃和可燃物。</w:t>
            </w:r>
          </w:p>
        </w:tc>
        <w:tc>
          <w:tcPr>
            <w:tcW w:w="1937" w:type="dxa"/>
            <w:gridSpan w:val="5"/>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燃烧（分解）产物</w:t>
            </w:r>
          </w:p>
        </w:tc>
        <w:tc>
          <w:tcPr>
            <w:tcW w:w="2644" w:type="dxa"/>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氧化硫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健康危害性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232" w:type="dxa"/>
            <w:gridSpan w:val="2"/>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侵入途径</w:t>
            </w:r>
          </w:p>
        </w:tc>
        <w:tc>
          <w:tcPr>
            <w:tcW w:w="7761" w:type="dxa"/>
            <w:gridSpan w:val="1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吸入、食入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232" w:type="dxa"/>
            <w:gridSpan w:val="2"/>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急性毒性</w:t>
            </w:r>
          </w:p>
        </w:tc>
        <w:tc>
          <w:tcPr>
            <w:tcW w:w="7761" w:type="dxa"/>
            <w:gridSpan w:val="14"/>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 xml:space="preserve">  2140mg/kg（大鼠经口）；</w:t>
            </w:r>
          </w:p>
          <w:p>
            <w:pPr>
              <w:snapToGrid w:val="0"/>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 xml:space="preserve">  510mg/m</w:t>
            </w:r>
            <w:r>
              <w:rPr>
                <w:rFonts w:ascii="Arial" w:hAnsi="Arial" w:eastAsia="宋体" w:cs="Arial"/>
                <w:sz w:val="21"/>
                <w:szCs w:val="21"/>
                <w:vertAlign w:val="superscript"/>
              </w:rPr>
              <w:t>3</w:t>
            </w:r>
            <w:r>
              <w:rPr>
                <w:rFonts w:ascii="Arial" w:hAnsi="Arial" w:eastAsia="宋体" w:cs="Arial"/>
                <w:sz w:val="21"/>
                <w:szCs w:val="21"/>
              </w:rPr>
              <w:t>,2小时（大鼠吸入）；320mg/m</w:t>
            </w:r>
            <w:r>
              <w:rPr>
                <w:rFonts w:ascii="Arial" w:hAnsi="Arial" w:eastAsia="宋体" w:cs="Arial"/>
                <w:sz w:val="21"/>
                <w:szCs w:val="21"/>
                <w:vertAlign w:val="superscript"/>
              </w:rPr>
              <w:t>3</w:t>
            </w:r>
            <w:r>
              <w:rPr>
                <w:rFonts w:ascii="Arial" w:hAnsi="Arial" w:eastAsia="宋体" w:cs="Arial"/>
                <w:sz w:val="21"/>
                <w:szCs w:val="21"/>
              </w:rPr>
              <w:t>,2小时（小鼠吸入）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 xml:space="preserve">健康危害（急性和慢性）：对皮肤、粘膜等组织有强烈的刺激和腐蚀作用。蒸气或雾可引起结膜炎、结膜水肿、角膜混浊，以致失明；引起呼吸道刺激，重者发生呼吸困难和肺水肿；高浓度引起喉痉挛或声门水肿而窒息死亡。口服后引起消化道烧伤以致溃疡形成；严重者可能胃穿孔、腹膜炎、肾损害、休克等。皮肤灼伤轻者出现红斑，重者形成溃疡，愈后斑痕收缩影响功能。溅入眼内可造成灼伤，甚至角膜穿孔、全眼炎以致失明。慢性影响：牙齿酸蚀症、慢性支气管炎、肺气肿和肺硬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泄漏紧急处理：迅速撤离泄漏污染区人员到安全区，并进行隔离，严格限制出入。建议应急处理人员戴自给正压式呼吸器，穿防酸碱工作服。不要直接接触泄漏物。尽可能切断泄漏源，防止进入下水道、排洪沟等限制性空间。小量泄漏：用砂土、干燥石灰或苏打灰混合。也可用大量水冲洗，洗水稀释后放入废水系统。大量泄漏：构筑围堤或挖坑收容；用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储运注意事项：储存于阴凉、干燥、通风良好的仓间内。应与易燃或可燃物、碱类、金属粉末等分开存放。不可混储混运。搬运时要轻装轻卸，防止包装及容器损坏。分装和搬运作业液注意个人防护。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993" w:type="dxa"/>
            <w:gridSpan w:val="16"/>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防护措施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车间卫生标准</w:t>
            </w:r>
          </w:p>
        </w:tc>
        <w:tc>
          <w:tcPr>
            <w:tcW w:w="7410" w:type="dxa"/>
            <w:gridSpan w:val="1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中  国MAC(mg/m</w:t>
            </w:r>
            <w:r>
              <w:rPr>
                <w:rFonts w:ascii="Arial" w:hAnsi="Arial" w:eastAsia="宋体" w:cs="Arial"/>
                <w:sz w:val="21"/>
                <w:szCs w:val="21"/>
                <w:vertAlign w:val="superscript"/>
              </w:rPr>
              <w:t>3</w:t>
            </w:r>
            <w:r>
              <w:rPr>
                <w:rFonts w:ascii="Arial" w:hAnsi="Arial" w:eastAsia="宋体" w:cs="Arial"/>
                <w:sz w:val="21"/>
                <w:szCs w:val="21"/>
              </w:rPr>
              <w:t>)  2</w:t>
            </w:r>
          </w:p>
          <w:p>
            <w:pPr>
              <w:snapToGrid w:val="0"/>
              <w:rPr>
                <w:rFonts w:ascii="Arial" w:hAnsi="Arial" w:eastAsia="宋体" w:cs="Arial"/>
                <w:sz w:val="21"/>
                <w:szCs w:val="21"/>
              </w:rPr>
            </w:pPr>
            <w:r>
              <w:rPr>
                <w:rFonts w:ascii="Arial" w:hAnsi="Arial" w:eastAsia="宋体" w:cs="Arial"/>
                <w:sz w:val="21"/>
                <w:szCs w:val="21"/>
              </w:rPr>
              <w:t>前苏联MAC(mg/m</w:t>
            </w:r>
            <w:r>
              <w:rPr>
                <w:rFonts w:ascii="Arial" w:hAnsi="Arial" w:eastAsia="宋体" w:cs="Arial"/>
                <w:sz w:val="21"/>
                <w:szCs w:val="21"/>
                <w:vertAlign w:val="superscript"/>
              </w:rPr>
              <w:t>3</w:t>
            </w:r>
            <w:r>
              <w:rPr>
                <w:rFonts w:ascii="Arial" w:hAnsi="Arial" w:eastAsia="宋体" w:cs="Arial"/>
                <w:sz w:val="21"/>
                <w:szCs w:val="21"/>
              </w:rPr>
              <w:t>)  1</w:t>
            </w:r>
          </w:p>
          <w:p>
            <w:pPr>
              <w:snapToGrid w:val="0"/>
              <w:rPr>
                <w:rFonts w:ascii="Arial" w:hAnsi="Arial" w:eastAsia="宋体" w:cs="Arial"/>
                <w:sz w:val="21"/>
                <w:szCs w:val="21"/>
              </w:rPr>
            </w:pPr>
            <w:r>
              <w:rPr>
                <w:rFonts w:ascii="Arial" w:hAnsi="Arial" w:eastAsia="宋体" w:cs="Arial"/>
                <w:sz w:val="21"/>
                <w:szCs w:val="21"/>
              </w:rPr>
              <w:t>美  国TLV-TWA    ACGIH 1 mg/m</w:t>
            </w:r>
            <w:r>
              <w:rPr>
                <w:rFonts w:ascii="Arial" w:hAnsi="Arial" w:eastAsia="宋体" w:cs="Arial"/>
                <w:sz w:val="21"/>
                <w:szCs w:val="21"/>
                <w:vertAlign w:val="superscript"/>
              </w:rPr>
              <w:t>3</w:t>
            </w:r>
          </w:p>
          <w:p>
            <w:pPr>
              <w:snapToGrid w:val="0"/>
              <w:rPr>
                <w:rFonts w:ascii="Arial" w:hAnsi="Arial" w:eastAsia="宋体" w:cs="Arial"/>
                <w:sz w:val="21"/>
                <w:szCs w:val="21"/>
              </w:rPr>
            </w:pPr>
            <w:r>
              <w:rPr>
                <w:rFonts w:ascii="Arial" w:hAnsi="Arial" w:eastAsia="宋体" w:cs="Arial"/>
                <w:sz w:val="21"/>
                <w:szCs w:val="21"/>
              </w:rPr>
              <w:t>美  国TLV-STEL   ACGIH 3 mg/m</w:t>
            </w:r>
            <w:r>
              <w:rPr>
                <w:rFonts w:ascii="Arial" w:hAnsi="Arial" w:eastAsia="宋体" w:cs="Arial"/>
                <w:sz w:val="21"/>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工程控制</w:t>
            </w:r>
          </w:p>
        </w:tc>
        <w:tc>
          <w:tcPr>
            <w:tcW w:w="7410" w:type="dxa"/>
            <w:gridSpan w:val="1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严加密闭，加强排风。尽可能机械化、自动化。提供安全淋浴和洗眼设备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vMerge w:val="restart"/>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呼吸系统防护</w:t>
            </w:r>
          </w:p>
        </w:tc>
        <w:tc>
          <w:tcPr>
            <w:tcW w:w="2996" w:type="dxa"/>
            <w:gridSpan w:val="8"/>
            <w:vMerge w:val="restart"/>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可能接触其烟雾时，应该佩戴自吸过滤式防毒面具（全面罩）或空气呼吸器。紧急事态抢救或撤离时，佩戴氧气呼吸器。</w:t>
            </w:r>
          </w:p>
        </w:tc>
        <w:tc>
          <w:tcPr>
            <w:tcW w:w="1412"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身体防护</w:t>
            </w:r>
          </w:p>
        </w:tc>
        <w:tc>
          <w:tcPr>
            <w:tcW w:w="3002" w:type="dxa"/>
            <w:gridSpan w:val="2"/>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穿橡胶耐酸碱服。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z w:val="21"/>
                <w:szCs w:val="21"/>
              </w:rPr>
            </w:pPr>
          </w:p>
        </w:tc>
        <w:tc>
          <w:tcPr>
            <w:tcW w:w="2996" w:type="dxa"/>
            <w:gridSpan w:val="8"/>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z w:val="21"/>
                <w:szCs w:val="21"/>
              </w:rPr>
            </w:pPr>
          </w:p>
        </w:tc>
        <w:tc>
          <w:tcPr>
            <w:tcW w:w="1412"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手防护</w:t>
            </w:r>
          </w:p>
        </w:tc>
        <w:tc>
          <w:tcPr>
            <w:tcW w:w="3002" w:type="dxa"/>
            <w:gridSpan w:val="2"/>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戴橡胶耐酸碱手套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z w:val="21"/>
                <w:szCs w:val="21"/>
              </w:rPr>
            </w:pPr>
          </w:p>
        </w:tc>
        <w:tc>
          <w:tcPr>
            <w:tcW w:w="2996" w:type="dxa"/>
            <w:gridSpan w:val="8"/>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z w:val="21"/>
                <w:szCs w:val="21"/>
              </w:rPr>
            </w:pPr>
          </w:p>
        </w:tc>
        <w:tc>
          <w:tcPr>
            <w:tcW w:w="1412"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眼睛防护</w:t>
            </w:r>
          </w:p>
        </w:tc>
        <w:tc>
          <w:tcPr>
            <w:tcW w:w="3002" w:type="dxa"/>
            <w:gridSpan w:val="2"/>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呼吸系统防护中已经作防护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83" w:type="dxa"/>
            <w:gridSpan w:val="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其他</w:t>
            </w:r>
          </w:p>
        </w:tc>
        <w:tc>
          <w:tcPr>
            <w:tcW w:w="7410" w:type="dxa"/>
            <w:gridSpan w:val="13"/>
            <w:tcBorders>
              <w:top w:val="single" w:color="auto" w:sz="6" w:space="0"/>
              <w:left w:val="single" w:color="auto" w:sz="6" w:space="0"/>
              <w:bottom w:val="single" w:color="auto" w:sz="6" w:space="0"/>
              <w:right w:val="single" w:color="auto" w:sz="6" w:space="0"/>
            </w:tcBorders>
            <w:vAlign w:val="center"/>
          </w:tcPr>
          <w:p>
            <w:pPr>
              <w:snapToGrid w:val="0"/>
              <w:rPr>
                <w:rFonts w:ascii="Arial" w:hAnsi="Arial" w:eastAsia="宋体" w:cs="Arial"/>
                <w:sz w:val="21"/>
                <w:szCs w:val="21"/>
              </w:rPr>
            </w:pPr>
            <w:r>
              <w:rPr>
                <w:rFonts w:ascii="Arial" w:hAnsi="Arial" w:eastAsia="宋体" w:cs="Arial"/>
                <w:sz w:val="21"/>
                <w:szCs w:val="21"/>
              </w:rPr>
              <w:t>工作现场严禁吸烟、进食和饮水。工作毕，淋浴更衣。注意个人清洁卫生。</w:t>
            </w:r>
          </w:p>
        </w:tc>
      </w:tr>
    </w:tbl>
    <w:p>
      <w:pPr>
        <w:numPr>
          <w:ilvl w:val="0"/>
          <w:numId w:val="22"/>
        </w:numPr>
        <w:spacing w:line="500" w:lineRule="exact"/>
        <w:ind w:left="0" w:firstLine="0"/>
        <w:jc w:val="center"/>
        <w:outlineLvl w:val="4"/>
        <w:rPr>
          <w:rFonts w:ascii="Arial" w:hAnsi="Arial" w:eastAsia="宋体" w:cs="Arial"/>
          <w:b/>
          <w:bCs/>
          <w:spacing w:val="10"/>
          <w:sz w:val="24"/>
          <w:szCs w:val="22"/>
        </w:rPr>
      </w:pPr>
      <w:r>
        <w:rPr>
          <w:rFonts w:hint="eastAsia" w:ascii="Arial" w:hAnsi="Arial" w:eastAsia="宋体" w:cs="Arial"/>
          <w:b/>
          <w:bCs/>
          <w:spacing w:val="10"/>
          <w:sz w:val="24"/>
          <w:szCs w:val="22"/>
        </w:rPr>
        <w:t>钴</w:t>
      </w:r>
      <w:r>
        <w:rPr>
          <w:rFonts w:ascii="Arial" w:hAnsi="Arial" w:eastAsia="宋体" w:cs="Arial"/>
          <w:b/>
          <w:bCs/>
          <w:spacing w:val="10"/>
          <w:sz w:val="24"/>
          <w:szCs w:val="22"/>
        </w:rPr>
        <w:t>安全技术说明书</w:t>
      </w:r>
    </w:p>
    <w:tbl>
      <w:tblPr>
        <w:tblStyle w:val="88"/>
        <w:tblW w:w="899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374"/>
        <w:gridCol w:w="9"/>
        <w:gridCol w:w="2302"/>
        <w:gridCol w:w="1861"/>
        <w:gridCol w:w="2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标识</w:t>
            </w: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中文名</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钴</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英文名</w:t>
            </w:r>
          </w:p>
        </w:tc>
        <w:tc>
          <w:tcPr>
            <w:tcW w:w="226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cobalt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分子式</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Co</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UN编号</w:t>
            </w:r>
          </w:p>
        </w:tc>
        <w:tc>
          <w:tcPr>
            <w:tcW w:w="2262" w:type="dxa"/>
            <w:vAlign w:val="center"/>
          </w:tcPr>
          <w:p>
            <w:pPr>
              <w:spacing w:line="240" w:lineRule="exact"/>
              <w:jc w:val="center"/>
              <w:rPr>
                <w:rFonts w:ascii="Arial" w:hAnsi="Arial" w:eastAsia="宋体"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分子量</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58.933</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CAS号</w:t>
            </w:r>
          </w:p>
        </w:tc>
        <w:tc>
          <w:tcPr>
            <w:tcW w:w="226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7440-48-4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理化性质</w:t>
            </w: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1490</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相对密度(水=1)</w:t>
            </w:r>
          </w:p>
        </w:tc>
        <w:tc>
          <w:tcPr>
            <w:tcW w:w="226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3520</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相对密度(空气=1)</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溶解性</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能逐渐溶于稀盐酸和硫酸，易溶于硝酸</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饱和蒸汽压(kPa)</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引燃温度(</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186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2262"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性状</w:t>
            </w:r>
          </w:p>
        </w:tc>
        <w:tc>
          <w:tcPr>
            <w:tcW w:w="6425" w:type="dxa"/>
            <w:gridSpan w:val="3"/>
            <w:vAlign w:val="center"/>
          </w:tcPr>
          <w:p>
            <w:pPr>
              <w:spacing w:line="240" w:lineRule="exact"/>
              <w:jc w:val="center"/>
              <w:rPr>
                <w:rFonts w:ascii="Arial" w:hAnsi="Arial" w:eastAsia="宋体" w:cs="Arial"/>
                <w:sz w:val="21"/>
                <w:szCs w:val="21"/>
              </w:rPr>
            </w:pPr>
            <w:r>
              <w:rPr>
                <w:rFonts w:ascii="Arial" w:hAnsi="Arial" w:eastAsia="宋体" w:cs="Arial"/>
                <w:sz w:val="21"/>
                <w:szCs w:val="21"/>
              </w:rPr>
              <w:t>银灰色</w:t>
            </w:r>
            <w:r>
              <w:rPr>
                <w:rFonts w:hint="eastAsia" w:ascii="Arial" w:hAnsi="Arial" w:eastAsia="宋体" w:cs="Arial"/>
                <w:sz w:val="21"/>
                <w:szCs w:val="21"/>
              </w:rPr>
              <w:t>金属，硬而有延展性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化学性质</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高温下发生氧化作用。加热时，钴与氧、硫、氯、溴等发生剧烈反应，生产相应化合物。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主要用途</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用于制超硬耐热合金和磁性合金、钴化合物、催化剂、电灯丝和瓷器釉料。钴60用于物体内部探测、医疗几示踪物等。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危险性概述</w:t>
            </w: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健康危害</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钴尘可引起"硬质合金病"("硬金属病")，表现为过敏性哮喘,呼吸困难、干咳、偶有化学性肺炎(间质性肺炎)，肺水肿。脱离接触后症状缓解。CoO也可引起哮喘。钴对皮肤的影响主要为过敏性或刺激性皮炎。吸入醋酸钴粉尘可引起急性化学性胃炎症状,有恶心、呕吐、上腹部剧痛,后可有呕血及便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环境危害</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Merge w:val="continue"/>
            <w:vAlign w:val="center"/>
          </w:tcPr>
          <w:p>
            <w:pPr>
              <w:spacing w:line="240" w:lineRule="exact"/>
              <w:jc w:val="center"/>
              <w:rPr>
                <w:rFonts w:ascii="Arial" w:hAnsi="Arial" w:eastAsia="宋体" w:cs="Arial"/>
                <w:sz w:val="21"/>
                <w:szCs w:val="21"/>
              </w:rPr>
            </w:pP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燃爆危险</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急救措施</w:t>
            </w:r>
          </w:p>
        </w:tc>
        <w:tc>
          <w:tcPr>
            <w:tcW w:w="1383" w:type="dxa"/>
            <w:gridSpan w:val="2"/>
            <w:vAlign w:val="center"/>
          </w:tcPr>
          <w:p>
            <w:pPr>
              <w:spacing w:line="240" w:lineRule="exact"/>
              <w:jc w:val="center"/>
              <w:rPr>
                <w:rFonts w:ascii="Arial" w:hAnsi="Arial" w:eastAsia="宋体" w:cs="Arial"/>
                <w:sz w:val="21"/>
                <w:szCs w:val="21"/>
              </w:rPr>
            </w:pPr>
            <w:r>
              <w:rPr>
                <w:rFonts w:ascii="Arial" w:hAnsi="Arial" w:eastAsia="宋体" w:cs="Arial"/>
                <w:sz w:val="21"/>
                <w:szCs w:val="21"/>
              </w:rPr>
              <w:t>食入</w:t>
            </w:r>
          </w:p>
        </w:tc>
        <w:tc>
          <w:tcPr>
            <w:tcW w:w="6425" w:type="dxa"/>
            <w:gridSpan w:val="3"/>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误服钴盐，应洗胃；溶液溅入眼，用清水或生理盐水冲洗至少15分钟。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highlight w:val="yellow"/>
              </w:rPr>
            </w:pPr>
            <w:r>
              <w:rPr>
                <w:rFonts w:hint="eastAsia" w:ascii="Arial" w:hAnsi="Arial" w:eastAsia="宋体" w:cs="Arial"/>
                <w:sz w:val="21"/>
                <w:szCs w:val="21"/>
              </w:rPr>
              <w:t>储存运输</w:t>
            </w:r>
          </w:p>
        </w:tc>
        <w:tc>
          <w:tcPr>
            <w:tcW w:w="7808" w:type="dxa"/>
            <w:gridSpan w:val="5"/>
            <w:vAlign w:val="center"/>
          </w:tcPr>
          <w:p>
            <w:pPr>
              <w:spacing w:line="240" w:lineRule="exact"/>
              <w:jc w:val="center"/>
              <w:rPr>
                <w:rFonts w:ascii="Arial" w:hAnsi="Arial" w:eastAsia="宋体" w:cs="Arial"/>
                <w:sz w:val="21"/>
                <w:szCs w:val="21"/>
                <w:highlight w:val="yellow"/>
              </w:rPr>
            </w:pPr>
            <w:r>
              <w:rPr>
                <w:rFonts w:hint="eastAsia" w:ascii="Arial" w:hAnsi="Arial" w:eastAsia="宋体" w:cs="Arial"/>
                <w:sz w:val="21"/>
                <w:szCs w:val="21"/>
              </w:rPr>
              <w:t>应按照(GB13690-1992)易燃易爆危险品规定办理，夏季应早晚运输，防止阳光</w:t>
            </w:r>
            <w:r>
              <w:rPr>
                <w:rFonts w:hint="eastAsia" w:ascii="Arial" w:hAnsi="Arial" w:eastAsia="宋体" w:cs="Arial"/>
                <w:sz w:val="21"/>
                <w:szCs w:val="21"/>
                <w:lang w:eastAsia="zh-CN"/>
              </w:rPr>
              <w:t>暴晒</w:t>
            </w:r>
            <w:r>
              <w:rPr>
                <w:rFonts w:hint="eastAsia" w:ascii="Arial" w:hAnsi="Arial" w:eastAsia="宋体" w:cs="Arial"/>
                <w:sz w:val="21"/>
                <w:szCs w:val="21"/>
              </w:rPr>
              <w:t>，搬运中不得过度撞击、震荡、不得与固化剂同车运输。储存过程中必须干燥、通风、隔热、无阳光直射、温度应在25℃以下。产品包装桶堆放最好不多于两层，盖紧桶盖。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8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毒理学</w:t>
            </w:r>
          </w:p>
        </w:tc>
        <w:tc>
          <w:tcPr>
            <w:tcW w:w="1374"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急性毒性</w:t>
            </w:r>
          </w:p>
        </w:tc>
        <w:tc>
          <w:tcPr>
            <w:tcW w:w="6434" w:type="dxa"/>
            <w:gridSpan w:val="4"/>
            <w:vAlign w:val="center"/>
          </w:tcPr>
          <w:p>
            <w:pPr>
              <w:spacing w:line="240" w:lineRule="exact"/>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无资料</w:t>
            </w: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：无资料</w:t>
            </w:r>
            <w:r>
              <w:rPr>
                <w:rFonts w:hint="eastAsia" w:ascii="Arial" w:hAnsi="Arial" w:eastAsia="宋体" w:cs="Arial"/>
                <w:sz w:val="21"/>
                <w:szCs w:val="21"/>
              </w:rPr>
              <w:t>；</w:t>
            </w:r>
          </w:p>
          <w:p>
            <w:pPr>
              <w:spacing w:line="240" w:lineRule="exact"/>
              <w:jc w:val="center"/>
              <w:rPr>
                <w:rFonts w:ascii="Arial" w:hAnsi="Arial" w:eastAsia="宋体" w:cs="Arial"/>
                <w:sz w:val="21"/>
                <w:szCs w:val="21"/>
              </w:rPr>
            </w:pPr>
            <w:r>
              <w:rPr>
                <w:rFonts w:hint="eastAsia" w:ascii="Arial" w:hAnsi="Arial" w:eastAsia="宋体" w:cs="Arial"/>
                <w:sz w:val="21"/>
                <w:szCs w:val="21"/>
              </w:rPr>
              <w:t>经常注射钴制剂或暴露于过量的原始钴环境中，可引起钴中毒。儿童对钴的毒性敏感，应避免使用每千克体重超过1mg的剂量。</w:t>
            </w:r>
          </w:p>
        </w:tc>
      </w:tr>
    </w:tbl>
    <w:p>
      <w:pPr>
        <w:numPr>
          <w:ilvl w:val="0"/>
          <w:numId w:val="30"/>
        </w:numPr>
        <w:spacing w:line="500" w:lineRule="exact"/>
        <w:jc w:val="left"/>
        <w:outlineLvl w:val="3"/>
        <w:rPr>
          <w:rFonts w:ascii="Arial" w:hAnsi="Arial" w:eastAsia="宋体" w:cs="Arial"/>
          <w:b/>
          <w:bCs/>
          <w:spacing w:val="10"/>
          <w:sz w:val="24"/>
          <w:szCs w:val="22"/>
        </w:rPr>
      </w:pPr>
      <w:r>
        <w:rPr>
          <w:rFonts w:ascii="Arial" w:hAnsi="Arial" w:eastAsia="宋体" w:cs="Arial"/>
          <w:b/>
          <w:bCs/>
          <w:spacing w:val="10"/>
          <w:sz w:val="24"/>
          <w:szCs w:val="22"/>
        </w:rPr>
        <w:t>环境敏感目标调查</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项目周边敏感目标调查情况见表4-</w:t>
      </w:r>
      <w:r>
        <w:rPr>
          <w:rFonts w:hint="eastAsia" w:ascii="Arial" w:hAnsi="Arial" w:eastAsia="宋体" w:cs="Arial"/>
          <w:spacing w:val="10"/>
          <w:sz w:val="24"/>
          <w:szCs w:val="24"/>
        </w:rPr>
        <w:t>41</w:t>
      </w:r>
      <w:r>
        <w:rPr>
          <w:rFonts w:ascii="Arial" w:hAnsi="Arial" w:eastAsia="宋体" w:cs="Arial"/>
          <w:spacing w:val="10"/>
          <w:sz w:val="24"/>
          <w:szCs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建设项目环境敏感特征表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687"/>
        <w:gridCol w:w="1865"/>
        <w:gridCol w:w="606"/>
        <w:gridCol w:w="1070"/>
        <w:gridCol w:w="221"/>
        <w:gridCol w:w="1293"/>
        <w:gridCol w:w="1385"/>
        <w:gridCol w:w="1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类别</w:t>
            </w:r>
          </w:p>
        </w:tc>
        <w:tc>
          <w:tcPr>
            <w:tcW w:w="8319" w:type="dxa"/>
            <w:gridSpan w:val="8"/>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环境空气</w:t>
            </w:r>
          </w:p>
        </w:tc>
        <w:tc>
          <w:tcPr>
            <w:tcW w:w="8319" w:type="dxa"/>
            <w:gridSpan w:val="8"/>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厂区周边5km范围内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序号</w:t>
            </w:r>
          </w:p>
        </w:tc>
        <w:tc>
          <w:tcPr>
            <w:tcW w:w="2471"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名称</w:t>
            </w:r>
          </w:p>
        </w:tc>
        <w:tc>
          <w:tcPr>
            <w:tcW w:w="10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相对厂址方位</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离厂界最近距离（m）</w:t>
            </w:r>
          </w:p>
        </w:tc>
        <w:tc>
          <w:tcPr>
            <w:tcW w:w="138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属性</w:t>
            </w:r>
          </w:p>
        </w:tc>
        <w:tc>
          <w:tcPr>
            <w:tcW w:w="119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规模（人）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鸡墩头村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钦州港经开区第五小学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过路山村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上硫磺山村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1055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下硫磺山村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1105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东港区第一幼儿园</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1110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硫磺山村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1205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鲎泊潭村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1280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9</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港区中学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1425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新农村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1440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老鸭坑村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1475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12</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钦州港经开区第七小学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1620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13</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大坑村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1755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黄竹根村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1805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龙狗坑村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16</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淡水湾村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1860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17</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钦州保税港区办公楼</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1995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政府机构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18</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海关办公楼</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2385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办公楼</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19</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港区政务中心</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2400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办公楼</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港区第四小学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2910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蚝蛎墩村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2945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22</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新联村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2955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23</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大岭脚村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3050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24</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细垌环村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3130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25</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金鼓村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3135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26</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鹿耳环村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3135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27</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金鼓社区</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3220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居民集中区</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2520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28</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第一垌村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3430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29</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大垌口村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3430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30</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新联初中</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3600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苦竹坑村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4030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32</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松柏港村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4120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33</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4195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34</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平山村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4295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cs="Arial"/>
                <w:sz w:val="21"/>
                <w:szCs w:val="21"/>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35</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粟地脚村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4350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36</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沙岗头村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4870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37</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榕树灶村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5220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38</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水榕冲村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5275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39</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天塘村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5305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40</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大坪村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5360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开发区第二小学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5570</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1078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42</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大环村</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5765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43</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大环小学</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东南</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6175</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cs="Arial"/>
                <w:sz w:val="21"/>
                <w:szCs w:val="21"/>
              </w:rPr>
            </w:pPr>
            <w:r>
              <w:rPr>
                <w:rFonts w:ascii="Arial" w:hAnsi="Arial" w:cs="Arial"/>
                <w:sz w:val="21"/>
                <w:szCs w:val="21"/>
              </w:rPr>
              <w:t>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7127" w:type="dxa"/>
            <w:gridSpan w:val="7"/>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厂址周边500m范围内人口数小计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7127" w:type="dxa"/>
            <w:gridSpan w:val="7"/>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厂址周边5000m范围内人口数小计</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2.18万人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kern w:val="0"/>
                <w:sz w:val="21"/>
                <w:szCs w:val="21"/>
                <w:lang w:bidi="ar"/>
              </w:rPr>
            </w:pPr>
          </w:p>
        </w:tc>
        <w:tc>
          <w:tcPr>
            <w:tcW w:w="7127" w:type="dxa"/>
            <w:gridSpan w:val="7"/>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大气环境敏感程度E值</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地表水</w:t>
            </w:r>
          </w:p>
        </w:tc>
        <w:tc>
          <w:tcPr>
            <w:tcW w:w="8319" w:type="dxa"/>
            <w:gridSpan w:val="8"/>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受纳水体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收纳水体名称</w:t>
            </w:r>
          </w:p>
        </w:tc>
        <w:tc>
          <w:tcPr>
            <w:tcW w:w="2584" w:type="dxa"/>
            <w:gridSpan w:val="3"/>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排放点水域环境功能</w:t>
            </w:r>
          </w:p>
        </w:tc>
        <w:tc>
          <w:tcPr>
            <w:tcW w:w="2577"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lang w:eastAsia="en-US"/>
              </w:rPr>
              <w:t>24h内流经范围/km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南海纳污区</w:t>
            </w:r>
          </w:p>
        </w:tc>
        <w:tc>
          <w:tcPr>
            <w:tcW w:w="2584" w:type="dxa"/>
            <w:gridSpan w:val="3"/>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四类水质目标</w:t>
            </w:r>
          </w:p>
        </w:tc>
        <w:tc>
          <w:tcPr>
            <w:tcW w:w="2577" w:type="dxa"/>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8319" w:type="dxa"/>
            <w:gridSpan w:val="8"/>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内陆水体排放点下游 10 km（近岸海域一个潮周期最大水平距离两倍）范围内敏感目标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687"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186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敏感目标名称</w:t>
            </w:r>
          </w:p>
        </w:tc>
        <w:tc>
          <w:tcPr>
            <w:tcW w:w="1897" w:type="dxa"/>
            <w:gridSpan w:val="3"/>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环境敏感特征</w:t>
            </w:r>
          </w:p>
        </w:tc>
        <w:tc>
          <w:tcPr>
            <w:tcW w:w="1293"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水质目标</w:t>
            </w:r>
          </w:p>
        </w:tc>
        <w:tc>
          <w:tcPr>
            <w:tcW w:w="2577" w:type="dxa"/>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与排放点距离/km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687"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186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鹿耳环江红树林区</w:t>
            </w:r>
          </w:p>
        </w:tc>
        <w:tc>
          <w:tcPr>
            <w:tcW w:w="1897" w:type="dxa"/>
            <w:gridSpan w:val="3"/>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1293" w:type="dxa"/>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2577" w:type="dxa"/>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127" w:type="dxa"/>
            <w:gridSpan w:val="7"/>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地表水环境敏感程度E值</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环境敏感区名称</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环境敏感特征</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水质目标</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包气带防污性能</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与下游厂界距离/m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6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471"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无</w:t>
            </w:r>
          </w:p>
        </w:tc>
        <w:tc>
          <w:tcPr>
            <w:tcW w:w="107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不敏感</w:t>
            </w:r>
          </w:p>
        </w:tc>
        <w:tc>
          <w:tcPr>
            <w:tcW w:w="151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3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D1</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7127" w:type="dxa"/>
            <w:gridSpan w:val="7"/>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地下水环境敏感程度E值</w:t>
            </w:r>
          </w:p>
        </w:tc>
        <w:tc>
          <w:tcPr>
            <w:tcW w:w="11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lang w:eastAsia="en-US"/>
              </w:rPr>
              <w:t>E2</w:t>
            </w:r>
          </w:p>
        </w:tc>
      </w:tr>
    </w:tbl>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环境风险潜势初判</w:t>
      </w:r>
    </w:p>
    <w:p>
      <w:pPr>
        <w:spacing w:line="500" w:lineRule="exact"/>
        <w:ind w:firstLine="476"/>
        <w:rPr>
          <w:rFonts w:ascii="Arial" w:hAnsi="Arial" w:eastAsia="宋体" w:cs="Arial"/>
          <w:spacing w:val="10"/>
          <w:sz w:val="24"/>
        </w:rPr>
      </w:pPr>
      <w:r>
        <w:rPr>
          <w:rFonts w:ascii="Arial" w:hAnsi="Arial" w:eastAsia="宋体" w:cs="Arial"/>
          <w:spacing w:val="10"/>
          <w:sz w:val="24"/>
        </w:rPr>
        <w:t>根据《建设项目环境风险评价技术导则》（HJ169-2018）（以下简称“风险导则”），建设项目环境风险潜势划分为</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w:t>
      </w:r>
      <w:r>
        <w:rPr>
          <w:rFonts w:hint="eastAsia" w:ascii="宋体" w:hAnsi="宋体" w:eastAsia="宋体" w:cs="宋体"/>
          <w:spacing w:val="10"/>
          <w:sz w:val="24"/>
        </w:rPr>
        <w:t>Ⅲ</w:t>
      </w:r>
      <w:r>
        <w:rPr>
          <w:rFonts w:ascii="Arial" w:hAnsi="Arial" w:eastAsia="宋体" w:cs="Arial"/>
          <w:spacing w:val="10"/>
          <w:sz w:val="24"/>
        </w:rPr>
        <w:t>、</w:t>
      </w:r>
      <w:r>
        <w:rPr>
          <w:rFonts w:hint="eastAsia" w:ascii="宋体" w:hAnsi="宋体" w:eastAsia="宋体" w:cs="宋体"/>
          <w:spacing w:val="10"/>
          <w:sz w:val="24"/>
        </w:rPr>
        <w:t>Ⅳ</w:t>
      </w:r>
      <w:r>
        <w:rPr>
          <w:rFonts w:ascii="Arial" w:hAnsi="Arial" w:eastAsia="宋体" w:cs="Arial"/>
          <w:spacing w:val="10"/>
          <w:sz w:val="24"/>
        </w:rPr>
        <w:t>/</w:t>
      </w:r>
      <w:r>
        <w:rPr>
          <w:rFonts w:hint="eastAsia" w:ascii="宋体" w:hAnsi="宋体" w:eastAsia="宋体" w:cs="宋体"/>
          <w:spacing w:val="10"/>
          <w:sz w:val="24"/>
        </w:rPr>
        <w:t>Ⅳ</w:t>
      </w:r>
      <w:r>
        <w:rPr>
          <w:rFonts w:ascii="Arial" w:hAnsi="Arial" w:eastAsia="宋体" w:cs="Arial"/>
          <w:spacing w:val="10"/>
          <w:sz w:val="24"/>
        </w:rPr>
        <w:t>+级，划分依据见表4-</w:t>
      </w:r>
      <w:r>
        <w:rPr>
          <w:rFonts w:hint="eastAsia" w:ascii="Arial" w:hAnsi="Arial" w:eastAsia="宋体" w:cs="Arial"/>
          <w:spacing w:val="10"/>
          <w:sz w:val="24"/>
        </w:rPr>
        <w:t>42</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建设项目环境风险潜势划分</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环境敏感程度（E）</w:t>
            </w:r>
          </w:p>
        </w:tc>
        <w:tc>
          <w:tcPr>
            <w:tcW w:w="6765" w:type="dxa"/>
            <w:gridSpan w:val="4"/>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极高危害（P1）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高度危害（P2）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中度危害（P3）</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环境高度敏感区（E1）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环境中度敏感区（E2）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环境低度敏感区（E3）</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注：</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r>
              <w:rPr>
                <w:rFonts w:ascii="Arial" w:hAnsi="Arial" w:eastAsia="宋体" w:cs="Arial"/>
                <w:spacing w:val="10"/>
                <w:sz w:val="21"/>
                <w:szCs w:val="21"/>
              </w:rPr>
              <w:t>为极高环境风险。</w:t>
            </w:r>
          </w:p>
        </w:tc>
      </w:tr>
    </w:tbl>
    <w:p>
      <w:pPr>
        <w:numPr>
          <w:ilvl w:val="0"/>
          <w:numId w:val="31"/>
        </w:numPr>
        <w:spacing w:line="500" w:lineRule="exact"/>
        <w:jc w:val="left"/>
        <w:outlineLvl w:val="3"/>
        <w:rPr>
          <w:rFonts w:ascii="Arial" w:hAnsi="Arial" w:eastAsia="宋体" w:cs="Arial"/>
          <w:b/>
          <w:spacing w:val="10"/>
          <w:sz w:val="24"/>
        </w:rPr>
      </w:pPr>
      <w:r>
        <w:rPr>
          <w:rFonts w:ascii="Arial" w:hAnsi="Arial" w:eastAsia="宋体" w:cs="Arial"/>
          <w:b/>
          <w:spacing w:val="10"/>
          <w:sz w:val="24"/>
        </w:rPr>
        <w:t>危险性P的确定</w:t>
      </w:r>
    </w:p>
    <w:p>
      <w:pPr>
        <w:spacing w:line="500" w:lineRule="exact"/>
        <w:ind w:firstLine="476"/>
        <w:rPr>
          <w:rFonts w:ascii="Arial" w:hAnsi="Arial" w:eastAsia="宋体" w:cs="Arial"/>
          <w:spacing w:val="10"/>
          <w:sz w:val="24"/>
        </w:rPr>
      </w:pPr>
      <w:r>
        <w:rPr>
          <w:rFonts w:ascii="Arial" w:hAnsi="Arial" w:eastAsia="宋体" w:cs="Arial"/>
          <w:spacing w:val="10"/>
          <w:sz w:val="24"/>
        </w:rPr>
        <w:t>根据定量分析危险物质数量与临界量的比值（Q）和所属行业及生产工艺特点（M），进行判定危险物质及工艺系统危险性（P）。</w:t>
      </w:r>
    </w:p>
    <w:p>
      <w:pPr>
        <w:spacing w:line="500" w:lineRule="exact"/>
        <w:ind w:firstLine="476"/>
        <w:rPr>
          <w:rFonts w:ascii="Arial" w:hAnsi="Arial" w:eastAsia="宋体" w:cs="Arial"/>
          <w:spacing w:val="10"/>
          <w:sz w:val="24"/>
        </w:rPr>
      </w:pPr>
      <w:r>
        <w:rPr>
          <w:rFonts w:ascii="Arial" w:hAnsi="Arial" w:eastAsia="宋体" w:cs="Arial"/>
          <w:spacing w:val="10"/>
          <w:sz w:val="24"/>
        </w:rPr>
        <w:t>1.Q值的确定</w:t>
      </w:r>
    </w:p>
    <w:p>
      <w:pPr>
        <w:spacing w:line="500" w:lineRule="exact"/>
        <w:ind w:firstLine="476"/>
        <w:rPr>
          <w:rFonts w:ascii="Arial" w:hAnsi="Arial" w:eastAsia="宋体" w:cs="Arial"/>
          <w:spacing w:val="10"/>
          <w:sz w:val="24"/>
        </w:rPr>
      </w:pPr>
      <w:r>
        <w:rPr>
          <w:rFonts w:ascii="Arial" w:hAnsi="Arial" w:eastAsia="宋体" w:cs="Arial"/>
          <w:spacing w:val="10"/>
          <w:sz w:val="24"/>
        </w:rPr>
        <w:t>根据风险导则附录B及《危险化学品重大危险源辨识》（GB18218-2018），项目危险物质Q值确定见表4-</w:t>
      </w:r>
      <w:r>
        <w:rPr>
          <w:rFonts w:hint="eastAsia" w:ascii="Arial" w:hAnsi="Arial" w:eastAsia="宋体" w:cs="Arial"/>
          <w:spacing w:val="10"/>
          <w:sz w:val="24"/>
        </w:rPr>
        <w:t>43</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项目危险物质Q值确定表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2157"/>
        <w:gridCol w:w="1272"/>
        <w:gridCol w:w="2126"/>
        <w:gridCol w:w="1460"/>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物质名称</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CAS号</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最大存在量总量q</w:t>
            </w:r>
            <w:r>
              <w:rPr>
                <w:rFonts w:ascii="Arial" w:hAnsi="Arial" w:eastAsia="宋体" w:cs="Arial"/>
                <w:spacing w:val="10"/>
                <w:sz w:val="21"/>
                <w:szCs w:val="21"/>
                <w:vertAlign w:val="subscript"/>
              </w:rPr>
              <w:t>n</w:t>
            </w:r>
            <w:r>
              <w:rPr>
                <w:rFonts w:ascii="Arial" w:hAnsi="Arial" w:eastAsia="宋体" w:cs="Arial"/>
                <w:spacing w:val="10"/>
                <w:sz w:val="21"/>
                <w:szCs w:val="21"/>
              </w:rPr>
              <w:t>/t</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最大临界量</w:t>
            </w:r>
          </w:p>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Q</w:t>
            </w:r>
            <w:r>
              <w:rPr>
                <w:rFonts w:ascii="Arial" w:hAnsi="Arial" w:eastAsia="宋体" w:cs="Arial"/>
                <w:spacing w:val="10"/>
                <w:sz w:val="21"/>
                <w:szCs w:val="21"/>
                <w:vertAlign w:val="subscript"/>
              </w:rPr>
              <w:t>n</w:t>
            </w:r>
            <w:r>
              <w:rPr>
                <w:rFonts w:ascii="Arial" w:hAnsi="Arial" w:eastAsia="宋体" w:cs="Arial"/>
                <w:spacing w:val="10"/>
                <w:sz w:val="21"/>
                <w:szCs w:val="21"/>
              </w:rPr>
              <w:t>/t</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该物质Q值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rPr>
              <w:t>硫酸钴晶体</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22.74</w:t>
            </w:r>
            <w:r>
              <w:rPr>
                <w:rFonts w:ascii="Arial" w:hAnsi="Arial" w:eastAsia="宋体" w:cs="Arial"/>
                <w:spacing w:val="10"/>
                <w:sz w:val="21"/>
                <w:szCs w:val="21"/>
              </w:rPr>
              <w:t>（折算钴）</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0.25</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90.96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rPr>
            </w:pPr>
            <w:r>
              <w:rPr>
                <w:rFonts w:hint="eastAsia" w:ascii="Arial" w:hAnsi="Arial" w:eastAsia="宋体" w:cs="Arial"/>
                <w:kern w:val="0"/>
                <w:sz w:val="21"/>
                <w:szCs w:val="21"/>
              </w:rPr>
              <w:t>21%氨水</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1336-21-6</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6.32</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lang w:bidi="ar"/>
              </w:rPr>
              <w:t>生产废水</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0.000075</w:t>
            </w:r>
            <w:r>
              <w:rPr>
                <w:rFonts w:ascii="Arial" w:hAnsi="Arial" w:eastAsia="宋体" w:cs="Arial"/>
                <w:spacing w:val="10"/>
                <w:sz w:val="21"/>
                <w:szCs w:val="21"/>
              </w:rPr>
              <w:t>（折算钴）</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0.25</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lang w:bidi="ar"/>
              </w:rPr>
            </w:pPr>
            <w:r>
              <w:rPr>
                <w:rFonts w:hint="eastAsia" w:ascii="Arial" w:hAnsi="Arial" w:eastAsia="宋体" w:cs="Arial"/>
                <w:kern w:val="0"/>
                <w:sz w:val="21"/>
                <w:szCs w:val="21"/>
                <w:lang w:bidi="ar"/>
              </w:rPr>
              <w:t>稀硫酸</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7664-93-9</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0.2（折纯）</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5</w:t>
            </w:r>
          </w:p>
        </w:tc>
        <w:tc>
          <w:tcPr>
            <w:tcW w:w="215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羟基钴</w:t>
            </w:r>
          </w:p>
        </w:tc>
        <w:tc>
          <w:tcPr>
            <w:tcW w:w="127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212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12.416</w:t>
            </w:r>
            <w:r>
              <w:rPr>
                <w:rFonts w:ascii="Arial" w:hAnsi="Arial" w:eastAsia="宋体" w:cs="Arial"/>
                <w:spacing w:val="10"/>
                <w:sz w:val="21"/>
                <w:szCs w:val="21"/>
                <w:u w:val="single"/>
              </w:rPr>
              <w:t>（折算钴）</w:t>
            </w:r>
          </w:p>
        </w:tc>
        <w:tc>
          <w:tcPr>
            <w:tcW w:w="146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0.25</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49.664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644"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项目Q值∑</w:t>
            </w:r>
          </w:p>
        </w:tc>
        <w:tc>
          <w:tcPr>
            <w:tcW w:w="13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141.2763</w:t>
            </w:r>
          </w:p>
        </w:tc>
      </w:tr>
    </w:tbl>
    <w:p>
      <w:pPr>
        <w:spacing w:line="264" w:lineRule="auto"/>
        <w:ind w:firstLine="476"/>
        <w:rPr>
          <w:rFonts w:ascii="Arial" w:hAnsi="Arial" w:eastAsia="宋体" w:cs="Arial"/>
          <w:spacing w:val="10"/>
          <w:sz w:val="24"/>
        </w:rPr>
      </w:pPr>
      <w:r>
        <w:rPr>
          <w:rFonts w:ascii="Arial" w:hAnsi="Arial" w:eastAsia="宋体" w:cs="Arial"/>
          <w:spacing w:val="10"/>
          <w:sz w:val="24"/>
        </w:rPr>
        <w:t>根据计算，</w:t>
      </w:r>
      <w:r>
        <w:rPr>
          <w:rFonts w:ascii="Arial" w:hAnsi="Arial" w:eastAsia="宋体" w:cs="Arial"/>
          <w:spacing w:val="10"/>
          <w:sz w:val="24"/>
          <w:u w:val="single"/>
        </w:rPr>
        <w:t>项目Q值大于</w:t>
      </w:r>
      <w:r>
        <w:rPr>
          <w:rFonts w:hint="eastAsia" w:ascii="Arial" w:hAnsi="Arial" w:eastAsia="宋体" w:cs="Arial"/>
          <w:spacing w:val="10"/>
          <w:sz w:val="24"/>
          <w:u w:val="single"/>
        </w:rPr>
        <w:t>100</w:t>
      </w:r>
      <w:r>
        <w:rPr>
          <w:rFonts w:ascii="Arial" w:hAnsi="Arial" w:eastAsia="宋体" w:cs="Arial"/>
          <w:spacing w:val="10"/>
          <w:sz w:val="24"/>
          <w:u w:val="single"/>
        </w:rPr>
        <w:t>。</w:t>
      </w:r>
    </w:p>
    <w:p>
      <w:pPr>
        <w:spacing w:line="500" w:lineRule="exact"/>
        <w:ind w:firstLine="476"/>
        <w:rPr>
          <w:rFonts w:ascii="Arial" w:hAnsi="Arial" w:eastAsia="宋体" w:cs="Arial"/>
          <w:spacing w:val="10"/>
          <w:sz w:val="24"/>
        </w:rPr>
      </w:pPr>
      <w:r>
        <w:rPr>
          <w:rFonts w:ascii="Arial" w:hAnsi="Arial" w:eastAsia="宋体" w:cs="Arial"/>
          <w:spacing w:val="10"/>
          <w:sz w:val="24"/>
        </w:rPr>
        <w:t>2.M值的确定</w:t>
      </w:r>
    </w:p>
    <w:p>
      <w:pPr>
        <w:spacing w:line="500" w:lineRule="exact"/>
        <w:ind w:firstLine="476"/>
        <w:rPr>
          <w:rFonts w:ascii="Arial" w:hAnsi="Arial" w:eastAsia="宋体" w:cs="Arial"/>
          <w:spacing w:val="10"/>
          <w:sz w:val="24"/>
        </w:rPr>
      </w:pPr>
      <w:r>
        <w:rPr>
          <w:rFonts w:ascii="Arial" w:hAnsi="Arial" w:eastAsia="宋体" w:cs="Arial"/>
          <w:bCs/>
          <w:spacing w:val="10"/>
          <w:sz w:val="24"/>
        </w:rPr>
        <w:t>根据项目所属行业及生产工艺特点，将M划分为（1）M＞20；（2）10＜M≤20；（3）5＜M≤10；（4）M=5，分别以M1，M2，M3和M4表示。</w:t>
      </w:r>
      <w:r>
        <w:rPr>
          <w:rFonts w:ascii="Arial" w:hAnsi="Arial" w:eastAsia="宋体" w:cs="Arial"/>
          <w:spacing w:val="10"/>
          <w:sz w:val="24"/>
        </w:rPr>
        <w:t>项目M值计算详见表4-</w:t>
      </w:r>
      <w:r>
        <w:rPr>
          <w:rFonts w:hint="eastAsia" w:ascii="Arial" w:hAnsi="Arial" w:eastAsia="宋体" w:cs="Arial"/>
          <w:spacing w:val="10"/>
          <w:sz w:val="24"/>
        </w:rPr>
        <w:t>44</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行业及生产工艺（M）</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4818"/>
        <w:gridCol w:w="995"/>
        <w:gridCol w:w="1363"/>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行业</w:t>
            </w: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评估依据</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分值</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石化、化工、医药、轻工、化纤、有色冶炼等</w:t>
            </w: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10/套</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羟基钴生产线有2</w:t>
            </w:r>
            <w:r>
              <w:rPr>
                <w:rFonts w:ascii="Arial" w:hAnsi="Arial" w:eastAsia="宋体" w:cs="Arial"/>
                <w:spacing w:val="10"/>
                <w:sz w:val="21"/>
                <w:szCs w:val="21"/>
              </w:rPr>
              <w:t xml:space="preserve">套氧化工艺 </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w:t>
            </w:r>
            <w:r>
              <w:rPr>
                <w:rFonts w:ascii="Arial" w:hAnsi="Arial" w:eastAsia="宋体" w:cs="Arial"/>
                <w:spacing w:val="1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无机酸制酸工艺、焦化工艺</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5/套</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其他高温或高压，且涉及危险物质的工艺过程</w:t>
            </w:r>
            <w:r>
              <w:rPr>
                <w:rFonts w:ascii="Arial" w:hAnsi="Arial" w:eastAsia="宋体" w:cs="Arial"/>
                <w:spacing w:val="10"/>
                <w:sz w:val="21"/>
                <w:szCs w:val="21"/>
                <w:vertAlign w:val="superscript"/>
              </w:rPr>
              <w:t>a</w:t>
            </w:r>
            <w:r>
              <w:rPr>
                <w:rFonts w:ascii="Arial" w:hAnsi="Arial" w:eastAsia="宋体" w:cs="Arial"/>
                <w:spacing w:val="10"/>
                <w:sz w:val="21"/>
                <w:szCs w:val="21"/>
              </w:rPr>
              <w:t>、危险物质贮存储罐</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5/套（罐区）</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无，均</w:t>
            </w:r>
            <w:r>
              <w:rPr>
                <w:rFonts w:hint="eastAsia" w:ascii="Arial" w:hAnsi="Arial" w:eastAsia="宋体" w:cs="Arial"/>
                <w:spacing w:val="10"/>
                <w:sz w:val="21"/>
                <w:szCs w:val="21"/>
              </w:rPr>
              <w:t>无高</w:t>
            </w:r>
            <w:r>
              <w:rPr>
                <w:rFonts w:ascii="Arial" w:hAnsi="Arial" w:eastAsia="宋体" w:cs="Arial"/>
                <w:spacing w:val="10"/>
                <w:sz w:val="21"/>
                <w:szCs w:val="21"/>
              </w:rPr>
              <w:t>温</w:t>
            </w:r>
            <w:r>
              <w:rPr>
                <w:rFonts w:hint="eastAsia" w:ascii="Arial" w:hAnsi="Arial" w:eastAsia="宋体" w:cs="Arial"/>
                <w:spacing w:val="10"/>
                <w:sz w:val="21"/>
                <w:szCs w:val="21"/>
              </w:rPr>
              <w:t>高</w:t>
            </w:r>
            <w:r>
              <w:rPr>
                <w:rFonts w:ascii="Arial" w:hAnsi="Arial" w:eastAsia="宋体" w:cs="Arial"/>
                <w:spacing w:val="10"/>
                <w:sz w:val="21"/>
                <w:szCs w:val="21"/>
              </w:rPr>
              <w:t>压</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管道、港口/码头等</w:t>
            </w: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设计危险物质管道运输项目、港口/码头等</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石油天然气</w:t>
            </w: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石油、天然气、页岩气开采（含净化），气库（不含加气站的气库），油库（不含加气站的油库）、油气管线</w:t>
            </w:r>
            <w:r>
              <w:rPr>
                <w:rFonts w:ascii="Arial" w:hAnsi="Arial" w:eastAsia="宋体" w:cs="Arial"/>
                <w:spacing w:val="10"/>
                <w:sz w:val="21"/>
                <w:szCs w:val="21"/>
                <w:vertAlign w:val="superscript"/>
              </w:rPr>
              <w:t>b</w:t>
            </w:r>
            <w:r>
              <w:rPr>
                <w:rFonts w:ascii="Arial" w:hAnsi="Arial" w:eastAsia="宋体" w:cs="Arial"/>
                <w:spacing w:val="10"/>
                <w:sz w:val="21"/>
                <w:szCs w:val="21"/>
              </w:rPr>
              <w:t>（不含城镇燃气管线）</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5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其他</w:t>
            </w:r>
          </w:p>
        </w:tc>
        <w:tc>
          <w:tcPr>
            <w:tcW w:w="4818"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涉及危险物质使用、贮存的项目</w:t>
            </w:r>
          </w:p>
        </w:tc>
        <w:tc>
          <w:tcPr>
            <w:tcW w:w="99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136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85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993"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a：高温值工艺温度≥300</w:t>
            </w:r>
            <w:r>
              <w:rPr>
                <w:rFonts w:hint="eastAsia" w:ascii="宋体" w:hAnsi="宋体" w:eastAsia="宋体" w:cs="宋体"/>
                <w:spacing w:val="10"/>
                <w:sz w:val="21"/>
                <w:szCs w:val="21"/>
              </w:rPr>
              <w:t>℃</w:t>
            </w:r>
            <w:r>
              <w:rPr>
                <w:rFonts w:ascii="Arial" w:hAnsi="Arial" w:eastAsia="宋体" w:cs="Arial"/>
                <w:spacing w:val="10"/>
                <w:sz w:val="21"/>
                <w:szCs w:val="21"/>
              </w:rPr>
              <w:t>，高压指压力容器的设计压力（P）≥10.0MPa；</w:t>
            </w:r>
          </w:p>
          <w:p>
            <w:pPr>
              <w:adjustRightInd w:val="0"/>
              <w:snapToGrid w:val="0"/>
              <w:rPr>
                <w:rFonts w:ascii="Arial" w:hAnsi="Arial" w:eastAsia="宋体" w:cs="Arial"/>
                <w:spacing w:val="10"/>
                <w:sz w:val="21"/>
                <w:szCs w:val="21"/>
              </w:rPr>
            </w:pPr>
            <w:r>
              <w:rPr>
                <w:rFonts w:ascii="Arial" w:hAnsi="Arial" w:eastAsia="宋体" w:cs="Arial"/>
                <w:spacing w:val="10"/>
                <w:sz w:val="21"/>
                <w:szCs w:val="21"/>
              </w:rPr>
              <w:t>b：长输管道运输项目应按站场、管线分段进行评价。</w:t>
            </w:r>
          </w:p>
          <w:p>
            <w:pPr>
              <w:adjustRightInd w:val="0"/>
              <w:snapToGrid w:val="0"/>
              <w:jc w:val="left"/>
              <w:rPr>
                <w:rFonts w:ascii="Arial" w:hAnsi="Arial" w:eastAsia="宋体" w:cs="Arial"/>
                <w:spacing w:val="10"/>
                <w:sz w:val="21"/>
                <w:szCs w:val="21"/>
              </w:rPr>
            </w:pPr>
            <w:r>
              <w:rPr>
                <w:rFonts w:ascii="Arial" w:hAnsi="Arial" w:eastAsia="宋体" w:cs="Arial"/>
                <w:spacing w:val="10"/>
                <w:sz w:val="21"/>
                <w:szCs w:val="21"/>
              </w:rPr>
              <w:t>M1：M＞20；M2：10＜M≤20；M3：5＜M≤10；M4：M=5。</w:t>
            </w:r>
          </w:p>
        </w:tc>
      </w:tr>
    </w:tbl>
    <w:p>
      <w:pPr>
        <w:spacing w:line="500" w:lineRule="exact"/>
        <w:ind w:firstLine="476"/>
        <w:rPr>
          <w:rFonts w:ascii="Arial" w:hAnsi="Arial" w:eastAsia="宋体" w:cs="Arial"/>
          <w:spacing w:val="10"/>
          <w:sz w:val="24"/>
        </w:rPr>
      </w:pPr>
      <w:r>
        <w:rPr>
          <w:rFonts w:ascii="Arial" w:hAnsi="Arial" w:eastAsia="宋体" w:cs="Arial"/>
          <w:spacing w:val="10"/>
          <w:sz w:val="24"/>
        </w:rPr>
        <w:t>根据上表可知，项目M为</w:t>
      </w:r>
      <w:r>
        <w:rPr>
          <w:rFonts w:hint="eastAsia" w:ascii="Arial" w:hAnsi="Arial" w:eastAsia="宋体" w:cs="Arial"/>
          <w:spacing w:val="10"/>
          <w:sz w:val="24"/>
        </w:rPr>
        <w:t>2</w:t>
      </w:r>
      <w:r>
        <w:rPr>
          <w:rFonts w:ascii="Arial" w:hAnsi="Arial" w:eastAsia="宋体" w:cs="Arial"/>
          <w:spacing w:val="10"/>
          <w:sz w:val="24"/>
        </w:rPr>
        <w:t>0，属于M</w:t>
      </w:r>
      <w:r>
        <w:rPr>
          <w:rFonts w:hint="eastAsia" w:ascii="Arial" w:hAnsi="Arial" w:eastAsia="宋体" w:cs="Arial"/>
          <w:spacing w:val="10"/>
          <w:sz w:val="24"/>
        </w:rPr>
        <w:t>2</w:t>
      </w:r>
      <w:r>
        <w:rPr>
          <w:rFonts w:ascii="Arial" w:hAnsi="Arial" w:eastAsia="宋体" w:cs="Arial"/>
          <w:spacing w:val="10"/>
          <w:sz w:val="24"/>
        </w:rPr>
        <w:t>级别。</w:t>
      </w:r>
    </w:p>
    <w:p>
      <w:pPr>
        <w:spacing w:line="500" w:lineRule="exact"/>
        <w:ind w:firstLine="476"/>
        <w:rPr>
          <w:rFonts w:ascii="Arial" w:hAnsi="Arial" w:eastAsia="宋体" w:cs="Arial"/>
          <w:spacing w:val="10"/>
          <w:sz w:val="24"/>
        </w:rPr>
      </w:pPr>
      <w:r>
        <w:rPr>
          <w:rFonts w:ascii="Arial" w:hAnsi="Arial" w:eastAsia="宋体" w:cs="Arial"/>
          <w:spacing w:val="10"/>
          <w:sz w:val="24"/>
        </w:rPr>
        <w:t>3.危险物质及工艺系统危险性分级</w:t>
      </w:r>
    </w:p>
    <w:p>
      <w:pPr>
        <w:spacing w:line="500" w:lineRule="exact"/>
        <w:ind w:firstLine="476"/>
        <w:rPr>
          <w:rFonts w:ascii="Arial" w:hAnsi="Arial" w:eastAsia="宋体" w:cs="Arial"/>
          <w:spacing w:val="10"/>
          <w:sz w:val="24"/>
        </w:rPr>
      </w:pPr>
      <w:r>
        <w:rPr>
          <w:rFonts w:ascii="Arial" w:hAnsi="Arial" w:eastAsia="宋体" w:cs="Arial"/>
          <w:spacing w:val="10"/>
          <w:sz w:val="24"/>
        </w:rPr>
        <w:t>项目危险物质及工艺系统危险性判定详见表4-</w:t>
      </w:r>
      <w:r>
        <w:rPr>
          <w:rFonts w:hint="eastAsia" w:ascii="Arial" w:hAnsi="Arial" w:eastAsia="宋体" w:cs="Arial"/>
          <w:spacing w:val="10"/>
          <w:sz w:val="24"/>
        </w:rPr>
        <w:t>45</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危险物质及工艺系统危险性等级判断（P）</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危险物质数量与临界量比值（Q）</w:t>
            </w:r>
          </w:p>
        </w:tc>
        <w:tc>
          <w:tcPr>
            <w:tcW w:w="6765" w:type="dxa"/>
            <w:gridSpan w:val="4"/>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M3</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Q≥100</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P1</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P1</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10≤Q≤100</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1≤Q≤10</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r>
    </w:tbl>
    <w:p>
      <w:pPr>
        <w:spacing w:line="500" w:lineRule="exact"/>
        <w:ind w:firstLine="476"/>
        <w:rPr>
          <w:rFonts w:ascii="Arial" w:hAnsi="Arial" w:eastAsia="宋体" w:cs="Arial"/>
          <w:spacing w:val="10"/>
          <w:sz w:val="24"/>
        </w:rPr>
      </w:pPr>
      <w:r>
        <w:rPr>
          <w:rFonts w:ascii="Arial" w:hAnsi="Arial" w:eastAsia="宋体" w:cs="Arial"/>
          <w:spacing w:val="10"/>
          <w:sz w:val="24"/>
        </w:rPr>
        <w:t>综上分析，项目危险物质数量与临界量的</w:t>
      </w:r>
      <w:r>
        <w:rPr>
          <w:rFonts w:ascii="Arial" w:hAnsi="Arial" w:eastAsia="宋体" w:cs="Arial"/>
          <w:spacing w:val="10"/>
          <w:sz w:val="24"/>
          <w:u w:val="single"/>
        </w:rPr>
        <w:t>比值Q大于</w:t>
      </w:r>
      <w:r>
        <w:rPr>
          <w:rFonts w:hint="eastAsia" w:ascii="Arial" w:hAnsi="Arial" w:eastAsia="宋体" w:cs="Arial"/>
          <w:spacing w:val="10"/>
          <w:sz w:val="24"/>
          <w:u w:val="single"/>
        </w:rPr>
        <w:t>100</w:t>
      </w:r>
      <w:r>
        <w:rPr>
          <w:rFonts w:ascii="Arial" w:hAnsi="Arial" w:eastAsia="宋体" w:cs="Arial"/>
          <w:spacing w:val="10"/>
          <w:sz w:val="24"/>
        </w:rPr>
        <w:t>，所属行业及生产工艺特点为M</w:t>
      </w:r>
      <w:r>
        <w:rPr>
          <w:rFonts w:hint="eastAsia" w:ascii="Arial" w:hAnsi="Arial" w:eastAsia="宋体" w:cs="Arial"/>
          <w:spacing w:val="10"/>
          <w:sz w:val="24"/>
        </w:rPr>
        <w:t>2</w:t>
      </w:r>
      <w:r>
        <w:rPr>
          <w:rFonts w:ascii="Arial" w:hAnsi="Arial" w:eastAsia="宋体" w:cs="Arial"/>
          <w:spacing w:val="10"/>
          <w:sz w:val="24"/>
        </w:rPr>
        <w:t>级别，</w:t>
      </w:r>
      <w:r>
        <w:rPr>
          <w:rFonts w:ascii="Arial" w:hAnsi="Arial" w:eastAsia="宋体" w:cs="Arial"/>
          <w:spacing w:val="10"/>
          <w:sz w:val="24"/>
          <w:u w:val="single"/>
        </w:rPr>
        <w:t>则项目危险物质及工艺系统危险性判定为P</w:t>
      </w:r>
      <w:r>
        <w:rPr>
          <w:rFonts w:hint="eastAsia" w:ascii="Arial" w:hAnsi="Arial" w:eastAsia="宋体" w:cs="Arial"/>
          <w:spacing w:val="10"/>
          <w:sz w:val="24"/>
          <w:u w:val="single"/>
        </w:rPr>
        <w:t>1</w:t>
      </w:r>
      <w:r>
        <w:rPr>
          <w:rFonts w:ascii="Arial" w:hAnsi="Arial" w:eastAsia="宋体" w:cs="Arial"/>
          <w:spacing w:val="10"/>
          <w:sz w:val="24"/>
        </w:rPr>
        <w:t>。</w:t>
      </w:r>
    </w:p>
    <w:p>
      <w:pPr>
        <w:numPr>
          <w:ilvl w:val="0"/>
          <w:numId w:val="31"/>
        </w:numPr>
        <w:spacing w:line="500" w:lineRule="exact"/>
        <w:jc w:val="left"/>
        <w:outlineLvl w:val="3"/>
        <w:rPr>
          <w:rFonts w:ascii="Arial" w:hAnsi="Arial" w:eastAsia="宋体" w:cs="Arial"/>
          <w:b/>
          <w:spacing w:val="10"/>
          <w:sz w:val="24"/>
        </w:rPr>
      </w:pPr>
      <w:r>
        <w:rPr>
          <w:rFonts w:ascii="Arial" w:hAnsi="Arial" w:eastAsia="宋体" w:cs="Arial"/>
          <w:b/>
          <w:spacing w:val="10"/>
          <w:sz w:val="24"/>
        </w:rPr>
        <w:t>环境敏感程度E的确定</w:t>
      </w:r>
    </w:p>
    <w:p>
      <w:pPr>
        <w:spacing w:line="500" w:lineRule="exact"/>
        <w:ind w:firstLine="476"/>
        <w:rPr>
          <w:rFonts w:ascii="Arial" w:hAnsi="Arial" w:eastAsia="宋体" w:cs="Arial"/>
          <w:spacing w:val="10"/>
          <w:sz w:val="24"/>
        </w:rPr>
      </w:pPr>
      <w:r>
        <w:rPr>
          <w:rFonts w:ascii="Arial" w:hAnsi="Arial" w:eastAsia="宋体" w:cs="Arial"/>
          <w:spacing w:val="10"/>
          <w:sz w:val="24"/>
        </w:rPr>
        <w:t>根据危险物质在事故情况下的环境影响途径，结合大气、地表水及地下水环境的敏感程度对环境敏感程度E进行判定。</w:t>
      </w:r>
    </w:p>
    <w:p>
      <w:pPr>
        <w:spacing w:line="264" w:lineRule="auto"/>
        <w:ind w:firstLine="476"/>
        <w:rPr>
          <w:rFonts w:ascii="Arial" w:hAnsi="Arial" w:eastAsia="宋体" w:cs="Arial"/>
          <w:spacing w:val="10"/>
          <w:sz w:val="24"/>
        </w:rPr>
      </w:pPr>
      <w:r>
        <w:rPr>
          <w:rFonts w:ascii="Arial" w:hAnsi="Arial" w:eastAsia="宋体" w:cs="Arial"/>
          <w:spacing w:val="10"/>
          <w:sz w:val="24"/>
        </w:rPr>
        <w:t>1.大气环境敏感程度</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大气环境敏感程度分级</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大气环境敏感性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r>
    </w:tbl>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根据上文可知，项目周边500m范围内人口总数为1700人，5km范围内人口总数约2.18万人，则大气环境敏感程度判定为E1。</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2.地表水环境敏感程度</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依据事故情况下危险物质泄漏到水体的排放点受纳地表水体功能敏感性（F），与下游环境敏感目标（S）情况，对地表水环境敏感程度进行分级。</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地表水功能敏感性分区</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7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敏感性</w:t>
            </w:r>
          </w:p>
        </w:tc>
        <w:tc>
          <w:tcPr>
            <w:tcW w:w="78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地表水环境敏感特征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敏感F1</w:t>
            </w:r>
          </w:p>
        </w:tc>
        <w:tc>
          <w:tcPr>
            <w:tcW w:w="782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排放点进入地表水水域环境功能为</w:t>
            </w:r>
            <w:r>
              <w:rPr>
                <w:rFonts w:hint="eastAsia" w:ascii="宋体" w:hAnsi="宋体" w:eastAsia="宋体" w:cs="宋体"/>
                <w:spacing w:val="10"/>
                <w:sz w:val="21"/>
                <w:szCs w:val="21"/>
              </w:rPr>
              <w:t>Ⅱ</w:t>
            </w:r>
            <w:r>
              <w:rPr>
                <w:rFonts w:ascii="Arial" w:hAnsi="Arial" w:eastAsia="宋体" w:cs="Arial"/>
                <w:spacing w:val="10"/>
                <w:sz w:val="21"/>
                <w:szCs w:val="21"/>
              </w:rPr>
              <w:t>类及以上，或海水水质分类第一类；或以发生事故时，危险物质泄漏到水体的排放表算起，排放进入受纳河流最大流速时，24h流经范围内涉跨国界的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较敏感F2</w:t>
            </w:r>
          </w:p>
        </w:tc>
        <w:tc>
          <w:tcPr>
            <w:tcW w:w="782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排放点进入地表水水域环境功能为</w:t>
            </w:r>
            <w:r>
              <w:rPr>
                <w:rFonts w:hint="eastAsia" w:ascii="宋体" w:hAnsi="宋体" w:eastAsia="宋体" w:cs="宋体"/>
                <w:spacing w:val="10"/>
                <w:sz w:val="21"/>
                <w:szCs w:val="21"/>
              </w:rPr>
              <w:t>Ⅲ</w:t>
            </w:r>
            <w:r>
              <w:rPr>
                <w:rFonts w:ascii="Arial" w:hAnsi="Arial" w:eastAsia="宋体" w:cs="Arial"/>
                <w:spacing w:val="10"/>
                <w:sz w:val="21"/>
                <w:szCs w:val="21"/>
              </w:rPr>
              <w:t>类，或海水水质分类第二类；或以发生事故时，危险物质泄漏到水体的排放表算起，排放进入受纳河流最大流速时，24h流经范围内涉跨省界的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低敏感F3</w:t>
            </w:r>
          </w:p>
        </w:tc>
        <w:tc>
          <w:tcPr>
            <w:tcW w:w="782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上述地区之外的其他地区</w:t>
            </w:r>
          </w:p>
        </w:tc>
      </w:tr>
    </w:tbl>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环境敏感目标分级</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S1</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S2</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滨海风景旅游区；具有重要经济价值的海洋生物生存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S3</w:t>
            </w:r>
          </w:p>
        </w:tc>
        <w:tc>
          <w:tcPr>
            <w:tcW w:w="8319"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排放点下游（顺水流向）10km范围内、近岸海域一个潮周期水质点可能达到的最大水平距离的两倍范围内无上述类型1和类型2包括的敏感保护目标</w:t>
            </w:r>
          </w:p>
        </w:tc>
      </w:tr>
    </w:tbl>
    <w:p>
      <w:pPr>
        <w:keepNext/>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地表水环境敏感程度分级</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4"/>
        <w:gridCol w:w="2083"/>
        <w:gridCol w:w="2083"/>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环境敏感目标</w:t>
            </w:r>
          </w:p>
        </w:tc>
        <w:tc>
          <w:tcPr>
            <w:tcW w:w="6249" w:type="dxa"/>
            <w:gridSpan w:val="3"/>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地表水功能敏感性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S3</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bl>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项目如若危险物质泄漏到</w:t>
      </w:r>
      <w:r>
        <w:rPr>
          <w:rFonts w:hint="eastAsia" w:ascii="Arial" w:hAnsi="Arial" w:eastAsia="宋体" w:cs="Arial"/>
          <w:spacing w:val="10"/>
          <w:sz w:val="24"/>
        </w:rPr>
        <w:t>近岸海域一个潮周期水质点可能达到的最大水平距离的两倍范围内</w:t>
      </w:r>
      <w:r>
        <w:rPr>
          <w:rFonts w:ascii="Arial" w:hAnsi="Arial" w:eastAsia="宋体" w:cs="Arial"/>
          <w:spacing w:val="10"/>
          <w:sz w:val="24"/>
        </w:rPr>
        <w:t>有鹿耳环江红树林区，地表水功能敏感性分区E2。</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3.地下水环境</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依据地下水功能敏感性与包气带防污性能，对地下水环境敏感程度进行分级判定。</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地下水功能敏感性分区</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7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敏感性</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敏感G1</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较敏感G2</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vertAlign w:val="superscript"/>
              </w:rPr>
            </w:pPr>
            <w:r>
              <w:rPr>
                <w:rFonts w:ascii="Arial" w:hAnsi="Arial" w:eastAsia="宋体" w:cs="Arial"/>
                <w:spacing w:val="10"/>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ascii="Arial" w:hAnsi="Arial" w:eastAsia="宋体" w:cs="Arial"/>
                <w:spacing w:val="10"/>
                <w:sz w:val="21"/>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不敏感G3</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上述地区之外的其他地区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99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a：“环境敏感区”是指《建设项目环境影响评价分类管理名录》中所界定的涉及地下水的环境敏感区</w:t>
            </w:r>
          </w:p>
        </w:tc>
      </w:tr>
    </w:tbl>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包气带防污性能分级</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7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包气带岩土的渗透性能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D3</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Mb≥1.0m，K≤1.0×10</w:t>
            </w:r>
            <w:r>
              <w:rPr>
                <w:rFonts w:ascii="Arial" w:hAnsi="Arial" w:eastAsia="宋体" w:cs="Arial"/>
                <w:spacing w:val="10"/>
                <w:sz w:val="21"/>
                <w:szCs w:val="21"/>
                <w:vertAlign w:val="superscript"/>
              </w:rPr>
              <w:t>-6</w:t>
            </w:r>
            <w:r>
              <w:rPr>
                <w:rFonts w:ascii="Arial" w:hAnsi="Arial" w:eastAsia="宋体" w:cs="Arial"/>
                <w:spacing w:val="10"/>
                <w:sz w:val="21"/>
                <w:szCs w:val="21"/>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D2</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0.5m≤Mb＜1.0m，K≤1.0×10</w:t>
            </w:r>
            <w:r>
              <w:rPr>
                <w:rFonts w:ascii="Arial" w:hAnsi="Arial" w:eastAsia="宋体" w:cs="Arial"/>
                <w:spacing w:val="10"/>
                <w:sz w:val="21"/>
                <w:szCs w:val="21"/>
                <w:vertAlign w:val="superscript"/>
              </w:rPr>
              <w:t>-6</w:t>
            </w:r>
            <w:r>
              <w:rPr>
                <w:rFonts w:ascii="Arial" w:hAnsi="Arial" w:eastAsia="宋体" w:cs="Arial"/>
                <w:spacing w:val="10"/>
                <w:sz w:val="21"/>
                <w:szCs w:val="21"/>
              </w:rPr>
              <w:t>cm/s，且分布连续、稳定</w:t>
            </w:r>
          </w:p>
          <w:p>
            <w:pPr>
              <w:adjustRightInd w:val="0"/>
              <w:snapToGrid w:val="0"/>
              <w:rPr>
                <w:rFonts w:ascii="Arial" w:hAnsi="Arial" w:eastAsia="宋体" w:cs="Arial"/>
                <w:spacing w:val="10"/>
                <w:sz w:val="21"/>
                <w:szCs w:val="21"/>
              </w:rPr>
            </w:pPr>
            <w:r>
              <w:rPr>
                <w:rFonts w:ascii="Arial" w:hAnsi="Arial" w:eastAsia="宋体" w:cs="Arial"/>
                <w:spacing w:val="10"/>
                <w:sz w:val="21"/>
                <w:szCs w:val="21"/>
              </w:rPr>
              <w:t>Mb≥1.0m，1.0×10</w:t>
            </w:r>
            <w:r>
              <w:rPr>
                <w:rFonts w:ascii="Arial" w:hAnsi="Arial" w:eastAsia="宋体" w:cs="Arial"/>
                <w:spacing w:val="10"/>
                <w:sz w:val="21"/>
                <w:szCs w:val="21"/>
                <w:vertAlign w:val="superscript"/>
              </w:rPr>
              <w:t>-6</w:t>
            </w:r>
            <w:r>
              <w:rPr>
                <w:rFonts w:ascii="Arial" w:hAnsi="Arial" w:eastAsia="宋体" w:cs="Arial"/>
                <w:spacing w:val="10"/>
                <w:sz w:val="21"/>
                <w:szCs w:val="21"/>
              </w:rPr>
              <w:t>cm/s＜K≤1.0×10</w:t>
            </w:r>
            <w:r>
              <w:rPr>
                <w:rFonts w:ascii="Arial" w:hAnsi="Arial" w:eastAsia="宋体" w:cs="Arial"/>
                <w:spacing w:val="10"/>
                <w:sz w:val="21"/>
                <w:szCs w:val="21"/>
                <w:vertAlign w:val="superscript"/>
              </w:rPr>
              <w:t>-4</w:t>
            </w:r>
            <w:r>
              <w:rPr>
                <w:rFonts w:ascii="Arial" w:hAnsi="Arial" w:eastAsia="宋体" w:cs="Arial"/>
                <w:spacing w:val="10"/>
                <w:sz w:val="21"/>
                <w:szCs w:val="21"/>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D1</w:t>
            </w:r>
          </w:p>
        </w:tc>
        <w:tc>
          <w:tcPr>
            <w:tcW w:w="766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岩（土）层不满足上述“D2”和“D3”条件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993"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Mb：岩土层单层厚度；K：渗透系数。</w:t>
            </w:r>
          </w:p>
        </w:tc>
      </w:tr>
    </w:tbl>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地下水环境敏感程度分级</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4"/>
        <w:gridCol w:w="2083"/>
        <w:gridCol w:w="2083"/>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包气带防污性能</w:t>
            </w:r>
          </w:p>
        </w:tc>
        <w:tc>
          <w:tcPr>
            <w:tcW w:w="6249" w:type="dxa"/>
            <w:gridSpan w:val="3"/>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地下水功能敏感性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4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D3</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c>
          <w:tcPr>
            <w:tcW w:w="20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bl>
    <w:p>
      <w:pPr>
        <w:adjustRightInd w:val="0"/>
        <w:snapToGrid w:val="0"/>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项目周边无集中式饮用水水源地保护区及特殊地下水保护区，场地周边村民饮用水主要为自来水，地下水环境敏感特征为不敏感（G3）；根据调查，本项目包气带岩土的渗透系数K为6.34×10</w:t>
      </w:r>
      <w:r>
        <w:rPr>
          <w:rFonts w:ascii="Arial" w:hAnsi="Arial" w:eastAsia="宋体" w:cs="Arial"/>
          <w:spacing w:val="10"/>
          <w:sz w:val="24"/>
          <w:vertAlign w:val="superscript"/>
        </w:rPr>
        <w:t>-3</w:t>
      </w:r>
      <w:r>
        <w:rPr>
          <w:rFonts w:ascii="Arial" w:hAnsi="Arial" w:eastAsia="宋体" w:cs="Arial"/>
          <w:spacing w:val="10"/>
          <w:sz w:val="24"/>
        </w:rPr>
        <w:t>cm/s，包气带防污性能为D1。因此，项目地下水敏感程度分级为E2。</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环境风险潜势判定</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项目环境风险潜势划分</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环境敏感程度（E）</w:t>
            </w:r>
          </w:p>
        </w:tc>
        <w:tc>
          <w:tcPr>
            <w:tcW w:w="6765" w:type="dxa"/>
            <w:gridSpan w:val="4"/>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极高危害（P1）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高度危害（P2）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中度危害（P3）</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环境高度敏感区（E1）</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环境中度敏感区（E2）</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环境低度敏感区（E3）</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注：</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r>
              <w:rPr>
                <w:rFonts w:ascii="Arial" w:hAnsi="Arial" w:eastAsia="宋体" w:cs="Arial"/>
                <w:spacing w:val="10"/>
                <w:sz w:val="21"/>
                <w:szCs w:val="21"/>
              </w:rPr>
              <w:t>为极高环境风险。</w:t>
            </w:r>
          </w:p>
        </w:tc>
      </w:tr>
    </w:tbl>
    <w:p>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根据对项目涉及的物质和工艺系统的危险性及其所在地的环境敏感程度分析，对照环境风险潜势划分，</w:t>
      </w:r>
      <w:r>
        <w:rPr>
          <w:rFonts w:ascii="Arial" w:hAnsi="Arial" w:eastAsia="宋体" w:cs="Arial"/>
          <w:spacing w:val="10"/>
          <w:sz w:val="24"/>
          <w:szCs w:val="24"/>
          <w:u w:val="single"/>
        </w:rPr>
        <w:t>将项目大气、地表水及地下水环境风险潜势分别判定为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级。因此，项目环境风险潜势综合等级为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评价工作等级和评价范围</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评价工作等级划分</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环境风险潜势</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rPr>
              <w:t>、</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评价工作等级</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w:t>
            </w:r>
          </w:p>
        </w:tc>
        <w:tc>
          <w:tcPr>
            <w:tcW w:w="169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w:t>
            </w:r>
          </w:p>
        </w:tc>
        <w:tc>
          <w:tcPr>
            <w:tcW w:w="169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vertAlign w:val="superscript"/>
              </w:rPr>
            </w:pPr>
            <w:r>
              <w:rPr>
                <w:rFonts w:ascii="Arial" w:hAnsi="Arial" w:eastAsia="宋体" w:cs="Arial"/>
                <w:spacing w:val="10"/>
                <w:sz w:val="21"/>
                <w:szCs w:val="21"/>
              </w:rPr>
              <w:t>简单分析</w:t>
            </w:r>
            <w:r>
              <w:rPr>
                <w:rFonts w:ascii="Arial" w:hAnsi="Arial" w:eastAsia="宋体" w:cs="Arial"/>
                <w:spacing w:val="10"/>
                <w:sz w:val="21"/>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a：是相对详细评价工作内容而言，在描述危险物质、环境影响途径、环境危害后果、风险防范措施等方面给出定性的说明。见附录A。</w:t>
            </w:r>
          </w:p>
        </w:tc>
      </w:tr>
    </w:tbl>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ascii="Arial" w:hAnsi="Arial" w:eastAsia="宋体" w:cs="Arial"/>
          <w:spacing w:val="10"/>
          <w:sz w:val="24"/>
        </w:rPr>
        <w:t>，根据上表可知项目风险评价工作等级定为一级。</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u w:val="single"/>
        </w:rPr>
        <w:t>项目大气、地表水及地下水环境风险潜势</w:t>
      </w:r>
      <w:r>
        <w:rPr>
          <w:rFonts w:ascii="Arial" w:hAnsi="Arial" w:eastAsia="宋体" w:cs="Arial"/>
          <w:spacing w:val="10"/>
          <w:sz w:val="24"/>
          <w:szCs w:val="24"/>
          <w:u w:val="single"/>
        </w:rPr>
        <w:t>分别为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Arial" w:hAnsi="Arial" w:eastAsia="宋体" w:cs="Arial"/>
          <w:spacing w:val="10"/>
          <w:sz w:val="24"/>
          <w:u w:val="single"/>
        </w:rPr>
        <w:t>则项目大气、地表水及地下水环境风险评价等级均为一级</w:t>
      </w:r>
      <w:r>
        <w:rPr>
          <w:rFonts w:ascii="Arial" w:hAnsi="Arial" w:eastAsia="宋体" w:cs="Arial"/>
          <w:spacing w:val="10"/>
          <w:sz w:val="24"/>
        </w:rPr>
        <w:t>。大气评价范围为项目边界5km范围；地下水环境风险评价范围与地下水调查范围相同。</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风险识别</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4.3.5.1 风险识别内容</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1、物质危险性识别</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项目使用的主要原辅材料、燃料、产品、污染物、火灾和爆炸伴生/次生物汇总于4-</w:t>
      </w:r>
      <w:r>
        <w:rPr>
          <w:rFonts w:hint="eastAsia" w:ascii="Arial" w:hAnsi="Arial" w:eastAsia="宋体" w:cs="Arial"/>
          <w:spacing w:val="10"/>
          <w:sz w:val="24"/>
        </w:rPr>
        <w:t>55</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主要物质识别汇总表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802"/>
        <w:gridCol w:w="6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序号</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类别</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主要物质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原辅材料</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hint="eastAsia" w:ascii="Arial" w:hAnsi="Arial" w:eastAsia="宋体" w:cs="Arial"/>
                <w:kern w:val="0"/>
                <w:sz w:val="21"/>
                <w:szCs w:val="21"/>
                <w:lang w:bidi="ar"/>
              </w:rPr>
              <w:t>硫酸钴晶体、27.5%双氧水、32%液碱、21%氨水、纯水、蒸汽、稀硫酸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中间产品、副产品、最终产品</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hint="eastAsia" w:ascii="Arial" w:hAnsi="Arial" w:eastAsia="宋体" w:cs="Arial"/>
                <w:kern w:val="0"/>
                <w:sz w:val="21"/>
                <w:szCs w:val="21"/>
                <w:lang w:bidi="ar"/>
              </w:rPr>
              <w:t>羟基钴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燃料</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污染物</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颗粒物、</w:t>
            </w:r>
            <w:r>
              <w:rPr>
                <w:rFonts w:hint="eastAsia" w:ascii="Arial" w:hAnsi="Arial" w:eastAsia="宋体" w:cs="Arial"/>
                <w:spacing w:val="10"/>
                <w:sz w:val="21"/>
                <w:szCs w:val="21"/>
              </w:rPr>
              <w:t>氨气、钴及其化合物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1802"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火灾和爆炸伴生/次生物</w:t>
            </w:r>
          </w:p>
        </w:tc>
        <w:tc>
          <w:tcPr>
            <w:tcW w:w="647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Arial" w:hAnsi="Arial" w:eastAsia="宋体" w:cs="Arial"/>
                <w:spacing w:val="10"/>
                <w:sz w:val="21"/>
                <w:szCs w:val="21"/>
              </w:rPr>
            </w:pPr>
            <w:r>
              <w:rPr>
                <w:rFonts w:ascii="Arial" w:hAnsi="Arial" w:eastAsia="宋体" w:cs="Arial"/>
                <w:spacing w:val="10"/>
                <w:sz w:val="21"/>
                <w:szCs w:val="21"/>
              </w:rPr>
              <w:t>一氧化碳、二氧化硫；火灾产生的次生污染物消防废水</w:t>
            </w:r>
          </w:p>
        </w:tc>
      </w:tr>
    </w:tbl>
    <w:p>
      <w:pPr>
        <w:spacing w:line="500" w:lineRule="exact"/>
        <w:ind w:firstLine="450" w:firstLineChars="200"/>
        <w:jc w:val="left"/>
        <w:rPr>
          <w:rFonts w:ascii="Arial" w:hAnsi="Arial" w:eastAsia="宋体" w:cs="Arial"/>
          <w:kern w:val="0"/>
          <w:sz w:val="24"/>
          <w:szCs w:val="24"/>
          <w:lang w:bidi="ar"/>
        </w:rPr>
      </w:pPr>
      <w:r>
        <w:rPr>
          <w:rFonts w:ascii="Arial" w:hAnsi="Arial" w:eastAsia="宋体" w:cs="Arial"/>
          <w:kern w:val="0"/>
          <w:sz w:val="24"/>
          <w:szCs w:val="24"/>
          <w:lang w:bidi="ar"/>
        </w:rPr>
        <w:t>按照风险导则附录B识别出的危险物质包括：</w:t>
      </w:r>
      <w:r>
        <w:rPr>
          <w:rFonts w:hint="eastAsia" w:ascii="Arial" w:hAnsi="Arial" w:eastAsia="宋体" w:cs="Arial"/>
          <w:kern w:val="0"/>
          <w:sz w:val="24"/>
          <w:szCs w:val="24"/>
          <w:lang w:bidi="ar"/>
        </w:rPr>
        <w:t>硫酸钴晶体、21%氨水</w:t>
      </w:r>
      <w:r>
        <w:rPr>
          <w:rFonts w:ascii="Arial" w:hAnsi="Arial" w:eastAsia="宋体" w:cs="Arial"/>
          <w:kern w:val="0"/>
          <w:sz w:val="24"/>
          <w:szCs w:val="24"/>
          <w:lang w:bidi="ar"/>
        </w:rPr>
        <w:t>、</w:t>
      </w:r>
      <w:r>
        <w:rPr>
          <w:rFonts w:hint="eastAsia" w:ascii="Arial" w:hAnsi="Arial" w:eastAsia="宋体" w:cs="Arial"/>
          <w:kern w:val="0"/>
          <w:sz w:val="24"/>
          <w:szCs w:val="24"/>
          <w:lang w:bidi="ar"/>
        </w:rPr>
        <w:t>氨气、钴及其化合物</w:t>
      </w:r>
      <w:r>
        <w:rPr>
          <w:rFonts w:ascii="Arial" w:hAnsi="Arial" w:eastAsia="宋体" w:cs="Arial"/>
          <w:kern w:val="0"/>
          <w:sz w:val="24"/>
          <w:szCs w:val="24"/>
          <w:lang w:bidi="ar"/>
        </w:rPr>
        <w:t>、</w:t>
      </w:r>
      <w:r>
        <w:rPr>
          <w:rFonts w:hint="eastAsia" w:ascii="Arial" w:hAnsi="Arial" w:eastAsia="宋体" w:cs="Arial"/>
          <w:kern w:val="0"/>
          <w:sz w:val="24"/>
          <w:szCs w:val="24"/>
          <w:lang w:bidi="ar"/>
        </w:rPr>
        <w:t>硫酸、</w:t>
      </w:r>
      <w:r>
        <w:rPr>
          <w:rFonts w:ascii="Arial" w:hAnsi="Arial" w:eastAsia="宋体" w:cs="Arial"/>
          <w:kern w:val="0"/>
          <w:sz w:val="24"/>
          <w:szCs w:val="24"/>
          <w:lang w:bidi="ar"/>
        </w:rPr>
        <w:t>一氧化碳、二氧化硫。这部分危险物质危险特性见表4-</w:t>
      </w:r>
      <w:r>
        <w:rPr>
          <w:rFonts w:hint="eastAsia" w:ascii="Arial" w:hAnsi="Arial" w:eastAsia="宋体" w:cs="Arial"/>
          <w:kern w:val="0"/>
          <w:sz w:val="24"/>
          <w:szCs w:val="24"/>
          <w:lang w:bidi="ar"/>
        </w:rPr>
        <w:t>55</w:t>
      </w:r>
      <w:r>
        <w:rPr>
          <w:rFonts w:ascii="Arial" w:hAnsi="Arial" w:eastAsia="宋体" w:cs="Arial"/>
          <w:kern w:val="0"/>
          <w:sz w:val="24"/>
          <w:szCs w:val="24"/>
          <w:lang w:bidi="ar"/>
        </w:rPr>
        <w:t>。</w:t>
      </w:r>
    </w:p>
    <w:p>
      <w:pPr>
        <w:widowControl/>
        <w:jc w:val="left"/>
        <w:rPr>
          <w:rFonts w:ascii="Arial" w:hAnsi="Arial" w:eastAsia="宋体" w:cs="Arial"/>
          <w:spacing w:val="10"/>
          <w:sz w:val="24"/>
          <w:highlight w:val="yellow"/>
        </w:rPr>
        <w:sectPr>
          <w:pgSz w:w="11907" w:h="16840"/>
          <w:pgMar w:top="1418" w:right="1406" w:bottom="1418" w:left="1157" w:header="1174" w:footer="1026" w:gutter="567"/>
          <w:cols w:space="720" w:num="1"/>
          <w:docGrid w:type="linesAndChars" w:linePitch="428" w:charSpace="-3161"/>
        </w:sectPr>
      </w:pP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项目危险物质危险特性表</w:t>
      </w:r>
    </w:p>
    <w:tbl>
      <w:tblPr>
        <w:tblStyle w:val="88"/>
        <w:tblW w:w="13479"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33"/>
        <w:gridCol w:w="642"/>
        <w:gridCol w:w="483"/>
        <w:gridCol w:w="1219"/>
        <w:gridCol w:w="4328"/>
        <w:gridCol w:w="814"/>
        <w:gridCol w:w="1073"/>
        <w:gridCol w:w="1235"/>
        <w:gridCol w:w="2214"/>
        <w:gridCol w:w="10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4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64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物料名称</w:t>
            </w:r>
          </w:p>
        </w:tc>
        <w:tc>
          <w:tcPr>
            <w:tcW w:w="48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相态</w:t>
            </w:r>
          </w:p>
        </w:tc>
        <w:tc>
          <w:tcPr>
            <w:tcW w:w="12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CAS号</w:t>
            </w:r>
          </w:p>
        </w:tc>
        <w:tc>
          <w:tcPr>
            <w:tcW w:w="432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危险特性</w:t>
            </w:r>
          </w:p>
        </w:tc>
        <w:tc>
          <w:tcPr>
            <w:tcW w:w="8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10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引燃温度（</w:t>
            </w:r>
            <w:r>
              <w:rPr>
                <w:rFonts w:hint="eastAsia" w:ascii="宋体" w:hAnsi="宋体" w:eastAsia="宋体" w:cs="宋体"/>
                <w:sz w:val="21"/>
                <w:szCs w:val="21"/>
              </w:rPr>
              <w:t>℃</w:t>
            </w:r>
            <w:r>
              <w:rPr>
                <w:rFonts w:ascii="Arial" w:hAnsi="Arial" w:eastAsia="宋体" w:cs="Arial"/>
                <w:sz w:val="21"/>
                <w:szCs w:val="21"/>
              </w:rPr>
              <w:t>）</w:t>
            </w:r>
          </w:p>
        </w:tc>
        <w:tc>
          <w:tcPr>
            <w:tcW w:w="123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爆炸极限（%/%）</w:t>
            </w:r>
          </w:p>
        </w:tc>
        <w:tc>
          <w:tcPr>
            <w:tcW w:w="22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毒理学资料</w:t>
            </w:r>
          </w:p>
        </w:tc>
        <w:tc>
          <w:tcPr>
            <w:tcW w:w="103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分布位置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64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p>
        </w:tc>
        <w:tc>
          <w:tcPr>
            <w:tcW w:w="48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液</w:t>
            </w:r>
          </w:p>
        </w:tc>
        <w:tc>
          <w:tcPr>
            <w:tcW w:w="1219" w:type="dxa"/>
            <w:vAlign w:val="center"/>
          </w:tcPr>
          <w:p>
            <w:pPr>
              <w:adjustRightInd w:val="0"/>
              <w:snapToGrid w:val="0"/>
              <w:jc w:val="center"/>
              <w:rPr>
                <w:rFonts w:ascii="Arial" w:hAnsi="Arial" w:eastAsia="宋体" w:cs="Arial"/>
                <w:kern w:val="0"/>
                <w:sz w:val="21"/>
                <w:szCs w:val="21"/>
              </w:rPr>
            </w:pPr>
            <w:r>
              <w:rPr>
                <w:rFonts w:ascii="Arial" w:hAnsi="Arial" w:eastAsia="宋体" w:cs="Arial"/>
                <w:sz w:val="21"/>
                <w:szCs w:val="21"/>
              </w:rPr>
              <w:t>1336-21-6</w:t>
            </w:r>
          </w:p>
        </w:tc>
        <w:tc>
          <w:tcPr>
            <w:tcW w:w="432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易分解放出氨气，温度较高，分解速度越快，可形成爆炸性气体环境</w:t>
            </w:r>
          </w:p>
        </w:tc>
        <w:tc>
          <w:tcPr>
            <w:tcW w:w="8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0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23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2214" w:type="dxa"/>
            <w:vAlign w:val="center"/>
          </w:tcPr>
          <w:p>
            <w:pPr>
              <w:adjustRightInd w:val="0"/>
              <w:snapToGrid w:val="0"/>
              <w:jc w:val="center"/>
              <w:rPr>
                <w:rFonts w:ascii="Arial" w:hAnsi="Arial" w:eastAsia="宋体" w:cs="Arial"/>
                <w:kern w:val="0"/>
                <w:sz w:val="21"/>
                <w:szCs w:val="21"/>
              </w:rPr>
            </w:pPr>
            <w:r>
              <w:rPr>
                <w:rFonts w:ascii="Arial" w:hAnsi="Arial" w:eastAsia="宋体" w:cs="Arial"/>
                <w:sz w:val="21"/>
                <w:szCs w:val="21"/>
              </w:rPr>
              <w:t>/</w:t>
            </w:r>
          </w:p>
        </w:tc>
        <w:tc>
          <w:tcPr>
            <w:tcW w:w="1038" w:type="dxa"/>
            <w:vAlign w:val="center"/>
          </w:tcPr>
          <w:p>
            <w:pPr>
              <w:adjustRightInd w:val="0"/>
              <w:snapToGrid w:val="0"/>
              <w:jc w:val="center"/>
              <w:rPr>
                <w:rFonts w:ascii="Arial" w:hAnsi="Arial" w:eastAsia="宋体" w:cs="Arial"/>
                <w:sz w:val="21"/>
                <w:szCs w:val="21"/>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64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w:t>
            </w:r>
          </w:p>
        </w:tc>
        <w:tc>
          <w:tcPr>
            <w:tcW w:w="48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气</w:t>
            </w:r>
          </w:p>
        </w:tc>
        <w:tc>
          <w:tcPr>
            <w:tcW w:w="121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7664-41-7</w:t>
            </w:r>
          </w:p>
        </w:tc>
        <w:tc>
          <w:tcPr>
            <w:tcW w:w="432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与空气混合能形成爆炸混合。遇明火、高热能引起燃烧爆炸。与氟、氯等接触会发生剧烈的化学反应。若遇高热，容器内压增大，有开裂和爆炸的危险。</w:t>
            </w:r>
          </w:p>
        </w:tc>
        <w:tc>
          <w:tcPr>
            <w:tcW w:w="81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07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651</w:t>
            </w:r>
          </w:p>
        </w:tc>
        <w:tc>
          <w:tcPr>
            <w:tcW w:w="123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27.4~15.7</w:t>
            </w:r>
          </w:p>
        </w:tc>
        <w:tc>
          <w:tcPr>
            <w:tcW w:w="22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350mg/kg（大鼠经口）</w:t>
            </w:r>
            <w:r>
              <w:rPr>
                <w:rFonts w:ascii="Arial" w:hAnsi="Arial" w:eastAsia="宋体" w:cs="Arial"/>
                <w:sz w:val="21"/>
                <w:szCs w:val="21"/>
              </w:rPr>
              <w:t>；</w:t>
            </w:r>
          </w:p>
          <w:p>
            <w:pPr>
              <w:adjustRightInd w:val="0"/>
              <w:snapToGrid w:val="0"/>
              <w:jc w:val="center"/>
              <w:rPr>
                <w:rFonts w:ascii="Arial" w:hAnsi="Arial" w:eastAsia="宋体" w:cs="Arial"/>
                <w:kern w:val="0"/>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1390mg/kg，4小时（大鼠吸入）</w:t>
            </w:r>
          </w:p>
        </w:tc>
        <w:tc>
          <w:tcPr>
            <w:tcW w:w="1038" w:type="dxa"/>
            <w:vAlign w:val="center"/>
          </w:tcPr>
          <w:p>
            <w:pPr>
              <w:adjustRightInd w:val="0"/>
              <w:snapToGrid w:val="0"/>
              <w:jc w:val="center"/>
              <w:rPr>
                <w:rFonts w:ascii="Arial" w:hAnsi="Arial" w:eastAsia="宋体" w:cs="Arial"/>
                <w:sz w:val="21"/>
                <w:szCs w:val="21"/>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r>
              <w:rPr>
                <w:rFonts w:hint="eastAsia" w:ascii="Arial" w:hAnsi="Arial" w:eastAsia="宋体" w:cs="Arial"/>
                <w:kern w:val="0"/>
                <w:sz w:val="21"/>
                <w:szCs w:val="21"/>
                <w:lang w:bidi="ar"/>
              </w:rPr>
              <w:t>排气筒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64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w:t>
            </w:r>
          </w:p>
        </w:tc>
        <w:tc>
          <w:tcPr>
            <w:tcW w:w="48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液</w:t>
            </w:r>
          </w:p>
        </w:tc>
        <w:tc>
          <w:tcPr>
            <w:tcW w:w="1219" w:type="dxa"/>
            <w:vAlign w:val="center"/>
          </w:tcPr>
          <w:p>
            <w:pPr>
              <w:adjustRightInd w:val="0"/>
              <w:snapToGrid w:val="0"/>
              <w:jc w:val="center"/>
              <w:rPr>
                <w:rFonts w:ascii="Arial" w:hAnsi="Arial" w:eastAsia="宋体" w:cs="Arial"/>
                <w:kern w:val="0"/>
                <w:sz w:val="21"/>
                <w:szCs w:val="21"/>
              </w:rPr>
            </w:pPr>
            <w:r>
              <w:rPr>
                <w:rFonts w:ascii="Arial" w:hAnsi="Arial" w:eastAsia="宋体" w:cs="Arial"/>
                <w:spacing w:val="10"/>
                <w:sz w:val="21"/>
                <w:szCs w:val="21"/>
              </w:rPr>
              <w:t>7664-93-9</w:t>
            </w:r>
          </w:p>
        </w:tc>
        <w:tc>
          <w:tcPr>
            <w:tcW w:w="432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遇水大量放热，可发生沸溅。与易燃物（如苯）和可燃物（如糖、维生素等）接触会发生剧烈反应，甚至引起燃烧。遇电石、高氯酸盐、</w:t>
            </w:r>
            <w:r>
              <w:rPr>
                <w:rFonts w:hint="eastAsia" w:ascii="Arial" w:hAnsi="Arial" w:eastAsia="宋体" w:cs="Arial"/>
                <w:sz w:val="21"/>
                <w:szCs w:val="21"/>
              </w:rPr>
              <w:t>磷酸</w:t>
            </w:r>
            <w:r>
              <w:rPr>
                <w:rFonts w:ascii="Arial" w:hAnsi="Arial" w:eastAsia="宋体" w:cs="Arial"/>
                <w:sz w:val="21"/>
                <w:szCs w:val="21"/>
              </w:rPr>
              <w:t>盐、硝酸盐、苦味酸盐、金属粉末等猛烈反应，发生爆炸或燃烧。</w:t>
            </w:r>
            <w:r>
              <w:rPr>
                <w:rFonts w:ascii="Arial" w:hAnsi="Arial" w:eastAsia="宋体" w:cs="Arial"/>
                <w:kern w:val="0"/>
                <w:sz w:val="21"/>
                <w:szCs w:val="21"/>
              </w:rPr>
              <w:t>有强烈的腐蚀性和洗水性。</w:t>
            </w:r>
          </w:p>
        </w:tc>
        <w:tc>
          <w:tcPr>
            <w:tcW w:w="8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0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23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2214" w:type="dxa"/>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LD</w:t>
            </w:r>
            <w:r>
              <w:rPr>
                <w:rFonts w:ascii="Arial" w:hAnsi="Arial" w:eastAsia="宋体" w:cs="Arial"/>
                <w:kern w:val="0"/>
                <w:sz w:val="21"/>
                <w:szCs w:val="21"/>
                <w:vertAlign w:val="subscript"/>
              </w:rPr>
              <w:t>50</w:t>
            </w:r>
            <w:r>
              <w:rPr>
                <w:rFonts w:ascii="Arial" w:hAnsi="Arial" w:eastAsia="宋体" w:cs="Arial"/>
                <w:kern w:val="0"/>
                <w:sz w:val="21"/>
                <w:szCs w:val="21"/>
              </w:rPr>
              <w:t>：2140mg/kg（大鼠经口）；LC</w:t>
            </w:r>
            <w:r>
              <w:rPr>
                <w:rFonts w:ascii="Arial" w:hAnsi="Arial" w:eastAsia="宋体" w:cs="Arial"/>
                <w:kern w:val="0"/>
                <w:sz w:val="21"/>
                <w:szCs w:val="21"/>
                <w:vertAlign w:val="subscript"/>
              </w:rPr>
              <w:t>50</w:t>
            </w:r>
            <w:r>
              <w:rPr>
                <w:rFonts w:ascii="Arial" w:hAnsi="Arial" w:eastAsia="宋体" w:cs="Arial"/>
                <w:kern w:val="0"/>
                <w:sz w:val="21"/>
                <w:szCs w:val="21"/>
              </w:rPr>
              <w:t>：510mg/m</w:t>
            </w:r>
            <w:r>
              <w:rPr>
                <w:rFonts w:ascii="Arial" w:hAnsi="Arial" w:eastAsia="宋体" w:cs="Arial"/>
                <w:kern w:val="0"/>
                <w:sz w:val="21"/>
                <w:szCs w:val="21"/>
                <w:vertAlign w:val="superscript"/>
              </w:rPr>
              <w:t>3</w:t>
            </w:r>
            <w:r>
              <w:rPr>
                <w:rFonts w:ascii="Arial" w:hAnsi="Arial" w:eastAsia="宋体" w:cs="Arial"/>
                <w:kern w:val="0"/>
                <w:sz w:val="21"/>
                <w:szCs w:val="21"/>
              </w:rPr>
              <w:t>,2小时（大鼠吸入）；320mg/m</w:t>
            </w:r>
            <w:r>
              <w:rPr>
                <w:rFonts w:ascii="Arial" w:hAnsi="Arial" w:eastAsia="宋体" w:cs="Arial"/>
                <w:kern w:val="0"/>
                <w:sz w:val="21"/>
                <w:szCs w:val="21"/>
                <w:vertAlign w:val="superscript"/>
              </w:rPr>
              <w:t>3</w:t>
            </w:r>
            <w:r>
              <w:rPr>
                <w:rFonts w:ascii="Arial" w:hAnsi="Arial" w:eastAsia="宋体" w:cs="Arial"/>
                <w:kern w:val="0"/>
                <w:sz w:val="21"/>
                <w:szCs w:val="21"/>
              </w:rPr>
              <w:t>，2小时（小鼠吸入）</w:t>
            </w:r>
          </w:p>
        </w:tc>
        <w:tc>
          <w:tcPr>
            <w:tcW w:w="1038" w:type="dxa"/>
            <w:vAlign w:val="center"/>
          </w:tcPr>
          <w:p>
            <w:pPr>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64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一氧化碳</w:t>
            </w:r>
          </w:p>
        </w:tc>
        <w:tc>
          <w:tcPr>
            <w:tcW w:w="48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气</w:t>
            </w:r>
          </w:p>
        </w:tc>
        <w:tc>
          <w:tcPr>
            <w:tcW w:w="12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630-08-0</w:t>
            </w:r>
          </w:p>
        </w:tc>
        <w:tc>
          <w:tcPr>
            <w:tcW w:w="432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易燃易爆气体。与空气混合能形成爆炸性混合物，遇明火、高热能引起燃烧爆炸。</w:t>
            </w:r>
          </w:p>
        </w:tc>
        <w:tc>
          <w:tcPr>
            <w:tcW w:w="8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&lt;-50</w:t>
            </w:r>
            <w:r>
              <w:rPr>
                <w:rFonts w:hint="eastAsia" w:ascii="宋体" w:hAnsi="宋体" w:eastAsia="宋体" w:cs="宋体"/>
                <w:sz w:val="21"/>
                <w:szCs w:val="21"/>
              </w:rPr>
              <w:t>℃</w:t>
            </w:r>
          </w:p>
        </w:tc>
        <w:tc>
          <w:tcPr>
            <w:tcW w:w="10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23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27.4~15.37</w:t>
            </w:r>
          </w:p>
        </w:tc>
        <w:tc>
          <w:tcPr>
            <w:tcW w:w="22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：无资料；</w:t>
            </w:r>
          </w:p>
          <w:p>
            <w:pPr>
              <w:adjustRightInd w:val="0"/>
              <w:snapToGrid w:val="0"/>
              <w:jc w:val="center"/>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：1807ppm/4小时（大鼠吸入）</w:t>
            </w:r>
          </w:p>
        </w:tc>
        <w:tc>
          <w:tcPr>
            <w:tcW w:w="1038" w:type="dxa"/>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火灾和爆炸伴生/次生物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w:t>
            </w:r>
          </w:p>
        </w:tc>
        <w:tc>
          <w:tcPr>
            <w:tcW w:w="64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二氧化硫</w:t>
            </w:r>
          </w:p>
        </w:tc>
        <w:tc>
          <w:tcPr>
            <w:tcW w:w="48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气</w:t>
            </w:r>
          </w:p>
        </w:tc>
        <w:tc>
          <w:tcPr>
            <w:tcW w:w="12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7446-09-5</w:t>
            </w:r>
          </w:p>
        </w:tc>
        <w:tc>
          <w:tcPr>
            <w:tcW w:w="432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不燃。遇高热，容器内压增大，有开裂和爆炸的危险。</w:t>
            </w:r>
          </w:p>
        </w:tc>
        <w:tc>
          <w:tcPr>
            <w:tcW w:w="8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07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23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22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：无资料；</w:t>
            </w:r>
          </w:p>
          <w:p>
            <w:pPr>
              <w:widowControl/>
              <w:adjustRightInd w:val="0"/>
              <w:snapToGrid w:val="0"/>
              <w:jc w:val="center"/>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：2520ppm/1小时（大鼠吸入），3000ppm/30分钟（小鼠吸入）</w:t>
            </w:r>
          </w:p>
        </w:tc>
        <w:tc>
          <w:tcPr>
            <w:tcW w:w="1038" w:type="dxa"/>
            <w:vAlign w:val="center"/>
          </w:tcPr>
          <w:p>
            <w:pPr>
              <w:adjustRightInd w:val="0"/>
              <w:snapToGrid w:val="0"/>
              <w:jc w:val="center"/>
              <w:rPr>
                <w:rFonts w:ascii="Arial" w:hAnsi="Arial" w:eastAsia="宋体" w:cs="Arial"/>
                <w:sz w:val="21"/>
                <w:szCs w:val="21"/>
              </w:rPr>
            </w:pPr>
            <w:r>
              <w:rPr>
                <w:rFonts w:ascii="Arial" w:hAnsi="Arial" w:eastAsia="宋体" w:cs="Arial"/>
                <w:spacing w:val="10"/>
                <w:sz w:val="21"/>
                <w:szCs w:val="21"/>
              </w:rPr>
              <w:t>火灾和爆炸伴生/次生物</w:t>
            </w:r>
          </w:p>
        </w:tc>
      </w:tr>
    </w:tbl>
    <w:p>
      <w:pPr>
        <w:widowControl/>
        <w:jc w:val="left"/>
        <w:rPr>
          <w:rFonts w:ascii="Arial" w:hAnsi="Arial" w:eastAsia="宋体" w:cs="Arial"/>
          <w:spacing w:val="10"/>
          <w:sz w:val="24"/>
          <w:highlight w:val="yellow"/>
        </w:rPr>
      </w:pPr>
    </w:p>
    <w:p>
      <w:pPr>
        <w:widowControl/>
        <w:jc w:val="left"/>
        <w:rPr>
          <w:rFonts w:ascii="Arial" w:hAnsi="Arial" w:eastAsia="宋体" w:cs="Arial"/>
          <w:spacing w:val="10"/>
          <w:sz w:val="24"/>
          <w:highlight w:val="yellow"/>
        </w:rPr>
        <w:sectPr>
          <w:pgSz w:w="16840" w:h="11907" w:orient="landscape"/>
          <w:pgMar w:top="1157" w:right="1678" w:bottom="1406" w:left="1899" w:header="1174" w:footer="1026" w:gutter="567"/>
          <w:cols w:space="720" w:num="1"/>
          <w:docGrid w:type="linesAndChars" w:linePitch="428" w:charSpace="-3161"/>
        </w:sectPr>
      </w:pP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2.生产系统危险性识别</w:t>
      </w:r>
    </w:p>
    <w:p>
      <w:pPr>
        <w:spacing w:line="500" w:lineRule="exact"/>
        <w:ind w:firstLine="490" w:firstLineChars="200"/>
        <w:rPr>
          <w:rFonts w:ascii="Arial" w:hAnsi="Arial" w:eastAsia="宋体" w:cs="Arial"/>
          <w:bCs/>
          <w:spacing w:val="10"/>
          <w:sz w:val="24"/>
          <w:szCs w:val="24"/>
        </w:rPr>
      </w:pPr>
      <w:r>
        <w:rPr>
          <w:rFonts w:ascii="Arial" w:hAnsi="Arial" w:eastAsia="宋体" w:cs="Arial"/>
          <w:bCs/>
          <w:spacing w:val="10"/>
          <w:sz w:val="24"/>
          <w:szCs w:val="24"/>
        </w:rPr>
        <w:t>（1）生产装置危险性识别</w:t>
      </w:r>
    </w:p>
    <w:p>
      <w:pPr>
        <w:spacing w:line="500" w:lineRule="exact"/>
        <w:ind w:firstLine="490" w:firstLineChars="200"/>
        <w:rPr>
          <w:rFonts w:ascii="Arial" w:hAnsi="Arial" w:eastAsia="宋体" w:cs="Arial"/>
          <w:spacing w:val="10"/>
          <w:sz w:val="24"/>
          <w:szCs w:val="22"/>
        </w:rPr>
      </w:pPr>
      <w:r>
        <w:rPr>
          <w:rFonts w:ascii="Arial" w:hAnsi="Arial" w:eastAsia="宋体" w:cs="Arial"/>
          <w:spacing w:val="10"/>
          <w:sz w:val="24"/>
          <w:szCs w:val="22"/>
        </w:rPr>
        <w:t>项目</w:t>
      </w:r>
      <w:r>
        <w:rPr>
          <w:rFonts w:hint="eastAsia" w:ascii="Arial" w:hAnsi="Arial" w:eastAsia="宋体" w:cs="Arial"/>
          <w:spacing w:val="10"/>
          <w:sz w:val="24"/>
          <w:szCs w:val="22"/>
        </w:rPr>
        <w:t>羟基钴生产线合成</w:t>
      </w:r>
      <w:r>
        <w:rPr>
          <w:rFonts w:ascii="Arial" w:hAnsi="Arial" w:eastAsia="宋体" w:cs="Arial"/>
          <w:spacing w:val="10"/>
          <w:sz w:val="24"/>
          <w:szCs w:val="22"/>
        </w:rPr>
        <w:t>工序，</w:t>
      </w:r>
      <w:r>
        <w:rPr>
          <w:rFonts w:hint="eastAsia" w:ascii="Arial" w:hAnsi="Arial" w:eastAsia="宋体" w:cs="Arial"/>
          <w:spacing w:val="10"/>
          <w:sz w:val="24"/>
          <w:szCs w:val="22"/>
        </w:rPr>
        <w:t>在反应釜中加入硫酸钴溶液和32%液碱，同时加入21%氨水（络合剂）、双氧水（氧化剂）进行反应，得到羟基钴料浆，反应过程涉及氧化工艺，合成工序不涉及高温和高压，</w:t>
      </w:r>
      <w:r>
        <w:rPr>
          <w:rFonts w:ascii="Arial" w:hAnsi="Arial" w:eastAsia="宋体" w:cs="Arial"/>
          <w:spacing w:val="10"/>
          <w:sz w:val="24"/>
          <w:szCs w:val="22"/>
        </w:rPr>
        <w:t>原料</w:t>
      </w:r>
      <w:r>
        <w:rPr>
          <w:rFonts w:hint="eastAsia" w:ascii="Arial" w:hAnsi="Arial" w:eastAsia="宋体" w:cs="Arial"/>
          <w:spacing w:val="10"/>
          <w:sz w:val="24"/>
          <w:szCs w:val="22"/>
        </w:rPr>
        <w:t>、</w:t>
      </w:r>
      <w:r>
        <w:rPr>
          <w:rFonts w:ascii="Arial" w:hAnsi="Arial" w:eastAsia="宋体" w:cs="Arial"/>
          <w:spacing w:val="10"/>
          <w:sz w:val="24"/>
          <w:szCs w:val="22"/>
        </w:rPr>
        <w:t>产物</w:t>
      </w:r>
      <w:r>
        <w:rPr>
          <w:rFonts w:hint="eastAsia" w:ascii="Arial" w:hAnsi="Arial" w:eastAsia="宋体" w:cs="Arial"/>
          <w:spacing w:val="10"/>
          <w:sz w:val="24"/>
          <w:szCs w:val="22"/>
        </w:rPr>
        <w:t>和</w:t>
      </w:r>
      <w:r>
        <w:rPr>
          <w:rFonts w:ascii="Arial" w:hAnsi="Arial" w:eastAsia="宋体" w:cs="Arial"/>
          <w:spacing w:val="10"/>
          <w:sz w:val="24"/>
          <w:szCs w:val="22"/>
        </w:rPr>
        <w:t>反应</w:t>
      </w:r>
      <w:r>
        <w:rPr>
          <w:rFonts w:hint="eastAsia" w:ascii="Arial" w:hAnsi="Arial" w:eastAsia="宋体" w:cs="Arial"/>
          <w:spacing w:val="10"/>
          <w:sz w:val="24"/>
          <w:szCs w:val="22"/>
        </w:rPr>
        <w:t>过程</w:t>
      </w:r>
      <w:r>
        <w:rPr>
          <w:rFonts w:ascii="Arial" w:hAnsi="Arial" w:eastAsia="宋体" w:cs="Arial"/>
          <w:spacing w:val="10"/>
          <w:sz w:val="24"/>
          <w:szCs w:val="22"/>
        </w:rPr>
        <w:t>无燃爆危险性，</w:t>
      </w:r>
      <w:r>
        <w:rPr>
          <w:rFonts w:ascii="Arial" w:hAnsi="Arial" w:eastAsia="宋体" w:cs="Arial"/>
          <w:sz w:val="24"/>
          <w:szCs w:val="24"/>
        </w:rPr>
        <w:t>可能</w:t>
      </w:r>
      <w:r>
        <w:rPr>
          <w:rFonts w:hint="eastAsia" w:ascii="Arial" w:hAnsi="Arial" w:eastAsia="宋体" w:cs="Arial"/>
          <w:sz w:val="24"/>
          <w:szCs w:val="24"/>
        </w:rPr>
        <w:t>有液体泄漏</w:t>
      </w:r>
      <w:r>
        <w:rPr>
          <w:rFonts w:ascii="Arial" w:hAnsi="Arial" w:eastAsia="宋体" w:cs="Arial"/>
          <w:sz w:val="24"/>
          <w:szCs w:val="24"/>
        </w:rPr>
        <w:t>风险</w:t>
      </w:r>
      <w:r>
        <w:rPr>
          <w:rFonts w:hint="eastAsia" w:ascii="Arial" w:hAnsi="Arial" w:eastAsia="宋体" w:cs="Arial"/>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（2）储运设施危险性识别</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储运设施危险性识别表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3214"/>
        <w:gridCol w:w="2502"/>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321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储运设施</w:t>
            </w:r>
          </w:p>
        </w:tc>
        <w:tc>
          <w:tcPr>
            <w:tcW w:w="250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危险物质</w:t>
            </w:r>
          </w:p>
        </w:tc>
        <w:tc>
          <w:tcPr>
            <w:tcW w:w="213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3214" w:type="dxa"/>
            <w:vAlign w:val="center"/>
          </w:tcPr>
          <w:p>
            <w:pPr>
              <w:adjustRightInd w:val="0"/>
              <w:snapToGrid w:val="0"/>
              <w:jc w:val="center"/>
              <w:rPr>
                <w:rFonts w:ascii="Arial" w:hAnsi="Arial" w:eastAsia="宋体" w:cs="Arial"/>
                <w:sz w:val="21"/>
                <w:szCs w:val="21"/>
              </w:rPr>
            </w:pPr>
            <w:r>
              <w:rPr>
                <w:rFonts w:hint="eastAsia" w:ascii="Arial" w:hAnsi="Arial" w:eastAsia="宋体" w:cs="Arial"/>
                <w:kern w:val="0"/>
                <w:sz w:val="21"/>
                <w:szCs w:val="21"/>
              </w:rPr>
              <w:t>硫酸钴晶体</w:t>
            </w:r>
          </w:p>
        </w:tc>
        <w:tc>
          <w:tcPr>
            <w:tcW w:w="2502" w:type="dxa"/>
            <w:vAlign w:val="center"/>
          </w:tcPr>
          <w:p>
            <w:pPr>
              <w:adjustRightInd w:val="0"/>
              <w:snapToGrid w:val="0"/>
              <w:jc w:val="center"/>
              <w:rPr>
                <w:rFonts w:ascii="Arial" w:hAnsi="Arial" w:eastAsia="宋体" w:cs="Arial"/>
                <w:sz w:val="21"/>
                <w:szCs w:val="21"/>
              </w:rPr>
            </w:pPr>
            <w:r>
              <w:rPr>
                <w:rFonts w:hint="eastAsia" w:ascii="Arial" w:hAnsi="Arial" w:eastAsia="宋体" w:cs="Arial"/>
                <w:kern w:val="0"/>
                <w:sz w:val="21"/>
                <w:szCs w:val="21"/>
              </w:rPr>
              <w:t>钴</w:t>
            </w:r>
          </w:p>
        </w:tc>
        <w:tc>
          <w:tcPr>
            <w:tcW w:w="213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原料暂存区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3214" w:type="dxa"/>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氨水罐（5m</w:t>
            </w:r>
            <w:r>
              <w:rPr>
                <w:rFonts w:hint="eastAsia" w:ascii="Arial" w:hAnsi="Arial" w:eastAsia="宋体" w:cs="Arial"/>
                <w:kern w:val="0"/>
                <w:sz w:val="21"/>
                <w:szCs w:val="21"/>
                <w:vertAlign w:val="superscript"/>
              </w:rPr>
              <w:t>3</w:t>
            </w:r>
            <w:r>
              <w:rPr>
                <w:rFonts w:hint="eastAsia" w:ascii="Arial" w:hAnsi="Arial" w:eastAsia="宋体" w:cs="Arial"/>
                <w:kern w:val="0"/>
                <w:sz w:val="21"/>
                <w:szCs w:val="21"/>
              </w:rPr>
              <w:t>）</w:t>
            </w:r>
          </w:p>
        </w:tc>
        <w:tc>
          <w:tcPr>
            <w:tcW w:w="2502" w:type="dxa"/>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21%氨水</w:t>
            </w:r>
          </w:p>
        </w:tc>
        <w:tc>
          <w:tcPr>
            <w:tcW w:w="213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3214" w:type="dxa"/>
            <w:vAlign w:val="center"/>
          </w:tcPr>
          <w:p>
            <w:pPr>
              <w:adjustRightInd w:val="0"/>
              <w:snapToGrid w:val="0"/>
              <w:jc w:val="center"/>
              <w:rPr>
                <w:rFonts w:ascii="Arial" w:hAnsi="Arial" w:eastAsia="宋体" w:cs="Arial"/>
                <w:kern w:val="0"/>
                <w:sz w:val="21"/>
                <w:szCs w:val="21"/>
              </w:rPr>
            </w:pPr>
            <w:r>
              <w:rPr>
                <w:rFonts w:hint="eastAsia" w:ascii="Arial" w:hAnsi="Arial" w:eastAsia="宋体" w:cs="Arial"/>
                <w:spacing w:val="10"/>
                <w:sz w:val="21"/>
                <w:szCs w:val="21"/>
              </w:rPr>
              <w:t>洗水外排槽</w:t>
            </w:r>
            <w:r>
              <w:rPr>
                <w:rFonts w:hint="eastAsia" w:ascii="Arial" w:hAnsi="Arial" w:eastAsia="宋体" w:cs="Arial"/>
                <w:kern w:val="0"/>
                <w:sz w:val="21"/>
                <w:szCs w:val="21"/>
              </w:rPr>
              <w:t>（75m</w:t>
            </w:r>
            <w:r>
              <w:rPr>
                <w:rFonts w:hint="eastAsia" w:ascii="Arial" w:hAnsi="Arial" w:eastAsia="宋体" w:cs="Arial"/>
                <w:kern w:val="0"/>
                <w:sz w:val="21"/>
                <w:szCs w:val="21"/>
                <w:vertAlign w:val="superscript"/>
              </w:rPr>
              <w:t>3</w:t>
            </w:r>
            <w:r>
              <w:rPr>
                <w:rFonts w:hint="eastAsia" w:ascii="Arial" w:hAnsi="Arial" w:eastAsia="宋体" w:cs="Arial"/>
                <w:kern w:val="0"/>
                <w:sz w:val="21"/>
                <w:szCs w:val="21"/>
              </w:rPr>
              <w:t>）</w:t>
            </w:r>
          </w:p>
        </w:tc>
        <w:tc>
          <w:tcPr>
            <w:tcW w:w="2502" w:type="dxa"/>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钴</w:t>
            </w:r>
          </w:p>
        </w:tc>
        <w:tc>
          <w:tcPr>
            <w:tcW w:w="213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东面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3214"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配酸槽（最大贮存1t稀硫酸）</w:t>
            </w:r>
          </w:p>
        </w:tc>
        <w:tc>
          <w:tcPr>
            <w:tcW w:w="2502" w:type="dxa"/>
            <w:vAlign w:val="center"/>
          </w:tcPr>
          <w:p>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硫酸</w:t>
            </w:r>
          </w:p>
        </w:tc>
        <w:tc>
          <w:tcPr>
            <w:tcW w:w="213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146"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w:t>
            </w:r>
          </w:p>
        </w:tc>
        <w:tc>
          <w:tcPr>
            <w:tcW w:w="3214" w:type="dxa"/>
            <w:vAlign w:val="center"/>
          </w:tcPr>
          <w:p>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羟基钴</w:t>
            </w:r>
          </w:p>
        </w:tc>
        <w:tc>
          <w:tcPr>
            <w:tcW w:w="2502" w:type="dxa"/>
            <w:vAlign w:val="center"/>
          </w:tcPr>
          <w:p>
            <w:pPr>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钴</w:t>
            </w:r>
          </w:p>
        </w:tc>
        <w:tc>
          <w:tcPr>
            <w:tcW w:w="2131" w:type="dxa"/>
            <w:vAlign w:val="center"/>
          </w:tcPr>
          <w:p>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X19车间产品区</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储运设施的危险物质在储存过程可能产生泄漏风险，主要原因有：</w:t>
      </w:r>
      <w:r>
        <w:rPr>
          <w:rFonts w:hint="eastAsia" w:ascii="宋体" w:hAnsi="宋体" w:eastAsia="宋体" w:cs="宋体"/>
          <w:spacing w:val="10"/>
          <w:sz w:val="24"/>
          <w:szCs w:val="24"/>
        </w:rPr>
        <w:t>①</w:t>
      </w:r>
      <w:r>
        <w:rPr>
          <w:rFonts w:ascii="Arial" w:hAnsi="Arial" w:eastAsia="宋体" w:cs="Arial"/>
          <w:spacing w:val="10"/>
          <w:sz w:val="24"/>
          <w:szCs w:val="24"/>
        </w:rPr>
        <w:t>罐体腐蚀破裂；</w:t>
      </w:r>
      <w:r>
        <w:rPr>
          <w:rFonts w:hint="eastAsia" w:ascii="宋体" w:hAnsi="宋体" w:eastAsia="宋体" w:cs="宋体"/>
          <w:spacing w:val="10"/>
          <w:sz w:val="24"/>
          <w:szCs w:val="24"/>
        </w:rPr>
        <w:t>②</w:t>
      </w:r>
      <w:r>
        <w:rPr>
          <w:rFonts w:ascii="Arial" w:hAnsi="Arial" w:eastAsia="宋体" w:cs="Arial"/>
          <w:spacing w:val="10"/>
          <w:sz w:val="24"/>
          <w:szCs w:val="24"/>
        </w:rPr>
        <w:t>罐体焊缝开裂；</w:t>
      </w:r>
      <w:r>
        <w:rPr>
          <w:rFonts w:hint="eastAsia" w:ascii="宋体" w:hAnsi="宋体" w:eastAsia="宋体" w:cs="宋体"/>
          <w:spacing w:val="10"/>
          <w:sz w:val="24"/>
          <w:szCs w:val="24"/>
        </w:rPr>
        <w:t>③</w:t>
      </w:r>
      <w:r>
        <w:rPr>
          <w:rFonts w:ascii="Arial" w:hAnsi="Arial" w:eastAsia="宋体" w:cs="Arial"/>
          <w:spacing w:val="10"/>
          <w:sz w:val="24"/>
          <w:szCs w:val="24"/>
        </w:rPr>
        <w:t>罐体与管线接头密封损坏或螺丝松动；</w:t>
      </w:r>
      <w:r>
        <w:rPr>
          <w:rFonts w:hint="eastAsia" w:ascii="宋体" w:hAnsi="宋体" w:eastAsia="宋体" w:cs="宋体"/>
          <w:spacing w:val="10"/>
          <w:sz w:val="24"/>
          <w:szCs w:val="24"/>
        </w:rPr>
        <w:t>④</w:t>
      </w:r>
      <w:r>
        <w:rPr>
          <w:rFonts w:ascii="Arial" w:hAnsi="Arial" w:eastAsia="宋体" w:cs="Arial"/>
          <w:spacing w:val="10"/>
          <w:sz w:val="24"/>
          <w:szCs w:val="24"/>
        </w:rPr>
        <w:t>进料口阀门密封不严或螺丝松动等。</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（3）公辅工程危险性识别</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公辅工程不涉及危险物质</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（4）环保工程危险性识别</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项目羟基钴生产废水经板框压滤预处理后，暂存于洗水外排槽，再通过管道泵入S7污水处理车间进一步处理，洗水外排槽内的生产废水含钴离子，</w:t>
      </w:r>
      <w:r>
        <w:rPr>
          <w:rFonts w:ascii="Arial" w:hAnsi="Arial" w:eastAsia="宋体" w:cs="Arial"/>
          <w:spacing w:val="10"/>
          <w:sz w:val="24"/>
          <w:szCs w:val="24"/>
        </w:rPr>
        <w:t>属危险物质</w:t>
      </w:r>
      <w:r>
        <w:rPr>
          <w:rFonts w:hint="eastAsia" w:ascii="Arial" w:hAnsi="Arial" w:eastAsia="宋体" w:cs="Arial"/>
          <w:spacing w:val="10"/>
          <w:sz w:val="24"/>
          <w:szCs w:val="24"/>
        </w:rPr>
        <w:t>；项目有组织排放的氨经吸收塔处理，有组织排放的钴及其化合物经布袋除尘器处理，氨水罐产生的氨以无组织形式排放，氨、钴及其化合物均属危险物质</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3.事故伴生/次生危险性</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项目发生火灾、爆炸进入大气的燃烧产物主要为CO、SO</w:t>
      </w:r>
      <w:r>
        <w:rPr>
          <w:rFonts w:ascii="Arial" w:hAnsi="Arial" w:eastAsia="宋体" w:cs="Arial"/>
          <w:spacing w:val="10"/>
          <w:sz w:val="24"/>
          <w:szCs w:val="24"/>
          <w:vertAlign w:val="subscript"/>
        </w:rPr>
        <w:t>2</w:t>
      </w:r>
      <w:r>
        <w:rPr>
          <w:rFonts w:ascii="Arial" w:hAnsi="Arial" w:eastAsia="宋体" w:cs="Arial"/>
          <w:spacing w:val="10"/>
          <w:sz w:val="24"/>
          <w:szCs w:val="24"/>
        </w:rPr>
        <w:t>，具有一定的毒性，会形成次生环境污染事故。火灾爆炸过程中消防产生的废水会对地表水、地下水和土壤产生影响。</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4.重点风险源识别</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综上分析，本次评价采用定性法确定重点风险源，以危险物质超过临界量且不易发现的风险源识别为重点风险源。项目</w:t>
      </w:r>
      <w:r>
        <w:rPr>
          <w:rFonts w:hint="eastAsia" w:ascii="Arial" w:hAnsi="Arial" w:eastAsia="宋体" w:cs="Arial"/>
          <w:spacing w:val="10"/>
          <w:sz w:val="24"/>
          <w:szCs w:val="24"/>
        </w:rPr>
        <w:t>的</w:t>
      </w:r>
      <w:r>
        <w:rPr>
          <w:rFonts w:ascii="Arial" w:hAnsi="Arial" w:eastAsia="宋体" w:cs="Arial"/>
          <w:spacing w:val="10"/>
          <w:sz w:val="24"/>
          <w:szCs w:val="24"/>
        </w:rPr>
        <w:t>重点风险源主要是</w:t>
      </w:r>
      <w:r>
        <w:rPr>
          <w:rFonts w:hint="eastAsia" w:ascii="Arial" w:hAnsi="Arial" w:eastAsia="宋体" w:cs="Arial"/>
          <w:spacing w:val="10"/>
          <w:sz w:val="24"/>
          <w:szCs w:val="24"/>
        </w:rPr>
        <w:t>X19车间</w:t>
      </w:r>
      <w:r>
        <w:rPr>
          <w:rFonts w:ascii="Arial" w:hAnsi="Arial" w:eastAsia="宋体" w:cs="Arial"/>
          <w:spacing w:val="10"/>
          <w:sz w:val="24"/>
          <w:szCs w:val="24"/>
        </w:rPr>
        <w:t>。</w:t>
      </w:r>
    </w:p>
    <w:p>
      <w:pPr>
        <w:spacing w:line="500" w:lineRule="exact"/>
        <w:jc w:val="left"/>
        <w:outlineLvl w:val="3"/>
        <w:rPr>
          <w:rFonts w:ascii="Arial" w:hAnsi="Arial" w:eastAsia="宋体" w:cs="Arial"/>
          <w:b/>
          <w:spacing w:val="10"/>
          <w:sz w:val="24"/>
        </w:rPr>
      </w:pPr>
      <w:r>
        <w:rPr>
          <w:rFonts w:ascii="Arial" w:hAnsi="Arial" w:eastAsia="宋体" w:cs="Arial"/>
          <w:b/>
          <w:spacing w:val="10"/>
          <w:sz w:val="24"/>
        </w:rPr>
        <w:t>4.3.5.2 风险识别结果</w:t>
      </w:r>
    </w:p>
    <w:p>
      <w:pPr>
        <w:spacing w:line="500" w:lineRule="exact"/>
        <w:ind w:firstLine="489"/>
        <w:jc w:val="left"/>
        <w:rPr>
          <w:rFonts w:ascii="Arial" w:hAnsi="Arial" w:eastAsia="宋体" w:cs="Arial"/>
          <w:spacing w:val="10"/>
          <w:sz w:val="24"/>
          <w:szCs w:val="24"/>
        </w:rPr>
      </w:pPr>
      <w:r>
        <w:rPr>
          <w:rFonts w:ascii="Arial" w:hAnsi="Arial" w:eastAsia="宋体" w:cs="Arial"/>
          <w:spacing w:val="10"/>
          <w:sz w:val="24"/>
          <w:szCs w:val="24"/>
        </w:rPr>
        <w:t>根据物质危险性识别、生产系统危险性识别，项目环境风险识别结果见表4-</w:t>
      </w:r>
      <w:r>
        <w:rPr>
          <w:rFonts w:hint="eastAsia" w:ascii="Arial" w:hAnsi="Arial" w:eastAsia="宋体" w:cs="Arial"/>
          <w:spacing w:val="10"/>
          <w:sz w:val="24"/>
          <w:szCs w:val="24"/>
        </w:rPr>
        <w:t>58</w:t>
      </w:r>
      <w:r>
        <w:rPr>
          <w:rFonts w:ascii="Arial" w:hAnsi="Arial" w:eastAsia="宋体" w:cs="Arial"/>
          <w:spacing w:val="10"/>
          <w:sz w:val="24"/>
          <w:szCs w:val="24"/>
        </w:rPr>
        <w:t>，危险单元分布见附图10。</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项目环境风险识别汇总表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1401"/>
        <w:gridCol w:w="1417"/>
        <w:gridCol w:w="1275"/>
        <w:gridCol w:w="851"/>
        <w:gridCol w:w="1417"/>
        <w:gridCol w:w="1221"/>
        <w:gridCol w:w="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69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140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危险单元</w:t>
            </w:r>
          </w:p>
        </w:tc>
        <w:tc>
          <w:tcPr>
            <w:tcW w:w="141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风险源</w:t>
            </w:r>
          </w:p>
        </w:tc>
        <w:tc>
          <w:tcPr>
            <w:tcW w:w="127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主要危险物质</w:t>
            </w:r>
          </w:p>
        </w:tc>
        <w:tc>
          <w:tcPr>
            <w:tcW w:w="85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环境风险类型</w:t>
            </w:r>
          </w:p>
        </w:tc>
        <w:tc>
          <w:tcPr>
            <w:tcW w:w="141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环境影响途径</w:t>
            </w:r>
          </w:p>
        </w:tc>
        <w:tc>
          <w:tcPr>
            <w:tcW w:w="12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可能受影响的敏感目标</w:t>
            </w:r>
          </w:p>
        </w:tc>
        <w:tc>
          <w:tcPr>
            <w:tcW w:w="7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692"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140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p>
        </w:tc>
        <w:tc>
          <w:tcPr>
            <w:tcW w:w="1417"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氨水罐、溶解槽、反应斧、洗水外排槽、配酸槽</w:t>
            </w:r>
          </w:p>
        </w:tc>
        <w:tc>
          <w:tcPr>
            <w:tcW w:w="1275"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21%氨水、钴离子、氨、硫酸</w:t>
            </w:r>
          </w:p>
        </w:tc>
        <w:tc>
          <w:tcPr>
            <w:tcW w:w="85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泄漏</w:t>
            </w:r>
          </w:p>
        </w:tc>
        <w:tc>
          <w:tcPr>
            <w:tcW w:w="141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地表水、地下水、土壤</w:t>
            </w:r>
          </w:p>
        </w:tc>
        <w:tc>
          <w:tcPr>
            <w:tcW w:w="1221"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周边居民、大气、地表水、地下水、土壤</w:t>
            </w:r>
          </w:p>
        </w:tc>
        <w:tc>
          <w:tcPr>
            <w:tcW w:w="7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新增危险单元</w:t>
            </w:r>
          </w:p>
        </w:tc>
      </w:tr>
    </w:tbl>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风险事故情形分析</w:t>
      </w:r>
    </w:p>
    <w:p>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事故案例</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1、有毒有害物质泄漏资料统计与分析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生产物质危险性分析和以往事故调查，物料输送管路系统及贮存系统是最有可能发生泄漏的地方。泄漏产生的直接后果为大量有毒有害气体直接外排，液体泄漏后通过蒸发扩散至外环境，处理事故时泄漏的液体进入水体等，都可能造成较为严重的环境危害，甚至威胁到周围居民的安全。</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（1）物料输送管路系统事故</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物料输送管道与设备相接的管线、法兰、接头、弯头产生松动、脱落或管口焊缝开裂造成的泄漏；物料输送系统各类阀门壳体、盖孔等损坏造成的泄漏。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（2）贮存系统事故</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主要包括贮存容器破裂造成的泄漏，各类接头破裂产生的泄漏。罐体和罐区是重点防范的主要区域。罐体发生泄漏、爆炸的原因有以下方面：</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罐体较大泄漏、爆炸：由于罐体锈蚀、地震或其他自然原因造成罐体变形泄漏，有可能造成对周围环境的严重污染，危及当地人畜的健康和安全，可能甚至可能发生爆炸和火灾，造成重大损失。当人为管理不当或疏忽时也可能造成上述后果。发生此类事故持续时间较短、源强较大。类比国内外其他生产厂家，该种事故发生概率极小。</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罐体较小泄漏：贮存过程造成的污染，主要为贮罐破损或装罐过程产生的污染。在加强管理和定期检查的情况下，贮罐破损事故可基本消除，但装罐过程泄漏现象不可避免。因此装罐过程中的泄漏是主要的泄漏源，主要可能产生由于管理不当或罐体老化在管道接口处可能有较小泄漏，会对生产工人造成危害可能中毒。</w:t>
      </w:r>
    </w:p>
    <w:p>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罐区事故风险：生产过程中由于管理不善、设备失修，意外跳闸、仪表失灵、技术水平低等原因可能有个别处发生跑、冒、滴、漏现象会对工人有不利影响，可能引发中毒，也可能在某死角积聚发生火灾或爆炸。</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对国内化工行业事故发生原因的调查统计，化工行业以设备、管道、贮罐破损泄漏等引起的事故比例最高，而造成设备破损泄漏的直接原因多为管理不善、未定时检修造成，其中以违反操作规程、操作失误等人为因素引起的事故比例较高。表4-</w:t>
      </w:r>
      <w:r>
        <w:rPr>
          <w:rFonts w:hint="eastAsia" w:ascii="Arial" w:hAnsi="Arial" w:eastAsia="宋体" w:cs="Arial"/>
          <w:spacing w:val="10"/>
          <w:sz w:val="24"/>
        </w:rPr>
        <w:t>59</w:t>
      </w:r>
      <w:r>
        <w:rPr>
          <w:rFonts w:ascii="Arial" w:hAnsi="Arial" w:eastAsia="宋体" w:cs="Arial"/>
          <w:spacing w:val="10"/>
          <w:sz w:val="24"/>
        </w:rPr>
        <w:t>给出我国化工企业一般泄漏事故原因概率统计情况。</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我国化工企业一般泄漏事故原因概率</w:t>
      </w:r>
    </w:p>
    <w:tbl>
      <w:tblPr>
        <w:tblStyle w:val="88"/>
        <w:tblW w:w="8985"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47"/>
        <w:gridCol w:w="2246"/>
        <w:gridCol w:w="2246"/>
        <w:gridCol w:w="224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47"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事故原因</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设备（贮罐、管道等）</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人为因素</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自然因素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247"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出现几率（%）</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72</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12</w:t>
            </w:r>
          </w:p>
        </w:tc>
        <w:tc>
          <w:tcPr>
            <w:tcW w:w="2246" w:type="dxa"/>
            <w:tcBorders>
              <w:top w:val="single" w:color="auto" w:sz="6" w:space="0"/>
              <w:left w:val="single" w:color="auto" w:sz="6" w:space="0"/>
              <w:bottom w:val="single" w:color="auto" w:sz="6" w:space="0"/>
              <w:right w:val="single" w:color="auto" w:sz="6" w:space="0"/>
            </w:tcBorders>
            <w:vAlign w:val="center"/>
          </w:tcPr>
          <w:p>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16</w:t>
            </w: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通过对全国35家石化工厂38年间事故调查情况分析，储运系统的事故主要为火灾、爆炸和溢油。其中火灾、爆炸的原因主要为：思想麻痹、违章动火；生产操作过程中产生静电，引起火灾爆炸；违章操作引起冒顶，遇明火发生火灾；设备不防爆，引起火灾。溢油（泄漏）的主要原因为：操作马虎，冒顶跑油；设备损坏发生跑油；装车跑油。由表</w:t>
      </w:r>
      <w:r>
        <w:rPr>
          <w:rFonts w:hint="eastAsia" w:ascii="Arial" w:hAnsi="Arial" w:eastAsia="宋体" w:cs="Arial"/>
          <w:spacing w:val="10"/>
          <w:sz w:val="24"/>
        </w:rPr>
        <w:t>4-60</w:t>
      </w:r>
      <w:r>
        <w:rPr>
          <w:rFonts w:ascii="Arial" w:hAnsi="Arial" w:eastAsia="宋体" w:cs="Arial"/>
          <w:spacing w:val="10"/>
          <w:sz w:val="24"/>
        </w:rPr>
        <w:t>可知，储运区发生事故中，火灾爆炸均为油罐的事故，跑油包括罐区和管线，跑油事故发生的概率大于爆炸事故，但其频率也较低，仅为40年一次。表4-</w:t>
      </w:r>
      <w:r>
        <w:rPr>
          <w:rFonts w:hint="eastAsia" w:ascii="Arial" w:hAnsi="Arial" w:eastAsia="宋体" w:cs="Arial"/>
          <w:spacing w:val="10"/>
          <w:sz w:val="24"/>
        </w:rPr>
        <w:t>61</w:t>
      </w:r>
      <w:r>
        <w:rPr>
          <w:rFonts w:ascii="Arial" w:hAnsi="Arial" w:eastAsia="宋体" w:cs="Arial"/>
          <w:spacing w:val="10"/>
          <w:sz w:val="24"/>
        </w:rPr>
        <w:t>列出了事故状态下有关设备典型泄漏损坏情况。</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储运系统事故统计结果</w:t>
      </w:r>
    </w:p>
    <w:tbl>
      <w:tblPr>
        <w:tblStyle w:val="88"/>
        <w:tblW w:w="8985"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993"/>
        <w:gridCol w:w="2996"/>
        <w:gridCol w:w="299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2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事故类型</w:t>
            </w:r>
          </w:p>
        </w:tc>
        <w:tc>
          <w:tcPr>
            <w:tcW w:w="2996" w:type="dxa"/>
            <w:tcBorders>
              <w:top w:val="single" w:color="auto" w:sz="6" w:space="0"/>
              <w:left w:val="single" w:color="auto" w:sz="6" w:space="0"/>
              <w:bottom w:val="single" w:color="auto" w:sz="6" w:space="0"/>
              <w:right w:val="single" w:color="auto" w:sz="6" w:space="0"/>
            </w:tcBorders>
            <w:vAlign w:val="center"/>
          </w:tcPr>
          <w:p>
            <w:pPr>
              <w:snapToGrid w:val="0"/>
              <w:jc w:val="center"/>
              <w:rPr>
                <w:rFonts w:ascii="Arial" w:hAnsi="Arial" w:eastAsia="宋体" w:cs="Arial"/>
                <w:spacing w:val="10"/>
                <w:sz w:val="21"/>
                <w:szCs w:val="21"/>
              </w:rPr>
            </w:pPr>
            <w:r>
              <w:rPr>
                <w:rFonts w:ascii="Arial" w:hAnsi="Arial" w:eastAsia="宋体" w:cs="Arial"/>
                <w:spacing w:val="10"/>
                <w:sz w:val="21"/>
                <w:szCs w:val="21"/>
              </w:rPr>
              <w:t>发生次数</w:t>
            </w:r>
          </w:p>
        </w:tc>
        <w:tc>
          <w:tcPr>
            <w:tcW w:w="2996" w:type="dxa"/>
            <w:tcBorders>
              <w:top w:val="single" w:color="auto" w:sz="6" w:space="0"/>
              <w:left w:val="single" w:color="auto" w:sz="6" w:space="0"/>
              <w:bottom w:val="single" w:color="auto" w:sz="6" w:space="0"/>
              <w:right w:val="single" w:color="auto" w:sz="6" w:space="0"/>
            </w:tcBorders>
            <w:vAlign w:val="center"/>
          </w:tcPr>
          <w:p>
            <w:pPr>
              <w:snapToGrid w:val="0"/>
              <w:jc w:val="center"/>
              <w:rPr>
                <w:rFonts w:ascii="Arial" w:hAnsi="Arial" w:eastAsia="宋体" w:cs="Arial"/>
                <w:spacing w:val="10"/>
                <w:sz w:val="21"/>
                <w:szCs w:val="21"/>
              </w:rPr>
            </w:pPr>
            <w:r>
              <w:rPr>
                <w:rFonts w:ascii="Arial" w:hAnsi="Arial" w:eastAsia="宋体" w:cs="Arial"/>
                <w:spacing w:val="10"/>
                <w:sz w:val="21"/>
                <w:szCs w:val="21"/>
              </w:rPr>
              <w:t>发生频率（1/年·厂）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2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火灾、爆炸</w:t>
            </w:r>
          </w:p>
        </w:tc>
        <w:tc>
          <w:tcPr>
            <w:tcW w:w="2996"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w:t>
            </w:r>
          </w:p>
        </w:tc>
        <w:tc>
          <w:tcPr>
            <w:tcW w:w="2996"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0.0068（160年一次）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2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溢油（泄漏）</w:t>
            </w:r>
          </w:p>
        </w:tc>
        <w:tc>
          <w:tcPr>
            <w:tcW w:w="2996"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37</w:t>
            </w:r>
          </w:p>
        </w:tc>
        <w:tc>
          <w:tcPr>
            <w:tcW w:w="2996"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0.0278（40年一次）</w:t>
            </w:r>
          </w:p>
        </w:tc>
      </w:tr>
    </w:tbl>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事故下设备典型泄漏表</w:t>
      </w:r>
    </w:p>
    <w:tbl>
      <w:tblPr>
        <w:tblStyle w:val="88"/>
        <w:tblW w:w="8985"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0"/>
        <w:gridCol w:w="1211"/>
        <w:gridCol w:w="2554"/>
        <w:gridCol w:w="2199"/>
        <w:gridCol w:w="22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tblHeader/>
          <w:jc w:val="center"/>
        </w:trPr>
        <w:tc>
          <w:tcPr>
            <w:tcW w:w="82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121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设备名称</w:t>
            </w:r>
          </w:p>
        </w:tc>
        <w:tc>
          <w:tcPr>
            <w:tcW w:w="255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设备种类</w:t>
            </w: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典型泄漏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损坏尺寸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211"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w:t>
            </w:r>
          </w:p>
        </w:tc>
        <w:tc>
          <w:tcPr>
            <w:tcW w:w="2554"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管道、法兰、接头、弯头</w:t>
            </w: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法兰泄漏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接头损坏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焊点断裂</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211"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阀</w:t>
            </w:r>
          </w:p>
        </w:tc>
        <w:tc>
          <w:tcPr>
            <w:tcW w:w="2554"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球、阀门</w:t>
            </w: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壳泄漏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盖孔泄漏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杆损坏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211"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贮罐</w:t>
            </w:r>
          </w:p>
        </w:tc>
        <w:tc>
          <w:tcPr>
            <w:tcW w:w="2554"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露天贮罐</w:t>
            </w: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容器损坏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全部破裂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1211"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554"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Arial" w:hAnsi="Arial" w:eastAsia="宋体" w:cs="Arial"/>
                <w:spacing w:val="10"/>
                <w:sz w:val="21"/>
                <w:szCs w:val="21"/>
              </w:rPr>
            </w:pPr>
          </w:p>
        </w:tc>
        <w:tc>
          <w:tcPr>
            <w:tcW w:w="219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接头泄漏</w:t>
            </w:r>
          </w:p>
        </w:tc>
        <w:tc>
          <w:tcPr>
            <w:tcW w:w="220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2、事故案例</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w:t>
      </w:r>
      <w:r>
        <w:rPr>
          <w:rFonts w:hint="eastAsia" w:ascii="Arial" w:hAnsi="Arial" w:eastAsia="宋体" w:cs="Arial"/>
          <w:spacing w:val="10"/>
          <w:sz w:val="24"/>
        </w:rPr>
        <w:t>2007</w:t>
      </w:r>
      <w:r>
        <w:rPr>
          <w:rFonts w:ascii="Arial" w:hAnsi="Arial" w:eastAsia="宋体" w:cs="Arial"/>
          <w:spacing w:val="10"/>
          <w:sz w:val="24"/>
        </w:rPr>
        <w:t>年</w:t>
      </w:r>
      <w:r>
        <w:rPr>
          <w:rFonts w:hint="eastAsia" w:ascii="Arial" w:hAnsi="Arial" w:eastAsia="宋体" w:cs="Arial"/>
          <w:spacing w:val="10"/>
          <w:sz w:val="24"/>
        </w:rPr>
        <w:t>6</w:t>
      </w:r>
      <w:r>
        <w:rPr>
          <w:rFonts w:ascii="Arial" w:hAnsi="Arial" w:eastAsia="宋体" w:cs="Arial"/>
          <w:spacing w:val="10"/>
          <w:sz w:val="24"/>
        </w:rPr>
        <w:t>月1</w:t>
      </w:r>
      <w:r>
        <w:rPr>
          <w:rFonts w:hint="eastAsia" w:ascii="Arial" w:hAnsi="Arial" w:eastAsia="宋体" w:cs="Arial"/>
          <w:spacing w:val="10"/>
          <w:sz w:val="24"/>
        </w:rPr>
        <w:t>6</w:t>
      </w:r>
      <w:r>
        <w:rPr>
          <w:rFonts w:ascii="Arial" w:hAnsi="Arial" w:eastAsia="宋体" w:cs="Arial"/>
          <w:spacing w:val="10"/>
          <w:sz w:val="24"/>
        </w:rPr>
        <w:t>日</w:t>
      </w:r>
      <w:r>
        <w:rPr>
          <w:rFonts w:hint="eastAsia" w:ascii="Arial" w:hAnsi="Arial" w:eastAsia="宋体" w:cs="Arial"/>
          <w:spacing w:val="10"/>
          <w:sz w:val="24"/>
        </w:rPr>
        <w:t>晚8时许</w:t>
      </w:r>
      <w:r>
        <w:rPr>
          <w:rFonts w:ascii="Arial" w:hAnsi="Arial" w:eastAsia="宋体" w:cs="Arial"/>
          <w:spacing w:val="10"/>
          <w:sz w:val="24"/>
        </w:rPr>
        <w:t>，</w:t>
      </w:r>
      <w:r>
        <w:rPr>
          <w:rFonts w:hint="eastAsia" w:ascii="Arial" w:hAnsi="Arial" w:eastAsia="宋体" w:cs="Arial"/>
          <w:spacing w:val="10"/>
          <w:sz w:val="24"/>
        </w:rPr>
        <w:t>位于崂山区崂山路的青岛崂特啤酒有限公司制冷车间1个装有1吨多的氨水罐阀门破损</w:t>
      </w:r>
      <w:r>
        <w:rPr>
          <w:rFonts w:hint="eastAsia" w:ascii="Arial" w:hAnsi="Arial" w:eastAsia="宋体" w:cs="Arial"/>
          <w:spacing w:val="10"/>
          <w:sz w:val="24"/>
          <w:lang w:eastAsia="zh-CN"/>
        </w:rPr>
        <w:t>泄漏</w:t>
      </w:r>
      <w:r>
        <w:rPr>
          <w:rFonts w:hint="eastAsia" w:ascii="Arial" w:hAnsi="Arial" w:eastAsia="宋体" w:cs="Arial"/>
          <w:spacing w:val="10"/>
          <w:sz w:val="24"/>
        </w:rPr>
        <w:t>，与崂特公司一墙之隔的敬老院众多老人出现不适反应，有6人出现恶心头晕等不适症状。</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w:t>
      </w:r>
      <w:r>
        <w:rPr>
          <w:rFonts w:hint="eastAsia" w:ascii="Arial" w:hAnsi="Arial" w:eastAsia="宋体" w:cs="Arial"/>
          <w:spacing w:val="10"/>
          <w:sz w:val="24"/>
        </w:rPr>
        <w:t>2016年11月8日上午9时43分许，山东淄博周村嘉周热电有限公司脱硫脱硝装置氨水罐发生爆炸，经初步确认，事故造成2人经抢救无效死亡，9人受伤</w:t>
      </w:r>
      <w:r>
        <w:rPr>
          <w:rFonts w:ascii="Arial" w:hAnsi="Arial" w:eastAsia="宋体" w:cs="Arial"/>
          <w:spacing w:val="10"/>
          <w:sz w:val="24"/>
        </w:rPr>
        <w:t>。</w:t>
      </w:r>
    </w:p>
    <w:p>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风险事故情形设定</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项目风险事故主要是火灾、爆炸事故及泄漏对环境的影响，顶端事故与基本事件的关联具体见图4.3-1。</w:t>
      </w:r>
    </w:p>
    <w:p>
      <w:pPr>
        <w:jc w:val="center"/>
        <w:rPr>
          <w:rFonts w:ascii="Arial" w:hAnsi="Arial" w:eastAsia="宋体" w:cs="Arial"/>
          <w:spacing w:val="10"/>
          <w:sz w:val="24"/>
        </w:rPr>
      </w:pPr>
      <w:r>
        <w:rPr>
          <w:rFonts w:ascii="Arial" w:hAnsi="Arial" w:eastAsia="宋体" w:cs="Arial"/>
          <w:spacing w:val="10"/>
          <w:sz w:val="24"/>
        </w:rPr>
        <w:drawing>
          <wp:inline distT="0" distB="0" distL="114300" distR="114300">
            <wp:extent cx="4316095" cy="4542155"/>
            <wp:effectExtent l="0" t="0" r="8255" b="10795"/>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122"/>
                    <a:stretch>
                      <a:fillRect/>
                    </a:stretch>
                  </pic:blipFill>
                  <pic:spPr>
                    <a:xfrm>
                      <a:off x="0" y="0"/>
                      <a:ext cx="4316095" cy="4542155"/>
                    </a:xfrm>
                    <a:prstGeom prst="rect">
                      <a:avLst/>
                    </a:prstGeom>
                    <a:noFill/>
                    <a:ln>
                      <a:noFill/>
                    </a:ln>
                  </pic:spPr>
                </pic:pic>
              </a:graphicData>
            </a:graphic>
          </wp:inline>
        </w:drawing>
      </w:r>
    </w:p>
    <w:p>
      <w:pPr>
        <w:spacing w:line="500" w:lineRule="exact"/>
        <w:ind w:firstLine="490" w:firstLineChars="200"/>
        <w:jc w:val="center"/>
        <w:rPr>
          <w:rFonts w:ascii="Arial" w:hAnsi="Arial" w:eastAsia="宋体" w:cs="Arial"/>
          <w:b/>
          <w:spacing w:val="10"/>
          <w:sz w:val="24"/>
        </w:rPr>
      </w:pPr>
      <w:r>
        <w:rPr>
          <w:rFonts w:ascii="Arial" w:hAnsi="Arial" w:eastAsia="宋体" w:cs="Arial"/>
          <w:b/>
          <w:spacing w:val="10"/>
          <w:sz w:val="24"/>
        </w:rPr>
        <w:t>图4.3-1  顶端事故与基本事件关联图</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由图4.3-1可知，项目发生燃烧爆炸事故是由两个“中间事件”（设备泄漏、火源）同时发生所造成的。因此，防止原料泄漏是防止发生燃爆事故的关键，另外安全管理，严禁吸烟和动用明火，防止铁器撞击，也是防止燃爆事故发生的必要条件。本次评价的潜在事故的事件树分析具体见图4.3-2。</w:t>
      </w:r>
    </w:p>
    <w:p>
      <w:pPr>
        <w:rPr>
          <w:rFonts w:ascii="Arial" w:hAnsi="Arial" w:eastAsia="宋体" w:cs="Arial"/>
          <w:spacing w:val="10"/>
          <w:sz w:val="24"/>
        </w:rPr>
      </w:pPr>
      <w:r>
        <w:rPr>
          <w:rFonts w:ascii="Arial" w:hAnsi="Arial" w:eastAsia="宋体" w:cs="Arial"/>
          <w:spacing w:val="10"/>
          <w:sz w:val="24"/>
        </w:rPr>
        <w:drawing>
          <wp:inline distT="0" distB="0" distL="114300" distR="114300">
            <wp:extent cx="5572125" cy="2533650"/>
            <wp:effectExtent l="0" t="0" r="9525" b="0"/>
            <wp:docPr id="37"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3"/>
                    <pic:cNvPicPr>
                      <a:picLocks noChangeAspect="1"/>
                    </pic:cNvPicPr>
                  </pic:nvPicPr>
                  <pic:blipFill>
                    <a:blip r:embed="rId123"/>
                    <a:stretch>
                      <a:fillRect/>
                    </a:stretch>
                  </pic:blipFill>
                  <pic:spPr>
                    <a:xfrm>
                      <a:off x="0" y="0"/>
                      <a:ext cx="5572125" cy="2533650"/>
                    </a:xfrm>
                    <a:prstGeom prst="rect">
                      <a:avLst/>
                    </a:prstGeom>
                    <a:noFill/>
                    <a:ln>
                      <a:noFill/>
                    </a:ln>
                  </pic:spPr>
                </pic:pic>
              </a:graphicData>
            </a:graphic>
          </wp:inline>
        </w:drawing>
      </w:r>
    </w:p>
    <w:p>
      <w:pPr>
        <w:spacing w:line="500" w:lineRule="exact"/>
        <w:ind w:firstLine="490" w:firstLineChars="200"/>
        <w:jc w:val="center"/>
        <w:rPr>
          <w:rFonts w:ascii="Arial" w:hAnsi="Arial" w:eastAsia="宋体" w:cs="Arial"/>
          <w:b/>
          <w:spacing w:val="10"/>
          <w:sz w:val="24"/>
        </w:rPr>
      </w:pPr>
      <w:r>
        <w:rPr>
          <w:rFonts w:ascii="Arial" w:hAnsi="Arial" w:eastAsia="宋体" w:cs="Arial"/>
          <w:b/>
          <w:spacing w:val="10"/>
          <w:sz w:val="24"/>
        </w:rPr>
        <w:t>图4.3-2  储罐、管道系统事件树示意图</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由图4.3-2可知，项目物料泄漏风险事故对环境的影响与泄漏时间及各种应急处理措施的有效性密切相关。同时，储罐、管道等物料泄漏，极可能引发燃爆危害事故或扩散污染事故。</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风险事故情形设定由以下原则：</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1.同一种危险物质可能有多种环境风险类型。风险事故情形应包括危险物质泄漏，以及火灾、爆炸等引发的伴生/次生污染物排放情形。对不同环境要素产生影响的风险事故情形，应分别进行设定。</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2.对于火灾、爆炸事故，需将事故中未完全燃烧的危险物质在高温下迅速挥发释放至大气，以及燃烧过程中产生的伴生/次生污染物对环境的影响作为风险事故情形设定的内容。</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3.设定的风险事故情形发生可能性应处于合理的区间，并与经济技术发展水平相适应。一般而言，发生频率小于10</w:t>
      </w:r>
      <w:r>
        <w:rPr>
          <w:rFonts w:ascii="Arial" w:hAnsi="Arial" w:eastAsia="宋体" w:cs="Arial"/>
          <w:spacing w:val="10"/>
          <w:sz w:val="24"/>
          <w:vertAlign w:val="superscript"/>
        </w:rPr>
        <w:t>-6</w:t>
      </w:r>
      <w:r>
        <w:rPr>
          <w:rFonts w:ascii="Arial" w:hAnsi="Arial" w:eastAsia="宋体" w:cs="Arial"/>
          <w:spacing w:val="10"/>
          <w:sz w:val="24"/>
        </w:rPr>
        <w:t>/年的事件是极小概率事件，可作为代表性事故情形中最大可信事故设定的参考。</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4.风险事故情形设定的不确定性与筛选。由于事故触发因素具有不确定性，因此事故情形的设定并不能包含全部可能的环境风险，但通过具有代表性的事故情形分析可为风险管理提供科学依据。事故情形的设定应在环境风险识别的基础上筛选，设定的事故情形应具有危险物质、环境危害、影响途径等方面的代表性。</w:t>
      </w:r>
    </w:p>
    <w:p>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风险事故情形设定结果</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根据《建设项目环境风险评价技术导则》（HJ169-2018）</w:t>
      </w:r>
      <w:r>
        <w:rPr>
          <w:rFonts w:ascii="Arial" w:hAnsi="Arial" w:eastAsia="宋体" w:cs="Arial"/>
          <w:spacing w:val="12"/>
          <w:sz w:val="24"/>
        </w:rPr>
        <w:t>附录E，常见部件、设备泄漏情形的发生概率见表4-</w:t>
      </w:r>
      <w:r>
        <w:rPr>
          <w:rFonts w:hint="eastAsia" w:ascii="Arial" w:hAnsi="Arial" w:eastAsia="宋体" w:cs="Arial"/>
          <w:spacing w:val="12"/>
          <w:sz w:val="24"/>
        </w:rPr>
        <w:t>62</w:t>
      </w:r>
      <w:r>
        <w:rPr>
          <w:rFonts w:ascii="Arial" w:hAnsi="Arial" w:eastAsia="宋体" w:cs="Arial"/>
          <w:spacing w:val="12"/>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生产装置与管线泄漏概率表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16"/>
        <w:gridCol w:w="3694"/>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部件类型</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泄漏模式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泄漏频率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反应器/工艺储罐/气体储罐/塔器</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常压单包容储罐</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常压双包容储罐</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1.25×10</w:t>
            </w:r>
            <w:r>
              <w:rPr>
                <w:rFonts w:ascii="Arial" w:hAnsi="Arial" w:eastAsia="宋体" w:cs="Arial"/>
                <w:spacing w:val="10"/>
                <w:sz w:val="21"/>
                <w:szCs w:val="21"/>
                <w:vertAlign w:val="superscript"/>
              </w:rPr>
              <w:t>-8</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1.25×10</w:t>
            </w:r>
            <w:r>
              <w:rPr>
                <w:rFonts w:ascii="Arial" w:hAnsi="Arial" w:eastAsia="宋体" w:cs="Arial"/>
                <w:spacing w:val="10"/>
                <w:sz w:val="21"/>
                <w:szCs w:val="21"/>
                <w:vertAlign w:val="superscript"/>
              </w:rPr>
              <w:t>-8</w:t>
            </w:r>
            <w:r>
              <w:rPr>
                <w:rFonts w:ascii="Arial" w:hAnsi="Arial" w:eastAsia="宋体" w:cs="Arial"/>
                <w:spacing w:val="1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常压全包容储罐</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-8</w:t>
            </w:r>
            <w:r>
              <w:rPr>
                <w:rFonts w:ascii="Arial" w:hAnsi="Arial" w:eastAsia="宋体" w:cs="Arial"/>
                <w:spacing w:val="1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内径≤75mm的管道</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w:t>
            </w:r>
          </w:p>
          <w:p>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75mm＜内径≤150mm的管道</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w:t>
            </w:r>
          </w:p>
          <w:p>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2.00×10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-7</w:t>
            </w:r>
            <w:r>
              <w:rPr>
                <w:rFonts w:ascii="Arial" w:hAnsi="Arial" w:eastAsia="宋体" w:cs="Arial"/>
                <w:spacing w:val="10"/>
                <w:sz w:val="21"/>
                <w:szCs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内径＞150mm的管道</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泄漏孔径为10%孔径（最大50mm）</w:t>
            </w:r>
          </w:p>
          <w:p>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2.40×10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-7</w:t>
            </w:r>
            <w:r>
              <w:rPr>
                <w:rFonts w:ascii="Arial" w:hAnsi="Arial" w:eastAsia="宋体" w:cs="Arial"/>
                <w:spacing w:val="10"/>
                <w:sz w:val="21"/>
                <w:szCs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泵体和压缩机最大连接管泄漏孔径为10%孔径（最大50mm）</w:t>
            </w:r>
          </w:p>
          <w:p>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泵体和压缩机最大连接管全管径泄漏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装卸臂</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装卸臂连接管泄漏孔径为10%孔径（最大50mm）</w:t>
            </w:r>
          </w:p>
          <w:p>
            <w:pPr>
              <w:spacing w:line="240" w:lineRule="exact"/>
              <w:rPr>
                <w:rFonts w:ascii="Arial" w:hAnsi="Arial" w:eastAsia="宋体" w:cs="Arial"/>
                <w:spacing w:val="10"/>
                <w:sz w:val="21"/>
                <w:szCs w:val="21"/>
              </w:rPr>
            </w:pPr>
            <w:r>
              <w:rPr>
                <w:rFonts w:ascii="Arial" w:hAnsi="Arial" w:eastAsia="宋体" w:cs="Arial"/>
                <w:spacing w:val="10"/>
                <w:sz w:val="21"/>
                <w:szCs w:val="21"/>
              </w:rPr>
              <w:t>装卸臂全管径泄漏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-7</w:t>
            </w:r>
            <w:r>
              <w:rPr>
                <w:rFonts w:ascii="Arial" w:hAnsi="Arial" w:eastAsia="宋体" w:cs="Arial"/>
                <w:spacing w:val="10"/>
                <w:sz w:val="21"/>
                <w:szCs w:val="21"/>
              </w:rPr>
              <w:t>/h</w:t>
            </w:r>
          </w:p>
          <w:p>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-8</w:t>
            </w:r>
            <w:r>
              <w:rPr>
                <w:rFonts w:ascii="Arial" w:hAnsi="Arial" w:eastAsia="宋体" w:cs="Arial"/>
                <w:spacing w:val="10"/>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216"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装卸软管</w:t>
            </w:r>
          </w:p>
        </w:tc>
        <w:tc>
          <w:tcPr>
            <w:tcW w:w="3694"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装卸软管连接管泄漏孔径为10%孔径（最大50mm）</w:t>
            </w:r>
          </w:p>
          <w:p>
            <w:pPr>
              <w:spacing w:line="240" w:lineRule="exact"/>
              <w:rPr>
                <w:rFonts w:ascii="Arial" w:hAnsi="Arial" w:eastAsia="宋体" w:cs="Arial"/>
                <w:spacing w:val="10"/>
                <w:sz w:val="21"/>
                <w:szCs w:val="21"/>
              </w:rPr>
            </w:pPr>
            <w:r>
              <w:rPr>
                <w:rFonts w:ascii="Arial" w:hAnsi="Arial" w:eastAsia="宋体" w:cs="Arial"/>
                <w:spacing w:val="10"/>
                <w:sz w:val="21"/>
                <w:szCs w:val="21"/>
              </w:rPr>
              <w:t>装卸软管全管径泄漏</w:t>
            </w:r>
          </w:p>
        </w:tc>
        <w:tc>
          <w:tcPr>
            <w:tcW w:w="2083" w:type="dxa"/>
            <w:tcBorders>
              <w:top w:val="single" w:color="auto" w:sz="4" w:space="0"/>
              <w:left w:val="single" w:color="auto" w:sz="4" w:space="0"/>
              <w:bottom w:val="single" w:color="auto" w:sz="4" w:space="0"/>
              <w:right w:val="single" w:color="auto" w:sz="4" w:space="0"/>
            </w:tcBorders>
            <w:vAlign w:val="center"/>
          </w:tcPr>
          <w:p>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-5</w:t>
            </w:r>
            <w:r>
              <w:rPr>
                <w:rFonts w:ascii="Arial" w:hAnsi="Arial" w:eastAsia="宋体" w:cs="Arial"/>
                <w:spacing w:val="10"/>
                <w:sz w:val="21"/>
                <w:szCs w:val="21"/>
              </w:rPr>
              <w:t>/h</w:t>
            </w:r>
          </w:p>
          <w:p>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-6</w:t>
            </w:r>
            <w:r>
              <w:rPr>
                <w:rFonts w:ascii="Arial" w:hAnsi="Arial" w:eastAsia="宋体" w:cs="Arial"/>
                <w:spacing w:val="10"/>
                <w:sz w:val="21"/>
                <w:szCs w:val="21"/>
              </w:rPr>
              <w:t>/h</w:t>
            </w:r>
          </w:p>
        </w:tc>
      </w:tr>
    </w:tbl>
    <w:p>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根据国内类似行业多年经验，事故发生原因和出现几率见表4-</w:t>
      </w:r>
      <w:r>
        <w:rPr>
          <w:rFonts w:hint="eastAsia" w:ascii="Arial" w:hAnsi="Arial" w:eastAsia="宋体" w:cs="Arial"/>
          <w:spacing w:val="10"/>
          <w:sz w:val="24"/>
        </w:rPr>
        <w:t>63</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行业事故原因及出现几率统计表</w:t>
      </w:r>
    </w:p>
    <w:tbl>
      <w:tblPr>
        <w:tblStyle w:val="88"/>
        <w:tblW w:w="894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5229"/>
        <w:gridCol w:w="37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8"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事故原因</w:t>
            </w:r>
          </w:p>
        </w:tc>
        <w:tc>
          <w:tcPr>
            <w:tcW w:w="3718" w:type="dxa"/>
            <w:tcBorders>
              <w:top w:val="single" w:color="auto" w:sz="8"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出现几率（%）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贮罐、管道和设备破损</w:t>
            </w:r>
          </w:p>
        </w:tc>
        <w:tc>
          <w:tcPr>
            <w:tcW w:w="3718" w:type="dxa"/>
            <w:tcBorders>
              <w:top w:val="single" w:color="auto" w:sz="4"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废气处理系统故障</w:t>
            </w:r>
          </w:p>
        </w:tc>
        <w:tc>
          <w:tcPr>
            <w:tcW w:w="3718" w:type="dxa"/>
            <w:tcBorders>
              <w:top w:val="single" w:color="auto" w:sz="4"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生产装置爆炸</w:t>
            </w:r>
          </w:p>
        </w:tc>
        <w:tc>
          <w:tcPr>
            <w:tcW w:w="3718" w:type="dxa"/>
            <w:tcBorders>
              <w:top w:val="single" w:color="auto" w:sz="4"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物料泄漏发生火灾</w:t>
            </w:r>
          </w:p>
        </w:tc>
        <w:tc>
          <w:tcPr>
            <w:tcW w:w="3718" w:type="dxa"/>
            <w:tcBorders>
              <w:top w:val="single" w:color="auto" w:sz="4"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Ex>
        <w:trPr>
          <w:trHeight w:val="340" w:hRule="atLeast"/>
          <w:jc w:val="center"/>
        </w:trPr>
        <w:tc>
          <w:tcPr>
            <w:tcW w:w="52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eastAsia" w:ascii="Arial" w:hAnsi="Arial" w:eastAsia="宋体" w:cs="Arial"/>
                <w:spacing w:val="10"/>
                <w:sz w:val="21"/>
                <w:szCs w:val="21"/>
                <w:lang w:eastAsia="zh-CN"/>
              </w:rPr>
            </w:pPr>
            <w:r>
              <w:rPr>
                <w:rFonts w:hint="eastAsia" w:ascii="Arial" w:hAnsi="Arial" w:eastAsia="宋体" w:cs="Arial"/>
                <w:spacing w:val="10"/>
                <w:sz w:val="21"/>
                <w:szCs w:val="21"/>
                <w:lang w:eastAsia="zh-CN"/>
              </w:rPr>
              <w:t>其他</w:t>
            </w:r>
          </w:p>
        </w:tc>
        <w:tc>
          <w:tcPr>
            <w:tcW w:w="3718" w:type="dxa"/>
            <w:tcBorders>
              <w:top w:val="single" w:color="auto" w:sz="4" w:space="0"/>
              <w:left w:val="single" w:color="auto" w:sz="4" w:space="0"/>
              <w:bottom w:val="single" w:color="auto" w:sz="4" w:space="0"/>
              <w:right w:val="single" w:color="auto" w:sz="8"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29</w:t>
            </w:r>
          </w:p>
        </w:tc>
      </w:tr>
    </w:tbl>
    <w:p>
      <w:pPr>
        <w:spacing w:line="500" w:lineRule="exact"/>
        <w:ind w:firstLine="490" w:firstLineChars="200"/>
        <w:rPr>
          <w:rFonts w:ascii="Arial" w:hAnsi="Arial" w:eastAsia="宋体" w:cs="Arial"/>
          <w:b/>
          <w:spacing w:val="10"/>
          <w:sz w:val="24"/>
        </w:rPr>
      </w:pPr>
      <w:r>
        <w:rPr>
          <w:rFonts w:ascii="Arial" w:hAnsi="Arial" w:eastAsia="宋体" w:cs="Arial"/>
          <w:b/>
          <w:spacing w:val="10"/>
          <w:sz w:val="24"/>
        </w:rPr>
        <w:t>项目风险事故情形设定如下：</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项目具有多个事故风险源，从全过程生产及储运过程均有可能发生重大环境污染事故。</w:t>
      </w:r>
      <w:r>
        <w:rPr>
          <w:rFonts w:hint="eastAsia" w:ascii="Arial" w:hAnsi="Arial" w:eastAsia="宋体" w:cs="Arial"/>
          <w:spacing w:val="10"/>
          <w:sz w:val="24"/>
        </w:rPr>
        <w:t>在</w:t>
      </w:r>
      <w:r>
        <w:rPr>
          <w:rFonts w:ascii="Arial" w:hAnsi="Arial" w:eastAsia="宋体" w:cs="Arial"/>
          <w:spacing w:val="10"/>
          <w:sz w:val="24"/>
        </w:rPr>
        <w:t>风险识别</w:t>
      </w:r>
      <w:r>
        <w:rPr>
          <w:rFonts w:hint="eastAsia" w:ascii="Arial" w:hAnsi="Arial" w:eastAsia="宋体" w:cs="Arial"/>
          <w:spacing w:val="10"/>
          <w:sz w:val="24"/>
        </w:rPr>
        <w:t>的基础上，本报告</w:t>
      </w:r>
      <w:r>
        <w:rPr>
          <w:rFonts w:ascii="Arial" w:hAnsi="Arial" w:eastAsia="宋体" w:cs="Arial"/>
          <w:spacing w:val="10"/>
          <w:sz w:val="24"/>
        </w:rPr>
        <w:t>主要考虑重点风险源的事故，</w:t>
      </w:r>
      <w:r>
        <w:rPr>
          <w:rFonts w:hint="eastAsia" w:ascii="Arial" w:hAnsi="Arial" w:eastAsia="宋体" w:cs="Arial"/>
          <w:spacing w:val="10"/>
          <w:sz w:val="24"/>
        </w:rPr>
        <w:t>存在量超过临界量的危险物质、毒性终点浓度较小的危险物质。因此，本报告最大可信事故主要考虑X19车间的氨水罐、洗水外排槽及配酸槽泄漏，具体</w:t>
      </w:r>
      <w:r>
        <w:rPr>
          <w:rFonts w:ascii="Arial" w:hAnsi="Arial" w:eastAsia="宋体" w:cs="Arial"/>
          <w:spacing w:val="10"/>
          <w:sz w:val="24"/>
        </w:rPr>
        <w:t>如下：</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1.大气：</w:t>
      </w:r>
      <w:r>
        <w:rPr>
          <w:rFonts w:hint="eastAsia" w:ascii="Arial" w:hAnsi="Arial" w:eastAsia="宋体" w:cs="Arial"/>
          <w:spacing w:val="10"/>
          <w:sz w:val="24"/>
        </w:rPr>
        <w:t>X19车间的氨水罐泄漏，氨进入大气；</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2.地下水：</w:t>
      </w:r>
      <w:r>
        <w:rPr>
          <w:rFonts w:hint="eastAsia" w:ascii="Arial" w:hAnsi="Arial" w:eastAsia="宋体" w:cs="Arial"/>
          <w:spacing w:val="10"/>
          <w:sz w:val="24"/>
        </w:rPr>
        <w:t>X19车间的洗水外排槽泄漏</w:t>
      </w:r>
      <w:r>
        <w:rPr>
          <w:rFonts w:ascii="Arial" w:hAnsi="Arial" w:eastAsia="宋体" w:cs="Arial"/>
          <w:spacing w:val="10"/>
          <w:sz w:val="24"/>
        </w:rPr>
        <w:t>，</w:t>
      </w:r>
      <w:r>
        <w:rPr>
          <w:rFonts w:hint="eastAsia" w:ascii="Arial" w:hAnsi="Arial" w:eastAsia="宋体" w:cs="Arial"/>
          <w:spacing w:val="10"/>
          <w:sz w:val="24"/>
        </w:rPr>
        <w:t>防渗系统破损，含钴废水</w:t>
      </w:r>
      <w:r>
        <w:rPr>
          <w:rFonts w:ascii="Arial" w:hAnsi="Arial" w:eastAsia="宋体" w:cs="Arial"/>
          <w:spacing w:val="10"/>
          <w:sz w:val="24"/>
        </w:rPr>
        <w:t>进入地下水；</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3.地表水：X</w:t>
      </w:r>
      <w:r>
        <w:rPr>
          <w:rFonts w:hint="eastAsia" w:ascii="Arial" w:hAnsi="Arial" w:eastAsia="宋体" w:cs="Arial"/>
          <w:spacing w:val="10"/>
          <w:sz w:val="24"/>
        </w:rPr>
        <w:t>19</w:t>
      </w:r>
      <w:r>
        <w:rPr>
          <w:rFonts w:ascii="Arial" w:hAnsi="Arial" w:eastAsia="宋体" w:cs="Arial"/>
          <w:spacing w:val="10"/>
          <w:sz w:val="24"/>
        </w:rPr>
        <w:t>车间的</w:t>
      </w:r>
      <w:r>
        <w:rPr>
          <w:rFonts w:hint="eastAsia" w:ascii="Arial" w:hAnsi="Arial" w:eastAsia="宋体" w:cs="Arial"/>
          <w:spacing w:val="10"/>
          <w:sz w:val="24"/>
        </w:rPr>
        <w:t>配酸槽</w:t>
      </w:r>
      <w:r>
        <w:rPr>
          <w:rFonts w:ascii="Arial" w:hAnsi="Arial" w:eastAsia="宋体" w:cs="Arial"/>
          <w:spacing w:val="10"/>
          <w:sz w:val="24"/>
        </w:rPr>
        <w:t>泄漏，</w:t>
      </w:r>
      <w:r>
        <w:rPr>
          <w:rFonts w:hint="eastAsia" w:ascii="Arial" w:hAnsi="Arial" w:eastAsia="宋体" w:cs="Arial"/>
          <w:spacing w:val="10"/>
          <w:sz w:val="24"/>
        </w:rPr>
        <w:t>稀硫酸</w:t>
      </w:r>
      <w:r>
        <w:rPr>
          <w:rFonts w:ascii="Arial" w:hAnsi="Arial" w:eastAsia="宋体" w:cs="Arial"/>
          <w:spacing w:val="10"/>
          <w:sz w:val="24"/>
        </w:rPr>
        <w:t>可能进入地表水。</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最大可信事故及概率表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739"/>
        <w:gridCol w:w="3687"/>
        <w:gridCol w:w="1415"/>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6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17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危险单元</w:t>
            </w:r>
          </w:p>
        </w:tc>
        <w:tc>
          <w:tcPr>
            <w:tcW w:w="3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最大可信事故情景描述</w:t>
            </w:r>
          </w:p>
        </w:tc>
        <w:tc>
          <w:tcPr>
            <w:tcW w:w="141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风险因子</w:t>
            </w:r>
          </w:p>
        </w:tc>
        <w:tc>
          <w:tcPr>
            <w:tcW w:w="151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事故概率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17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X19车间</w:t>
            </w:r>
          </w:p>
        </w:tc>
        <w:tc>
          <w:tcPr>
            <w:tcW w:w="3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5m</w:t>
            </w:r>
            <w:r>
              <w:rPr>
                <w:rFonts w:hint="eastAsia" w:ascii="Arial" w:hAnsi="Arial" w:eastAsia="宋体" w:cs="Arial"/>
                <w:sz w:val="21"/>
                <w:szCs w:val="21"/>
                <w:vertAlign w:val="superscript"/>
              </w:rPr>
              <w:t>3</w:t>
            </w:r>
            <w:r>
              <w:rPr>
                <w:rFonts w:hint="eastAsia" w:ascii="Arial" w:hAnsi="Arial" w:eastAsia="宋体" w:cs="Arial"/>
                <w:sz w:val="21"/>
                <w:szCs w:val="21"/>
              </w:rPr>
              <w:t>氨水罐10min全泄漏</w:t>
            </w:r>
          </w:p>
        </w:tc>
        <w:tc>
          <w:tcPr>
            <w:tcW w:w="141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151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c>
          <w:tcPr>
            <w:tcW w:w="17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X1</w:t>
            </w:r>
            <w:r>
              <w:rPr>
                <w:rFonts w:hint="eastAsia" w:ascii="Arial" w:hAnsi="Arial" w:eastAsia="宋体" w:cs="Arial"/>
                <w:sz w:val="21"/>
                <w:szCs w:val="21"/>
              </w:rPr>
              <w:t>9</w:t>
            </w:r>
            <w:r>
              <w:rPr>
                <w:rFonts w:ascii="Arial" w:hAnsi="Arial" w:eastAsia="宋体" w:cs="Arial"/>
                <w:sz w:val="21"/>
                <w:szCs w:val="21"/>
              </w:rPr>
              <w:t>车间</w:t>
            </w:r>
          </w:p>
        </w:tc>
        <w:tc>
          <w:tcPr>
            <w:tcW w:w="3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1台</w:t>
            </w:r>
            <w:r>
              <w:rPr>
                <w:rFonts w:hint="eastAsia" w:ascii="Arial" w:hAnsi="Arial" w:eastAsia="宋体" w:cs="Arial"/>
                <w:sz w:val="21"/>
                <w:szCs w:val="21"/>
              </w:rPr>
              <w:t>75</w:t>
            </w:r>
            <w:r>
              <w:rPr>
                <w:rFonts w:ascii="Arial" w:hAnsi="Arial" w:eastAsia="宋体" w:cs="Arial"/>
                <w:sz w:val="21"/>
                <w:szCs w:val="21"/>
              </w:rPr>
              <w:t>m</w:t>
            </w:r>
            <w:r>
              <w:rPr>
                <w:rFonts w:ascii="Arial" w:hAnsi="Arial" w:eastAsia="宋体" w:cs="Arial"/>
                <w:sz w:val="21"/>
                <w:szCs w:val="21"/>
                <w:vertAlign w:val="superscript"/>
              </w:rPr>
              <w:t>3</w:t>
            </w:r>
            <w:r>
              <w:rPr>
                <w:rFonts w:hint="eastAsia" w:ascii="Arial" w:hAnsi="Arial" w:eastAsia="宋体" w:cs="Arial"/>
                <w:sz w:val="21"/>
                <w:szCs w:val="21"/>
              </w:rPr>
              <w:t>洗水外排槽</w:t>
            </w:r>
            <w:r>
              <w:rPr>
                <w:rFonts w:ascii="Arial" w:hAnsi="Arial" w:eastAsia="宋体" w:cs="Arial"/>
                <w:sz w:val="21"/>
                <w:szCs w:val="21"/>
              </w:rPr>
              <w:t>全罐泄漏，防渗系统破损，</w:t>
            </w:r>
            <w:r>
              <w:rPr>
                <w:rFonts w:hint="eastAsia" w:ascii="Arial" w:hAnsi="Arial" w:eastAsia="宋体" w:cs="Arial"/>
                <w:sz w:val="21"/>
                <w:szCs w:val="21"/>
              </w:rPr>
              <w:t>含钴废水</w:t>
            </w:r>
            <w:r>
              <w:rPr>
                <w:rFonts w:ascii="Arial" w:hAnsi="Arial" w:eastAsia="宋体" w:cs="Arial"/>
                <w:sz w:val="21"/>
                <w:szCs w:val="21"/>
              </w:rPr>
              <w:t>进入地下水</w:t>
            </w:r>
          </w:p>
        </w:tc>
        <w:tc>
          <w:tcPr>
            <w:tcW w:w="141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钴离子</w:t>
            </w:r>
          </w:p>
        </w:tc>
        <w:tc>
          <w:tcPr>
            <w:tcW w:w="151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w:t>
            </w:r>
          </w:p>
        </w:tc>
        <w:tc>
          <w:tcPr>
            <w:tcW w:w="173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X</w:t>
            </w:r>
            <w:r>
              <w:rPr>
                <w:rFonts w:hint="eastAsia" w:ascii="Arial" w:hAnsi="Arial" w:eastAsia="宋体" w:cs="Arial"/>
                <w:sz w:val="21"/>
                <w:szCs w:val="21"/>
              </w:rPr>
              <w:t>19</w:t>
            </w:r>
            <w:r>
              <w:rPr>
                <w:rFonts w:ascii="Arial" w:hAnsi="Arial" w:eastAsia="宋体" w:cs="Arial"/>
                <w:sz w:val="21"/>
                <w:szCs w:val="21"/>
              </w:rPr>
              <w:t>车间</w:t>
            </w:r>
          </w:p>
        </w:tc>
        <w:tc>
          <w:tcPr>
            <w:tcW w:w="3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配酸槽</w:t>
            </w:r>
            <w:r>
              <w:rPr>
                <w:rFonts w:ascii="Arial" w:hAnsi="Arial" w:eastAsia="宋体" w:cs="Arial"/>
                <w:sz w:val="21"/>
                <w:szCs w:val="21"/>
              </w:rPr>
              <w:t>全</w:t>
            </w:r>
            <w:r>
              <w:rPr>
                <w:rFonts w:hint="eastAsia" w:ascii="Arial" w:hAnsi="Arial" w:eastAsia="宋体" w:cs="Arial"/>
                <w:sz w:val="21"/>
                <w:szCs w:val="21"/>
              </w:rPr>
              <w:t>部</w:t>
            </w:r>
            <w:r>
              <w:rPr>
                <w:rFonts w:ascii="Arial" w:hAnsi="Arial" w:eastAsia="宋体" w:cs="Arial"/>
                <w:sz w:val="21"/>
                <w:szCs w:val="21"/>
              </w:rPr>
              <w:t>泄漏，硫酸可能进入地表水体</w:t>
            </w:r>
          </w:p>
        </w:tc>
        <w:tc>
          <w:tcPr>
            <w:tcW w:w="141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硫酸</w:t>
            </w:r>
          </w:p>
        </w:tc>
        <w:tc>
          <w:tcPr>
            <w:tcW w:w="151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bl>
    <w:p>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源项分析</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1.氨水中转罐泄漏</w:t>
      </w:r>
    </w:p>
    <w:p>
      <w:pPr>
        <w:pStyle w:val="475"/>
        <w:spacing w:line="500" w:lineRule="exact"/>
        <w:ind w:firstLine="489"/>
        <w:rPr>
          <w:rFonts w:ascii="Arial" w:cs="Arial"/>
          <w:spacing w:val="10"/>
        </w:rPr>
      </w:pPr>
      <w:r>
        <w:rPr>
          <w:rFonts w:hint="eastAsia" w:ascii="Arial" w:cs="Arial"/>
          <w:spacing w:val="10"/>
        </w:rPr>
        <w:t>X19车间最大贮存约4.1</w:t>
      </w:r>
      <w:r>
        <w:rPr>
          <w:rFonts w:ascii="Arial" w:cs="Arial"/>
          <w:spacing w:val="10"/>
        </w:rPr>
        <w:t>t</w:t>
      </w:r>
      <w:r>
        <w:rPr>
          <w:rFonts w:hint="eastAsia" w:ascii="Arial" w:cs="Arial"/>
          <w:spacing w:val="10"/>
        </w:rPr>
        <w:t>的氨水罐</w:t>
      </w:r>
      <w:r>
        <w:rPr>
          <w:rFonts w:ascii="Arial" w:cs="Arial"/>
          <w:spacing w:val="10"/>
        </w:rPr>
        <w:t>10min</w:t>
      </w:r>
      <w:r>
        <w:rPr>
          <w:rFonts w:hint="eastAsia" w:ascii="Arial" w:cs="Arial"/>
          <w:spacing w:val="10"/>
        </w:rPr>
        <w:t>泄漏完，围堰（5.6m×3.7m×0.6m）形成的液池面积22.72m</w:t>
      </w:r>
      <w:r>
        <w:rPr>
          <w:rFonts w:hint="eastAsia" w:ascii="Arial" w:cs="Arial"/>
          <w:spacing w:val="10"/>
          <w:vertAlign w:val="superscript"/>
        </w:rPr>
        <w:t>2</w:t>
      </w:r>
      <w:r>
        <w:rPr>
          <w:rFonts w:hint="eastAsia" w:ascii="Arial" w:cs="Arial"/>
          <w:spacing w:val="10"/>
        </w:rPr>
        <w:t>。</w:t>
      </w:r>
    </w:p>
    <w:p>
      <w:pPr>
        <w:pStyle w:val="475"/>
        <w:spacing w:line="500" w:lineRule="exact"/>
        <w:ind w:firstLine="489"/>
        <w:rPr>
          <w:rFonts w:ascii="Arial" w:cs="Arial"/>
          <w:spacing w:val="10"/>
        </w:rPr>
      </w:pPr>
      <w:r>
        <w:rPr>
          <w:rFonts w:hint="eastAsia" w:ascii="Arial" w:cs="Arial"/>
          <w:spacing w:val="10"/>
        </w:rPr>
        <w:t>根据风险导则，泄漏液体的蒸发分为闪蒸蒸发、热量蒸发和质量蒸发三种，其蒸发总量为这三种蒸发之和。根据导则中闪蒸蒸发及热量蒸发估算公式（</w:t>
      </w:r>
      <w:r>
        <w:rPr>
          <w:rFonts w:ascii="Arial" w:cs="Arial"/>
          <w:spacing w:val="10"/>
        </w:rPr>
        <w:t>F.9~F.11</w:t>
      </w:r>
      <w:r>
        <w:rPr>
          <w:rFonts w:hint="eastAsia" w:ascii="Arial" w:cs="Arial"/>
          <w:spacing w:val="10"/>
        </w:rPr>
        <w:t>），氨水的沸点为</w:t>
      </w:r>
      <w:r>
        <w:rPr>
          <w:rFonts w:ascii="Arial" w:cs="Arial"/>
          <w:spacing w:val="10"/>
        </w:rPr>
        <w:t>36</w:t>
      </w:r>
      <w:r>
        <w:rPr>
          <w:rFonts w:hint="eastAsia" w:ascii="Arial" w:cs="Arial"/>
          <w:spacing w:val="10"/>
        </w:rPr>
        <w:t>℃，高于其储存温度（</w:t>
      </w:r>
      <w:r>
        <w:rPr>
          <w:rFonts w:ascii="Arial" w:cs="Arial"/>
          <w:spacing w:val="10"/>
        </w:rPr>
        <w:t>25</w:t>
      </w:r>
      <w:r>
        <w:rPr>
          <w:rFonts w:hint="eastAsia" w:ascii="Arial" w:cs="Arial"/>
          <w:spacing w:val="10"/>
        </w:rPr>
        <w:t>℃）及环境温度（平均气温</w:t>
      </w:r>
      <w:r>
        <w:rPr>
          <w:rFonts w:ascii="Arial" w:cs="Arial"/>
          <w:spacing w:val="10"/>
        </w:rPr>
        <w:t>22.</w:t>
      </w:r>
      <w:r>
        <w:rPr>
          <w:rFonts w:hint="eastAsia" w:ascii="Arial" w:cs="Arial"/>
          <w:spacing w:val="10"/>
        </w:rPr>
        <w:t>9℃），因此仅计算质量蒸发，计算公式如下。</w:t>
      </w:r>
    </w:p>
    <w:p>
      <w:pPr>
        <w:pStyle w:val="475"/>
        <w:spacing w:line="240" w:lineRule="auto"/>
        <w:ind w:firstLine="1328" w:firstLineChars="542"/>
        <w:rPr>
          <w:rFonts w:ascii="Arial" w:hAnsi="Arial" w:cs="Arial"/>
          <w:spacing w:val="10"/>
        </w:rPr>
      </w:pPr>
      <w:r>
        <w:rPr>
          <w:rFonts w:ascii="Arial" w:hAnsi="Arial" w:cs="Arial"/>
          <w:spacing w:val="10"/>
          <w:position w:val="-30"/>
        </w:rPr>
        <w:object>
          <v:shape id="_x0000_i1064" o:spt="75" type="#_x0000_t75" style="height:38.25pt;width:117pt;" o:ole="t" filled="f" o:preferrelative="t" stroked="f" coordsize="21600,21600">
            <v:path/>
            <v:fill on="f" focussize="0,0"/>
            <v:stroke on="f" joinstyle="miter"/>
            <v:imagedata r:id="rId125" o:title=""/>
            <o:lock v:ext="edit" aspectratio="t"/>
            <w10:wrap type="none"/>
            <w10:anchorlock/>
          </v:shape>
          <o:OLEObject Type="Embed" ProgID="Equation.3" ShapeID="_x0000_i1064" DrawAspect="Content" ObjectID="_1468075764" r:id="rId124">
            <o:LockedField>false</o:LockedField>
          </o:OLEObject>
        </w:object>
      </w:r>
    </w:p>
    <w:p>
      <w:pPr>
        <w:pStyle w:val="475"/>
        <w:spacing w:line="500" w:lineRule="exact"/>
        <w:ind w:firstLine="489"/>
        <w:rPr>
          <w:rFonts w:ascii="Arial" w:hAnsi="Arial" w:cs="Arial"/>
          <w:spacing w:val="10"/>
        </w:rPr>
      </w:pPr>
      <w:r>
        <w:rPr>
          <w:rFonts w:hint="eastAsia" w:ascii="Arial" w:hAnsi="Arial" w:cs="Arial"/>
          <w:spacing w:val="10"/>
        </w:rPr>
        <w:t>式中：</w:t>
      </w:r>
      <w:r>
        <w:rPr>
          <w:rFonts w:ascii="Arial" w:hAnsi="Arial" w:cs="Arial"/>
          <w:spacing w:val="10"/>
        </w:rPr>
        <w:t>Q</w:t>
      </w:r>
      <w:r>
        <w:rPr>
          <w:rFonts w:ascii="Arial" w:hAnsi="Arial" w:cs="Arial"/>
          <w:spacing w:val="10"/>
          <w:vertAlign w:val="subscript"/>
        </w:rPr>
        <w:t>3</w:t>
      </w:r>
      <w:r>
        <w:rPr>
          <w:rFonts w:hint="eastAsia" w:ascii="Arial" w:hAnsi="Arial" w:cs="Arial"/>
          <w:spacing w:val="10"/>
        </w:rPr>
        <w:t>——质量蒸发速率，</w:t>
      </w:r>
      <w:r>
        <w:rPr>
          <w:rFonts w:ascii="Arial" w:hAnsi="Arial" w:cs="Arial"/>
          <w:spacing w:val="10"/>
        </w:rPr>
        <w:t>kg/s</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p</w:t>
      </w:r>
      <w:r>
        <w:rPr>
          <w:rFonts w:hint="eastAsia" w:ascii="Arial" w:hAnsi="Arial" w:cs="Arial"/>
          <w:spacing w:val="10"/>
        </w:rPr>
        <w:t>——液体表面蒸汽压，</w:t>
      </w:r>
      <w:r>
        <w:rPr>
          <w:rFonts w:ascii="Arial" w:hAnsi="Arial" w:cs="Arial"/>
          <w:spacing w:val="10"/>
        </w:rPr>
        <w:t>Pa</w:t>
      </w:r>
      <w:r>
        <w:rPr>
          <w:rFonts w:hint="eastAsia" w:ascii="Arial" w:hAnsi="Arial" w:cs="Arial"/>
          <w:spacing w:val="10"/>
        </w:rPr>
        <w:t>，</w:t>
      </w:r>
      <w:r>
        <w:rPr>
          <w:rFonts w:ascii="Arial" w:hAnsi="Arial" w:cs="Arial"/>
          <w:spacing w:val="10"/>
        </w:rPr>
        <w:t>51740Pa</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R</w:t>
      </w:r>
      <w:r>
        <w:rPr>
          <w:rFonts w:hint="eastAsia" w:ascii="Arial" w:hAnsi="Arial" w:cs="Arial"/>
          <w:spacing w:val="10"/>
        </w:rPr>
        <w:t>——气体常数，</w:t>
      </w:r>
      <w:r>
        <w:rPr>
          <w:rFonts w:ascii="Arial" w:hAnsi="Arial" w:cs="Arial"/>
          <w:spacing w:val="10"/>
        </w:rPr>
        <w:t>J/</w:t>
      </w:r>
      <w:r>
        <w:rPr>
          <w:rFonts w:hint="eastAsia" w:ascii="Arial" w:hAnsi="Arial" w:cs="Arial"/>
          <w:spacing w:val="10"/>
        </w:rPr>
        <w:t>（</w:t>
      </w:r>
      <w:r>
        <w:rPr>
          <w:rFonts w:ascii="Arial" w:hAnsi="Arial" w:cs="Arial"/>
          <w:spacing w:val="10"/>
        </w:rPr>
        <w:t>mol</w:t>
      </w:r>
      <w:r>
        <w:rPr>
          <w:rFonts w:hint="eastAsia" w:ascii="Arial" w:hAnsi="Arial" w:cs="Arial"/>
          <w:spacing w:val="10"/>
        </w:rPr>
        <w:t>·</w:t>
      </w:r>
      <w:r>
        <w:rPr>
          <w:rFonts w:ascii="Arial" w:hAnsi="Arial" w:cs="Arial"/>
          <w:spacing w:val="10"/>
        </w:rPr>
        <w:t>K</w:t>
      </w:r>
      <w:r>
        <w:rPr>
          <w:rFonts w:hint="eastAsia" w:ascii="Arial" w:hAnsi="Arial" w:cs="Arial"/>
          <w:spacing w:val="10"/>
        </w:rPr>
        <w:t>），</w:t>
      </w:r>
      <w:r>
        <w:rPr>
          <w:rFonts w:ascii="Arial" w:hAnsi="Arial" w:cs="Arial"/>
          <w:spacing w:val="10"/>
        </w:rPr>
        <w:t>8.314J/</w:t>
      </w:r>
      <w:r>
        <w:rPr>
          <w:rFonts w:hint="eastAsia" w:ascii="Arial" w:hAnsi="Arial" w:cs="Arial"/>
          <w:spacing w:val="10"/>
        </w:rPr>
        <w:t>（</w:t>
      </w:r>
      <w:r>
        <w:rPr>
          <w:rFonts w:ascii="Arial" w:hAnsi="Arial" w:cs="Arial"/>
          <w:spacing w:val="10"/>
        </w:rPr>
        <w:t>mol</w:t>
      </w:r>
      <w:r>
        <w:rPr>
          <w:rFonts w:hint="eastAsia" w:ascii="Arial" w:hAnsi="Arial" w:cs="Arial"/>
          <w:spacing w:val="10"/>
        </w:rPr>
        <w:t>·</w:t>
      </w:r>
      <w:r>
        <w:rPr>
          <w:rFonts w:ascii="Arial" w:hAnsi="Arial" w:cs="Arial"/>
          <w:spacing w:val="10"/>
        </w:rPr>
        <w:t>K</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T</w:t>
      </w:r>
      <w:r>
        <w:rPr>
          <w:rFonts w:ascii="Arial" w:hAnsi="Arial" w:cs="Arial"/>
          <w:spacing w:val="10"/>
          <w:vertAlign w:val="subscript"/>
        </w:rPr>
        <w:t>0</w:t>
      </w:r>
      <w:r>
        <w:rPr>
          <w:rFonts w:hint="eastAsia" w:ascii="Arial" w:hAnsi="Arial" w:cs="Arial"/>
          <w:spacing w:val="10"/>
        </w:rPr>
        <w:t>——环境温度，</w:t>
      </w:r>
      <w:r>
        <w:rPr>
          <w:rFonts w:ascii="Arial" w:hAnsi="Arial" w:cs="Arial"/>
          <w:spacing w:val="10"/>
        </w:rPr>
        <w:t>K</w:t>
      </w:r>
      <w:r>
        <w:rPr>
          <w:rFonts w:hint="eastAsia" w:ascii="Arial" w:hAnsi="Arial" w:cs="Arial"/>
          <w:spacing w:val="10"/>
        </w:rPr>
        <w:t>，</w:t>
      </w:r>
      <w:r>
        <w:rPr>
          <w:rFonts w:ascii="Arial" w:hAnsi="Arial" w:cs="Arial"/>
          <w:spacing w:val="10"/>
        </w:rPr>
        <w:t>298K</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M</w:t>
      </w:r>
      <w:r>
        <w:rPr>
          <w:rFonts w:hint="eastAsia" w:ascii="Arial" w:hAnsi="Arial" w:cs="Arial"/>
          <w:spacing w:val="10"/>
        </w:rPr>
        <w:t>——物质的摩尔质量，</w:t>
      </w:r>
      <w:r>
        <w:rPr>
          <w:rFonts w:ascii="Arial" w:hAnsi="Arial" w:cs="Arial"/>
          <w:spacing w:val="10"/>
        </w:rPr>
        <w:t>kg/mol</w:t>
      </w:r>
      <w:r>
        <w:rPr>
          <w:rFonts w:hint="eastAsia" w:ascii="Arial" w:hAnsi="Arial" w:cs="Arial"/>
          <w:spacing w:val="10"/>
        </w:rPr>
        <w:t>，</w:t>
      </w:r>
      <w:r>
        <w:rPr>
          <w:rFonts w:ascii="Arial" w:hAnsi="Arial" w:cs="Arial"/>
          <w:spacing w:val="10"/>
        </w:rPr>
        <w:t>0.017kg/mol</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u</w:t>
      </w:r>
      <w:r>
        <w:rPr>
          <w:rFonts w:hint="eastAsia" w:ascii="Arial" w:hAnsi="Arial" w:cs="Arial"/>
          <w:spacing w:val="10"/>
        </w:rPr>
        <w:t>——风速，</w:t>
      </w:r>
      <w:r>
        <w:rPr>
          <w:rFonts w:ascii="Arial" w:hAnsi="Arial" w:cs="Arial"/>
          <w:spacing w:val="10"/>
        </w:rPr>
        <w:t>m/s</w:t>
      </w:r>
      <w:r>
        <w:rPr>
          <w:rFonts w:hint="eastAsia" w:ascii="Arial" w:hAnsi="Arial" w:cs="Arial"/>
          <w:spacing w:val="10"/>
        </w:rPr>
        <w:t>，最不利气象条件下为</w:t>
      </w:r>
      <w:r>
        <w:rPr>
          <w:rFonts w:ascii="Arial" w:hAnsi="Arial" w:cs="Arial"/>
          <w:spacing w:val="10"/>
        </w:rPr>
        <w:t>1.5m/s</w:t>
      </w:r>
      <w:r>
        <w:rPr>
          <w:rFonts w:hint="eastAsia" w:ascii="Arial" w:hAnsi="Arial" w:cs="Arial"/>
          <w:spacing w:val="10"/>
        </w:rPr>
        <w:t>，常见气象条件下为</w:t>
      </w:r>
      <w:r>
        <w:rPr>
          <w:rFonts w:ascii="Arial" w:hAnsi="Arial" w:cs="Arial"/>
          <w:spacing w:val="10"/>
        </w:rPr>
        <w:t>3.</w:t>
      </w:r>
      <w:r>
        <w:rPr>
          <w:rFonts w:hint="eastAsia" w:ascii="Arial" w:hAnsi="Arial" w:cs="Arial"/>
          <w:spacing w:val="10"/>
        </w:rPr>
        <w:t>2</w:t>
      </w:r>
      <w:r>
        <w:rPr>
          <w:rFonts w:ascii="Arial" w:hAnsi="Arial" w:cs="Arial"/>
          <w:spacing w:val="10"/>
        </w:rPr>
        <w:t>8m/s</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r</w:t>
      </w:r>
      <w:r>
        <w:rPr>
          <w:rFonts w:hint="eastAsia" w:ascii="Arial" w:hAnsi="Arial" w:cs="Arial"/>
          <w:spacing w:val="10"/>
        </w:rPr>
        <w:t>——液池半径，</w:t>
      </w:r>
      <w:r>
        <w:rPr>
          <w:rFonts w:ascii="Arial" w:hAnsi="Arial" w:cs="Arial"/>
          <w:spacing w:val="10"/>
        </w:rPr>
        <w:t>m</w:t>
      </w:r>
      <w:r>
        <w:rPr>
          <w:rFonts w:hint="eastAsia" w:ascii="Arial" w:hAnsi="Arial" w:cs="Arial"/>
          <w:spacing w:val="10"/>
        </w:rPr>
        <w:t>，等效半径2.69</w:t>
      </w:r>
      <w:r>
        <w:rPr>
          <w:rFonts w:ascii="Arial" w:hAnsi="Arial" w:cs="Arial"/>
          <w:spacing w:val="10"/>
        </w:rPr>
        <w:t>m</w:t>
      </w:r>
      <w:r>
        <w:rPr>
          <w:rFonts w:hint="eastAsia" w:ascii="Arial" w:hAnsi="Arial" w:cs="Arial"/>
          <w:spacing w:val="10"/>
        </w:rPr>
        <w:t>；</w:t>
      </w:r>
    </w:p>
    <w:p>
      <w:pPr>
        <w:pStyle w:val="475"/>
        <w:spacing w:line="500" w:lineRule="exact"/>
        <w:ind w:firstLine="489"/>
        <w:rPr>
          <w:rFonts w:ascii="Arial" w:hAnsi="Arial" w:cs="Arial"/>
          <w:spacing w:val="10"/>
        </w:rPr>
      </w:pPr>
      <w:r>
        <w:rPr>
          <w:rFonts w:ascii="Arial" w:hAnsi="Arial" w:cs="Arial"/>
          <w:spacing w:val="10"/>
        </w:rPr>
        <w:t xml:space="preserve">      α</w:t>
      </w:r>
      <w:r>
        <w:rPr>
          <w:rFonts w:hint="eastAsia" w:ascii="Arial" w:cs="Arial"/>
          <w:spacing w:val="10"/>
        </w:rPr>
        <w:t>，</w:t>
      </w:r>
      <w:r>
        <w:rPr>
          <w:rFonts w:ascii="Arial" w:hAnsi="Arial" w:cs="Arial"/>
          <w:spacing w:val="10"/>
        </w:rPr>
        <w:t>n——</w:t>
      </w:r>
      <w:r>
        <w:rPr>
          <w:rFonts w:hint="eastAsia" w:ascii="Arial" w:cs="Arial"/>
          <w:spacing w:val="10"/>
        </w:rPr>
        <w:t>大气稳定度系数，按导则表</w:t>
      </w:r>
      <w:r>
        <w:rPr>
          <w:rFonts w:ascii="Arial" w:hAnsi="Arial" w:cs="Arial"/>
          <w:spacing w:val="10"/>
        </w:rPr>
        <w:t>F.3</w:t>
      </w:r>
      <w:r>
        <w:rPr>
          <w:rFonts w:hint="eastAsia" w:ascii="Arial" w:hAnsi="Arial" w:cs="Arial"/>
          <w:spacing w:val="10"/>
        </w:rPr>
        <w:t>，最不利气象条件</w:t>
      </w:r>
      <w:r>
        <w:rPr>
          <w:rFonts w:ascii="Arial" w:hAnsi="Arial" w:cs="Arial"/>
          <w:spacing w:val="10"/>
        </w:rPr>
        <w:t>F</w:t>
      </w:r>
      <w:r>
        <w:rPr>
          <w:rFonts w:hint="eastAsia" w:ascii="Arial" w:hAnsi="Arial" w:cs="Arial"/>
          <w:spacing w:val="10"/>
        </w:rPr>
        <w:t>稳定度时，</w:t>
      </w:r>
      <w:r>
        <w:rPr>
          <w:rFonts w:ascii="Arial" w:hAnsi="Arial" w:cs="Arial"/>
          <w:spacing w:val="10"/>
        </w:rPr>
        <w:t>α</w:t>
      </w:r>
      <w:r>
        <w:rPr>
          <w:rFonts w:hint="eastAsia" w:ascii="Arial" w:hAnsi="Arial" w:cs="Arial"/>
          <w:spacing w:val="10"/>
        </w:rPr>
        <w:t>为</w:t>
      </w:r>
      <w:r>
        <w:rPr>
          <w:rFonts w:ascii="Arial" w:hAnsi="Arial" w:cs="Arial"/>
          <w:spacing w:val="10"/>
        </w:rPr>
        <w:t>5.285</w:t>
      </w:r>
      <w:r>
        <w:rPr>
          <w:rFonts w:hint="eastAsia" w:ascii="Arial" w:hAnsi="Arial" w:cs="Arial"/>
          <w:spacing w:val="10"/>
        </w:rPr>
        <w:t>×</w:t>
      </w:r>
      <w:r>
        <w:rPr>
          <w:rFonts w:ascii="Arial" w:hAnsi="Arial" w:cs="Arial"/>
          <w:spacing w:val="10"/>
        </w:rPr>
        <w:t>10</w:t>
      </w:r>
      <w:r>
        <w:rPr>
          <w:rFonts w:ascii="Arial" w:hAnsi="Arial" w:cs="Arial"/>
          <w:spacing w:val="10"/>
          <w:vertAlign w:val="superscript"/>
        </w:rPr>
        <w:t>-3</w:t>
      </w:r>
      <w:r>
        <w:rPr>
          <w:rFonts w:hint="eastAsia" w:ascii="Arial" w:hAnsi="Arial" w:cs="Arial"/>
          <w:spacing w:val="10"/>
        </w:rPr>
        <w:t>，</w:t>
      </w:r>
      <w:r>
        <w:rPr>
          <w:rFonts w:ascii="Arial" w:hAnsi="Arial" w:cs="Arial"/>
          <w:spacing w:val="10"/>
        </w:rPr>
        <w:t>n</w:t>
      </w:r>
      <w:r>
        <w:rPr>
          <w:rFonts w:hint="eastAsia" w:ascii="Arial" w:hAnsi="Arial" w:cs="Arial"/>
          <w:spacing w:val="10"/>
        </w:rPr>
        <w:t>为</w:t>
      </w:r>
      <w:r>
        <w:rPr>
          <w:rFonts w:ascii="Arial" w:hAnsi="Arial" w:cs="Arial"/>
          <w:spacing w:val="10"/>
        </w:rPr>
        <w:t>0.3</w:t>
      </w:r>
      <w:r>
        <w:rPr>
          <w:rFonts w:hint="eastAsia" w:ascii="Arial" w:hAnsi="Arial" w:cs="Arial"/>
          <w:spacing w:val="10"/>
        </w:rPr>
        <w:t>；常见气象条件</w:t>
      </w:r>
      <w:r>
        <w:rPr>
          <w:rFonts w:ascii="Arial" w:hAnsi="Arial" w:cs="Arial"/>
          <w:spacing w:val="10"/>
        </w:rPr>
        <w:t>D</w:t>
      </w:r>
      <w:r>
        <w:rPr>
          <w:rFonts w:hint="eastAsia" w:ascii="Arial" w:hAnsi="Arial" w:cs="Arial"/>
          <w:spacing w:val="10"/>
        </w:rPr>
        <w:t>稳定度时，</w:t>
      </w:r>
      <w:r>
        <w:rPr>
          <w:rFonts w:ascii="Arial" w:hAnsi="Arial" w:cs="Arial"/>
          <w:spacing w:val="10"/>
        </w:rPr>
        <w:t>α</w:t>
      </w:r>
      <w:r>
        <w:rPr>
          <w:rFonts w:hint="eastAsia" w:ascii="Arial" w:hAnsi="Arial" w:cs="Arial"/>
          <w:spacing w:val="10"/>
        </w:rPr>
        <w:t>为</w:t>
      </w:r>
      <w:r>
        <w:rPr>
          <w:rFonts w:ascii="Arial" w:hAnsi="Arial" w:cs="Arial"/>
          <w:spacing w:val="10"/>
        </w:rPr>
        <w:t>4.685</w:t>
      </w:r>
      <w:r>
        <w:rPr>
          <w:rFonts w:hint="eastAsia" w:ascii="Arial" w:hAnsi="Arial" w:cs="Arial"/>
          <w:spacing w:val="10"/>
        </w:rPr>
        <w:t>×</w:t>
      </w:r>
      <w:r>
        <w:rPr>
          <w:rFonts w:ascii="Arial" w:hAnsi="Arial" w:cs="Arial"/>
          <w:spacing w:val="10"/>
        </w:rPr>
        <w:t>10</w:t>
      </w:r>
      <w:r>
        <w:rPr>
          <w:rFonts w:ascii="Arial" w:hAnsi="Arial" w:cs="Arial"/>
          <w:spacing w:val="10"/>
          <w:vertAlign w:val="superscript"/>
        </w:rPr>
        <w:t>-3</w:t>
      </w:r>
      <w:r>
        <w:rPr>
          <w:rFonts w:hint="eastAsia" w:ascii="Arial" w:hAnsi="Arial" w:cs="Arial"/>
          <w:spacing w:val="10"/>
        </w:rPr>
        <w:t>，</w:t>
      </w:r>
      <w:r>
        <w:rPr>
          <w:rFonts w:ascii="Arial" w:hAnsi="Arial" w:cs="Arial"/>
          <w:spacing w:val="10"/>
        </w:rPr>
        <w:t>n</w:t>
      </w:r>
      <w:r>
        <w:rPr>
          <w:rFonts w:hint="eastAsia" w:ascii="Arial" w:hAnsi="Arial" w:cs="Arial"/>
          <w:spacing w:val="10"/>
        </w:rPr>
        <w:t>为</w:t>
      </w:r>
      <w:r>
        <w:rPr>
          <w:rFonts w:ascii="Arial" w:hAnsi="Arial" w:cs="Arial"/>
          <w:spacing w:val="10"/>
        </w:rPr>
        <w:t>0.25</w:t>
      </w:r>
      <w:r>
        <w:rPr>
          <w:rFonts w:hint="eastAsia" w:ascii="Arial" w:hAnsi="Arial" w:cs="Arial"/>
          <w:spacing w:val="10"/>
        </w:rPr>
        <w:t>。</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经计算，最不利气象条件下，氨的质量蒸发速率为</w:t>
      </w:r>
      <w:r>
        <w:rPr>
          <w:rFonts w:ascii="Arial" w:hAnsi="Arial" w:eastAsia="宋体" w:cs="Arial"/>
          <w:spacing w:val="10"/>
          <w:sz w:val="24"/>
        </w:rPr>
        <w:t>0.</w:t>
      </w:r>
      <w:r>
        <w:rPr>
          <w:rFonts w:hint="eastAsia" w:ascii="Arial" w:hAnsi="Arial" w:eastAsia="宋体" w:cs="Arial"/>
          <w:spacing w:val="10"/>
          <w:sz w:val="24"/>
        </w:rPr>
        <w:t>014</w:t>
      </w:r>
      <w:r>
        <w:rPr>
          <w:rFonts w:ascii="Arial" w:hAnsi="Arial" w:eastAsia="宋体" w:cs="Arial"/>
          <w:spacing w:val="10"/>
          <w:sz w:val="24"/>
        </w:rPr>
        <w:t>kg/s</w:t>
      </w:r>
      <w:r>
        <w:rPr>
          <w:rFonts w:hint="eastAsia" w:ascii="Arial" w:hAnsi="Arial" w:eastAsia="宋体" w:cs="Arial"/>
          <w:spacing w:val="10"/>
          <w:sz w:val="24"/>
        </w:rPr>
        <w:t>，烟团初始密度未大于空气密度，不计算理查德森数，扩散计算采用AFTOX模式；常见气象条件下，氨的质量蒸发速率</w:t>
      </w:r>
      <w:r>
        <w:rPr>
          <w:rFonts w:ascii="Arial" w:hAnsi="Arial" w:eastAsia="宋体" w:cs="Arial"/>
          <w:spacing w:val="10"/>
          <w:sz w:val="24"/>
        </w:rPr>
        <w:t>0.</w:t>
      </w:r>
      <w:r>
        <w:rPr>
          <w:rFonts w:hint="eastAsia" w:ascii="Arial" w:hAnsi="Arial" w:eastAsia="宋体" w:cs="Arial"/>
          <w:spacing w:val="10"/>
          <w:sz w:val="24"/>
        </w:rPr>
        <w:t>022</w:t>
      </w:r>
      <w:r>
        <w:rPr>
          <w:rFonts w:ascii="Arial" w:hAnsi="Arial" w:eastAsia="宋体" w:cs="Arial"/>
          <w:spacing w:val="10"/>
          <w:sz w:val="24"/>
        </w:rPr>
        <w:t>kg/s</w:t>
      </w:r>
      <w:r>
        <w:rPr>
          <w:rFonts w:hint="eastAsia" w:ascii="Arial" w:hAnsi="Arial" w:eastAsia="宋体" w:cs="Arial"/>
          <w:spacing w:val="10"/>
          <w:sz w:val="24"/>
        </w:rPr>
        <w:t>，烟团初始密度未大于空气密度，不计算理查德森数，扩散计算采用AFTOX模式。根据导则，一般情况蒸发时间可按</w:t>
      </w:r>
      <w:r>
        <w:rPr>
          <w:rFonts w:ascii="Arial" w:hAnsi="Arial" w:eastAsia="宋体" w:cs="Arial"/>
          <w:spacing w:val="10"/>
          <w:sz w:val="24"/>
        </w:rPr>
        <w:t>15~30min</w:t>
      </w:r>
      <w:r>
        <w:rPr>
          <w:rFonts w:hint="eastAsia" w:ascii="Arial" w:hAnsi="Arial" w:eastAsia="宋体" w:cs="Arial"/>
          <w:spacing w:val="10"/>
          <w:sz w:val="24"/>
        </w:rPr>
        <w:t>计，本次评价取30</w:t>
      </w:r>
      <w:r>
        <w:rPr>
          <w:rFonts w:ascii="Arial" w:hAnsi="Arial" w:eastAsia="宋体" w:cs="Arial"/>
          <w:spacing w:val="10"/>
          <w:sz w:val="24"/>
        </w:rPr>
        <w:t>min</w:t>
      </w:r>
      <w:r>
        <w:rPr>
          <w:rFonts w:hint="eastAsia" w:ascii="Arial" w:hAnsi="Arial" w:eastAsia="宋体" w:cs="Arial"/>
          <w:spacing w:val="10"/>
          <w:sz w:val="24"/>
        </w:rPr>
        <w:t>，则最不利气象条件及常见气象条件下氨蒸发总量分别为25.2</w:t>
      </w:r>
      <w:r>
        <w:rPr>
          <w:rFonts w:ascii="Arial" w:hAnsi="Arial" w:eastAsia="宋体" w:cs="Arial"/>
          <w:spacing w:val="10"/>
          <w:sz w:val="24"/>
        </w:rPr>
        <w:t>kg</w:t>
      </w:r>
      <w:r>
        <w:rPr>
          <w:rFonts w:hint="eastAsia" w:ascii="Arial" w:hAnsi="Arial" w:eastAsia="宋体" w:cs="Arial"/>
          <w:spacing w:val="10"/>
          <w:sz w:val="24"/>
        </w:rPr>
        <w:t>、39.6</w:t>
      </w:r>
      <w:r>
        <w:rPr>
          <w:rFonts w:ascii="Arial" w:hAnsi="Arial" w:eastAsia="宋体" w:cs="Arial"/>
          <w:spacing w:val="10"/>
          <w:sz w:val="24"/>
        </w:rPr>
        <w:t>kg</w:t>
      </w:r>
      <w:r>
        <w:rPr>
          <w:rFonts w:hint="eastAsia" w:ascii="Arial" w:hAnsi="Arial" w:eastAsia="宋体" w:cs="Arial"/>
          <w:spacing w:val="10"/>
          <w:sz w:val="24"/>
        </w:rPr>
        <w:t>。</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2</w:t>
      </w:r>
      <w:r>
        <w:rPr>
          <w:rFonts w:ascii="Arial" w:hAnsi="Arial" w:eastAsia="宋体" w:cs="Arial"/>
          <w:spacing w:val="10"/>
          <w:sz w:val="24"/>
        </w:rPr>
        <w:t>.</w:t>
      </w:r>
      <w:r>
        <w:rPr>
          <w:rFonts w:hint="eastAsia" w:ascii="Arial" w:hAnsi="Arial" w:eastAsia="宋体" w:cs="Arial"/>
          <w:spacing w:val="10"/>
          <w:sz w:val="24"/>
        </w:rPr>
        <w:t>洗水外排槽</w:t>
      </w:r>
      <w:r>
        <w:rPr>
          <w:rFonts w:ascii="Arial" w:hAnsi="Arial" w:eastAsia="宋体" w:cs="Arial"/>
          <w:spacing w:val="10"/>
          <w:sz w:val="24"/>
        </w:rPr>
        <w:t>泄漏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假设</w:t>
      </w:r>
      <w:r>
        <w:rPr>
          <w:rFonts w:hint="eastAsia" w:ascii="Arial" w:hAnsi="Arial" w:eastAsia="宋体" w:cs="Arial"/>
          <w:spacing w:val="10"/>
          <w:sz w:val="24"/>
        </w:rPr>
        <w:t>X19车间</w:t>
      </w:r>
      <w:r>
        <w:rPr>
          <w:rFonts w:ascii="Arial" w:hAnsi="Arial" w:eastAsia="宋体" w:cs="Arial"/>
          <w:spacing w:val="10"/>
          <w:sz w:val="24"/>
        </w:rPr>
        <w:t>1台</w:t>
      </w:r>
      <w:r>
        <w:rPr>
          <w:rFonts w:hint="eastAsia" w:ascii="Arial" w:hAnsi="Arial" w:eastAsia="宋体" w:cs="Arial"/>
          <w:spacing w:val="10"/>
          <w:sz w:val="24"/>
        </w:rPr>
        <w:t>75</w:t>
      </w:r>
      <w:r>
        <w:rPr>
          <w:rFonts w:ascii="Arial" w:hAnsi="Arial" w:eastAsia="宋体" w:cs="Arial"/>
          <w:spacing w:val="10"/>
          <w:sz w:val="24"/>
        </w:rPr>
        <w:t>m</w:t>
      </w:r>
      <w:r>
        <w:rPr>
          <w:rFonts w:ascii="Arial" w:hAnsi="Arial" w:eastAsia="宋体" w:cs="Arial"/>
          <w:spacing w:val="10"/>
          <w:sz w:val="24"/>
          <w:vertAlign w:val="superscript"/>
        </w:rPr>
        <w:t>3</w:t>
      </w:r>
      <w:r>
        <w:rPr>
          <w:rFonts w:hint="eastAsia" w:ascii="Arial" w:hAnsi="Arial" w:eastAsia="宋体" w:cs="Arial"/>
          <w:spacing w:val="10"/>
          <w:sz w:val="24"/>
        </w:rPr>
        <w:t>洗水外排槽</w:t>
      </w:r>
      <w:r>
        <w:rPr>
          <w:rFonts w:ascii="Arial" w:hAnsi="Arial" w:eastAsia="宋体" w:cs="Arial"/>
          <w:spacing w:val="10"/>
          <w:sz w:val="24"/>
        </w:rPr>
        <w:t>发生破损全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槽罐区</w:t>
      </w:r>
      <w:r>
        <w:rPr>
          <w:rFonts w:ascii="Arial" w:hAnsi="Arial" w:eastAsia="宋体" w:cs="Arial"/>
          <w:spacing w:val="10"/>
          <w:sz w:val="24"/>
        </w:rPr>
        <w:t>地坪破损</w:t>
      </w:r>
      <w:r>
        <w:rPr>
          <w:rFonts w:ascii="Arial" w:hAnsi="Arial" w:eastAsia="宋体" w:cs="Arial"/>
          <w:spacing w:val="10"/>
          <w:sz w:val="24"/>
          <w:szCs w:val="24"/>
        </w:rPr>
        <w:t>（</w:t>
      </w:r>
      <w:r>
        <w:rPr>
          <w:rFonts w:hint="eastAsia" w:ascii="Arial" w:hAnsi="Arial" w:eastAsia="宋体" w:cs="Arial"/>
          <w:spacing w:val="10"/>
          <w:sz w:val="24"/>
          <w:szCs w:val="24"/>
        </w:rPr>
        <w:t>假设破损</w:t>
      </w:r>
      <w:r>
        <w:rPr>
          <w:rFonts w:ascii="Arial" w:hAnsi="Arial" w:eastAsia="宋体" w:cs="Arial"/>
          <w:spacing w:val="10"/>
          <w:sz w:val="24"/>
          <w:szCs w:val="24"/>
        </w:rPr>
        <w:t>面积为</w:t>
      </w:r>
      <w:r>
        <w:rPr>
          <w:rFonts w:hint="eastAsia" w:ascii="Arial" w:hAnsi="Arial" w:eastAsia="宋体" w:cs="Arial"/>
          <w:spacing w:val="10"/>
          <w:sz w:val="24"/>
          <w:szCs w:val="24"/>
        </w:rPr>
        <w:t>2</w:t>
      </w:r>
      <w:r>
        <w:rPr>
          <w:rFonts w:ascii="Arial" w:hAnsi="Arial" w:eastAsia="宋体" w:cs="Arial"/>
          <w:spacing w:val="10"/>
          <w:sz w:val="24"/>
          <w:szCs w:val="24"/>
        </w:rPr>
        <w:t>0m</w:t>
      </w:r>
      <w:r>
        <w:rPr>
          <w:rFonts w:ascii="Arial" w:hAnsi="Arial" w:eastAsia="宋体" w:cs="Arial"/>
          <w:spacing w:val="10"/>
          <w:sz w:val="24"/>
          <w:szCs w:val="24"/>
          <w:vertAlign w:val="superscript"/>
        </w:rPr>
        <w:t>2</w:t>
      </w:r>
      <w:r>
        <w:rPr>
          <w:rFonts w:ascii="Arial" w:hAnsi="Arial" w:eastAsia="宋体" w:cs="Arial"/>
          <w:spacing w:val="10"/>
          <w:sz w:val="24"/>
          <w:szCs w:val="24"/>
        </w:rPr>
        <w:t>），发生风险事故后，24h内泄漏得到控制，则风险事故下渗时间为24h。渗漏强度</w:t>
      </w:r>
      <w:r>
        <w:rPr>
          <w:rFonts w:hint="eastAsia" w:ascii="Arial" w:hAnsi="Arial" w:eastAsia="宋体" w:cs="Arial"/>
          <w:spacing w:val="10"/>
          <w:sz w:val="24"/>
          <w:szCs w:val="24"/>
        </w:rPr>
        <w:t>以</w:t>
      </w:r>
      <w:r>
        <w:rPr>
          <w:rFonts w:ascii="Arial" w:hAnsi="Arial" w:eastAsia="宋体" w:cs="Arial"/>
          <w:spacing w:val="10"/>
          <w:sz w:val="24"/>
          <w:szCs w:val="24"/>
        </w:rPr>
        <w:t>钢筋混凝土结构渗漏强度2L/（m</w:t>
      </w:r>
      <w:r>
        <w:rPr>
          <w:rFonts w:ascii="Arial" w:hAnsi="Arial" w:eastAsia="宋体" w:cs="Arial"/>
          <w:spacing w:val="10"/>
          <w:sz w:val="24"/>
          <w:szCs w:val="24"/>
          <w:vertAlign w:val="superscript"/>
        </w:rPr>
        <w:t>2</w:t>
      </w:r>
      <w:r>
        <w:rPr>
          <w:rFonts w:ascii="Arial" w:hAnsi="Arial" w:eastAsia="宋体" w:cs="Arial"/>
          <w:spacing w:val="10"/>
          <w:sz w:val="24"/>
          <w:szCs w:val="24"/>
        </w:rPr>
        <w:t>·d）</w:t>
      </w:r>
      <w:r>
        <w:rPr>
          <w:rFonts w:hint="eastAsia" w:ascii="Arial" w:hAnsi="Arial" w:eastAsia="宋体" w:cs="Arial"/>
          <w:spacing w:val="10"/>
          <w:sz w:val="24"/>
          <w:szCs w:val="24"/>
        </w:rPr>
        <w:t>的100倍考虑</w:t>
      </w:r>
      <w:r>
        <w:rPr>
          <w:rFonts w:ascii="Arial" w:hAnsi="Arial" w:eastAsia="宋体" w:cs="Arial"/>
          <w:spacing w:val="10"/>
          <w:sz w:val="24"/>
          <w:szCs w:val="24"/>
        </w:rPr>
        <w:t>，则</w:t>
      </w:r>
      <w:r>
        <w:rPr>
          <w:rFonts w:hint="eastAsia" w:ascii="Arial" w:hAnsi="Arial" w:eastAsia="宋体" w:cs="Arial"/>
          <w:spacing w:val="10"/>
          <w:sz w:val="24"/>
          <w:szCs w:val="24"/>
        </w:rPr>
        <w:t>含钴废水渗漏量</w:t>
      </w:r>
      <w:r>
        <w:rPr>
          <w:rFonts w:ascii="Arial" w:hAnsi="Arial" w:eastAsia="宋体" w:cs="Arial"/>
          <w:spacing w:val="10"/>
          <w:sz w:val="24"/>
          <w:szCs w:val="24"/>
        </w:rPr>
        <w:t>为</w:t>
      </w:r>
      <w:r>
        <w:rPr>
          <w:rFonts w:hint="eastAsia" w:ascii="Arial" w:hAnsi="Arial" w:eastAsia="宋体" w:cs="Arial"/>
          <w:spacing w:val="10"/>
          <w:sz w:val="24"/>
          <w:szCs w:val="24"/>
        </w:rPr>
        <w:t>400</w:t>
      </w:r>
      <w:r>
        <w:rPr>
          <w:rFonts w:ascii="Arial" w:hAnsi="Arial" w:eastAsia="宋体" w:cs="Arial"/>
          <w:spacing w:val="10"/>
          <w:sz w:val="24"/>
          <w:szCs w:val="24"/>
        </w:rPr>
        <w:t>0L/d，本报告以</w:t>
      </w:r>
      <w:r>
        <w:rPr>
          <w:rFonts w:hint="eastAsia" w:ascii="Arial" w:hAnsi="Arial" w:eastAsia="宋体" w:cs="Arial"/>
          <w:spacing w:val="10"/>
          <w:sz w:val="24"/>
          <w:szCs w:val="24"/>
        </w:rPr>
        <w:t>钴、COD、氨氮、硫酸盐</w:t>
      </w:r>
      <w:r>
        <w:rPr>
          <w:rFonts w:ascii="Arial" w:hAnsi="Arial" w:eastAsia="宋体" w:cs="Arial"/>
          <w:spacing w:val="10"/>
          <w:sz w:val="24"/>
          <w:szCs w:val="24"/>
        </w:rPr>
        <w:t>作为预测因子，进入地下水中的</w:t>
      </w:r>
      <w:r>
        <w:rPr>
          <w:rFonts w:hint="eastAsia" w:ascii="Arial" w:hAnsi="Arial" w:eastAsia="宋体" w:cs="Arial"/>
          <w:spacing w:val="10"/>
          <w:sz w:val="24"/>
          <w:szCs w:val="24"/>
        </w:rPr>
        <w:t>污染物分别为0.004kg、0.6</w:t>
      </w:r>
      <w:r>
        <w:rPr>
          <w:rFonts w:ascii="Arial" w:hAnsi="Arial" w:eastAsia="宋体" w:cs="Arial"/>
          <w:spacing w:val="10"/>
          <w:sz w:val="24"/>
          <w:szCs w:val="24"/>
        </w:rPr>
        <w:t>kg</w:t>
      </w:r>
      <w:r>
        <w:rPr>
          <w:rFonts w:hint="eastAsia" w:ascii="Arial" w:hAnsi="Arial" w:eastAsia="宋体" w:cs="Arial"/>
          <w:spacing w:val="10"/>
          <w:sz w:val="24"/>
          <w:szCs w:val="24"/>
        </w:rPr>
        <w:t>、3kg、87.427kg</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3</w:t>
      </w:r>
      <w:r>
        <w:rPr>
          <w:rFonts w:hint="eastAsia" w:ascii="Arial" w:hAnsi="Arial" w:eastAsia="宋体" w:cs="Arial"/>
          <w:spacing w:val="10"/>
          <w:sz w:val="24"/>
        </w:rPr>
        <w:t>.配酸槽</w:t>
      </w:r>
      <w:r>
        <w:rPr>
          <w:rFonts w:ascii="Arial" w:hAnsi="Arial" w:eastAsia="宋体" w:cs="Arial"/>
          <w:spacing w:val="10"/>
          <w:sz w:val="24"/>
        </w:rPr>
        <w:t>泄漏</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假设</w:t>
      </w:r>
      <w:r>
        <w:rPr>
          <w:rFonts w:hint="eastAsia" w:ascii="Arial" w:hAnsi="Arial" w:eastAsia="宋体" w:cs="Arial"/>
          <w:spacing w:val="10"/>
          <w:sz w:val="24"/>
        </w:rPr>
        <w:t>X19车间最大贮存1t的配酸槽</w:t>
      </w:r>
      <w:r>
        <w:rPr>
          <w:rFonts w:ascii="Arial" w:hAnsi="Arial" w:eastAsia="宋体" w:cs="Arial"/>
          <w:spacing w:val="10"/>
          <w:sz w:val="24"/>
        </w:rPr>
        <w:t>10min全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15%~20%的稀硫酸最大</w:t>
      </w:r>
      <w:r>
        <w:rPr>
          <w:rFonts w:ascii="Arial" w:hAnsi="Arial" w:eastAsia="宋体" w:cs="Arial"/>
          <w:spacing w:val="10"/>
          <w:sz w:val="24"/>
        </w:rPr>
        <w:t>泄漏量</w:t>
      </w:r>
      <w:r>
        <w:rPr>
          <w:rFonts w:hint="eastAsia" w:ascii="Arial" w:hAnsi="Arial" w:eastAsia="宋体" w:cs="Arial"/>
          <w:spacing w:val="10"/>
          <w:sz w:val="24"/>
        </w:rPr>
        <w:t>为1</w:t>
      </w:r>
      <w:r>
        <w:rPr>
          <w:rFonts w:ascii="Arial" w:hAnsi="Arial" w:eastAsia="宋体" w:cs="Arial"/>
          <w:spacing w:val="10"/>
          <w:sz w:val="24"/>
        </w:rPr>
        <w:t>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项目风险源强一览表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
        <w:gridCol w:w="978"/>
        <w:gridCol w:w="737"/>
        <w:gridCol w:w="845"/>
        <w:gridCol w:w="853"/>
        <w:gridCol w:w="1074"/>
        <w:gridCol w:w="987"/>
        <w:gridCol w:w="957"/>
        <w:gridCol w:w="1067"/>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97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风险事故情形描述</w:t>
            </w:r>
          </w:p>
        </w:tc>
        <w:tc>
          <w:tcPr>
            <w:tcW w:w="7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危险单元</w:t>
            </w:r>
          </w:p>
        </w:tc>
        <w:tc>
          <w:tcPr>
            <w:tcW w:w="84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危险物质</w:t>
            </w:r>
          </w:p>
        </w:tc>
        <w:tc>
          <w:tcPr>
            <w:tcW w:w="8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影响途径</w:t>
            </w:r>
          </w:p>
        </w:tc>
        <w:tc>
          <w:tcPr>
            <w:tcW w:w="10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释放或泄漏速率/（kg/s）</w:t>
            </w:r>
          </w:p>
        </w:tc>
        <w:tc>
          <w:tcPr>
            <w:tcW w:w="9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释放或泄漏时间</w:t>
            </w:r>
          </w:p>
        </w:tc>
        <w:tc>
          <w:tcPr>
            <w:tcW w:w="95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最大释放或泄漏量/kg</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泄漏液体蒸发量/kg</w:t>
            </w:r>
          </w:p>
        </w:tc>
        <w:tc>
          <w:tcPr>
            <w:tcW w:w="10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其他事故源参数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97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氨水罐泄漏</w:t>
            </w:r>
          </w:p>
        </w:tc>
        <w:tc>
          <w:tcPr>
            <w:tcW w:w="7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X19车间</w:t>
            </w:r>
          </w:p>
        </w:tc>
        <w:tc>
          <w:tcPr>
            <w:tcW w:w="84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8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进入大气</w:t>
            </w:r>
          </w:p>
        </w:tc>
        <w:tc>
          <w:tcPr>
            <w:tcW w:w="10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0.014</w:t>
            </w:r>
          </w:p>
          <w:p>
            <w:pPr>
              <w:spacing w:line="240" w:lineRule="exact"/>
              <w:jc w:val="center"/>
              <w:rPr>
                <w:rFonts w:ascii="Arial" w:hAnsi="Arial" w:eastAsia="宋体" w:cs="Arial"/>
                <w:sz w:val="21"/>
                <w:szCs w:val="21"/>
              </w:rPr>
            </w:pPr>
            <w:r>
              <w:rPr>
                <w:rFonts w:hint="eastAsia" w:ascii="Arial" w:hAnsi="Arial" w:eastAsia="宋体" w:cs="Arial"/>
                <w:sz w:val="21"/>
                <w:szCs w:val="21"/>
              </w:rPr>
              <w:t>0.022</w:t>
            </w:r>
          </w:p>
        </w:tc>
        <w:tc>
          <w:tcPr>
            <w:tcW w:w="9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30min</w:t>
            </w:r>
          </w:p>
        </w:tc>
        <w:tc>
          <w:tcPr>
            <w:tcW w:w="95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25.2</w:t>
            </w:r>
          </w:p>
          <w:p>
            <w:pPr>
              <w:spacing w:line="240" w:lineRule="exact"/>
              <w:jc w:val="center"/>
              <w:rPr>
                <w:rFonts w:ascii="Arial" w:hAnsi="Arial" w:eastAsia="宋体" w:cs="Arial"/>
                <w:sz w:val="21"/>
                <w:szCs w:val="21"/>
              </w:rPr>
            </w:pPr>
            <w:r>
              <w:rPr>
                <w:rFonts w:hint="eastAsia" w:ascii="Arial" w:hAnsi="Arial" w:eastAsia="宋体" w:cs="Arial"/>
                <w:sz w:val="21"/>
                <w:szCs w:val="21"/>
              </w:rPr>
              <w:t>39.6</w:t>
            </w:r>
          </w:p>
        </w:tc>
        <w:tc>
          <w:tcPr>
            <w:tcW w:w="10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w:t>
            </w:r>
          </w:p>
        </w:tc>
        <w:tc>
          <w:tcPr>
            <w:tcW w:w="97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洗水外排槽</w:t>
            </w:r>
            <w:r>
              <w:rPr>
                <w:rFonts w:ascii="Arial" w:hAnsi="Arial" w:eastAsia="宋体" w:cs="Arial"/>
                <w:sz w:val="21"/>
                <w:szCs w:val="21"/>
              </w:rPr>
              <w:t>泄漏</w:t>
            </w:r>
          </w:p>
        </w:tc>
        <w:tc>
          <w:tcPr>
            <w:tcW w:w="7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X1</w:t>
            </w:r>
            <w:r>
              <w:rPr>
                <w:rFonts w:hint="eastAsia" w:ascii="Arial" w:hAnsi="Arial" w:eastAsia="宋体" w:cs="Arial"/>
                <w:sz w:val="21"/>
                <w:szCs w:val="21"/>
              </w:rPr>
              <w:t>9</w:t>
            </w:r>
            <w:r>
              <w:rPr>
                <w:rFonts w:ascii="Arial" w:hAnsi="Arial" w:eastAsia="宋体" w:cs="Arial"/>
                <w:sz w:val="21"/>
                <w:szCs w:val="21"/>
              </w:rPr>
              <w:t>车间</w:t>
            </w:r>
          </w:p>
        </w:tc>
        <w:tc>
          <w:tcPr>
            <w:tcW w:w="84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钴及其化合物</w:t>
            </w:r>
          </w:p>
        </w:tc>
        <w:tc>
          <w:tcPr>
            <w:tcW w:w="8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进入地下水</w:t>
            </w:r>
          </w:p>
        </w:tc>
        <w:tc>
          <w:tcPr>
            <w:tcW w:w="10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vertAlign w:val="superscript"/>
              </w:rPr>
            </w:pPr>
            <w:r>
              <w:rPr>
                <w:rFonts w:hint="eastAsia" w:ascii="Arial" w:hAnsi="Arial" w:eastAsia="宋体" w:cs="Arial"/>
                <w:sz w:val="21"/>
                <w:szCs w:val="21"/>
              </w:rPr>
              <w:t>0.004kg/d</w:t>
            </w:r>
          </w:p>
        </w:tc>
        <w:tc>
          <w:tcPr>
            <w:tcW w:w="9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24h</w:t>
            </w:r>
          </w:p>
        </w:tc>
        <w:tc>
          <w:tcPr>
            <w:tcW w:w="95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0.004</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w:t>
            </w:r>
          </w:p>
        </w:tc>
        <w:tc>
          <w:tcPr>
            <w:tcW w:w="10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4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978"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配酸储罐泄漏</w:t>
            </w:r>
          </w:p>
        </w:tc>
        <w:tc>
          <w:tcPr>
            <w:tcW w:w="73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X</w:t>
            </w:r>
            <w:r>
              <w:rPr>
                <w:rFonts w:hint="eastAsia" w:ascii="Arial" w:hAnsi="Arial" w:eastAsia="宋体" w:cs="Arial"/>
                <w:sz w:val="21"/>
                <w:szCs w:val="21"/>
              </w:rPr>
              <w:t>19车间</w:t>
            </w:r>
          </w:p>
        </w:tc>
        <w:tc>
          <w:tcPr>
            <w:tcW w:w="84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硫酸</w:t>
            </w:r>
          </w:p>
        </w:tc>
        <w:tc>
          <w:tcPr>
            <w:tcW w:w="8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进入地表水</w:t>
            </w:r>
          </w:p>
        </w:tc>
        <w:tc>
          <w:tcPr>
            <w:tcW w:w="10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1.7</w:t>
            </w:r>
          </w:p>
        </w:tc>
        <w:tc>
          <w:tcPr>
            <w:tcW w:w="9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10min</w:t>
            </w:r>
          </w:p>
        </w:tc>
        <w:tc>
          <w:tcPr>
            <w:tcW w:w="95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1000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105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w:t>
            </w:r>
          </w:p>
        </w:tc>
      </w:tr>
    </w:tbl>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w:t>
      </w:r>
      <w:r>
        <w:rPr>
          <w:rFonts w:hint="eastAsia" w:ascii="Arial" w:hAnsi="Arial" w:eastAsia="宋体" w:cs="Arial"/>
          <w:b/>
          <w:bCs/>
          <w:sz w:val="24"/>
          <w:szCs w:val="24"/>
        </w:rPr>
        <w:t>预测与评价</w:t>
      </w:r>
    </w:p>
    <w:p>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大气风险影响分析</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1.预测模型及参数</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（1）预测模</w:t>
      </w:r>
      <w:r>
        <w:rPr>
          <w:rFonts w:ascii="Arial" w:hAnsi="Arial" w:eastAsia="宋体" w:cs="Arial"/>
          <w:sz w:val="24"/>
        </w:rPr>
        <w:t>型</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烟团/烟羽是否为重质气体，取决于它相对空气的“过剩密度”和环境条件等因素。通常采用理查德森数（Ri）进行判断。Ri的概念公式为：</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Ri=烟团的势能/环境的湍流动能。</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Ri是个流体动力学参数。根据不同的排放性质，理查德森数的计算公式不同。一般地，依据排放类型，理查德森数的计算分连续排放、瞬时排放两种形式：</w:t>
      </w:r>
    </w:p>
    <w:p>
      <w:pPr>
        <w:ind w:firstLine="488"/>
        <w:jc w:val="left"/>
        <w:rPr>
          <w:rFonts w:ascii="Arial" w:hAnsi="Arial" w:eastAsia="宋体" w:cs="Arial"/>
          <w:sz w:val="24"/>
        </w:rPr>
      </w:pPr>
      <w:r>
        <w:rPr>
          <w:rFonts w:ascii="Arial" w:hAnsi="Arial" w:eastAsia="宋体" w:cs="Arial"/>
          <w:spacing w:val="10"/>
          <w:sz w:val="24"/>
        </w:rPr>
        <w:t>连续排放：</w:t>
      </w:r>
      <w:r>
        <w:rPr>
          <w:rFonts w:ascii="Arial" w:hAnsi="Arial" w:eastAsia="宋体" w:cs="Arial"/>
          <w:sz w:val="24"/>
        </w:rPr>
        <w:drawing>
          <wp:inline distT="0" distB="0" distL="114300" distR="114300">
            <wp:extent cx="2562225" cy="752475"/>
            <wp:effectExtent l="0" t="0" r="9525" b="952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26"/>
                    <a:stretch>
                      <a:fillRect/>
                    </a:stretch>
                  </pic:blipFill>
                  <pic:spPr>
                    <a:xfrm>
                      <a:off x="0" y="0"/>
                      <a:ext cx="2562225" cy="752475"/>
                    </a:xfrm>
                    <a:prstGeom prst="rect">
                      <a:avLst/>
                    </a:prstGeom>
                    <a:noFill/>
                    <a:ln>
                      <a:noFill/>
                    </a:ln>
                  </pic:spPr>
                </pic:pic>
              </a:graphicData>
            </a:graphic>
          </wp:inline>
        </w:drawing>
      </w:r>
    </w:p>
    <w:p>
      <w:pPr>
        <w:ind w:firstLine="488"/>
        <w:jc w:val="left"/>
        <w:rPr>
          <w:rFonts w:ascii="Arial" w:hAnsi="Arial" w:eastAsia="宋体" w:cs="Arial"/>
          <w:spacing w:val="10"/>
          <w:sz w:val="24"/>
        </w:rPr>
      </w:pPr>
      <w:r>
        <w:rPr>
          <w:rFonts w:ascii="Arial" w:hAnsi="Arial" w:eastAsia="宋体" w:cs="Arial"/>
          <w:spacing w:val="10"/>
          <w:sz w:val="24"/>
        </w:rPr>
        <w:t>瞬时排放：</w:t>
      </w:r>
      <w:r>
        <w:rPr>
          <w:rFonts w:ascii="Arial" w:hAnsi="Arial" w:eastAsia="宋体" w:cs="Arial"/>
          <w:sz w:val="24"/>
        </w:rPr>
        <w:drawing>
          <wp:inline distT="0" distB="0" distL="114300" distR="114300">
            <wp:extent cx="2980690" cy="714375"/>
            <wp:effectExtent l="0" t="0" r="10160" b="9525"/>
            <wp:docPr id="39"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8"/>
                    <pic:cNvPicPr>
                      <a:picLocks noChangeAspect="1"/>
                    </pic:cNvPicPr>
                  </pic:nvPicPr>
                  <pic:blipFill>
                    <a:blip r:embed="rId127"/>
                    <a:stretch>
                      <a:fillRect/>
                    </a:stretch>
                  </pic:blipFill>
                  <pic:spPr>
                    <a:xfrm>
                      <a:off x="0" y="0"/>
                      <a:ext cx="2980690" cy="714375"/>
                    </a:xfrm>
                    <a:prstGeom prst="rect">
                      <a:avLst/>
                    </a:prstGeom>
                    <a:noFill/>
                    <a:ln>
                      <a:noFill/>
                    </a:ln>
                  </pic:spPr>
                </pic:pic>
              </a:graphicData>
            </a:graphic>
          </wp:inline>
        </w:drawing>
      </w:r>
    </w:p>
    <w:p>
      <w:pPr>
        <w:spacing w:line="500" w:lineRule="exact"/>
        <w:ind w:firstLine="489"/>
        <w:jc w:val="left"/>
        <w:rPr>
          <w:rFonts w:ascii="Arial" w:hAnsi="Arial" w:eastAsia="宋体" w:cs="Arial"/>
          <w:spacing w:val="10"/>
          <w:sz w:val="24"/>
        </w:rPr>
      </w:pPr>
      <w:r>
        <w:rPr>
          <w:rFonts w:ascii="Arial" w:hAnsi="Arial" w:eastAsia="宋体" w:cs="Arial"/>
          <w:spacing w:val="10"/>
          <w:sz w:val="24"/>
        </w:rPr>
        <w:t>式中：ρ</w:t>
      </w:r>
      <w:r>
        <w:rPr>
          <w:rFonts w:ascii="Arial" w:hAnsi="Arial" w:eastAsia="宋体" w:cs="Arial"/>
          <w:spacing w:val="10"/>
          <w:sz w:val="24"/>
          <w:vertAlign w:val="subscript"/>
        </w:rPr>
        <w:t>rel</w:t>
      </w:r>
      <w:r>
        <w:rPr>
          <w:rFonts w:ascii="Arial" w:hAnsi="Arial" w:eastAsia="宋体" w:cs="Arial"/>
          <w:spacing w:val="10"/>
          <w:sz w:val="24"/>
        </w:rPr>
        <w:t>——排放物质进入大气的初始密度，kg/m</w:t>
      </w:r>
      <w:r>
        <w:rPr>
          <w:rFonts w:ascii="Arial" w:hAnsi="Arial" w:eastAsia="宋体" w:cs="Arial"/>
          <w:spacing w:val="10"/>
          <w:sz w:val="24"/>
          <w:vertAlign w:val="superscript"/>
        </w:rPr>
        <w:t>3</w:t>
      </w:r>
      <w:r>
        <w:rPr>
          <w:rFonts w:ascii="Arial" w:hAnsi="Arial" w:eastAsia="宋体" w:cs="Arial"/>
          <w:spacing w:val="10"/>
          <w:sz w:val="24"/>
        </w:rPr>
        <w:t>；</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ρ</w:t>
      </w:r>
      <w:r>
        <w:rPr>
          <w:rFonts w:ascii="Arial" w:hAnsi="Arial" w:eastAsia="宋体" w:cs="Arial"/>
          <w:spacing w:val="10"/>
          <w:sz w:val="24"/>
          <w:vertAlign w:val="subscript"/>
        </w:rPr>
        <w:t>a</w:t>
      </w:r>
      <w:r>
        <w:rPr>
          <w:rFonts w:ascii="Arial" w:hAnsi="Arial" w:eastAsia="宋体" w:cs="Arial"/>
          <w:spacing w:val="10"/>
          <w:sz w:val="24"/>
        </w:rPr>
        <w:t>——环境空气密度，kg/m</w:t>
      </w:r>
      <w:r>
        <w:rPr>
          <w:rFonts w:ascii="Arial" w:hAnsi="Arial" w:eastAsia="宋体" w:cs="Arial"/>
          <w:spacing w:val="10"/>
          <w:sz w:val="24"/>
          <w:vertAlign w:val="superscript"/>
        </w:rPr>
        <w:t>3</w:t>
      </w:r>
      <w:r>
        <w:rPr>
          <w:rFonts w:ascii="Arial" w:hAnsi="Arial" w:eastAsia="宋体" w:cs="Arial"/>
          <w:spacing w:val="10"/>
          <w:sz w:val="24"/>
        </w:rPr>
        <w:t>；</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Q——连续排放烟羽的排放速率，kg/s；</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Q</w:t>
      </w:r>
      <w:r>
        <w:rPr>
          <w:rFonts w:ascii="Arial" w:hAnsi="Arial" w:eastAsia="宋体" w:cs="Arial"/>
          <w:spacing w:val="10"/>
          <w:sz w:val="24"/>
          <w:vertAlign w:val="subscript"/>
        </w:rPr>
        <w:t>t</w:t>
      </w:r>
      <w:r>
        <w:rPr>
          <w:rFonts w:ascii="Arial" w:hAnsi="Arial" w:eastAsia="宋体" w:cs="Arial"/>
          <w:spacing w:val="10"/>
          <w:sz w:val="24"/>
        </w:rPr>
        <w:t>——瞬时排放的物质质量，kg；</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D</w:t>
      </w:r>
      <w:r>
        <w:rPr>
          <w:rFonts w:ascii="Arial" w:hAnsi="Arial" w:eastAsia="宋体" w:cs="Arial"/>
          <w:spacing w:val="10"/>
          <w:sz w:val="24"/>
          <w:vertAlign w:val="subscript"/>
        </w:rPr>
        <w:t>rel</w:t>
      </w:r>
      <w:r>
        <w:rPr>
          <w:rFonts w:ascii="Arial" w:hAnsi="Arial" w:eastAsia="宋体" w:cs="Arial"/>
          <w:spacing w:val="10"/>
          <w:sz w:val="24"/>
        </w:rPr>
        <w:t>——初始的烟团宽度，即源直径，m；</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U</w:t>
      </w:r>
      <w:r>
        <w:rPr>
          <w:rFonts w:ascii="Arial" w:hAnsi="Arial" w:eastAsia="宋体" w:cs="Arial"/>
          <w:spacing w:val="10"/>
          <w:sz w:val="24"/>
          <w:vertAlign w:val="subscript"/>
        </w:rPr>
        <w:t>r</w:t>
      </w:r>
      <w:r>
        <w:rPr>
          <w:rFonts w:ascii="Arial" w:hAnsi="Arial" w:eastAsia="宋体" w:cs="Arial"/>
          <w:spacing w:val="10"/>
          <w:sz w:val="24"/>
        </w:rPr>
        <w:t>——10m高处风速，m/s。</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判定连续排放还是瞬时排放，可通过对比排放时间T</w:t>
      </w:r>
      <w:r>
        <w:rPr>
          <w:rFonts w:ascii="Arial" w:hAnsi="Arial" w:eastAsia="宋体" w:cs="Arial"/>
          <w:spacing w:val="10"/>
          <w:sz w:val="24"/>
          <w:vertAlign w:val="subscript"/>
        </w:rPr>
        <w:t>d</w:t>
      </w:r>
      <w:r>
        <w:rPr>
          <w:rFonts w:ascii="Arial" w:hAnsi="Arial" w:eastAsia="宋体" w:cs="Arial"/>
          <w:spacing w:val="10"/>
          <w:sz w:val="24"/>
        </w:rPr>
        <w:t>和污染物到达最近的受体点（网格点或敏感点）的时间T确定。</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T=2X/ U</w:t>
      </w:r>
      <w:r>
        <w:rPr>
          <w:rFonts w:ascii="Arial" w:hAnsi="Arial" w:eastAsia="宋体" w:cs="Arial"/>
          <w:spacing w:val="10"/>
          <w:sz w:val="24"/>
          <w:vertAlign w:val="subscript"/>
        </w:rPr>
        <w:t>r</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式中：X——事故发生地与计算点的距离，m；</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U</w:t>
      </w:r>
      <w:r>
        <w:rPr>
          <w:rFonts w:ascii="Arial" w:hAnsi="Arial" w:eastAsia="宋体" w:cs="Arial"/>
          <w:spacing w:val="10"/>
          <w:sz w:val="24"/>
          <w:vertAlign w:val="subscript"/>
        </w:rPr>
        <w:t>r</w:t>
      </w:r>
      <w:r>
        <w:rPr>
          <w:rFonts w:ascii="Arial" w:hAnsi="Arial" w:eastAsia="宋体" w:cs="Arial"/>
          <w:spacing w:val="10"/>
          <w:sz w:val="24"/>
        </w:rPr>
        <w:t>——10m高处风速，m/s。假设风速和风向在T时间段内保持不变。</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当T</w:t>
      </w:r>
      <w:r>
        <w:rPr>
          <w:rFonts w:ascii="Arial" w:hAnsi="Arial" w:eastAsia="宋体" w:cs="Arial"/>
          <w:spacing w:val="10"/>
          <w:sz w:val="24"/>
          <w:vertAlign w:val="subscript"/>
        </w:rPr>
        <w:t>d</w:t>
      </w:r>
      <w:r>
        <w:rPr>
          <w:rFonts w:ascii="Arial" w:hAnsi="Arial" w:eastAsia="宋体" w:cs="Arial"/>
          <w:spacing w:val="10"/>
          <w:sz w:val="24"/>
        </w:rPr>
        <w:t>＞T时，可被认为是连续排放的；当T</w:t>
      </w:r>
      <w:r>
        <w:rPr>
          <w:rFonts w:ascii="Arial" w:hAnsi="Arial" w:eastAsia="宋体" w:cs="Arial"/>
          <w:spacing w:val="10"/>
          <w:sz w:val="24"/>
          <w:vertAlign w:val="subscript"/>
        </w:rPr>
        <w:t>d</w:t>
      </w:r>
      <w:r>
        <w:rPr>
          <w:rFonts w:ascii="Arial" w:hAnsi="Arial" w:eastAsia="宋体" w:cs="Arial"/>
          <w:spacing w:val="10"/>
          <w:sz w:val="24"/>
        </w:rPr>
        <w:t>＜T时，可被认为是瞬时排放。</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对于连续排放，Ri≥1/6为重质气体，Ri&lt; 1/6为轻质气体；对于瞬时排放，Ri&gt;0.04为重质气体，Ri≤0.04为轻质气体。当Ri处于临界值附近时，说明烟团/烟羽既不是典型的重质气体扩散，也不是典型的轻质气体扩散。可以进行敏感性分析，分别采用重质气体和轻质气体模型进行模拟，选取影响范围最大的结果。</w:t>
      </w:r>
    </w:p>
    <w:p>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根据EIAProA2018计算，氨水罐泄漏，最不利气象条件下，烟团初始密度0.966kg/m</w:t>
      </w:r>
      <w:r>
        <w:rPr>
          <w:rFonts w:hint="eastAsia" w:ascii="Arial" w:hAnsi="Arial" w:eastAsia="宋体" w:cs="Arial"/>
          <w:spacing w:val="10"/>
          <w:sz w:val="24"/>
          <w:vertAlign w:val="superscript"/>
        </w:rPr>
        <w:t>3</w:t>
      </w:r>
      <w:r>
        <w:rPr>
          <w:rFonts w:hint="eastAsia" w:ascii="Arial" w:hAnsi="Arial" w:eastAsia="宋体" w:cs="Arial"/>
          <w:spacing w:val="10"/>
          <w:sz w:val="24"/>
        </w:rPr>
        <w:t>小于当前空气密度1.185kg/m</w:t>
      </w:r>
      <w:r>
        <w:rPr>
          <w:rFonts w:hint="eastAsia" w:ascii="Arial" w:hAnsi="Arial" w:eastAsia="宋体" w:cs="Arial"/>
          <w:spacing w:val="10"/>
          <w:sz w:val="24"/>
          <w:vertAlign w:val="superscript"/>
        </w:rPr>
        <w:t>3</w:t>
      </w:r>
      <w:r>
        <w:rPr>
          <w:rFonts w:hint="eastAsia" w:ascii="Arial" w:hAnsi="Arial" w:eastAsia="宋体" w:cs="Arial"/>
          <w:spacing w:val="10"/>
          <w:sz w:val="24"/>
        </w:rPr>
        <w:t>；常见气象条件下，烟团初始密度0.989kg/m</w:t>
      </w:r>
      <w:r>
        <w:rPr>
          <w:rFonts w:hint="eastAsia" w:ascii="Arial" w:hAnsi="Arial" w:eastAsia="宋体" w:cs="Arial"/>
          <w:spacing w:val="10"/>
          <w:sz w:val="24"/>
          <w:vertAlign w:val="superscript"/>
        </w:rPr>
        <w:t>3</w:t>
      </w:r>
      <w:r>
        <w:rPr>
          <w:rFonts w:hint="eastAsia" w:ascii="Arial" w:hAnsi="Arial" w:eastAsia="宋体" w:cs="Arial"/>
          <w:spacing w:val="10"/>
          <w:sz w:val="24"/>
        </w:rPr>
        <w:t>小于当前空气密度1.196 kg/m</w:t>
      </w:r>
      <w:r>
        <w:rPr>
          <w:rFonts w:hint="eastAsia" w:ascii="Arial" w:hAnsi="Arial" w:eastAsia="宋体" w:cs="Arial"/>
          <w:spacing w:val="10"/>
          <w:sz w:val="24"/>
          <w:vertAlign w:val="superscript"/>
        </w:rPr>
        <w:t>3</w:t>
      </w:r>
      <w:r>
        <w:rPr>
          <w:rFonts w:hint="eastAsia" w:ascii="Arial" w:hAnsi="Arial" w:eastAsia="宋体" w:cs="Arial"/>
          <w:spacing w:val="10"/>
          <w:sz w:val="24"/>
        </w:rPr>
        <w:t>。因此，氨水罐泄漏，氨排放预测均采用AFTOX预测模型。</w:t>
      </w:r>
    </w:p>
    <w:p>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（2）</w:t>
      </w:r>
      <w:r>
        <w:rPr>
          <w:rFonts w:ascii="Arial" w:hAnsi="Arial" w:eastAsia="宋体" w:cs="Arial"/>
          <w:spacing w:val="10"/>
          <w:sz w:val="24"/>
        </w:rPr>
        <w:t>预测参数</w:t>
      </w:r>
    </w:p>
    <w:p>
      <w:pPr>
        <w:spacing w:line="500" w:lineRule="exact"/>
        <w:ind w:firstLine="489"/>
        <w:jc w:val="left"/>
        <w:rPr>
          <w:rFonts w:ascii="Arial" w:hAnsi="Arial" w:eastAsia="宋体" w:cs="Arial"/>
          <w:spacing w:val="10"/>
          <w:sz w:val="24"/>
        </w:rPr>
      </w:pPr>
      <w:r>
        <w:rPr>
          <w:rFonts w:ascii="Arial" w:hAnsi="Arial" w:eastAsia="宋体" w:cs="Arial"/>
          <w:spacing w:val="10"/>
          <w:sz w:val="24"/>
        </w:rPr>
        <w:t>预测主要参数见表4-</w:t>
      </w:r>
      <w:r>
        <w:rPr>
          <w:rFonts w:hint="eastAsia" w:ascii="Arial" w:hAnsi="Arial" w:eastAsia="宋体" w:cs="Arial"/>
          <w:spacing w:val="10"/>
          <w:sz w:val="24"/>
        </w:rPr>
        <w:t>66</w:t>
      </w:r>
      <w:r>
        <w:rPr>
          <w:rFonts w:ascii="Arial" w:hAnsi="Arial" w:eastAsia="宋体" w:cs="Arial"/>
          <w:spacing w:val="10"/>
          <w:sz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大气风险预测模型主要参数表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2552"/>
        <w:gridCol w:w="2410"/>
        <w:gridCol w:w="2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6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参数类型</w:t>
            </w: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选项</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氨水中转罐泄漏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基本情况</w:t>
            </w: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事故源经度/（°）</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108.672535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事故源纬度/（°）</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21.707738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事故源类型</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5m</w:t>
            </w:r>
            <w:r>
              <w:rPr>
                <w:rFonts w:hint="eastAsia" w:ascii="Arial" w:hAnsi="Arial" w:eastAsia="宋体" w:cs="Arial"/>
                <w:sz w:val="21"/>
                <w:szCs w:val="21"/>
                <w:vertAlign w:val="superscript"/>
              </w:rPr>
              <w:t>3</w:t>
            </w:r>
            <w:r>
              <w:rPr>
                <w:rFonts w:hint="eastAsia" w:ascii="Arial" w:hAnsi="Arial" w:eastAsia="宋体" w:cs="Arial"/>
                <w:sz w:val="21"/>
                <w:szCs w:val="21"/>
              </w:rPr>
              <w:t>氨水罐10min全泄漏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气象参数</w:t>
            </w: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气象条件类型</w:t>
            </w:r>
          </w:p>
        </w:tc>
        <w:tc>
          <w:tcPr>
            <w:tcW w:w="24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最不利气象</w:t>
            </w:r>
          </w:p>
        </w:tc>
        <w:tc>
          <w:tcPr>
            <w:tcW w:w="23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最常见气象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风速/（m/s）</w:t>
            </w:r>
          </w:p>
        </w:tc>
        <w:tc>
          <w:tcPr>
            <w:tcW w:w="24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23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环境温度/</w:t>
            </w:r>
            <w:r>
              <w:rPr>
                <w:rFonts w:hint="eastAsia" w:ascii="宋体" w:hAnsi="宋体" w:eastAsia="宋体" w:cs="宋体"/>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25</w:t>
            </w:r>
          </w:p>
        </w:tc>
        <w:tc>
          <w:tcPr>
            <w:tcW w:w="23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相对湿度/%</w:t>
            </w:r>
          </w:p>
        </w:tc>
        <w:tc>
          <w:tcPr>
            <w:tcW w:w="24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50</w:t>
            </w:r>
          </w:p>
        </w:tc>
        <w:tc>
          <w:tcPr>
            <w:tcW w:w="23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稳定度</w:t>
            </w:r>
          </w:p>
        </w:tc>
        <w:tc>
          <w:tcPr>
            <w:tcW w:w="241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F</w:t>
            </w:r>
          </w:p>
        </w:tc>
        <w:tc>
          <w:tcPr>
            <w:tcW w:w="23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其他参数</w:t>
            </w: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地表粗糙度/m</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是否考虑地形</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6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z w:val="21"/>
                <w:szCs w:val="21"/>
              </w:rPr>
            </w:pPr>
          </w:p>
        </w:tc>
        <w:tc>
          <w:tcPr>
            <w:tcW w:w="255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地形数据精度/m</w:t>
            </w:r>
          </w:p>
        </w:tc>
        <w:tc>
          <w:tcPr>
            <w:tcW w:w="477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90</w:t>
            </w:r>
          </w:p>
        </w:tc>
      </w:tr>
    </w:tbl>
    <w:p>
      <w:pPr>
        <w:spacing w:line="500" w:lineRule="exact"/>
        <w:ind w:firstLine="489"/>
        <w:jc w:val="left"/>
        <w:rPr>
          <w:rFonts w:ascii="Arial" w:hAnsi="Arial" w:eastAsia="宋体" w:cs="Arial"/>
          <w:spacing w:val="10"/>
          <w:sz w:val="24"/>
        </w:rPr>
      </w:pPr>
      <w:r>
        <w:rPr>
          <w:rFonts w:ascii="Arial" w:hAnsi="Arial" w:eastAsia="宋体" w:cs="Arial"/>
          <w:spacing w:val="10"/>
          <w:sz w:val="24"/>
        </w:rPr>
        <w:t>2.预测结果</w:t>
      </w:r>
    </w:p>
    <w:p>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（1）氨水泄漏</w:t>
      </w: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氨水泄漏</w:t>
      </w:r>
      <w:r>
        <w:rPr>
          <w:rFonts w:ascii="Arial" w:hAnsi="Arial" w:eastAsia="宋体" w:cs="Arial"/>
          <w:b/>
          <w:sz w:val="24"/>
          <w:szCs w:val="24"/>
        </w:rPr>
        <w:t>轴向预测结果</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1833"/>
        <w:gridCol w:w="1833"/>
        <w:gridCol w:w="1833"/>
        <w:gridCol w:w="1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1665"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距离(m)</w:t>
            </w:r>
          </w:p>
        </w:tc>
        <w:tc>
          <w:tcPr>
            <w:tcW w:w="3666"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最不利气象</w:t>
            </w:r>
          </w:p>
        </w:tc>
        <w:tc>
          <w:tcPr>
            <w:tcW w:w="3662"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常见气象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1665" w:type="dxa"/>
            <w:vMerge w:val="continue"/>
            <w:vAlign w:val="center"/>
          </w:tcPr>
          <w:p>
            <w:pPr>
              <w:adjustRightInd w:val="0"/>
              <w:snapToGrid w:val="0"/>
              <w:jc w:val="center"/>
              <w:rPr>
                <w:rFonts w:ascii="Arial" w:hAnsi="Arial" w:eastAsia="宋体" w:cs="Arial"/>
                <w:sz w:val="21"/>
                <w:szCs w:val="21"/>
              </w:rPr>
            </w:pPr>
          </w:p>
        </w:tc>
        <w:tc>
          <w:tcPr>
            <w:tcW w:w="18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浓度出现时间(min)</w:t>
            </w:r>
          </w:p>
        </w:tc>
        <w:tc>
          <w:tcPr>
            <w:tcW w:w="18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高峰浓度(mg/m</w:t>
            </w:r>
            <w:r>
              <w:rPr>
                <w:rFonts w:ascii="Arial" w:hAnsi="Arial" w:eastAsia="宋体" w:cs="Arial"/>
                <w:sz w:val="21"/>
                <w:szCs w:val="21"/>
                <w:vertAlign w:val="superscript"/>
              </w:rPr>
              <w:t>3</w:t>
            </w:r>
            <w:r>
              <w:rPr>
                <w:rFonts w:ascii="Arial" w:hAnsi="Arial" w:eastAsia="宋体" w:cs="Arial"/>
                <w:sz w:val="21"/>
                <w:szCs w:val="21"/>
              </w:rPr>
              <w:t>)</w:t>
            </w:r>
          </w:p>
        </w:tc>
        <w:tc>
          <w:tcPr>
            <w:tcW w:w="1833"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出现时间(min)</w:t>
            </w:r>
          </w:p>
        </w:tc>
        <w:tc>
          <w:tcPr>
            <w:tcW w:w="182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高峰浓度(mg/m</w:t>
            </w:r>
            <w:r>
              <w:rPr>
                <w:rFonts w:ascii="Arial" w:hAnsi="Arial" w:eastAsia="宋体" w:cs="Arial"/>
                <w:sz w:val="21"/>
                <w:szCs w:val="21"/>
                <w:vertAlign w:val="superscript"/>
              </w:rPr>
              <w:t>3</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 xml:space="preserve">10 </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0.11</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410.87</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0.05</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271.48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0.56</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370.70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0.25</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37.346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1.11</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178.12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0.51</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1.67</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103.70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0.76</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5.9861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68.099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1.02</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3.6511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250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2.78</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48.429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1.27</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2.4840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3.33</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36.400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1.52</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1.8120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350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3.89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28.485</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1.78</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1.3872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4.44</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22.982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2.03</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450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18.991</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2.29</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0.8970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5.56</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15.996</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2.54</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0.7470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700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7.78</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9.2042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3.56</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0.4163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11.11</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5.0962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5.08</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0.2239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16.67</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2.6318</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7.62</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22.22</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1.7949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10.16</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27.78</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1.3334</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11.43</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38.333</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1.0457</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15.24</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43.889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0.8514</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17.79</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50.44</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0.7125</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20.33</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4500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57.00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0.6088</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22.87</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62.56</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0.5289</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25.41</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665"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6000</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74.67</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0.4146</w:t>
            </w:r>
          </w:p>
        </w:tc>
        <w:tc>
          <w:tcPr>
            <w:tcW w:w="1833"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45.49</w:t>
            </w:r>
          </w:p>
        </w:tc>
        <w:tc>
          <w:tcPr>
            <w:tcW w:w="182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0.0153</w:t>
            </w:r>
          </w:p>
        </w:tc>
      </w:tr>
    </w:tbl>
    <w:p>
      <w:pPr>
        <w:spacing w:line="500" w:lineRule="exact"/>
        <w:ind w:firstLine="489"/>
        <w:jc w:val="left"/>
        <w:rPr>
          <w:rFonts w:ascii="Arial" w:hAnsi="Arial" w:eastAsia="宋体" w:cs="Arial"/>
          <w:spacing w:val="10"/>
          <w:sz w:val="24"/>
        </w:rPr>
      </w:pPr>
    </w:p>
    <w:p>
      <w:pPr>
        <w:spacing w:line="500" w:lineRule="exact"/>
        <w:ind w:firstLine="489"/>
        <w:jc w:val="left"/>
        <w:rPr>
          <w:rFonts w:ascii="Arial" w:hAnsi="Arial" w:eastAsia="宋体" w:cs="Arial"/>
          <w:spacing w:val="10"/>
          <w:sz w:val="24"/>
        </w:rPr>
      </w:pPr>
    </w:p>
    <w:p>
      <w:pPr>
        <w:spacing w:line="500" w:lineRule="exact"/>
        <w:ind w:firstLine="489"/>
        <w:jc w:val="left"/>
        <w:rPr>
          <w:rFonts w:ascii="Arial" w:hAnsi="Arial" w:eastAsia="宋体" w:cs="Arial"/>
          <w:spacing w:val="10"/>
          <w:sz w:val="24"/>
        </w:rPr>
      </w:pPr>
    </w:p>
    <w:p>
      <w:pPr>
        <w:spacing w:line="500" w:lineRule="exact"/>
        <w:ind w:firstLine="489"/>
        <w:jc w:val="left"/>
        <w:rPr>
          <w:rFonts w:ascii="Arial" w:hAnsi="Arial" w:eastAsia="宋体" w:cs="Arial"/>
          <w:spacing w:val="10"/>
          <w:sz w:val="24"/>
        </w:rPr>
      </w:pPr>
    </w:p>
    <w:p>
      <w:pPr>
        <w:spacing w:line="500" w:lineRule="exact"/>
        <w:ind w:firstLine="489"/>
        <w:jc w:val="left"/>
        <w:rPr>
          <w:rFonts w:ascii="Arial" w:hAnsi="Arial" w:eastAsia="宋体" w:cs="Arial"/>
          <w:spacing w:val="10"/>
          <w:sz w:val="24"/>
        </w:rPr>
      </w:pPr>
    </w:p>
    <w:p>
      <w:pPr>
        <w:spacing w:line="500" w:lineRule="exact"/>
        <w:ind w:firstLine="489"/>
        <w:jc w:val="left"/>
        <w:rPr>
          <w:rFonts w:ascii="Arial" w:hAnsi="Arial" w:eastAsia="宋体" w:cs="Arial"/>
          <w:spacing w:val="10"/>
          <w:sz w:val="24"/>
        </w:rPr>
      </w:pPr>
    </w:p>
    <w:p>
      <w:pPr>
        <w:jc w:val="center"/>
        <w:rPr>
          <w:rFonts w:ascii="Arial" w:hAnsi="Arial" w:eastAsia="宋体" w:cs="Arial"/>
          <w:spacing w:val="10"/>
          <w:sz w:val="24"/>
        </w:rPr>
      </w:pPr>
      <w:r>
        <w:drawing>
          <wp:inline distT="0" distB="0" distL="114300" distR="114300">
            <wp:extent cx="5487670" cy="3435350"/>
            <wp:effectExtent l="0" t="0" r="17780" b="1270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28"/>
                    <a:stretch>
                      <a:fillRect/>
                    </a:stretch>
                  </pic:blipFill>
                  <pic:spPr>
                    <a:xfrm>
                      <a:off x="0" y="0"/>
                      <a:ext cx="5487670" cy="3435350"/>
                    </a:xfrm>
                    <a:prstGeom prst="rect">
                      <a:avLst/>
                    </a:prstGeom>
                    <a:noFill/>
                    <a:ln>
                      <a:noFill/>
                    </a:ln>
                  </pic:spPr>
                </pic:pic>
              </a:graphicData>
            </a:graphic>
          </wp:inline>
        </w:drawing>
      </w:r>
    </w:p>
    <w:p>
      <w:pPr>
        <w:spacing w:line="500" w:lineRule="exact"/>
        <w:ind w:firstLine="489"/>
        <w:jc w:val="center"/>
        <w:rPr>
          <w:rFonts w:ascii="Arial" w:hAnsi="Arial" w:eastAsia="宋体" w:cs="Arial"/>
          <w:spacing w:val="10"/>
          <w:sz w:val="24"/>
        </w:rPr>
      </w:pPr>
      <w:r>
        <w:rPr>
          <w:rFonts w:ascii="Arial" w:hAnsi="Arial" w:eastAsia="宋体" w:cs="Arial"/>
          <w:b/>
          <w:sz w:val="24"/>
        </w:rPr>
        <w:t xml:space="preserve">图4.3-3  </w:t>
      </w:r>
      <w:r>
        <w:rPr>
          <w:rFonts w:hint="eastAsia" w:ascii="Arial" w:hAnsi="Arial" w:eastAsia="宋体" w:cs="Arial"/>
          <w:b/>
          <w:sz w:val="24"/>
        </w:rPr>
        <w:t>氨水</w:t>
      </w:r>
      <w:r>
        <w:rPr>
          <w:rFonts w:ascii="Arial" w:hAnsi="Arial" w:eastAsia="宋体" w:cs="Arial"/>
          <w:b/>
          <w:sz w:val="24"/>
        </w:rPr>
        <w:t>泄漏最大影响范围图（最不利</w:t>
      </w:r>
      <w:r>
        <w:rPr>
          <w:rFonts w:hint="eastAsia" w:ascii="Arial" w:hAnsi="Arial" w:eastAsia="宋体" w:cs="Arial"/>
          <w:b/>
          <w:sz w:val="24"/>
        </w:rPr>
        <w:t>气象）</w:t>
      </w:r>
    </w:p>
    <w:p>
      <w:pPr>
        <w:jc w:val="left"/>
        <w:rPr>
          <w:rFonts w:ascii="Arial" w:hAnsi="Arial" w:eastAsia="宋体" w:cs="Arial"/>
          <w:spacing w:val="10"/>
          <w:sz w:val="24"/>
        </w:rPr>
      </w:pPr>
      <w:r>
        <w:drawing>
          <wp:inline distT="0" distB="0" distL="114300" distR="114300">
            <wp:extent cx="5487670" cy="3435350"/>
            <wp:effectExtent l="0" t="0" r="17780" b="12700"/>
            <wp:docPr id="42"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0"/>
                    <pic:cNvPicPr>
                      <a:picLocks noChangeAspect="1"/>
                    </pic:cNvPicPr>
                  </pic:nvPicPr>
                  <pic:blipFill>
                    <a:blip r:embed="rId129"/>
                    <a:stretch>
                      <a:fillRect/>
                    </a:stretch>
                  </pic:blipFill>
                  <pic:spPr>
                    <a:xfrm>
                      <a:off x="0" y="0"/>
                      <a:ext cx="5487670" cy="3435350"/>
                    </a:xfrm>
                    <a:prstGeom prst="rect">
                      <a:avLst/>
                    </a:prstGeom>
                    <a:noFill/>
                    <a:ln>
                      <a:noFill/>
                    </a:ln>
                  </pic:spPr>
                </pic:pic>
              </a:graphicData>
            </a:graphic>
          </wp:inline>
        </w:drawing>
      </w:r>
    </w:p>
    <w:p>
      <w:pPr>
        <w:spacing w:line="500" w:lineRule="exact"/>
        <w:ind w:firstLine="489"/>
        <w:jc w:val="center"/>
        <w:rPr>
          <w:rFonts w:ascii="Arial" w:hAnsi="Arial" w:eastAsia="宋体" w:cs="Arial"/>
          <w:b/>
          <w:sz w:val="24"/>
        </w:rPr>
      </w:pPr>
      <w:r>
        <w:rPr>
          <w:rFonts w:ascii="Arial" w:hAnsi="Arial" w:eastAsia="宋体" w:cs="Arial"/>
          <w:b/>
          <w:sz w:val="24"/>
        </w:rPr>
        <w:t>图4.3-</w:t>
      </w:r>
      <w:r>
        <w:rPr>
          <w:rFonts w:hint="eastAsia" w:ascii="Arial" w:hAnsi="Arial" w:eastAsia="宋体" w:cs="Arial"/>
          <w:b/>
          <w:sz w:val="24"/>
        </w:rPr>
        <w:t>4</w:t>
      </w:r>
      <w:r>
        <w:rPr>
          <w:rFonts w:ascii="Arial" w:hAnsi="Arial" w:eastAsia="宋体" w:cs="Arial"/>
          <w:b/>
          <w:sz w:val="24"/>
        </w:rPr>
        <w:t xml:space="preserve">  </w:t>
      </w:r>
      <w:r>
        <w:rPr>
          <w:rFonts w:hint="eastAsia" w:ascii="Arial" w:hAnsi="Arial" w:eastAsia="宋体" w:cs="Arial"/>
          <w:b/>
          <w:sz w:val="24"/>
        </w:rPr>
        <w:t>氨水</w:t>
      </w:r>
      <w:r>
        <w:rPr>
          <w:rFonts w:ascii="Arial" w:hAnsi="Arial" w:eastAsia="宋体" w:cs="Arial"/>
          <w:b/>
          <w:sz w:val="24"/>
        </w:rPr>
        <w:t>泄漏最大影响范围图（</w:t>
      </w:r>
      <w:r>
        <w:rPr>
          <w:rFonts w:hint="eastAsia" w:ascii="Arial" w:hAnsi="Arial" w:eastAsia="宋体" w:cs="Arial"/>
          <w:b/>
          <w:sz w:val="24"/>
        </w:rPr>
        <w:t>常见气象）</w:t>
      </w:r>
    </w:p>
    <w:p>
      <w:pPr>
        <w:spacing w:line="500" w:lineRule="exact"/>
        <w:ind w:firstLine="489"/>
        <w:jc w:val="center"/>
        <w:rPr>
          <w:rFonts w:ascii="Arial" w:hAnsi="Arial" w:eastAsia="宋体" w:cs="Arial"/>
          <w:b/>
          <w:sz w:val="24"/>
        </w:rPr>
      </w:pPr>
    </w:p>
    <w:p>
      <w:pPr>
        <w:spacing w:line="500" w:lineRule="exact"/>
        <w:ind w:firstLine="489"/>
        <w:jc w:val="center"/>
        <w:rPr>
          <w:rFonts w:ascii="Arial" w:hAnsi="Arial" w:eastAsia="宋体" w:cs="Arial"/>
          <w:spacing w:val="10"/>
          <w:sz w:val="24"/>
        </w:rPr>
      </w:pP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关心</w:t>
      </w:r>
      <w:r>
        <w:rPr>
          <w:rFonts w:ascii="Arial" w:hAnsi="Arial" w:eastAsia="宋体" w:cs="Arial"/>
          <w:b/>
          <w:sz w:val="24"/>
          <w:szCs w:val="24"/>
        </w:rPr>
        <w:t>点</w:t>
      </w:r>
      <w:r>
        <w:rPr>
          <w:rFonts w:hint="eastAsia" w:ascii="Arial" w:hAnsi="Arial" w:eastAsia="宋体" w:cs="Arial"/>
          <w:b/>
          <w:sz w:val="24"/>
          <w:szCs w:val="24"/>
        </w:rPr>
        <w:t>氨</w:t>
      </w:r>
      <w:r>
        <w:rPr>
          <w:rFonts w:ascii="Arial" w:hAnsi="Arial" w:eastAsia="宋体" w:cs="Arial"/>
          <w:b/>
          <w:sz w:val="24"/>
          <w:szCs w:val="24"/>
        </w:rPr>
        <w:t>浓度随时间变化情况（最不利气象）   单位：mg/m</w:t>
      </w:r>
      <w:r>
        <w:rPr>
          <w:rFonts w:ascii="Arial" w:hAnsi="Arial" w:eastAsia="宋体" w:cs="Arial"/>
          <w:b/>
          <w:sz w:val="24"/>
          <w:szCs w:val="24"/>
          <w:vertAlign w:val="superscript"/>
        </w:rPr>
        <w:t>3</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108"/>
        <w:gridCol w:w="1108"/>
        <w:gridCol w:w="1108"/>
        <w:gridCol w:w="1108"/>
        <w:gridCol w:w="1108"/>
        <w:gridCol w:w="1108"/>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r>
              <w:rPr>
                <w:rFonts w:ascii="Arial" w:hAnsi="Arial" w:eastAsia="宋体" w:cs="Arial"/>
                <w:spacing w:val="10"/>
                <w:sz w:val="21"/>
                <w:szCs w:val="21"/>
              </w:rPr>
              <w:t>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25</w:t>
            </w:r>
            <w:r>
              <w:rPr>
                <w:rFonts w:ascii="Arial" w:hAnsi="Arial" w:eastAsia="宋体" w:cs="Arial"/>
                <w:spacing w:val="10"/>
                <w:sz w:val="21"/>
                <w:szCs w:val="21"/>
              </w:rPr>
              <w:t>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40min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50min</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3.4396</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3.4396</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3.4394</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0.2811</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0.6070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4.3425</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3.0480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3.0480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3.0478</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1.2336</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1.2336</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0.3836</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0.6171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0.8811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0.8954</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0.0239</w:t>
            </w:r>
          </w:p>
        </w:tc>
      </w:tr>
    </w:tbl>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关心</w:t>
      </w:r>
      <w:r>
        <w:rPr>
          <w:rFonts w:ascii="Arial" w:hAnsi="Arial" w:eastAsia="宋体" w:cs="Arial"/>
          <w:b/>
          <w:sz w:val="24"/>
          <w:szCs w:val="24"/>
        </w:rPr>
        <w:t>点</w:t>
      </w:r>
      <w:r>
        <w:rPr>
          <w:rFonts w:hint="eastAsia" w:ascii="Arial" w:hAnsi="Arial" w:eastAsia="宋体" w:cs="Arial"/>
          <w:b/>
          <w:sz w:val="24"/>
          <w:szCs w:val="24"/>
        </w:rPr>
        <w:t>氨</w:t>
      </w:r>
      <w:r>
        <w:rPr>
          <w:rFonts w:ascii="Arial" w:hAnsi="Arial" w:eastAsia="宋体" w:cs="Arial"/>
          <w:b/>
          <w:sz w:val="24"/>
          <w:szCs w:val="24"/>
        </w:rPr>
        <w:t>浓度随时间变化情况（</w:t>
      </w:r>
      <w:r>
        <w:rPr>
          <w:rFonts w:hint="eastAsia" w:ascii="Arial" w:hAnsi="Arial" w:eastAsia="宋体" w:cs="Arial"/>
          <w:b/>
          <w:sz w:val="24"/>
          <w:szCs w:val="24"/>
        </w:rPr>
        <w:t>常见</w:t>
      </w:r>
      <w:r>
        <w:rPr>
          <w:rFonts w:ascii="Arial" w:hAnsi="Arial" w:eastAsia="宋体" w:cs="Arial"/>
          <w:b/>
          <w:sz w:val="24"/>
          <w:szCs w:val="24"/>
        </w:rPr>
        <w:t>气象）   单位：mg/m</w:t>
      </w:r>
      <w:r>
        <w:rPr>
          <w:rFonts w:ascii="Arial" w:hAnsi="Arial" w:eastAsia="宋体" w:cs="Arial"/>
          <w:b/>
          <w:sz w:val="24"/>
          <w:szCs w:val="24"/>
          <w:vertAlign w:val="superscript"/>
        </w:rPr>
        <w:t>3</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108"/>
        <w:gridCol w:w="1108"/>
        <w:gridCol w:w="1108"/>
        <w:gridCol w:w="1108"/>
        <w:gridCol w:w="1108"/>
        <w:gridCol w:w="1108"/>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r>
              <w:rPr>
                <w:rFonts w:ascii="Arial" w:hAnsi="Arial" w:eastAsia="宋体" w:cs="Arial"/>
                <w:spacing w:val="10"/>
                <w:sz w:val="21"/>
                <w:szCs w:val="21"/>
              </w:rPr>
              <w:t>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25</w:t>
            </w:r>
            <w:r>
              <w:rPr>
                <w:rFonts w:ascii="Arial" w:hAnsi="Arial" w:eastAsia="宋体" w:cs="Arial"/>
                <w:spacing w:val="10"/>
                <w:sz w:val="21"/>
                <w:szCs w:val="21"/>
              </w:rPr>
              <w:t>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40min</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50min</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0.0233</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0.0233</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0.0199</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0.0142</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0.0144</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0.0511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0.0511</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0.0152</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0.0152</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0.0237</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0.0198</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0.0036</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3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0.0166</w:t>
            </w:r>
          </w:p>
        </w:tc>
        <w:tc>
          <w:tcPr>
            <w:tcW w:w="110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0.0165</w:t>
            </w:r>
          </w:p>
        </w:tc>
        <w:tc>
          <w:tcPr>
            <w:tcW w:w="110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0.0062</w:t>
            </w:r>
          </w:p>
        </w:tc>
      </w:tr>
    </w:tbl>
    <w:p>
      <w:pPr>
        <w:jc w:val="center"/>
        <w:rPr>
          <w:rFonts w:ascii="Arial" w:hAnsi="Arial" w:eastAsia="宋体" w:cs="Arial"/>
          <w:b/>
          <w:sz w:val="24"/>
          <w:szCs w:val="24"/>
        </w:rPr>
      </w:pPr>
      <w:r>
        <w:drawing>
          <wp:inline distT="0" distB="0" distL="0" distR="0">
            <wp:extent cx="5280025" cy="24085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0"/>
                    <a:stretch>
                      <a:fillRect/>
                    </a:stretch>
                  </pic:blipFill>
                  <pic:spPr>
                    <a:xfrm>
                      <a:off x="0" y="0"/>
                      <a:ext cx="5285314" cy="2411424"/>
                    </a:xfrm>
                    <a:prstGeom prst="rect">
                      <a:avLst/>
                    </a:prstGeom>
                  </pic:spPr>
                </pic:pic>
              </a:graphicData>
            </a:graphic>
          </wp:inline>
        </w:drawing>
      </w:r>
    </w:p>
    <w:p>
      <w:pPr>
        <w:jc w:val="center"/>
        <w:rPr>
          <w:rFonts w:ascii="Arial" w:hAnsi="Arial" w:eastAsia="宋体" w:cs="Arial"/>
          <w:b/>
          <w:sz w:val="24"/>
          <w:szCs w:val="24"/>
          <w:u w:val="single"/>
        </w:rPr>
      </w:pPr>
      <w:r>
        <w:rPr>
          <w:rFonts w:hint="eastAsia" w:ascii="Arial" w:hAnsi="Arial" w:eastAsia="宋体" w:cs="Arial"/>
          <w:b/>
          <w:sz w:val="24"/>
          <w:szCs w:val="24"/>
          <w:u w:val="single"/>
        </w:rPr>
        <w:t>图4.3-5  氨大气伤害概率估算（最不利气象）</w:t>
      </w:r>
    </w:p>
    <w:p>
      <w:pPr>
        <w:jc w:val="center"/>
        <w:rPr>
          <w:rFonts w:ascii="Arial" w:hAnsi="Arial" w:eastAsia="宋体" w:cs="Arial"/>
          <w:b/>
          <w:sz w:val="24"/>
          <w:szCs w:val="24"/>
        </w:rPr>
      </w:pPr>
      <w:r>
        <w:drawing>
          <wp:inline distT="0" distB="0" distL="0" distR="0">
            <wp:extent cx="5361305" cy="2425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1"/>
                    <a:stretch>
                      <a:fillRect/>
                    </a:stretch>
                  </pic:blipFill>
                  <pic:spPr>
                    <a:xfrm>
                      <a:off x="0" y="0"/>
                      <a:ext cx="5366578" cy="2428004"/>
                    </a:xfrm>
                    <a:prstGeom prst="rect">
                      <a:avLst/>
                    </a:prstGeom>
                  </pic:spPr>
                </pic:pic>
              </a:graphicData>
            </a:graphic>
          </wp:inline>
        </w:drawing>
      </w:r>
    </w:p>
    <w:p>
      <w:pPr>
        <w:spacing w:line="500" w:lineRule="exact"/>
        <w:ind w:firstLine="489"/>
        <w:jc w:val="center"/>
        <w:rPr>
          <w:rFonts w:ascii="Arial" w:hAnsi="Arial" w:eastAsia="宋体" w:cs="Arial"/>
          <w:b/>
          <w:sz w:val="24"/>
          <w:szCs w:val="24"/>
          <w:u w:val="single"/>
        </w:rPr>
      </w:pPr>
      <w:r>
        <w:rPr>
          <w:rFonts w:hint="eastAsia" w:ascii="Arial" w:hAnsi="Arial" w:eastAsia="宋体" w:cs="Arial"/>
          <w:b/>
          <w:sz w:val="24"/>
          <w:szCs w:val="24"/>
          <w:u w:val="single"/>
        </w:rPr>
        <w:t>图4.3-6  氨大气伤害概率估算（常见气象）</w:t>
      </w: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氨水泄漏事故后果基本信息表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
        <w:gridCol w:w="591"/>
        <w:gridCol w:w="468"/>
        <w:gridCol w:w="1031"/>
        <w:gridCol w:w="1222"/>
        <w:gridCol w:w="467"/>
        <w:gridCol w:w="1092"/>
        <w:gridCol w:w="217"/>
        <w:gridCol w:w="1484"/>
        <w:gridCol w:w="15"/>
        <w:gridCol w:w="1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98"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事故情形描述</w:t>
            </w:r>
          </w:p>
        </w:tc>
        <w:tc>
          <w:tcPr>
            <w:tcW w:w="7495" w:type="dxa"/>
            <w:gridSpan w:val="9"/>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r>
              <w:rPr>
                <w:rFonts w:ascii="Arial" w:hAnsi="Arial" w:eastAsia="宋体" w:cs="Arial"/>
                <w:sz w:val="21"/>
                <w:szCs w:val="21"/>
              </w:rPr>
              <w:t>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98"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泄漏设备类型</w:t>
            </w:r>
          </w:p>
        </w:tc>
        <w:tc>
          <w:tcPr>
            <w:tcW w:w="149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氨水罐</w:t>
            </w:r>
          </w:p>
        </w:tc>
        <w:tc>
          <w:tcPr>
            <w:tcW w:w="168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操作温度/</w:t>
            </w:r>
            <w:r>
              <w:rPr>
                <w:rFonts w:hint="eastAsia" w:ascii="宋体" w:hAnsi="宋体" w:eastAsia="宋体" w:cs="宋体"/>
                <w:sz w:val="21"/>
                <w:szCs w:val="21"/>
              </w:rPr>
              <w:t>℃</w:t>
            </w:r>
          </w:p>
        </w:tc>
        <w:tc>
          <w:tcPr>
            <w:tcW w:w="130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25</w:t>
            </w:r>
          </w:p>
        </w:tc>
        <w:tc>
          <w:tcPr>
            <w:tcW w:w="149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操作压力/MPa</w:t>
            </w:r>
          </w:p>
        </w:tc>
        <w:tc>
          <w:tcPr>
            <w:tcW w:w="149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常压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98"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泄漏危险物质</w:t>
            </w:r>
          </w:p>
        </w:tc>
        <w:tc>
          <w:tcPr>
            <w:tcW w:w="149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p>
        </w:tc>
        <w:tc>
          <w:tcPr>
            <w:tcW w:w="168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最大存在量</w:t>
            </w:r>
          </w:p>
        </w:tc>
        <w:tc>
          <w:tcPr>
            <w:tcW w:w="130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4.1</w:t>
            </w:r>
            <w:r>
              <w:rPr>
                <w:rFonts w:ascii="Arial" w:hAnsi="Arial" w:eastAsia="宋体" w:cs="Arial"/>
                <w:sz w:val="21"/>
                <w:szCs w:val="21"/>
              </w:rPr>
              <w:t>t</w:t>
            </w:r>
          </w:p>
        </w:tc>
        <w:tc>
          <w:tcPr>
            <w:tcW w:w="149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泄漏孔径/mm</w:t>
            </w:r>
          </w:p>
        </w:tc>
        <w:tc>
          <w:tcPr>
            <w:tcW w:w="149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全罐泄漏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98"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质量蒸发速率</w:t>
            </w:r>
          </w:p>
        </w:tc>
        <w:tc>
          <w:tcPr>
            <w:tcW w:w="149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0.014kg/s</w:t>
            </w:r>
          </w:p>
          <w:p>
            <w:pPr>
              <w:adjustRightInd w:val="0"/>
              <w:snapToGrid w:val="0"/>
              <w:jc w:val="center"/>
              <w:rPr>
                <w:rFonts w:ascii="Arial" w:hAnsi="Arial" w:eastAsia="宋体" w:cs="Arial"/>
                <w:sz w:val="21"/>
                <w:szCs w:val="21"/>
              </w:rPr>
            </w:pPr>
            <w:r>
              <w:rPr>
                <w:rFonts w:hint="eastAsia" w:ascii="Arial" w:hAnsi="Arial" w:eastAsia="宋体" w:cs="Arial"/>
                <w:sz w:val="21"/>
                <w:szCs w:val="21"/>
              </w:rPr>
              <w:t>0.022kg/s</w:t>
            </w:r>
          </w:p>
        </w:tc>
        <w:tc>
          <w:tcPr>
            <w:tcW w:w="168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释放时间</w:t>
            </w:r>
          </w:p>
        </w:tc>
        <w:tc>
          <w:tcPr>
            <w:tcW w:w="130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w:t>
            </w:r>
            <w:r>
              <w:rPr>
                <w:rFonts w:ascii="Arial" w:hAnsi="Arial" w:eastAsia="宋体" w:cs="Arial"/>
                <w:sz w:val="21"/>
                <w:szCs w:val="21"/>
              </w:rPr>
              <w:t>0min</w:t>
            </w:r>
          </w:p>
        </w:tc>
        <w:tc>
          <w:tcPr>
            <w:tcW w:w="149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泄漏量/kg</w:t>
            </w:r>
          </w:p>
        </w:tc>
        <w:tc>
          <w:tcPr>
            <w:tcW w:w="149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98"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泄漏高度</w:t>
            </w:r>
          </w:p>
        </w:tc>
        <w:tc>
          <w:tcPr>
            <w:tcW w:w="149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68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泄漏液体蒸发量</w:t>
            </w:r>
          </w:p>
        </w:tc>
        <w:tc>
          <w:tcPr>
            <w:tcW w:w="1309" w:type="dxa"/>
            <w:gridSpan w:val="2"/>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25.2kg</w:t>
            </w:r>
          </w:p>
          <w:p>
            <w:pPr>
              <w:adjustRightInd w:val="0"/>
              <w:snapToGrid w:val="0"/>
              <w:jc w:val="center"/>
              <w:rPr>
                <w:rFonts w:ascii="Arial" w:hAnsi="Arial" w:eastAsia="宋体" w:cs="Arial"/>
                <w:sz w:val="21"/>
                <w:szCs w:val="21"/>
              </w:rPr>
            </w:pPr>
            <w:r>
              <w:rPr>
                <w:rFonts w:hint="eastAsia" w:ascii="Arial" w:hAnsi="Arial" w:eastAsia="宋体" w:cs="Arial"/>
                <w:sz w:val="21"/>
                <w:szCs w:val="21"/>
              </w:rPr>
              <w:t>39.6kg</w:t>
            </w:r>
          </w:p>
        </w:tc>
        <w:tc>
          <w:tcPr>
            <w:tcW w:w="149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泄漏频率</w:t>
            </w:r>
          </w:p>
        </w:tc>
        <w:tc>
          <w:tcPr>
            <w:tcW w:w="1499"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w:t>
            </w:r>
            <w:r>
              <w:rPr>
                <w:rFonts w:ascii="Arial" w:hAnsi="Arial" w:eastAsia="宋体" w:cs="Arial"/>
                <w:sz w:val="21"/>
                <w:szCs w:val="21"/>
              </w:rPr>
              <w:t>×10</w:t>
            </w:r>
            <w:r>
              <w:rPr>
                <w:rFonts w:ascii="Arial" w:hAnsi="Arial" w:eastAsia="宋体" w:cs="Arial"/>
                <w:sz w:val="21"/>
                <w:szCs w:val="21"/>
                <w:vertAlign w:val="superscript"/>
              </w:rPr>
              <w:t>-</w:t>
            </w:r>
            <w:r>
              <w:rPr>
                <w:rFonts w:hint="eastAsia" w:ascii="Arial" w:hAnsi="Arial" w:eastAsia="宋体" w:cs="Arial"/>
                <w:sz w:val="21"/>
                <w:szCs w:val="21"/>
                <w:vertAlign w:val="superscript"/>
              </w:rPr>
              <w:t>5</w:t>
            </w:r>
            <w:r>
              <w:rPr>
                <w:rFonts w:ascii="Arial" w:hAnsi="Arial" w:eastAsia="宋体" w:cs="Arial"/>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w:t>
            </w:r>
          </w:p>
          <w:p>
            <w:pPr>
              <w:adjustRightInd w:val="0"/>
              <w:snapToGrid w:val="0"/>
              <w:jc w:val="center"/>
              <w:rPr>
                <w:rFonts w:ascii="Arial" w:hAnsi="Arial" w:eastAsia="宋体" w:cs="Arial"/>
                <w:sz w:val="21"/>
                <w:szCs w:val="21"/>
              </w:rPr>
            </w:pPr>
            <w:r>
              <w:rPr>
                <w:rFonts w:ascii="Arial" w:hAnsi="Arial" w:eastAsia="宋体" w:cs="Arial"/>
                <w:sz w:val="21"/>
                <w:szCs w:val="21"/>
              </w:rPr>
              <w:t>物质</w:t>
            </w:r>
          </w:p>
        </w:tc>
        <w:tc>
          <w:tcPr>
            <w:tcW w:w="105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气象条件</w:t>
            </w:r>
          </w:p>
        </w:tc>
        <w:tc>
          <w:tcPr>
            <w:tcW w:w="7027" w:type="dxa"/>
            <w:gridSpan w:val="8"/>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restart"/>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氨</w:t>
            </w:r>
          </w:p>
        </w:tc>
        <w:tc>
          <w:tcPr>
            <w:tcW w:w="1059" w:type="dxa"/>
            <w:gridSpan w:val="2"/>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最不利气象条件</w:t>
            </w: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指标</w:t>
            </w:r>
          </w:p>
        </w:tc>
        <w:tc>
          <w:tcPr>
            <w:tcW w:w="155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浓度值（mg/m</w:t>
            </w:r>
            <w:r>
              <w:rPr>
                <w:rFonts w:ascii="Arial" w:hAnsi="Arial" w:eastAsia="宋体" w:cs="Arial"/>
                <w:sz w:val="21"/>
                <w:szCs w:val="21"/>
                <w:vertAlign w:val="superscript"/>
              </w:rPr>
              <w:t>3</w:t>
            </w:r>
            <w:r>
              <w:rPr>
                <w:rFonts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最远影响距离/m</w:t>
            </w:r>
          </w:p>
        </w:tc>
        <w:tc>
          <w:tcPr>
            <w:tcW w:w="1514"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大气毒性终点浓度-1</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770</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大气毒性终点浓度-2</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110</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140</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敏感目标名称</w:t>
            </w:r>
          </w:p>
        </w:tc>
        <w:tc>
          <w:tcPr>
            <w:tcW w:w="155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超标时间/min</w:t>
            </w:r>
          </w:p>
        </w:tc>
        <w:tc>
          <w:tcPr>
            <w:tcW w:w="1701"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超标持续时间/min</w:t>
            </w:r>
          </w:p>
        </w:tc>
        <w:tc>
          <w:tcPr>
            <w:tcW w:w="1514"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最大浓度（mg/m</w:t>
            </w:r>
            <w:r>
              <w:rPr>
                <w:rFonts w:ascii="Arial" w:hAnsi="Arial" w:eastAsia="宋体" w:cs="Arial"/>
                <w:sz w:val="21"/>
                <w:szCs w:val="21"/>
                <w:vertAlign w:val="superscript"/>
              </w:rPr>
              <w:t>3</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3.4396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0.6070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4.3427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3.0480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0.6171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0.8954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最常见气象条件</w:t>
            </w: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指标</w:t>
            </w:r>
          </w:p>
        </w:tc>
        <w:tc>
          <w:tcPr>
            <w:tcW w:w="155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浓度值（mg/m</w:t>
            </w:r>
            <w:r>
              <w:rPr>
                <w:rFonts w:ascii="Arial" w:hAnsi="Arial" w:eastAsia="宋体" w:cs="Arial"/>
                <w:sz w:val="21"/>
                <w:szCs w:val="21"/>
                <w:vertAlign w:val="superscript"/>
              </w:rPr>
              <w:t>3</w:t>
            </w:r>
            <w:r>
              <w:rPr>
                <w:rFonts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最远影响距离/m</w:t>
            </w:r>
          </w:p>
        </w:tc>
        <w:tc>
          <w:tcPr>
            <w:tcW w:w="1514"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大气毒性终点浓度-1</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770</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大气毒性终点浓度-2</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110</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20</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敏感目标名称</w:t>
            </w:r>
          </w:p>
        </w:tc>
        <w:tc>
          <w:tcPr>
            <w:tcW w:w="1559"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超标时间/min</w:t>
            </w:r>
          </w:p>
        </w:tc>
        <w:tc>
          <w:tcPr>
            <w:tcW w:w="1701"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超标持续时间/min</w:t>
            </w:r>
          </w:p>
        </w:tc>
        <w:tc>
          <w:tcPr>
            <w:tcW w:w="1514"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最大浓度（mg/m</w:t>
            </w:r>
            <w:r>
              <w:rPr>
                <w:rFonts w:ascii="Arial" w:hAnsi="Arial" w:eastAsia="宋体" w:cs="Arial"/>
                <w:sz w:val="21"/>
                <w:szCs w:val="21"/>
                <w:vertAlign w:val="superscript"/>
              </w:rPr>
              <w:t>3</w:t>
            </w:r>
            <w:r>
              <w:rPr>
                <w:rFonts w:ascii="Arial" w:hAnsi="Arial" w:eastAsia="宋体" w:cs="Arial"/>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07" w:type="dxa"/>
            <w:vMerge w:val="continue"/>
            <w:vAlign w:val="center"/>
          </w:tcPr>
          <w:p>
            <w:pPr>
              <w:adjustRightInd w:val="0"/>
              <w:snapToGrid w:val="0"/>
              <w:jc w:val="center"/>
              <w:rPr>
                <w:rFonts w:ascii="Arial" w:hAnsi="Arial" w:eastAsia="宋体" w:cs="Arial"/>
                <w:sz w:val="21"/>
                <w:szCs w:val="21"/>
              </w:rPr>
            </w:pPr>
          </w:p>
        </w:tc>
        <w:tc>
          <w:tcPr>
            <w:tcW w:w="1059" w:type="dxa"/>
            <w:gridSpan w:val="2"/>
            <w:vMerge w:val="continue"/>
            <w:vAlign w:val="center"/>
          </w:tcPr>
          <w:p>
            <w:pPr>
              <w:adjustRightInd w:val="0"/>
              <w:snapToGrid w:val="0"/>
              <w:jc w:val="center"/>
              <w:rPr>
                <w:rFonts w:ascii="Arial" w:hAnsi="Arial" w:eastAsia="宋体" w:cs="Arial"/>
                <w:sz w:val="21"/>
                <w:szCs w:val="21"/>
              </w:rPr>
            </w:pPr>
          </w:p>
        </w:tc>
        <w:tc>
          <w:tcPr>
            <w:tcW w:w="2253" w:type="dxa"/>
            <w:gridSpan w:val="2"/>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559"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0.0166</w:t>
            </w:r>
          </w:p>
        </w:tc>
      </w:tr>
    </w:tbl>
    <w:p>
      <w:pPr>
        <w:spacing w:line="500" w:lineRule="exact"/>
        <w:ind w:firstLine="489"/>
        <w:jc w:val="left"/>
        <w:rPr>
          <w:rFonts w:ascii="Arial" w:hAnsi="Arial" w:eastAsia="宋体" w:cs="Arial"/>
          <w:spacing w:val="10"/>
          <w:sz w:val="24"/>
        </w:rPr>
      </w:pPr>
      <w:r>
        <w:rPr>
          <w:rFonts w:ascii="Arial" w:hAnsi="Arial" w:eastAsia="宋体" w:cs="Arial"/>
          <w:spacing w:val="10"/>
          <w:sz w:val="24"/>
        </w:rPr>
        <w:t>根据预测，</w:t>
      </w:r>
      <w:r>
        <w:rPr>
          <w:rFonts w:hint="eastAsia" w:ascii="Arial" w:hAnsi="Arial" w:eastAsia="宋体" w:cs="Arial"/>
          <w:spacing w:val="10"/>
          <w:sz w:val="24"/>
        </w:rPr>
        <w:t>氨水</w:t>
      </w:r>
      <w:r>
        <w:rPr>
          <w:rFonts w:ascii="Arial" w:hAnsi="Arial" w:eastAsia="宋体" w:cs="Arial"/>
          <w:spacing w:val="10"/>
          <w:sz w:val="24"/>
        </w:rPr>
        <w:t>泄漏：</w:t>
      </w:r>
      <w:r>
        <w:rPr>
          <w:rFonts w:ascii="Arial" w:hAnsi="Arial" w:eastAsia="宋体" w:cs="Arial"/>
          <w:spacing w:val="10"/>
          <w:sz w:val="24"/>
          <w:u w:val="single"/>
        </w:rPr>
        <w:t>最不利气象条件下，最远影响距离为</w:t>
      </w:r>
      <w:r>
        <w:rPr>
          <w:rFonts w:hint="eastAsia" w:ascii="Arial" w:hAnsi="Arial" w:eastAsia="宋体" w:cs="Arial"/>
          <w:spacing w:val="10"/>
          <w:sz w:val="24"/>
          <w:u w:val="single"/>
        </w:rPr>
        <w:t>14</w:t>
      </w:r>
      <w:r>
        <w:rPr>
          <w:rFonts w:ascii="Arial" w:hAnsi="Arial" w:eastAsia="宋体" w:cs="Arial"/>
          <w:spacing w:val="10"/>
          <w:sz w:val="24"/>
          <w:u w:val="single"/>
        </w:rPr>
        <w:t>0m，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r>
        <w:rPr>
          <w:rFonts w:ascii="Arial" w:hAnsi="Arial" w:eastAsia="宋体" w:cs="Arial"/>
          <w:spacing w:val="10"/>
          <w:sz w:val="24"/>
          <w:u w:val="single"/>
        </w:rPr>
        <w:t>；常见气象条件下，最远影响距离为</w:t>
      </w:r>
      <w:r>
        <w:rPr>
          <w:rFonts w:hint="eastAsia" w:ascii="Arial" w:hAnsi="Arial" w:eastAsia="宋体" w:cs="Arial"/>
          <w:spacing w:val="10"/>
          <w:sz w:val="24"/>
          <w:u w:val="single"/>
        </w:rPr>
        <w:t>20</w:t>
      </w:r>
      <w:r>
        <w:rPr>
          <w:rFonts w:ascii="Arial" w:hAnsi="Arial" w:eastAsia="宋体" w:cs="Arial"/>
          <w:spacing w:val="10"/>
          <w:sz w:val="24"/>
          <w:u w:val="single"/>
        </w:rPr>
        <w:t>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p>
    <w:p>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地表水风险影响分析</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rPr>
        <w:t>X19车间配酸槽利用原有的25m</w:t>
      </w:r>
      <w:r>
        <w:rPr>
          <w:rFonts w:hint="eastAsia" w:ascii="Arial" w:hAnsi="Arial" w:eastAsia="宋体" w:cs="Arial"/>
          <w:spacing w:val="10"/>
          <w:sz w:val="24"/>
          <w:vertAlign w:val="superscript"/>
        </w:rPr>
        <w:t>3</w:t>
      </w:r>
      <w:r>
        <w:rPr>
          <w:rFonts w:hint="eastAsia" w:ascii="Arial" w:hAnsi="Arial" w:eastAsia="宋体" w:cs="Arial"/>
          <w:spacing w:val="10"/>
          <w:sz w:val="24"/>
        </w:rPr>
        <w:t>罐体，盛装15%~20%稀硫酸，用于清洗精密过滤器，因年用量很少（约40L/a），罐体盛装量在1t左右。</w:t>
      </w:r>
      <w:r>
        <w:rPr>
          <w:rFonts w:ascii="Arial" w:hAnsi="Arial" w:eastAsia="宋体" w:cs="Arial"/>
          <w:spacing w:val="10"/>
          <w:sz w:val="24"/>
        </w:rPr>
        <w:t>假如</w:t>
      </w:r>
      <w:r>
        <w:rPr>
          <w:rFonts w:hint="eastAsia" w:ascii="Arial" w:hAnsi="Arial" w:eastAsia="宋体" w:cs="Arial"/>
          <w:spacing w:val="10"/>
          <w:sz w:val="24"/>
        </w:rPr>
        <w:t>该储槽</w:t>
      </w:r>
      <w:r>
        <w:rPr>
          <w:rFonts w:ascii="Arial" w:hAnsi="Arial" w:eastAsia="宋体" w:cs="Arial"/>
          <w:spacing w:val="10"/>
          <w:sz w:val="24"/>
          <w:szCs w:val="24"/>
        </w:rPr>
        <w:t>泄漏，</w:t>
      </w:r>
      <w:r>
        <w:rPr>
          <w:rFonts w:hint="eastAsia" w:ascii="Arial" w:hAnsi="Arial" w:eastAsia="宋体" w:cs="Arial"/>
          <w:spacing w:val="10"/>
          <w:sz w:val="24"/>
          <w:szCs w:val="24"/>
        </w:rPr>
        <w:t>一般来说稀硫酸</w:t>
      </w:r>
      <w:r>
        <w:rPr>
          <w:rFonts w:ascii="Arial" w:hAnsi="Arial" w:eastAsia="宋体" w:cs="Arial"/>
          <w:spacing w:val="10"/>
          <w:sz w:val="24"/>
          <w:szCs w:val="24"/>
        </w:rPr>
        <w:t>可</w:t>
      </w:r>
      <w:r>
        <w:rPr>
          <w:rFonts w:hint="eastAsia" w:ascii="Arial" w:hAnsi="Arial" w:eastAsia="宋体" w:cs="Arial"/>
          <w:spacing w:val="10"/>
          <w:sz w:val="24"/>
          <w:szCs w:val="24"/>
        </w:rPr>
        <w:t>全部</w:t>
      </w:r>
      <w:r>
        <w:rPr>
          <w:rFonts w:ascii="Arial" w:hAnsi="Arial" w:eastAsia="宋体" w:cs="Arial"/>
          <w:spacing w:val="10"/>
          <w:sz w:val="24"/>
          <w:szCs w:val="24"/>
        </w:rPr>
        <w:t>控制在围堰内</w:t>
      </w:r>
      <w:r>
        <w:rPr>
          <w:rFonts w:hint="eastAsia" w:ascii="Arial" w:hAnsi="Arial" w:eastAsia="宋体" w:cs="Arial"/>
          <w:spacing w:val="10"/>
          <w:sz w:val="24"/>
        </w:rPr>
        <w:t>（</w:t>
      </w:r>
      <w:r>
        <w:rPr>
          <w:rFonts w:ascii="Arial" w:hAnsi="Arial" w:eastAsia="宋体" w:cs="Arial"/>
          <w:spacing w:val="10"/>
          <w:sz w:val="24"/>
        </w:rPr>
        <w:t>围堰内有效容积约</w:t>
      </w:r>
      <w:r>
        <w:rPr>
          <w:rFonts w:hint="eastAsia" w:ascii="Arial" w:hAnsi="Arial" w:eastAsia="宋体" w:cs="Arial"/>
          <w:spacing w:val="10"/>
          <w:sz w:val="24"/>
        </w:rPr>
        <w:t>36</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hint="eastAsia" w:ascii="Arial" w:hAnsi="Arial" w:eastAsia="宋体" w:cs="Arial"/>
          <w:spacing w:val="10"/>
          <w:sz w:val="24"/>
        </w:rPr>
        <w:t>）</w:t>
      </w:r>
      <w:r>
        <w:rPr>
          <w:rFonts w:ascii="Arial" w:hAnsi="Arial" w:eastAsia="宋体" w:cs="Arial"/>
          <w:spacing w:val="10"/>
          <w:sz w:val="24"/>
          <w:szCs w:val="24"/>
        </w:rPr>
        <w:t>。</w:t>
      </w:r>
      <w:r>
        <w:rPr>
          <w:rFonts w:hint="eastAsia" w:ascii="Arial" w:hAnsi="Arial" w:eastAsia="宋体" w:cs="Arial"/>
          <w:spacing w:val="10"/>
          <w:sz w:val="24"/>
          <w:szCs w:val="24"/>
        </w:rPr>
        <w:t>应急响应不及时、封堵阀关闭延迟或其他因素，泄漏的硫酸可能随着雨水管道向东排出厂界。</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假设1t稀硫酸全部进入雨水管道，从罐体附近雨水管落水井至排水口约520m，考虑管道中10cm水深，则硫酸排出厂界的浓度约9259mg/L。</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根据已批复的《广西中伟新能源科技有限公司北部湾产业基地三元项目（一期一阶段）环境影响报告书》，其运营期海洋环境影响预测与评价中的事故排放情景SO</w:t>
      </w:r>
      <w:r>
        <w:rPr>
          <w:rFonts w:hint="eastAsia" w:ascii="Arial" w:hAnsi="Arial" w:eastAsia="宋体" w:cs="Arial"/>
          <w:spacing w:val="10"/>
          <w:sz w:val="24"/>
          <w:vertAlign w:val="subscript"/>
        </w:rPr>
        <w:t>4</w:t>
      </w:r>
      <w:r>
        <w:rPr>
          <w:rFonts w:hint="eastAsia" w:ascii="Arial" w:hAnsi="Arial" w:eastAsia="宋体" w:cs="Arial"/>
          <w:spacing w:val="10"/>
          <w:sz w:val="24"/>
          <w:vertAlign w:val="superscript"/>
        </w:rPr>
        <w:t>2-</w:t>
      </w:r>
      <w:r>
        <w:rPr>
          <w:rFonts w:hint="eastAsia" w:ascii="Arial" w:hAnsi="Arial" w:eastAsia="宋体" w:cs="Arial"/>
          <w:spacing w:val="10"/>
          <w:sz w:val="24"/>
        </w:rPr>
        <w:t>源强为63262mg/L、水量25801.7m</w:t>
      </w:r>
      <w:r>
        <w:rPr>
          <w:rFonts w:hint="eastAsia" w:ascii="Arial" w:hAnsi="Arial" w:eastAsia="宋体" w:cs="Arial"/>
          <w:spacing w:val="10"/>
          <w:sz w:val="24"/>
          <w:vertAlign w:val="superscript"/>
        </w:rPr>
        <w:t>3</w:t>
      </w:r>
      <w:r>
        <w:rPr>
          <w:rFonts w:hint="eastAsia" w:ascii="Arial" w:hAnsi="Arial" w:eastAsia="宋体" w:cs="Arial"/>
          <w:spacing w:val="10"/>
          <w:sz w:val="24"/>
        </w:rPr>
        <w:t>/d，本报告风险情景污染源强小于该项目事故排放预测源强。因此，项目地表水风险影响分析引用一阶段项目事故排放预测结论进行评价。</w:t>
      </w:r>
    </w:p>
    <w:p>
      <w:pPr>
        <w:spacing w:line="500" w:lineRule="exact"/>
        <w:ind w:firstLine="480"/>
        <w:rPr>
          <w:rFonts w:ascii="Arial" w:hAnsi="Arial" w:eastAsia="宋体" w:cs="Arial"/>
          <w:spacing w:val="10"/>
          <w:sz w:val="24"/>
          <w:szCs w:val="24"/>
        </w:rPr>
      </w:pPr>
      <w:r>
        <w:rPr>
          <w:rFonts w:hint="eastAsia" w:ascii="Arial" w:hAnsi="Arial" w:eastAsia="宋体" w:cs="Arial"/>
          <w:spacing w:val="10"/>
          <w:sz w:val="24"/>
          <w:szCs w:val="24"/>
        </w:rPr>
        <w:t>1、对海洋生物的影响</w:t>
      </w:r>
    </w:p>
    <w:p>
      <w:pPr>
        <w:spacing w:line="500" w:lineRule="exact"/>
        <w:ind w:firstLine="480"/>
        <w:rPr>
          <w:rFonts w:ascii="Arial" w:hAnsi="Arial" w:eastAsia="宋体" w:cs="Arial"/>
          <w:spacing w:val="10"/>
          <w:sz w:val="24"/>
          <w:szCs w:val="24"/>
        </w:rPr>
      </w:pPr>
      <w:r>
        <w:rPr>
          <w:rFonts w:ascii="Arial" w:hAnsi="Arial" w:eastAsia="宋体" w:cs="Arial"/>
          <w:spacing w:val="10"/>
          <w:sz w:val="24"/>
          <w:szCs w:val="24"/>
        </w:rPr>
        <w:t>硫酸盐是海水中的常量组分，目前尚无具体研究报道硫酸盐对海洋生物的毒性数据，而在缺氧环境中硫酸盐是硫还原细菌的重要食物来源，硫还原细菌对硫酸盐的还原为整个厌氧缺氧生态系统提供重要的能量支撑。</w:t>
      </w:r>
    </w:p>
    <w:p>
      <w:pPr>
        <w:spacing w:line="500" w:lineRule="exact"/>
        <w:ind w:firstLine="480"/>
        <w:rPr>
          <w:rFonts w:ascii="Arial" w:hAnsi="Arial" w:eastAsia="宋体" w:cs="Arial"/>
          <w:spacing w:val="10"/>
          <w:sz w:val="24"/>
          <w:szCs w:val="24"/>
        </w:rPr>
      </w:pPr>
      <w:r>
        <w:rPr>
          <w:rFonts w:ascii="Arial" w:hAnsi="Arial" w:eastAsia="宋体" w:cs="Arial"/>
          <w:spacing w:val="10"/>
          <w:sz w:val="24"/>
          <w:szCs w:val="24"/>
        </w:rPr>
        <w:t>海水中的溶解态硫主要以硫酸根（SO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）的形式被包括浮游植物在内的光合植物所吸收利用，转变为蛋白质等含硫生物大分子，再由生产者转到消费者。动植物死亡后，蛋白质在有氧条件下经微生物分解并氧化成SO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进入再循环（沈国英等, 2010）。SO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从未被认为是限制海洋生产力的因素（Algeo et al., 2015）。然而，海洋浮游植物仍保留着重新编码基因表达以响应低浓度硫酸盐的能力。低浓度（0.576g/L）硫酸盐可明显降低浮游植物杜氏盐藻（Dunaliella salina）的生长和光合速率，还能够导致碳氮代谢的失衡，具体表现在细胞内磷酸盐、硝酸盐和铵盐浓度的增加，腺苷5’三磷酸硫酸化酶、硝酸还原酶和磷酸烯醇式丙酮酸（PEP）羧化酶等关键酶活性的改变以及核酮糖-1,5-二磷酸羧化酶、PEP羧化酶和光捕获复合蛋白等特定蛋白的增减（Giordano et al., 2000）。将人工海水中可利用性硫酸盐的浓度从2.4g/L降低到0.48g/L，球石藻（Emiliania huxleyi）的生长同样表现出明显的抑制，细胞内二甲基硫丙酸（dimethylsulfoniopropionate，DMSP）和谷胱甘肽（glutathione，GSH）的浓度也显著降低。在硫酸盐限制的情况下，球石藻可主动增加硫酸盐的摄取，但硫酸盐还原为亚硫酸盐的速率并没有受到显著影响。硫酸盐限制影响了球石藻细胞内1,718个基因的表达，其中绝大多数表达上调，包括参与碳水化合物和脂质代谢的基因，以及与应激反应相关的基因（Bochenek et al., 2013）。从地质年代尺度上看，海水硫酸盐浓度的增加可能促进了含叶绿素a+c浮游植物（包括甲藻、球石藻、硅藻）的进化扩张（Ratti et al., 2011）。另外，提高SO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浓度可能会导致重金属离子生物可利用性和毒性增强。0.03 g/L 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条件下，杜氏盐藻细胞内镉的含量仅相当于0.3g/L 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条件下的含量的40%左右（马福俊等, 2008）。</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在土壤和淡水生态系统中，硫酸盐的浓度只有10-50 μM。硫酸盐是影响河流大型底栖无脊椎动物群落结构和丰度的主要因素之一（Obolewski K, 2011; Arimoro et al., 2015）。微生物介导的硫酸盐还原过程是近岸沉积物中有机质矿化的主要末端途径之一，消耗了将近50%的有机质（Jørgensen 1982）。在无氧、富含有机质的沉积物中硫酸盐还原菌的呼吸代谢作用导致H</w:t>
      </w:r>
      <w:r>
        <w:rPr>
          <w:rFonts w:ascii="Arial" w:hAnsi="Arial" w:eastAsia="宋体" w:cs="Arial"/>
          <w:spacing w:val="10"/>
          <w:sz w:val="24"/>
          <w:szCs w:val="24"/>
          <w:vertAlign w:val="subscript"/>
        </w:rPr>
        <w:t>2</w:t>
      </w:r>
      <w:r>
        <w:rPr>
          <w:rFonts w:ascii="Arial" w:hAnsi="Arial" w:eastAsia="宋体" w:cs="Arial"/>
          <w:spacing w:val="10"/>
          <w:sz w:val="24"/>
          <w:szCs w:val="24"/>
        </w:rPr>
        <w:t>S的积累。硫化物对底栖生物具有直接的毒害作用，但是它又能通过形成不溶性金属硫化物来降低金属离子的毒性（Wang &amp; Chapman, 1999）。研究发现沉积物中硫化物的浓度与硫酸盐、有机碳和铁离子这三个变量密切相关（Pollman et al., 2017）。局部海域硫酸盐浓度波动（如高硫酸盐工业废水的排放）可能会导致沉积物中硫化物浓度的改变，进一步对底栖生物造成影响。</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事故排放情况下，海域硫酸盐最大增量为12259mg/L，因此推测对排放口附近海域海洋生物产生明显影响，但影响范围仅限于排污区范围内排放口附近，影响范围有限。</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2、对红树林的影响</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通常认为陆地土壤表面带有负电荷，对无机阴离子没有吸附作用（徐光耀, 2016），但红树林土壤pH值通常呈酸性，可能有助于硫酸根离子的吸附，可能影响元素矿化和微生物组成、多样性及活性，进而影响红树林内元素循环。目前有关硫酸根离子对红树林的影响研究较少。在厌氧环境中，硫酸盐的增加，使得沉积物中“酸可挥发性硫化物（AVS，Acid volatile sulfide）”含量显著增加；AVS对沉积环境中的重金属离子具有极强的结合能力（Allen et al., 2003），可竞争吸附部分“酸可提取态”中的重金属，从而减小了沉积物重金属的生物可利用率，有助于沉积物重金属污染的改善。龚子同和张效补（1994）研究指出红树植物体内含硫量高，含硫量范围在0.13~0.95%之间，平均0.4%。而亚热带地区的一般灌木类植物含硫量范围0.03~0.26%，平均0.084%，远低于红树林体内含量。因此硫是红树林的重要组成或营养元素。通过调查发现，我国红树林沉积物是潜在的酸性硫酸盐土，具有高硫特征。一般滨海盐土含硫量仅0.034%，而红树林土壤中含量达0.1%以上，最多达0.43%。红树林土壤中硫主要来自海水中硫酸盐，硫酸盐通过矿物吸附沉降并埋藏在红树林土壤中，以黄钾铁矾[KFe</w:t>
      </w:r>
      <w:r>
        <w:rPr>
          <w:rFonts w:ascii="Arial" w:hAnsi="Arial" w:eastAsia="宋体" w:cs="Arial"/>
          <w:spacing w:val="10"/>
          <w:sz w:val="24"/>
          <w:szCs w:val="24"/>
          <w:vertAlign w:val="subscript"/>
        </w:rPr>
        <w:t>3</w:t>
      </w:r>
      <w:r>
        <w:rPr>
          <w:rFonts w:ascii="Arial" w:hAnsi="Arial" w:eastAsia="宋体" w:cs="Arial"/>
          <w:spacing w:val="10"/>
          <w:sz w:val="24"/>
          <w:szCs w:val="24"/>
        </w:rPr>
        <w:t>(SO</w:t>
      </w:r>
      <w:r>
        <w:rPr>
          <w:rFonts w:ascii="Arial" w:hAnsi="Arial" w:eastAsia="宋体" w:cs="Arial"/>
          <w:spacing w:val="10"/>
          <w:sz w:val="24"/>
          <w:szCs w:val="24"/>
          <w:vertAlign w:val="subscript"/>
        </w:rPr>
        <w:t>4</w:t>
      </w:r>
      <w:r>
        <w:rPr>
          <w:rFonts w:ascii="Arial" w:hAnsi="Arial" w:eastAsia="宋体" w:cs="Arial"/>
          <w:spacing w:val="10"/>
          <w:sz w:val="24"/>
          <w:szCs w:val="24"/>
        </w:rPr>
        <w:t>)</w:t>
      </w:r>
      <w:r>
        <w:rPr>
          <w:rFonts w:ascii="Arial" w:hAnsi="Arial" w:eastAsia="宋体" w:cs="Arial"/>
          <w:spacing w:val="10"/>
          <w:sz w:val="24"/>
          <w:szCs w:val="24"/>
          <w:vertAlign w:val="subscript"/>
        </w:rPr>
        <w:t>2</w:t>
      </w:r>
      <w:r>
        <w:rPr>
          <w:rFonts w:ascii="Arial" w:hAnsi="Arial" w:eastAsia="宋体" w:cs="Arial"/>
          <w:spacing w:val="10"/>
          <w:sz w:val="24"/>
          <w:szCs w:val="24"/>
        </w:rPr>
        <w:t>(OH)</w:t>
      </w:r>
      <w:r>
        <w:rPr>
          <w:rFonts w:ascii="Arial" w:hAnsi="Arial" w:eastAsia="宋体" w:cs="Arial"/>
          <w:spacing w:val="10"/>
          <w:sz w:val="24"/>
          <w:szCs w:val="24"/>
          <w:vertAlign w:val="subscript"/>
        </w:rPr>
        <w:t>6</w:t>
      </w:r>
      <w:r>
        <w:rPr>
          <w:rFonts w:ascii="Arial" w:hAnsi="Arial" w:eastAsia="宋体" w:cs="Arial"/>
          <w:spacing w:val="10"/>
          <w:sz w:val="24"/>
          <w:szCs w:val="24"/>
        </w:rPr>
        <w:t>]或钠铁矾[NaFe</w:t>
      </w:r>
      <w:r>
        <w:rPr>
          <w:rFonts w:ascii="Arial" w:hAnsi="Arial" w:eastAsia="宋体" w:cs="Arial"/>
          <w:spacing w:val="10"/>
          <w:sz w:val="24"/>
          <w:szCs w:val="24"/>
          <w:vertAlign w:val="subscript"/>
        </w:rPr>
        <w:t>3</w:t>
      </w:r>
      <w:r>
        <w:rPr>
          <w:rFonts w:ascii="Arial" w:hAnsi="Arial" w:eastAsia="宋体" w:cs="Arial"/>
          <w:spacing w:val="10"/>
          <w:sz w:val="24"/>
          <w:szCs w:val="24"/>
        </w:rPr>
        <w:t>(SO</w:t>
      </w:r>
      <w:r>
        <w:rPr>
          <w:rFonts w:ascii="Arial" w:hAnsi="Arial" w:eastAsia="宋体" w:cs="Arial"/>
          <w:spacing w:val="10"/>
          <w:sz w:val="24"/>
          <w:szCs w:val="24"/>
          <w:vertAlign w:val="subscript"/>
        </w:rPr>
        <w:t>4</w:t>
      </w:r>
      <w:r>
        <w:rPr>
          <w:rFonts w:ascii="Arial" w:hAnsi="Arial" w:eastAsia="宋体" w:cs="Arial"/>
          <w:spacing w:val="10"/>
          <w:sz w:val="24"/>
          <w:szCs w:val="24"/>
        </w:rPr>
        <w:t>)</w:t>
      </w:r>
      <w:r>
        <w:rPr>
          <w:rFonts w:ascii="Arial" w:hAnsi="Arial" w:eastAsia="宋体" w:cs="Arial"/>
          <w:spacing w:val="10"/>
          <w:sz w:val="24"/>
          <w:szCs w:val="24"/>
          <w:vertAlign w:val="subscript"/>
        </w:rPr>
        <w:t>2</w:t>
      </w:r>
      <w:r>
        <w:rPr>
          <w:rFonts w:ascii="Arial" w:hAnsi="Arial" w:eastAsia="宋体" w:cs="Arial"/>
          <w:spacing w:val="10"/>
          <w:sz w:val="24"/>
          <w:szCs w:val="24"/>
        </w:rPr>
        <w:t>(OH)</w:t>
      </w:r>
      <w:r>
        <w:rPr>
          <w:rFonts w:ascii="Arial" w:hAnsi="Arial" w:eastAsia="宋体" w:cs="Arial"/>
          <w:spacing w:val="10"/>
          <w:sz w:val="24"/>
          <w:szCs w:val="24"/>
          <w:vertAlign w:val="subscript"/>
        </w:rPr>
        <w:t>6</w:t>
      </w:r>
      <w:r>
        <w:rPr>
          <w:rFonts w:ascii="Arial" w:hAnsi="Arial" w:eastAsia="宋体" w:cs="Arial"/>
          <w:spacing w:val="10"/>
          <w:sz w:val="24"/>
          <w:szCs w:val="24"/>
        </w:rPr>
        <w:t>]形式存在；或在厌氧条件下通过硫还原细菌还原至还原态硫，与矿物铁结合生成黄铁矿(FeS</w:t>
      </w:r>
      <w:r>
        <w:rPr>
          <w:rFonts w:ascii="Arial" w:hAnsi="Arial" w:eastAsia="宋体" w:cs="Arial"/>
          <w:spacing w:val="10"/>
          <w:sz w:val="24"/>
          <w:szCs w:val="24"/>
          <w:vertAlign w:val="subscript"/>
        </w:rPr>
        <w:t>2</w:t>
      </w:r>
      <w:r>
        <w:rPr>
          <w:rFonts w:ascii="Arial" w:hAnsi="Arial" w:eastAsia="宋体" w:cs="Arial"/>
          <w:spacing w:val="10"/>
          <w:sz w:val="24"/>
          <w:szCs w:val="24"/>
        </w:rPr>
        <w:t>)。目前红树林如何吸收利用S尚不明确，但根据目前已有研究结果，红树林土壤为硫酸盐环境，硫酸盐对红树林的生长至关重要，表现为自身蛋白合成或组织构造对大量S元素的需求，以及硫酸盐-硫转化过程对红树林根本吸收P、Fe等营养元素的促进影响，因此红树林对硫酸盐的耐受程度较高，对环境硫酸盐浓度变化不敏感。</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事故排放硫酸盐会扩散至金鼓江红树林分布区，增幅十分有限（＜10mg/L），影响有限，但应在排废期间密切关注红树林的生长变化。</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3、小结</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rPr>
        <w:t>若配酸槽</w:t>
      </w:r>
      <w:r>
        <w:rPr>
          <w:rFonts w:hint="eastAsia" w:ascii="Arial" w:hAnsi="Arial" w:eastAsia="宋体" w:cs="Arial"/>
          <w:spacing w:val="10"/>
          <w:sz w:val="24"/>
          <w:szCs w:val="24"/>
        </w:rPr>
        <w:t>1t稀硫酸泄漏全部进入雨水管道，会导致海水中硫酸盐浓度增大，但增量有限，影响范围有限，对附近红树林的影响有限，地表水风险影响可接受。</w:t>
      </w:r>
    </w:p>
    <w:p>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地下水风险影响分析</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1.事故情景</w:t>
      </w:r>
    </w:p>
    <w:p>
      <w:pPr>
        <w:adjustRightInd w:val="0"/>
        <w:snapToGrid w:val="0"/>
        <w:spacing w:line="500" w:lineRule="exact"/>
        <w:ind w:firstLine="476"/>
        <w:rPr>
          <w:rFonts w:ascii="Arial" w:hAnsi="Arial" w:eastAsia="宋体" w:cs="Arial"/>
          <w:spacing w:val="10"/>
          <w:sz w:val="24"/>
          <w:szCs w:val="24"/>
          <w:highlight w:val="yellow"/>
          <w:u w:val="single"/>
        </w:rPr>
      </w:pPr>
      <w:r>
        <w:rPr>
          <w:rFonts w:ascii="Arial" w:hAnsi="Arial" w:eastAsia="宋体" w:cs="Arial"/>
          <w:spacing w:val="10"/>
          <w:sz w:val="24"/>
        </w:rPr>
        <w:t>假设</w:t>
      </w:r>
      <w:r>
        <w:rPr>
          <w:rFonts w:hint="eastAsia" w:ascii="Arial" w:hAnsi="Arial" w:eastAsia="宋体" w:cs="Arial"/>
          <w:spacing w:val="10"/>
          <w:sz w:val="24"/>
        </w:rPr>
        <w:t>X19车间</w:t>
      </w:r>
      <w:r>
        <w:rPr>
          <w:rFonts w:ascii="Arial" w:hAnsi="Arial" w:eastAsia="宋体" w:cs="Arial"/>
          <w:spacing w:val="10"/>
          <w:sz w:val="24"/>
        </w:rPr>
        <w:t>1台</w:t>
      </w:r>
      <w:r>
        <w:rPr>
          <w:rFonts w:hint="eastAsia" w:ascii="Arial" w:hAnsi="Arial" w:eastAsia="宋体" w:cs="Arial"/>
          <w:spacing w:val="10"/>
          <w:sz w:val="24"/>
        </w:rPr>
        <w:t>75</w:t>
      </w:r>
      <w:r>
        <w:rPr>
          <w:rFonts w:ascii="Arial" w:hAnsi="Arial" w:eastAsia="宋体" w:cs="Arial"/>
          <w:spacing w:val="10"/>
          <w:sz w:val="24"/>
        </w:rPr>
        <w:t>m</w:t>
      </w:r>
      <w:r>
        <w:rPr>
          <w:rFonts w:ascii="Arial" w:hAnsi="Arial" w:eastAsia="宋体" w:cs="Arial"/>
          <w:spacing w:val="10"/>
          <w:sz w:val="24"/>
          <w:vertAlign w:val="superscript"/>
        </w:rPr>
        <w:t>3</w:t>
      </w:r>
      <w:r>
        <w:rPr>
          <w:rFonts w:hint="eastAsia" w:ascii="Arial" w:hAnsi="Arial" w:eastAsia="宋体" w:cs="Arial"/>
          <w:spacing w:val="10"/>
          <w:sz w:val="24"/>
        </w:rPr>
        <w:t>洗水外排槽</w:t>
      </w:r>
      <w:r>
        <w:rPr>
          <w:rFonts w:ascii="Arial" w:hAnsi="Arial" w:eastAsia="宋体" w:cs="Arial"/>
          <w:spacing w:val="10"/>
          <w:sz w:val="24"/>
        </w:rPr>
        <w:t>发生破损全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槽罐区</w:t>
      </w:r>
      <w:r>
        <w:rPr>
          <w:rFonts w:ascii="Arial" w:hAnsi="Arial" w:eastAsia="宋体" w:cs="Arial"/>
          <w:spacing w:val="10"/>
          <w:sz w:val="24"/>
        </w:rPr>
        <w:t>地坪破损</w:t>
      </w:r>
      <w:r>
        <w:rPr>
          <w:rFonts w:ascii="Arial" w:hAnsi="Arial" w:eastAsia="宋体" w:cs="Arial"/>
          <w:spacing w:val="10"/>
          <w:sz w:val="24"/>
          <w:szCs w:val="24"/>
        </w:rPr>
        <w:t>（</w:t>
      </w:r>
      <w:r>
        <w:rPr>
          <w:rFonts w:hint="eastAsia" w:ascii="Arial" w:hAnsi="Arial" w:eastAsia="宋体" w:cs="Arial"/>
          <w:spacing w:val="10"/>
          <w:sz w:val="24"/>
          <w:szCs w:val="24"/>
        </w:rPr>
        <w:t>假设破损</w:t>
      </w:r>
      <w:r>
        <w:rPr>
          <w:rFonts w:ascii="Arial" w:hAnsi="Arial" w:eastAsia="宋体" w:cs="Arial"/>
          <w:spacing w:val="10"/>
          <w:sz w:val="24"/>
          <w:szCs w:val="24"/>
        </w:rPr>
        <w:t>面积为</w:t>
      </w:r>
      <w:r>
        <w:rPr>
          <w:rFonts w:hint="eastAsia" w:ascii="Arial" w:hAnsi="Arial" w:eastAsia="宋体" w:cs="Arial"/>
          <w:spacing w:val="10"/>
          <w:sz w:val="24"/>
          <w:szCs w:val="24"/>
        </w:rPr>
        <w:t>2</w:t>
      </w:r>
      <w:r>
        <w:rPr>
          <w:rFonts w:ascii="Arial" w:hAnsi="Arial" w:eastAsia="宋体" w:cs="Arial"/>
          <w:spacing w:val="10"/>
          <w:sz w:val="24"/>
          <w:szCs w:val="24"/>
        </w:rPr>
        <w:t>0m</w:t>
      </w:r>
      <w:r>
        <w:rPr>
          <w:rFonts w:ascii="Arial" w:hAnsi="Arial" w:eastAsia="宋体" w:cs="Arial"/>
          <w:spacing w:val="10"/>
          <w:sz w:val="24"/>
          <w:szCs w:val="24"/>
          <w:vertAlign w:val="superscript"/>
        </w:rPr>
        <w:t>2</w:t>
      </w:r>
      <w:r>
        <w:rPr>
          <w:rFonts w:ascii="Arial" w:hAnsi="Arial" w:eastAsia="宋体" w:cs="Arial"/>
          <w:spacing w:val="10"/>
          <w:sz w:val="24"/>
          <w:szCs w:val="24"/>
        </w:rPr>
        <w:t>），发生风险事故后，24h内泄漏得到控制，则风险事故下渗时间为24h。渗漏强度</w:t>
      </w:r>
      <w:r>
        <w:rPr>
          <w:rFonts w:hint="eastAsia" w:ascii="Arial" w:hAnsi="Arial" w:eastAsia="宋体" w:cs="Arial"/>
          <w:spacing w:val="10"/>
          <w:sz w:val="24"/>
          <w:szCs w:val="24"/>
        </w:rPr>
        <w:t>以</w:t>
      </w:r>
      <w:r>
        <w:rPr>
          <w:rFonts w:ascii="Arial" w:hAnsi="Arial" w:eastAsia="宋体" w:cs="Arial"/>
          <w:spacing w:val="10"/>
          <w:sz w:val="24"/>
          <w:szCs w:val="24"/>
        </w:rPr>
        <w:t>钢筋混凝土结构渗漏强度2L/（m</w:t>
      </w:r>
      <w:r>
        <w:rPr>
          <w:rFonts w:ascii="Arial" w:hAnsi="Arial" w:eastAsia="宋体" w:cs="Arial"/>
          <w:spacing w:val="10"/>
          <w:sz w:val="24"/>
          <w:szCs w:val="24"/>
          <w:vertAlign w:val="superscript"/>
        </w:rPr>
        <w:t>2</w:t>
      </w:r>
      <w:r>
        <w:rPr>
          <w:rFonts w:ascii="Arial" w:hAnsi="Arial" w:eastAsia="宋体" w:cs="Arial"/>
          <w:spacing w:val="10"/>
          <w:sz w:val="24"/>
          <w:szCs w:val="24"/>
        </w:rPr>
        <w:t>·d）</w:t>
      </w:r>
      <w:r>
        <w:rPr>
          <w:rFonts w:hint="eastAsia" w:ascii="Arial" w:hAnsi="Arial" w:eastAsia="宋体" w:cs="Arial"/>
          <w:spacing w:val="10"/>
          <w:sz w:val="24"/>
          <w:szCs w:val="24"/>
        </w:rPr>
        <w:t>的100倍考虑</w:t>
      </w:r>
      <w:r>
        <w:rPr>
          <w:rFonts w:ascii="Arial" w:hAnsi="Arial" w:eastAsia="宋体" w:cs="Arial"/>
          <w:spacing w:val="10"/>
          <w:sz w:val="24"/>
          <w:szCs w:val="24"/>
        </w:rPr>
        <w:t>，则</w:t>
      </w:r>
      <w:r>
        <w:rPr>
          <w:rFonts w:hint="eastAsia" w:ascii="Arial" w:hAnsi="Arial" w:eastAsia="宋体" w:cs="Arial"/>
          <w:spacing w:val="10"/>
          <w:sz w:val="24"/>
          <w:szCs w:val="24"/>
        </w:rPr>
        <w:t>含钴废水渗漏量</w:t>
      </w:r>
      <w:r>
        <w:rPr>
          <w:rFonts w:ascii="Arial" w:hAnsi="Arial" w:eastAsia="宋体" w:cs="Arial"/>
          <w:spacing w:val="10"/>
          <w:sz w:val="24"/>
          <w:szCs w:val="24"/>
        </w:rPr>
        <w:t>为</w:t>
      </w:r>
      <w:r>
        <w:rPr>
          <w:rFonts w:hint="eastAsia" w:ascii="Arial" w:hAnsi="Arial" w:eastAsia="宋体" w:cs="Arial"/>
          <w:spacing w:val="10"/>
          <w:sz w:val="24"/>
          <w:szCs w:val="24"/>
        </w:rPr>
        <w:t>400</w:t>
      </w:r>
      <w:r>
        <w:rPr>
          <w:rFonts w:ascii="Arial" w:hAnsi="Arial" w:eastAsia="宋体" w:cs="Arial"/>
          <w:spacing w:val="10"/>
          <w:sz w:val="24"/>
          <w:szCs w:val="24"/>
        </w:rPr>
        <w:t>0L/d，本报告以</w:t>
      </w:r>
      <w:r>
        <w:rPr>
          <w:rFonts w:hint="eastAsia" w:ascii="Arial" w:hAnsi="Arial" w:eastAsia="宋体" w:cs="Arial"/>
          <w:spacing w:val="10"/>
          <w:sz w:val="24"/>
          <w:szCs w:val="24"/>
        </w:rPr>
        <w:t>钴、COD、氨氮、硫酸盐</w:t>
      </w:r>
      <w:r>
        <w:rPr>
          <w:rFonts w:ascii="Arial" w:hAnsi="Arial" w:eastAsia="宋体" w:cs="Arial"/>
          <w:spacing w:val="10"/>
          <w:sz w:val="24"/>
          <w:szCs w:val="24"/>
        </w:rPr>
        <w:t>作为预测因子，进入地下水中的</w:t>
      </w:r>
      <w:r>
        <w:rPr>
          <w:rFonts w:hint="eastAsia" w:ascii="Arial" w:hAnsi="Arial" w:eastAsia="宋体" w:cs="Arial"/>
          <w:spacing w:val="10"/>
          <w:sz w:val="24"/>
          <w:szCs w:val="24"/>
        </w:rPr>
        <w:t>污染物分别为0.004kg、0.6</w:t>
      </w:r>
      <w:r>
        <w:rPr>
          <w:rFonts w:ascii="Arial" w:hAnsi="Arial" w:eastAsia="宋体" w:cs="Arial"/>
          <w:spacing w:val="10"/>
          <w:sz w:val="24"/>
          <w:szCs w:val="24"/>
        </w:rPr>
        <w:t>kg</w:t>
      </w:r>
      <w:r>
        <w:rPr>
          <w:rFonts w:hint="eastAsia" w:ascii="Arial" w:hAnsi="Arial" w:eastAsia="宋体" w:cs="Arial"/>
          <w:spacing w:val="10"/>
          <w:sz w:val="24"/>
          <w:szCs w:val="24"/>
        </w:rPr>
        <w:t>、3kg、87.427kg</w:t>
      </w:r>
      <w:r>
        <w:rPr>
          <w:rFonts w:ascii="Arial" w:hAnsi="Arial" w:eastAsia="宋体" w:cs="Arial"/>
          <w:spacing w:val="10"/>
          <w:sz w:val="24"/>
          <w:szCs w:val="24"/>
        </w:rPr>
        <w:t>。</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2、预测方法及相关参数</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相关参数与地下水影响分析相同，详见&amp;4.2.3.4章节，采用</w:t>
      </w:r>
      <w:r>
        <w:rPr>
          <w:rFonts w:ascii="Arial" w:hAnsi="Arial" w:eastAsia="宋体" w:cs="Arial"/>
          <w:spacing w:val="10"/>
          <w:sz w:val="24"/>
          <w:szCs w:val="32"/>
        </w:rPr>
        <w:t>瞬时点源预测模式</w:t>
      </w:r>
      <w:r>
        <w:rPr>
          <w:rFonts w:ascii="Arial" w:hAnsi="Arial" w:eastAsia="宋体" w:cs="Arial"/>
          <w:spacing w:val="10"/>
          <w:sz w:val="24"/>
          <w:szCs w:val="24"/>
        </w:rPr>
        <w:t>。</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3、预测结果</w:t>
      </w: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钴浓度</w:t>
      </w:r>
      <w:r>
        <w:rPr>
          <w:rFonts w:ascii="Arial" w:hAnsi="Arial" w:eastAsia="宋体" w:cs="Arial"/>
          <w:b/>
          <w:sz w:val="24"/>
          <w:szCs w:val="24"/>
        </w:rPr>
        <w:t>预测结果表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173"/>
        <w:gridCol w:w="1174"/>
        <w:gridCol w:w="1173"/>
        <w:gridCol w:w="1174"/>
        <w:gridCol w:w="1173"/>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restart"/>
            <w:tcBorders>
              <w:top w:val="single" w:color="auto" w:sz="4" w:space="0"/>
              <w:left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234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continue"/>
            <w:tcBorders>
              <w:left w:val="single" w:color="auto" w:sz="4" w:space="0"/>
              <w:bottom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0.0217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0.0217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0.0038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0.0138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0.0059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0.0159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0.0069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0.0169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0.0063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0.0163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0.0022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0.0122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0.0001</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0.0042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w:t>
            </w:r>
          </w:p>
        </w:tc>
      </w:tr>
    </w:tbl>
    <w:p>
      <w:pPr>
        <w:adjustRightInd w:val="0"/>
        <w:snapToGrid w:val="0"/>
        <w:spacing w:line="240" w:lineRule="exact"/>
        <w:ind w:firstLine="476"/>
        <w:rPr>
          <w:rFonts w:ascii="Arial" w:hAnsi="Arial" w:eastAsia="宋体" w:cs="Arial"/>
          <w:spacing w:val="10"/>
          <w:sz w:val="21"/>
          <w:szCs w:val="21"/>
        </w:rPr>
      </w:pPr>
      <w:r>
        <w:rPr>
          <w:rFonts w:ascii="Arial" w:hAnsi="Arial" w:eastAsia="宋体" w:cs="Arial"/>
          <w:spacing w:val="10"/>
          <w:sz w:val="21"/>
          <w:szCs w:val="21"/>
        </w:rPr>
        <w:t>注：背景值以检出限的一半计。</w:t>
      </w:r>
    </w:p>
    <w:p>
      <w:pPr>
        <w:adjustRightInd w:val="0"/>
        <w:snapToGrid w:val="0"/>
        <w:spacing w:line="240" w:lineRule="exact"/>
        <w:ind w:firstLine="476"/>
        <w:rPr>
          <w:rFonts w:ascii="Arial" w:hAnsi="Arial" w:eastAsia="宋体" w:cs="Arial"/>
          <w:spacing w:val="10"/>
          <w:sz w:val="21"/>
          <w:szCs w:val="21"/>
          <w:highlight w:val="yellow"/>
          <w:u w:val="single"/>
        </w:rPr>
      </w:pPr>
    </w:p>
    <w:p>
      <w:pPr>
        <w:adjustRightInd w:val="0"/>
        <w:snapToGrid w:val="0"/>
        <w:rPr>
          <w:rFonts w:ascii="Arial" w:hAnsi="Arial" w:eastAsia="宋体" w:cs="Arial"/>
          <w:spacing w:val="10"/>
          <w:sz w:val="24"/>
          <w:szCs w:val="24"/>
          <w:highlight w:val="yellow"/>
        </w:rPr>
      </w:pPr>
      <w:r>
        <w:drawing>
          <wp:inline distT="0" distB="0" distL="114300" distR="114300">
            <wp:extent cx="5486400" cy="2165350"/>
            <wp:effectExtent l="5080" t="4445" r="13970" b="20955"/>
            <wp:docPr id="43" name="图表 27"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5</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pPr>
        <w:adjustRightInd w:val="0"/>
        <w:snapToGrid w:val="0"/>
        <w:rPr>
          <w:rFonts w:ascii="Arial" w:hAnsi="Arial" w:eastAsia="宋体" w:cs="Arial"/>
          <w:spacing w:val="10"/>
          <w:sz w:val="24"/>
          <w:szCs w:val="24"/>
          <w:highlight w:val="yellow"/>
        </w:rPr>
      </w:pPr>
      <w:r>
        <w:drawing>
          <wp:inline distT="0" distB="0" distL="114300" distR="114300">
            <wp:extent cx="5486400" cy="2461895"/>
            <wp:effectExtent l="4445" t="4445" r="14605" b="10160"/>
            <wp:docPr id="44" name="图表 228"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6</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pPr>
        <w:adjustRightInd w:val="0"/>
        <w:snapToGrid w:val="0"/>
        <w:jc w:val="center"/>
        <w:rPr>
          <w:rFonts w:ascii="Arial" w:hAnsi="Arial" w:eastAsia="宋体" w:cs="Arial"/>
          <w:spacing w:val="10"/>
          <w:sz w:val="24"/>
          <w:szCs w:val="24"/>
          <w:highlight w:val="yellow"/>
        </w:rPr>
      </w:pPr>
      <w:r>
        <w:drawing>
          <wp:inline distT="0" distB="0" distL="114300" distR="114300">
            <wp:extent cx="5486400" cy="2461895"/>
            <wp:effectExtent l="4445" t="4445" r="14605" b="10160"/>
            <wp:docPr id="45" name="图表 231"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7</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pPr>
        <w:numPr>
          <w:ilvl w:val="0"/>
          <w:numId w:val="22"/>
        </w:numPr>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洗水外排槽</w:t>
      </w:r>
      <w:r>
        <w:rPr>
          <w:rFonts w:ascii="Arial" w:hAnsi="Arial" w:eastAsia="宋体" w:cs="Arial"/>
          <w:b/>
          <w:sz w:val="24"/>
          <w:szCs w:val="24"/>
          <w:u w:val="single"/>
        </w:rPr>
        <w:t>泄漏</w:t>
      </w:r>
      <w:r>
        <w:rPr>
          <w:rFonts w:hint="eastAsia" w:ascii="Arial" w:hAnsi="Arial" w:eastAsia="宋体" w:cs="Arial"/>
          <w:b/>
          <w:sz w:val="24"/>
          <w:szCs w:val="24"/>
          <w:u w:val="single"/>
        </w:rPr>
        <w:t>耗氧量浓度</w:t>
      </w:r>
      <w:r>
        <w:rPr>
          <w:rFonts w:ascii="Arial" w:hAnsi="Arial" w:eastAsia="宋体" w:cs="Arial"/>
          <w:b/>
          <w:sz w:val="24"/>
          <w:szCs w:val="24"/>
          <w:u w:val="single"/>
        </w:rPr>
        <w:t>预测结果表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173"/>
        <w:gridCol w:w="1174"/>
        <w:gridCol w:w="1173"/>
        <w:gridCol w:w="1174"/>
        <w:gridCol w:w="1173"/>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restart"/>
            <w:tcBorders>
              <w:top w:val="single" w:color="auto" w:sz="4" w:space="0"/>
              <w:left w:val="single" w:color="auto" w:sz="4" w:space="0"/>
              <w:right w:val="single" w:color="auto" w:sz="4" w:space="0"/>
              <w:tl2br w:val="single" w:color="auto" w:sz="4" w:space="0"/>
            </w:tcBorders>
            <w:vAlign w:val="center"/>
          </w:tcPr>
          <w:p>
            <w:pPr>
              <w:spacing w:line="240" w:lineRule="exact"/>
              <w:jc w:val="right"/>
              <w:rPr>
                <w:rFonts w:ascii="Arial" w:hAnsi="Arial" w:eastAsia="宋体" w:cs="Arial"/>
                <w:sz w:val="21"/>
                <w:szCs w:val="21"/>
                <w:u w:val="single"/>
              </w:rPr>
            </w:pPr>
            <w:r>
              <w:rPr>
                <w:rFonts w:ascii="Arial" w:hAnsi="Arial" w:eastAsia="宋体" w:cs="Arial"/>
                <w:sz w:val="21"/>
                <w:szCs w:val="21"/>
                <w:u w:val="single"/>
              </w:rPr>
              <w:t>浓度（</w:t>
            </w:r>
            <w:r>
              <w:rPr>
                <w:rFonts w:ascii="Arial" w:hAnsi="Arial" w:eastAsia="Times New Roman" w:cs="Arial"/>
                <w:sz w:val="21"/>
                <w:szCs w:val="21"/>
                <w:u w:val="single"/>
              </w:rPr>
              <w:t>m</w:t>
            </w:r>
            <w:r>
              <w:rPr>
                <w:rFonts w:ascii="Arial" w:hAnsi="Arial" w:eastAsia="宋体" w:cs="Arial"/>
                <w:sz w:val="21"/>
                <w:szCs w:val="21"/>
                <w:u w:val="single"/>
              </w:rPr>
              <w:t>g/L）</w:t>
            </w:r>
          </w:p>
          <w:p>
            <w:pPr>
              <w:spacing w:line="240" w:lineRule="exact"/>
              <w:jc w:val="left"/>
              <w:rPr>
                <w:rFonts w:ascii="Arial" w:hAnsi="Arial" w:eastAsia="宋体" w:cs="Arial"/>
                <w:sz w:val="21"/>
                <w:szCs w:val="21"/>
                <w:u w:val="single"/>
              </w:rPr>
            </w:pPr>
            <w:r>
              <w:rPr>
                <w:rFonts w:ascii="Arial" w:hAnsi="Arial" w:eastAsia="宋体" w:cs="Arial"/>
                <w:sz w:val="21"/>
                <w:szCs w:val="21"/>
                <w:u w:val="single"/>
              </w:rPr>
              <w:t>距离（</w:t>
            </w:r>
            <w:r>
              <w:rPr>
                <w:rFonts w:ascii="Arial" w:hAnsi="Arial" w:eastAsia="Times New Roman" w:cs="Arial"/>
                <w:sz w:val="21"/>
                <w:szCs w:val="21"/>
                <w:u w:val="single"/>
              </w:rPr>
              <w:t>m</w:t>
            </w:r>
            <w:r>
              <w:rPr>
                <w:rFonts w:ascii="Arial" w:hAnsi="Arial" w:eastAsia="宋体" w:cs="Arial"/>
                <w:sz w:val="21"/>
                <w:szCs w:val="21"/>
                <w:u w:val="single"/>
              </w:rPr>
              <w:t>）</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100d</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365d</w:t>
            </w:r>
          </w:p>
        </w:tc>
        <w:tc>
          <w:tcPr>
            <w:tcW w:w="234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continue"/>
            <w:tcBorders>
              <w:left w:val="single" w:color="auto" w:sz="4" w:space="0"/>
              <w:bottom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u w:val="single"/>
              </w:rPr>
            </w:pP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0.1483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5.5183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0.3598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5.7298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0.9779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6.3479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0.9779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6.3479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0.0034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5.3734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0.3598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5.7298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0.0159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5.3859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0.0487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5.4187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0.0564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5.4264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0.0024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5.3724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0.1522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5.5222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0.3125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5.6825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0.4877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5.8577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0.5788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5.9488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0.5223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5.8923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0.3583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5.7283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0.1869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5.5569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0.0742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5.4442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280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0.0224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5.3924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0.0008</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300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0.0051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5.3751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0.0024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320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0.0061</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340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0.0143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5.3843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400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0.1004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0.3505</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5.7205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6</w:t>
            </w:r>
            <w:r>
              <w:rPr>
                <w:rFonts w:ascii="Arial" w:hAnsi="Arial" w:eastAsia="宋体" w:cs="Arial"/>
                <w:sz w:val="21"/>
                <w:szCs w:val="21"/>
                <w:u w:val="single"/>
              </w:rPr>
              <w:t>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0.1004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1000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1200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1700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bl>
    <w:p>
      <w:pPr>
        <w:adjustRightInd w:val="0"/>
        <w:snapToGrid w:val="0"/>
        <w:rPr>
          <w:rFonts w:ascii="Arial" w:hAnsi="Arial" w:eastAsia="宋体" w:cs="Arial"/>
          <w:b/>
          <w:spacing w:val="10"/>
          <w:sz w:val="24"/>
          <w:szCs w:val="24"/>
          <w:u w:val="single"/>
        </w:rPr>
      </w:pPr>
      <w:r>
        <w:rPr>
          <w:rFonts w:hint="eastAsia" w:ascii="Arial" w:hAnsi="Arial" w:eastAsia="宋体" w:cs="Arial"/>
          <w:b/>
          <w:spacing w:val="10"/>
          <w:sz w:val="24"/>
          <w:szCs w:val="24"/>
          <w:u w:val="single"/>
        </w:rPr>
        <w:t>注：表中耗氧量数据已由COD转换。</w:t>
      </w:r>
    </w:p>
    <w:p>
      <w:pPr>
        <w:adjustRightInd w:val="0"/>
        <w:snapToGrid w:val="0"/>
        <w:rPr>
          <w:rFonts w:ascii="Arial" w:hAnsi="Arial" w:eastAsia="宋体" w:cs="Arial"/>
          <w:spacing w:val="10"/>
          <w:sz w:val="24"/>
          <w:szCs w:val="24"/>
          <w:u w:val="single"/>
        </w:rPr>
      </w:pPr>
    </w:p>
    <w:p>
      <w:pPr>
        <w:adjustRightInd w:val="0"/>
        <w:snapToGrid w:val="0"/>
        <w:rPr>
          <w:rFonts w:ascii="Arial" w:hAnsi="Arial" w:eastAsia="宋体" w:cs="Arial"/>
          <w:spacing w:val="10"/>
          <w:sz w:val="24"/>
          <w:szCs w:val="24"/>
          <w:highlight w:val="yellow"/>
          <w:u w:val="single"/>
        </w:rPr>
      </w:pPr>
      <w:r>
        <w:rPr>
          <w:u w:val="single"/>
        </w:rPr>
        <w:drawing>
          <wp:inline distT="0" distB="0" distL="0" distR="0">
            <wp:extent cx="5486400" cy="1768475"/>
            <wp:effectExtent l="0" t="0" r="19050" b="22225"/>
            <wp:docPr id="19" name="图表 19"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pPr>
        <w:adjustRightInd w:val="0"/>
        <w:snapToGrid w:val="0"/>
        <w:jc w:val="center"/>
        <w:rPr>
          <w:rFonts w:ascii="Arial" w:hAnsi="Arial" w:eastAsia="宋体" w:cs="Arial"/>
          <w:b/>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8</w:t>
      </w:r>
      <w:r>
        <w:rPr>
          <w:rFonts w:ascii="Arial" w:hAnsi="Arial" w:eastAsia="宋体" w:cs="Arial"/>
          <w:b/>
          <w:spacing w:val="10"/>
          <w:sz w:val="24"/>
          <w:szCs w:val="24"/>
          <w:u w:val="single"/>
        </w:rPr>
        <w:t xml:space="preserve">  事故发生后100天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pPr>
        <w:adjustRightInd w:val="0"/>
        <w:snapToGrid w:val="0"/>
        <w:rPr>
          <w:rFonts w:ascii="Arial" w:hAnsi="Arial" w:eastAsia="宋体" w:cs="Arial"/>
          <w:spacing w:val="10"/>
          <w:sz w:val="24"/>
          <w:szCs w:val="24"/>
          <w:highlight w:val="yellow"/>
          <w:u w:val="single"/>
        </w:rPr>
      </w:pPr>
      <w:r>
        <w:rPr>
          <w:u w:val="single"/>
        </w:rPr>
        <w:drawing>
          <wp:inline distT="0" distB="0" distL="0" distR="0">
            <wp:extent cx="5486400" cy="2025650"/>
            <wp:effectExtent l="0" t="0" r="19050" b="12700"/>
            <wp:docPr id="20" name="图表 20"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pPr>
        <w:adjustRightInd w:val="0"/>
        <w:snapToGrid w:val="0"/>
        <w:jc w:val="center"/>
        <w:rPr>
          <w:rFonts w:ascii="Arial" w:hAnsi="Arial" w:eastAsia="宋体" w:cs="Arial"/>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9</w:t>
      </w:r>
      <w:r>
        <w:rPr>
          <w:rFonts w:ascii="Arial" w:hAnsi="Arial" w:eastAsia="宋体" w:cs="Arial"/>
          <w:b/>
          <w:spacing w:val="10"/>
          <w:sz w:val="24"/>
          <w:szCs w:val="24"/>
          <w:u w:val="single"/>
        </w:rPr>
        <w:t xml:space="preserve">  事故发生后365天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pPr>
        <w:adjustRightInd w:val="0"/>
        <w:snapToGrid w:val="0"/>
        <w:jc w:val="center"/>
        <w:rPr>
          <w:rFonts w:ascii="Arial" w:hAnsi="Arial" w:eastAsia="宋体" w:cs="Arial"/>
          <w:spacing w:val="10"/>
          <w:sz w:val="24"/>
          <w:szCs w:val="24"/>
          <w:highlight w:val="yellow"/>
          <w:u w:val="single"/>
        </w:rPr>
      </w:pPr>
      <w:r>
        <w:rPr>
          <w:u w:val="single"/>
        </w:rPr>
        <w:drawing>
          <wp:inline distT="0" distB="0" distL="0" distR="0">
            <wp:extent cx="5486400" cy="1997075"/>
            <wp:effectExtent l="0" t="0" r="19050" b="22225"/>
            <wp:docPr id="21" name="图表 21"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pPr>
        <w:adjustRightInd w:val="0"/>
        <w:snapToGrid w:val="0"/>
        <w:jc w:val="center"/>
        <w:rPr>
          <w:rFonts w:ascii="Arial" w:hAnsi="Arial" w:eastAsia="宋体" w:cs="Arial"/>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10</w:t>
      </w:r>
      <w:r>
        <w:rPr>
          <w:rFonts w:ascii="Arial" w:hAnsi="Arial" w:eastAsia="宋体" w:cs="Arial"/>
          <w:b/>
          <w:spacing w:val="10"/>
          <w:sz w:val="24"/>
          <w:szCs w:val="24"/>
          <w:u w:val="single"/>
        </w:rPr>
        <w:t xml:space="preserve">  事故发生后1000天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氨氮浓度</w:t>
      </w:r>
      <w:r>
        <w:rPr>
          <w:rFonts w:ascii="Arial" w:hAnsi="Arial" w:eastAsia="宋体" w:cs="Arial"/>
          <w:b/>
          <w:sz w:val="24"/>
          <w:szCs w:val="24"/>
        </w:rPr>
        <w:t>预测结果表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173"/>
        <w:gridCol w:w="1174"/>
        <w:gridCol w:w="1173"/>
        <w:gridCol w:w="1174"/>
        <w:gridCol w:w="1173"/>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restart"/>
            <w:tcBorders>
              <w:top w:val="single" w:color="auto" w:sz="4" w:space="0"/>
              <w:left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234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continue"/>
            <w:tcBorders>
              <w:left w:val="single" w:color="auto" w:sz="4" w:space="0"/>
              <w:bottom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1.35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6.6502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3.2379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9.8879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6.6506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8.8016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15.4516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8.8016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15.4516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0.0306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6.6806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3.2379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9.8879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0.1429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6.7929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0.4382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7.0882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0.5075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7.1575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0.0218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6.6718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1.37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8.02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6.6504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2.8123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9.4623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4.3894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11.0394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5.2092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11.8592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4.7006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11.3506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3.2252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9.8752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1.6825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8.3325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0.0007</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0.6674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7.3174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0.0024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0.2013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6.8513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0.0074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0.0462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6.6962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0.0215</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0.0549</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6.7049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6.6511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0.1286</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6.7786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0.9036</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7.5536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3.1539</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9.8039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0.9036</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7.5536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6.65</w:t>
            </w:r>
          </w:p>
        </w:tc>
      </w:tr>
    </w:tbl>
    <w:p>
      <w:pPr>
        <w:adjustRightInd w:val="0"/>
        <w:snapToGrid w:val="0"/>
        <w:rPr>
          <w:rFonts w:ascii="Arial" w:hAnsi="Arial" w:eastAsia="宋体" w:cs="Arial"/>
          <w:spacing w:val="10"/>
          <w:sz w:val="24"/>
          <w:szCs w:val="24"/>
        </w:rPr>
      </w:pPr>
    </w:p>
    <w:p>
      <w:pPr>
        <w:adjustRightInd w:val="0"/>
        <w:snapToGrid w:val="0"/>
        <w:rPr>
          <w:rFonts w:ascii="Arial" w:hAnsi="Arial" w:eastAsia="宋体" w:cs="Arial"/>
          <w:spacing w:val="10"/>
          <w:sz w:val="24"/>
          <w:szCs w:val="24"/>
          <w:highlight w:val="yellow"/>
        </w:rPr>
      </w:pPr>
      <w:r>
        <w:drawing>
          <wp:inline distT="0" distB="0" distL="114300" distR="114300">
            <wp:extent cx="5486400" cy="2165350"/>
            <wp:effectExtent l="5080" t="4445" r="13970" b="20955"/>
            <wp:docPr id="49" name="图表 240"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11</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pPr>
        <w:adjustRightInd w:val="0"/>
        <w:snapToGrid w:val="0"/>
        <w:rPr>
          <w:rFonts w:ascii="Arial" w:hAnsi="Arial" w:eastAsia="宋体" w:cs="Arial"/>
          <w:spacing w:val="10"/>
          <w:sz w:val="24"/>
          <w:szCs w:val="24"/>
          <w:highlight w:val="yellow"/>
        </w:rPr>
      </w:pPr>
      <w:r>
        <w:drawing>
          <wp:inline distT="0" distB="0" distL="114300" distR="114300">
            <wp:extent cx="5486400" cy="2461895"/>
            <wp:effectExtent l="4445" t="4445" r="14605" b="10160"/>
            <wp:docPr id="50" name="图表 241"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12</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pPr>
        <w:adjustRightInd w:val="0"/>
        <w:snapToGrid w:val="0"/>
        <w:jc w:val="center"/>
        <w:rPr>
          <w:rFonts w:ascii="Arial" w:hAnsi="Arial" w:eastAsia="宋体" w:cs="Arial"/>
          <w:spacing w:val="10"/>
          <w:sz w:val="24"/>
          <w:szCs w:val="24"/>
          <w:highlight w:val="yellow"/>
        </w:rPr>
      </w:pPr>
      <w:r>
        <w:drawing>
          <wp:inline distT="0" distB="0" distL="114300" distR="114300">
            <wp:extent cx="5276850" cy="2352675"/>
            <wp:effectExtent l="0" t="0" r="19050" b="9525"/>
            <wp:docPr id="51" name="图表 242"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pPr>
        <w:adjustRightInd w:val="0"/>
        <w:snapToGrid w:val="0"/>
        <w:spacing w:line="500" w:lineRule="exact"/>
        <w:ind w:firstLine="476"/>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13</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pPr>
        <w:keepNext/>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硫酸盐浓度</w:t>
      </w:r>
      <w:r>
        <w:rPr>
          <w:rFonts w:ascii="Arial" w:hAnsi="Arial" w:eastAsia="宋体" w:cs="Arial"/>
          <w:b/>
          <w:sz w:val="24"/>
          <w:szCs w:val="24"/>
        </w:rPr>
        <w:t>预测结果表</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173"/>
        <w:gridCol w:w="1174"/>
        <w:gridCol w:w="1173"/>
        <w:gridCol w:w="1174"/>
        <w:gridCol w:w="1173"/>
        <w:gridCol w:w="1175"/>
      </w:tblGrid>
      <w:tr>
        <w:tblPrEx>
          <w:tblLayout w:type="fixed"/>
          <w:tblCellMar>
            <w:top w:w="0" w:type="dxa"/>
            <w:left w:w="108" w:type="dxa"/>
            <w:bottom w:w="0" w:type="dxa"/>
            <w:right w:w="108" w:type="dxa"/>
          </w:tblCellMar>
        </w:tblPrEx>
        <w:trPr>
          <w:trHeight w:val="340" w:hRule="atLeast"/>
          <w:tblHeader/>
          <w:jc w:val="center"/>
        </w:trPr>
        <w:tc>
          <w:tcPr>
            <w:tcW w:w="1951" w:type="dxa"/>
            <w:vMerge w:val="restart"/>
            <w:tcBorders>
              <w:top w:val="single" w:color="auto" w:sz="4" w:space="0"/>
              <w:left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2347"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234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vMerge w:val="continue"/>
            <w:tcBorders>
              <w:left w:val="single" w:color="auto" w:sz="4" w:space="0"/>
              <w:bottom w:val="single" w:color="auto" w:sz="4" w:space="0"/>
              <w:right w:val="single" w:color="auto" w:sz="4" w:space="0"/>
              <w:tl2br w:val="single" w:color="auto" w:sz="4" w:space="0"/>
            </w:tcBorders>
            <w:vAlign w:val="center"/>
          </w:tcPr>
          <w:p>
            <w:pPr>
              <w:spacing w:line="240" w:lineRule="exact"/>
              <w:jc w:val="center"/>
              <w:rPr>
                <w:rFonts w:ascii="Arial" w:hAnsi="Arial" w:eastAsia="宋体" w:cs="Arial"/>
                <w:sz w:val="21"/>
                <w:szCs w:val="21"/>
              </w:rPr>
            </w:pP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39.3356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867.3356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0.0057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828.0057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94.3611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922.3611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828.018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256.5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1084.5001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0.1452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828.1452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256.5</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1084.5001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0.8919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828.8919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94.3611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922.3611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4.1651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832.1651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12.7704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840.7704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14.7886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842.7886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0.6358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828.6358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39.9252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867.9252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0.0116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828.0116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81.9564</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909.9564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127.918</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955.9184</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151.809</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979.8093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0.0003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136.987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964.9869</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93.9886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921.9886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0.0051</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49.0327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877.0327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0.0197</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260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19.4497</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847.4497</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0.0686</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280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5.8662</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833.8662</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0.2167</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828.2167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1.3453</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829.3453</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0.6193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828.6193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0.2346</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828.2346</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1.6013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829.6013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0.0311</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828.0311</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3.7466</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831.7466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400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26.3334</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854.3334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500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91.9125</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919.9125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26.3333</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854.3333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95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4"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c>
          <w:tcPr>
            <w:tcW w:w="1173"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0</w:t>
            </w:r>
          </w:p>
        </w:tc>
        <w:tc>
          <w:tcPr>
            <w:tcW w:w="1175"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828</w:t>
            </w:r>
          </w:p>
        </w:tc>
      </w:tr>
    </w:tbl>
    <w:p>
      <w:pPr>
        <w:adjustRightInd w:val="0"/>
        <w:snapToGrid w:val="0"/>
        <w:jc w:val="center"/>
        <w:rPr>
          <w:rFonts w:ascii="Arial" w:hAnsi="Arial" w:eastAsia="宋体" w:cs="Arial"/>
          <w:spacing w:val="10"/>
          <w:sz w:val="24"/>
          <w:szCs w:val="24"/>
          <w:highlight w:val="yellow"/>
        </w:rPr>
      </w:pPr>
      <w:r>
        <w:drawing>
          <wp:inline distT="0" distB="0" distL="114300" distR="114300">
            <wp:extent cx="5133975" cy="2066925"/>
            <wp:effectExtent l="0" t="0" r="9525" b="9525"/>
            <wp:docPr id="52" name="图表 252"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14</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pPr>
        <w:adjustRightInd w:val="0"/>
        <w:snapToGrid w:val="0"/>
        <w:jc w:val="center"/>
        <w:rPr>
          <w:rFonts w:ascii="Arial" w:hAnsi="Arial" w:eastAsia="宋体" w:cs="Arial"/>
          <w:spacing w:val="10"/>
          <w:sz w:val="24"/>
          <w:szCs w:val="24"/>
          <w:highlight w:val="yellow"/>
        </w:rPr>
      </w:pPr>
      <w:r>
        <w:drawing>
          <wp:inline distT="0" distB="0" distL="114300" distR="114300">
            <wp:extent cx="5048250" cy="2305050"/>
            <wp:effectExtent l="0" t="0" r="19050" b="19050"/>
            <wp:docPr id="53" name="图表 46"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15</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pPr>
        <w:adjustRightInd w:val="0"/>
        <w:snapToGrid w:val="0"/>
        <w:jc w:val="center"/>
        <w:rPr>
          <w:rFonts w:ascii="Arial" w:hAnsi="Arial" w:eastAsia="宋体" w:cs="Arial"/>
          <w:spacing w:val="10"/>
          <w:sz w:val="24"/>
          <w:szCs w:val="24"/>
          <w:highlight w:val="yellow"/>
        </w:rPr>
      </w:pPr>
      <w:r>
        <w:drawing>
          <wp:inline distT="0" distB="0" distL="114300" distR="114300">
            <wp:extent cx="5162550" cy="2343150"/>
            <wp:effectExtent l="0" t="0" r="19050" b="19050"/>
            <wp:docPr id="54" name="图表 47"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pPr>
        <w:adjustRightInd w:val="0"/>
        <w:snapToGrid w:val="0"/>
        <w:spacing w:line="500" w:lineRule="exact"/>
        <w:ind w:firstLine="476"/>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16</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根据预测，泄漏发生后，</w:t>
      </w:r>
      <w:r>
        <w:rPr>
          <w:rFonts w:hint="eastAsia" w:ascii="Arial" w:hAnsi="Arial" w:eastAsia="宋体" w:cs="Arial"/>
          <w:spacing w:val="10"/>
          <w:sz w:val="24"/>
          <w:szCs w:val="24"/>
        </w:rPr>
        <w:t>污染物</w:t>
      </w:r>
      <w:r>
        <w:rPr>
          <w:rFonts w:ascii="Arial" w:hAnsi="Arial" w:eastAsia="宋体" w:cs="Arial"/>
          <w:spacing w:val="10"/>
          <w:sz w:val="24"/>
          <w:szCs w:val="24"/>
        </w:rPr>
        <w:t>影响范围从储罐向外，强度由大到小。泄漏发生后，区域地下水中的</w:t>
      </w:r>
      <w:r>
        <w:rPr>
          <w:rFonts w:hint="eastAsia" w:ascii="Arial" w:hAnsi="Arial" w:eastAsia="宋体" w:cs="Arial"/>
          <w:spacing w:val="10"/>
          <w:sz w:val="24"/>
          <w:szCs w:val="24"/>
        </w:rPr>
        <w:t>钴、耗氧量、氨氮、硫酸盐</w:t>
      </w:r>
      <w:r>
        <w:rPr>
          <w:rFonts w:ascii="Arial" w:hAnsi="Arial" w:eastAsia="宋体" w:cs="Arial"/>
          <w:spacing w:val="10"/>
          <w:sz w:val="24"/>
          <w:szCs w:val="24"/>
        </w:rPr>
        <w:t>浓度逐渐增加，泄漏后100天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地下水中钴浓度均低于</w:t>
      </w:r>
      <w:r>
        <w:rPr>
          <w:rFonts w:ascii="Arial" w:hAnsi="Arial" w:eastAsia="宋体" w:cs="Arial"/>
          <w:spacing w:val="10"/>
          <w:sz w:val="24"/>
          <w:szCs w:val="24"/>
        </w:rPr>
        <w:t>《地下水质量标准》（GB/T14848-2017）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类水标准（0.0</w:t>
      </w:r>
      <w:r>
        <w:rPr>
          <w:rFonts w:hint="eastAsia" w:ascii="Arial" w:hAnsi="Arial" w:eastAsia="宋体" w:cs="Arial"/>
          <w:spacing w:val="10"/>
          <w:sz w:val="24"/>
          <w:szCs w:val="24"/>
        </w:rPr>
        <w:t>5</w:t>
      </w:r>
      <w:r>
        <w:rPr>
          <w:rFonts w:ascii="Arial" w:hAnsi="Arial" w:eastAsia="宋体" w:cs="Arial"/>
          <w:spacing w:val="10"/>
          <w:sz w:val="24"/>
          <w:szCs w:val="24"/>
        </w:rPr>
        <w:t>mg/L）</w:t>
      </w:r>
      <w:r>
        <w:rPr>
          <w:rFonts w:hint="eastAsia" w:ascii="Arial" w:hAnsi="Arial" w:eastAsia="宋体" w:cs="Arial"/>
          <w:spacing w:val="10"/>
          <w:sz w:val="24"/>
          <w:szCs w:val="24"/>
        </w:rPr>
        <w:t>，</w:t>
      </w:r>
      <w:r>
        <w:rPr>
          <w:rFonts w:ascii="Arial" w:hAnsi="Arial" w:eastAsia="宋体" w:cs="Arial"/>
          <w:spacing w:val="10"/>
          <w:sz w:val="24"/>
          <w:szCs w:val="24"/>
        </w:rPr>
        <w:t>最大浓度</w:t>
      </w:r>
      <w:r>
        <w:rPr>
          <w:rFonts w:hint="eastAsia" w:ascii="Arial" w:hAnsi="Arial" w:eastAsia="宋体" w:cs="Arial"/>
          <w:spacing w:val="10"/>
          <w:sz w:val="24"/>
          <w:szCs w:val="24"/>
        </w:rPr>
        <w:t>0.0217</w:t>
      </w:r>
      <w:r>
        <w:rPr>
          <w:rFonts w:ascii="Arial" w:hAnsi="Arial" w:eastAsia="宋体" w:cs="Arial"/>
          <w:spacing w:val="10"/>
          <w:sz w:val="24"/>
          <w:szCs w:val="24"/>
        </w:rPr>
        <w:t>mg/L；</w:t>
      </w:r>
      <w:r>
        <w:rPr>
          <w:rFonts w:hint="eastAsia" w:ascii="Arial" w:hAnsi="Arial" w:eastAsia="宋体" w:cs="Arial"/>
          <w:spacing w:val="10"/>
          <w:sz w:val="24"/>
          <w:szCs w:val="24"/>
        </w:rPr>
        <w:t>因耗氧量、氨氮、硫酸盐背景浓度已超标，</w:t>
      </w:r>
      <w:r>
        <w:rPr>
          <w:rFonts w:ascii="Arial" w:hAnsi="Arial" w:eastAsia="宋体" w:cs="Arial"/>
          <w:spacing w:val="10"/>
          <w:sz w:val="24"/>
          <w:szCs w:val="24"/>
        </w:rPr>
        <w:t>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下游地下水中耗氧量、氨氮、硫酸盐浓度均超标，最大浓度分别为</w:t>
      </w:r>
      <w:r>
        <w:rPr>
          <w:rFonts w:hint="eastAsia" w:ascii="Arial" w:hAnsi="Arial" w:eastAsia="宋体" w:cs="Arial"/>
          <w:spacing w:val="10"/>
          <w:sz w:val="24"/>
          <w:szCs w:val="24"/>
          <w:u w:val="single"/>
        </w:rPr>
        <w:t>6.35</w:t>
      </w:r>
      <w:r>
        <w:rPr>
          <w:rFonts w:ascii="Arial" w:hAnsi="Arial" w:eastAsia="宋体" w:cs="Arial"/>
          <w:spacing w:val="10"/>
          <w:sz w:val="24"/>
          <w:szCs w:val="24"/>
          <w:u w:val="single"/>
        </w:rPr>
        <w:t>mg/L</w:t>
      </w:r>
      <w:r>
        <w:rPr>
          <w:rFonts w:hint="eastAsia" w:ascii="Arial" w:hAnsi="Arial" w:eastAsia="宋体" w:cs="Arial"/>
          <w:spacing w:val="10"/>
          <w:sz w:val="24"/>
          <w:szCs w:val="24"/>
        </w:rPr>
        <w:t>、15.45</w:t>
      </w:r>
      <w:r>
        <w:rPr>
          <w:rFonts w:ascii="Arial" w:hAnsi="Arial" w:eastAsia="宋体" w:cs="Arial"/>
          <w:spacing w:val="10"/>
          <w:sz w:val="24"/>
          <w:szCs w:val="24"/>
        </w:rPr>
        <w:t>mg/L</w:t>
      </w:r>
      <w:r>
        <w:rPr>
          <w:rFonts w:hint="eastAsia" w:ascii="Arial" w:hAnsi="Arial" w:eastAsia="宋体" w:cs="Arial"/>
          <w:spacing w:val="10"/>
          <w:sz w:val="24"/>
          <w:szCs w:val="24"/>
        </w:rPr>
        <w:t>、1084.5</w:t>
      </w:r>
      <w:r>
        <w:rPr>
          <w:rFonts w:ascii="Arial" w:hAnsi="Arial" w:eastAsia="宋体" w:cs="Arial"/>
          <w:spacing w:val="10"/>
          <w:sz w:val="24"/>
          <w:szCs w:val="24"/>
        </w:rPr>
        <w:t>mg/L</w:t>
      </w:r>
      <w:r>
        <w:rPr>
          <w:rFonts w:hint="eastAsia" w:ascii="Arial" w:hAnsi="Arial" w:eastAsia="宋体" w:cs="Arial"/>
          <w:spacing w:val="10"/>
          <w:sz w:val="24"/>
          <w:szCs w:val="24"/>
        </w:rPr>
        <w:t>，分别超标</w:t>
      </w:r>
      <w:r>
        <w:rPr>
          <w:rFonts w:hint="eastAsia" w:ascii="Arial" w:hAnsi="Arial" w:eastAsia="宋体" w:cs="Arial"/>
          <w:spacing w:val="10"/>
          <w:sz w:val="24"/>
          <w:szCs w:val="24"/>
          <w:u w:val="single"/>
        </w:rPr>
        <w:t>1.1倍</w:t>
      </w:r>
      <w:r>
        <w:rPr>
          <w:rFonts w:hint="eastAsia" w:ascii="Arial" w:hAnsi="Arial" w:eastAsia="宋体" w:cs="Arial"/>
          <w:spacing w:val="10"/>
          <w:sz w:val="24"/>
          <w:szCs w:val="24"/>
        </w:rPr>
        <w:t>、30倍、3.3倍；泄漏后34天</w:t>
      </w:r>
      <w:r>
        <w:rPr>
          <w:rFonts w:ascii="Arial" w:hAnsi="Arial" w:eastAsia="宋体" w:cs="Arial"/>
          <w:spacing w:val="10"/>
          <w:sz w:val="24"/>
          <w:szCs w:val="24"/>
        </w:rPr>
        <w:t>污染物到达</w:t>
      </w:r>
      <w:r>
        <w:rPr>
          <w:rFonts w:hint="eastAsia" w:ascii="Arial" w:hAnsi="Arial" w:eastAsia="宋体" w:cs="Arial"/>
          <w:spacing w:val="10"/>
          <w:sz w:val="24"/>
          <w:szCs w:val="24"/>
        </w:rPr>
        <w:t>最近的东面</w:t>
      </w:r>
      <w:r>
        <w:rPr>
          <w:rFonts w:ascii="Arial" w:hAnsi="Arial" w:eastAsia="宋体" w:cs="Arial"/>
          <w:spacing w:val="10"/>
          <w:sz w:val="24"/>
          <w:szCs w:val="24"/>
        </w:rPr>
        <w:t>厂界</w:t>
      </w:r>
      <w:r>
        <w:rPr>
          <w:rFonts w:hint="eastAsia" w:ascii="Arial" w:hAnsi="Arial" w:eastAsia="宋体" w:cs="Arial"/>
          <w:spacing w:val="10"/>
          <w:sz w:val="24"/>
          <w:szCs w:val="24"/>
        </w:rPr>
        <w:t>，</w:t>
      </w:r>
      <w:r>
        <w:rPr>
          <w:rFonts w:ascii="Arial" w:hAnsi="Arial" w:eastAsia="宋体" w:cs="Arial"/>
          <w:spacing w:val="10"/>
          <w:sz w:val="24"/>
          <w:szCs w:val="24"/>
        </w:rPr>
        <w:t>1000天污染物未到达排泄边界。</w:t>
      </w:r>
    </w:p>
    <w:p>
      <w:pPr>
        <w:adjustRightInd w:val="0"/>
        <w:snapToGrid w:val="0"/>
        <w:spacing w:line="500" w:lineRule="exact"/>
        <w:ind w:firstLine="476"/>
        <w:rPr>
          <w:rFonts w:ascii="Arial" w:hAnsi="Arial" w:eastAsia="宋体" w:cs="Arial"/>
          <w:spacing w:val="10"/>
          <w:sz w:val="24"/>
          <w:szCs w:val="24"/>
        </w:rPr>
      </w:pPr>
    </w:p>
    <w:p>
      <w:pPr>
        <w:adjustRightInd w:val="0"/>
        <w:snapToGrid w:val="0"/>
        <w:spacing w:line="500" w:lineRule="exact"/>
        <w:ind w:firstLine="476"/>
        <w:rPr>
          <w:rFonts w:ascii="Arial" w:hAnsi="Arial" w:eastAsia="宋体" w:cs="Arial"/>
          <w:spacing w:val="10"/>
          <w:sz w:val="24"/>
          <w:szCs w:val="24"/>
        </w:rPr>
      </w:pP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地下水事故后果基本信息表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1121"/>
        <w:gridCol w:w="563"/>
        <w:gridCol w:w="809"/>
        <w:gridCol w:w="784"/>
        <w:gridCol w:w="574"/>
        <w:gridCol w:w="829"/>
        <w:gridCol w:w="1063"/>
        <w:gridCol w:w="630"/>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事故情形描述</w:t>
            </w:r>
          </w:p>
        </w:tc>
        <w:tc>
          <w:tcPr>
            <w:tcW w:w="7682" w:type="dxa"/>
            <w:gridSpan w:val="9"/>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75</w:t>
            </w:r>
            <w:r>
              <w:rPr>
                <w:rFonts w:ascii="Arial" w:hAnsi="Arial" w:eastAsia="宋体" w:cs="Arial"/>
                <w:spacing w:val="10"/>
                <w:sz w:val="21"/>
                <w:szCs w:val="21"/>
              </w:rPr>
              <w:t>m</w:t>
            </w:r>
            <w:r>
              <w:rPr>
                <w:rFonts w:ascii="Arial" w:hAnsi="Arial" w:eastAsia="宋体" w:cs="Arial"/>
                <w:spacing w:val="10"/>
                <w:sz w:val="21"/>
                <w:szCs w:val="21"/>
                <w:vertAlign w:val="superscript"/>
              </w:rPr>
              <w:t>3</w:t>
            </w:r>
            <w:r>
              <w:rPr>
                <w:rFonts w:hint="eastAsia" w:ascii="Arial" w:hAnsi="Arial" w:eastAsia="宋体" w:cs="Arial"/>
                <w:spacing w:val="10"/>
                <w:sz w:val="21"/>
                <w:szCs w:val="21"/>
              </w:rPr>
              <w:t>洗水外排槽</w:t>
            </w:r>
            <w:r>
              <w:rPr>
                <w:rFonts w:ascii="Arial" w:hAnsi="Arial" w:eastAsia="宋体" w:cs="Arial"/>
                <w:spacing w:val="10"/>
                <w:sz w:val="21"/>
                <w:szCs w:val="21"/>
              </w:rPr>
              <w:t>全</w:t>
            </w:r>
            <w:r>
              <w:rPr>
                <w:rFonts w:hint="eastAsia" w:ascii="Arial" w:hAnsi="Arial" w:eastAsia="宋体" w:cs="Arial"/>
                <w:spacing w:val="10"/>
                <w:sz w:val="21"/>
                <w:szCs w:val="21"/>
              </w:rPr>
              <w:t>部</w:t>
            </w:r>
            <w:r>
              <w:rPr>
                <w:rFonts w:ascii="Arial" w:hAnsi="Arial" w:eastAsia="宋体" w:cs="Arial"/>
                <w:spacing w:val="10"/>
                <w:sz w:val="21"/>
                <w:szCs w:val="21"/>
              </w:rPr>
              <w:t>泄漏，围堰内</w:t>
            </w:r>
            <w:r>
              <w:rPr>
                <w:rFonts w:hint="eastAsia" w:ascii="Arial" w:hAnsi="Arial" w:eastAsia="宋体" w:cs="Arial"/>
                <w:spacing w:val="10"/>
                <w:sz w:val="21"/>
                <w:szCs w:val="21"/>
              </w:rPr>
              <w:t>地坪</w:t>
            </w:r>
            <w:r>
              <w:rPr>
                <w:rFonts w:ascii="Arial" w:hAnsi="Arial" w:eastAsia="宋体" w:cs="Arial"/>
                <w:spacing w:val="10"/>
                <w:sz w:val="21"/>
                <w:szCs w:val="21"/>
              </w:rPr>
              <w:t>损坏，</w:t>
            </w:r>
            <w:r>
              <w:rPr>
                <w:rFonts w:hint="eastAsia" w:ascii="Arial" w:hAnsi="Arial" w:eastAsia="宋体" w:cs="Arial"/>
                <w:spacing w:val="10"/>
                <w:sz w:val="21"/>
                <w:szCs w:val="21"/>
              </w:rPr>
              <w:t>废水</w:t>
            </w:r>
            <w:r>
              <w:rPr>
                <w:rFonts w:ascii="Arial" w:hAnsi="Arial" w:eastAsia="宋体" w:cs="Arial"/>
                <w:spacing w:val="10"/>
                <w:sz w:val="21"/>
                <w:szCs w:val="21"/>
              </w:rPr>
              <w:t>下渗进入地下水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设备类型</w:t>
            </w:r>
          </w:p>
        </w:tc>
        <w:tc>
          <w:tcPr>
            <w:tcW w:w="1684"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储罐</w:t>
            </w:r>
          </w:p>
        </w:tc>
        <w:tc>
          <w:tcPr>
            <w:tcW w:w="15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操作温度/</w:t>
            </w:r>
            <w:r>
              <w:rPr>
                <w:rFonts w:hint="eastAsia" w:ascii="宋体" w:hAnsi="宋体" w:eastAsia="宋体" w:cs="宋体"/>
                <w:spacing w:val="10"/>
                <w:sz w:val="21"/>
                <w:szCs w:val="21"/>
              </w:rPr>
              <w:t>℃</w:t>
            </w:r>
          </w:p>
        </w:tc>
        <w:tc>
          <w:tcPr>
            <w:tcW w:w="140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25</w:t>
            </w:r>
          </w:p>
        </w:tc>
        <w:tc>
          <w:tcPr>
            <w:tcW w:w="16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操作压力/MPa</w:t>
            </w:r>
          </w:p>
        </w:tc>
        <w:tc>
          <w:tcPr>
            <w:tcW w:w="130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pacing w:val="10"/>
                <w:sz w:val="21"/>
                <w:szCs w:val="21"/>
              </w:rPr>
              <w:t>泄</w:t>
            </w:r>
            <w:r>
              <w:rPr>
                <w:rFonts w:ascii="Arial" w:hAnsi="Arial" w:eastAsia="宋体" w:cs="Arial"/>
                <w:sz w:val="21"/>
                <w:szCs w:val="21"/>
              </w:rPr>
              <w:t>漏</w:t>
            </w:r>
          </w:p>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w:t>
            </w:r>
          </w:p>
        </w:tc>
        <w:tc>
          <w:tcPr>
            <w:tcW w:w="1684"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钴</w:t>
            </w:r>
          </w:p>
        </w:tc>
        <w:tc>
          <w:tcPr>
            <w:tcW w:w="15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w:t>
            </w:r>
          </w:p>
        </w:tc>
        <w:tc>
          <w:tcPr>
            <w:tcW w:w="140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75</w:t>
            </w:r>
            <w:r>
              <w:rPr>
                <w:rFonts w:ascii="Arial" w:hAnsi="Arial" w:eastAsia="宋体" w:cs="Arial"/>
                <w:spacing w:val="10"/>
                <w:sz w:val="21"/>
                <w:szCs w:val="21"/>
              </w:rPr>
              <w:t>t</w:t>
            </w:r>
          </w:p>
        </w:tc>
        <w:tc>
          <w:tcPr>
            <w:tcW w:w="16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速率（kg/d）</w:t>
            </w:r>
          </w:p>
        </w:tc>
        <w:tc>
          <w:tcPr>
            <w:tcW w:w="130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量</w:t>
            </w:r>
          </w:p>
        </w:tc>
        <w:tc>
          <w:tcPr>
            <w:tcW w:w="1684"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0.004</w:t>
            </w:r>
            <w:r>
              <w:rPr>
                <w:rFonts w:ascii="Arial" w:hAnsi="Arial" w:eastAsia="宋体" w:cs="Arial"/>
                <w:spacing w:val="10"/>
                <w:sz w:val="21"/>
                <w:szCs w:val="21"/>
              </w:rPr>
              <w:t>kg</w:t>
            </w:r>
          </w:p>
        </w:tc>
        <w:tc>
          <w:tcPr>
            <w:tcW w:w="15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频率</w:t>
            </w:r>
          </w:p>
        </w:tc>
        <w:tc>
          <w:tcPr>
            <w:tcW w:w="140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z w:val="21"/>
                <w:szCs w:val="21"/>
              </w:rPr>
              <w:t>5×10</w:t>
            </w:r>
            <w:r>
              <w:rPr>
                <w:rFonts w:ascii="Arial" w:hAnsi="Arial" w:eastAsia="宋体" w:cs="Arial"/>
                <w:sz w:val="21"/>
                <w:szCs w:val="21"/>
                <w:vertAlign w:val="superscript"/>
              </w:rPr>
              <w:t>-6</w:t>
            </w:r>
            <w:r>
              <w:rPr>
                <w:rFonts w:ascii="Arial" w:hAnsi="Arial" w:eastAsia="宋体" w:cs="Arial"/>
                <w:sz w:val="21"/>
                <w:szCs w:val="21"/>
              </w:rPr>
              <w:t>/a</w:t>
            </w:r>
          </w:p>
        </w:tc>
        <w:tc>
          <w:tcPr>
            <w:tcW w:w="1693"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309"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w:t>
            </w:r>
          </w:p>
        </w:tc>
        <w:tc>
          <w:tcPr>
            <w:tcW w:w="7682" w:type="dxa"/>
            <w:gridSpan w:val="9"/>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地下水环境影响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restart"/>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钴</w:t>
            </w: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60</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restart"/>
            <w:tcBorders>
              <w:top w:val="single" w:color="auto" w:sz="4" w:space="0"/>
              <w:left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耗氧量</w:t>
            </w: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厂区边界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东面厂界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44</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1000</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敏感目标名称</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无</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restart"/>
            <w:tcBorders>
              <w:top w:val="single" w:color="auto" w:sz="4" w:space="0"/>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氨氮</w:t>
            </w: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40</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1000</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restart"/>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硫酸盐</w:t>
            </w: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34</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1000</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1084.5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11" w:type="dxa"/>
            <w:vMerge w:val="continue"/>
            <w:tcBorders>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p>
        </w:tc>
        <w:tc>
          <w:tcPr>
            <w:tcW w:w="1121"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137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358"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892"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939"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bl>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风险防范措施</w:t>
      </w:r>
    </w:p>
    <w:p>
      <w:pPr>
        <w:numPr>
          <w:ilvl w:val="0"/>
          <w:numId w:val="34"/>
        </w:numPr>
        <w:spacing w:line="500" w:lineRule="exact"/>
        <w:outlineLvl w:val="3"/>
        <w:rPr>
          <w:rFonts w:ascii="Arial" w:hAnsi="Arial" w:eastAsia="宋体" w:cs="Arial"/>
          <w:b/>
          <w:sz w:val="24"/>
          <w:szCs w:val="24"/>
        </w:rPr>
      </w:pPr>
      <w:r>
        <w:rPr>
          <w:rFonts w:ascii="Arial" w:hAnsi="Arial" w:eastAsia="宋体" w:cs="Arial"/>
          <w:b/>
          <w:sz w:val="24"/>
          <w:szCs w:val="24"/>
        </w:rPr>
        <w:t>园区相关风险防范措施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园区风险防范措施如下：</w:t>
      </w:r>
    </w:p>
    <w:p>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1.危险化学品使用、贮存和运输过程环境风险防范措施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危险化学品使用一定要严格按照《危险化学品安全管理条例》、《化学危险品安全处理条例实时细则》（化劳发〔1992〕667号）、《工作场所安全使用化学危险品规定》（劳部发〔1996〕423号）、《广西壮族自治区实施&lt;危险化学品安全管理条例&gt;办法》（广西壮族自治区人民政府令第6号）等法律法规，对所使用的危险化学品的安全使用、贮存、运输、装卸等相应规定进行。</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（2）防火、防爆措施</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在设计中严格执行有关防火、防爆规范和规定，严格执行各有关建筑物的防火间距。为防止存在爆炸和火灾危险的气体从设备泄漏，应设置监控仪器及报警装置，组成严密的消防系统。采取可行的防雷防静电措施，确保安全。</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在建、构筑物的单体设计中，严格按照要求的耐火等级，在结构形式及材料选用上均需满足防火、防爆要求。各装置均设置应急和消防设备等。</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在总图布置上，严格按照防火、防爆要求，保证各厂房间防火间距，同时还考虑消防通道的畅通，根据厂区的具体条件设置必要的消火栓和消防管网。</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④</w:t>
      </w:r>
      <w:r>
        <w:rPr>
          <w:rFonts w:ascii="Arial" w:hAnsi="Arial" w:eastAsia="宋体" w:cs="Arial"/>
          <w:spacing w:val="10"/>
          <w:sz w:val="24"/>
          <w:szCs w:val="24"/>
        </w:rPr>
        <w:t>电气和仪表的设计中严格按照电气防爆设计规范执行，设计中将能产生电火花的设备放在远离现场的配电室内，并采用密闭电器。对于确定为防爆场所的厂房，按爆炸危险场所类别、等级、范围选择电气设备，设计良好的接地系统，保证电机和电缆不出现危险的接触电压，对于仪表灯、按钮、保护装置应选用密闭型。</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⑤</w:t>
      </w:r>
      <w:r>
        <w:rPr>
          <w:rFonts w:ascii="Arial" w:hAnsi="Arial" w:eastAsia="宋体" w:cs="Arial"/>
          <w:spacing w:val="10"/>
          <w:sz w:val="24"/>
          <w:szCs w:val="24"/>
        </w:rPr>
        <w:t>电气设计中，需按防雷、防静电规划要求，对使用易燃易爆介质的工艺设备及管道均作防静电接地处理。对于高大建构筑物均采用避雷针和避雷带相结合的避雷方式，并设置防感应雷装置。同时设有良好的接地系统，并连成接地网。</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⑥</w:t>
      </w:r>
      <w:r>
        <w:rPr>
          <w:rFonts w:ascii="Arial" w:hAnsi="Arial" w:eastAsia="宋体" w:cs="Arial"/>
          <w:spacing w:val="10"/>
          <w:sz w:val="24"/>
          <w:szCs w:val="24"/>
        </w:rPr>
        <w:t>自控设计中对重要的参数设置越限报警系统，调节系统在紧急状态下均可手动操作，对处于爆炸区域的操作室设正压通风。</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⑦</w:t>
      </w:r>
      <w:r>
        <w:rPr>
          <w:rFonts w:ascii="Arial" w:hAnsi="Arial" w:eastAsia="宋体" w:cs="Arial"/>
          <w:spacing w:val="10"/>
          <w:sz w:val="24"/>
          <w:szCs w:val="24"/>
        </w:rPr>
        <w:t>根据危险品理化性质，在贮罐区设置相应的有效消防设施（如泡沫消防设施及喷淋水系统），防患于未然。</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⑧</w:t>
      </w:r>
      <w:r>
        <w:rPr>
          <w:rFonts w:ascii="Arial" w:hAnsi="Arial" w:eastAsia="宋体" w:cs="Arial"/>
          <w:spacing w:val="10"/>
          <w:sz w:val="24"/>
          <w:szCs w:val="24"/>
        </w:rPr>
        <w:t>在易燃易爆车间、生产岗位及库房配备必要的消防器材及消防工具，如干粉灭火器等，这些器材应由专人保管，定期检查，以备事故时应急用。管理人员必须具备防火灭火知识。</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⑨</w:t>
      </w:r>
      <w:r>
        <w:rPr>
          <w:rFonts w:ascii="Arial" w:hAnsi="Arial" w:eastAsia="宋体" w:cs="Arial"/>
          <w:spacing w:val="10"/>
          <w:sz w:val="24"/>
          <w:szCs w:val="24"/>
        </w:rPr>
        <w:t>危险物品爆炸的防治：（a）对锅炉爆炸等物理爆炸的防治，首先是要求各入园企业选用质量符合国家标准的先进设备；其次是应对有关设备进行定期检查并进行必要的日常维护，保证其正常运转，消除爆炸隐患。锅炉的运行要严格遵守《蒸汽锅炉安全技术监察规程》。锅炉应装设高低水位警报器，锅炉用水水质应符合《低压锅炉水质标准》。运行的锅炉每两年应进行一次停炉内、外部检验；新锅炉运行的头两年及实际运行时间超过10年的锅炉，每年应进行一次内、外部检验；锅炉停止运行1年以上需恢复运行、受压元件经重大修理改造及重新运行1年后和锅炉运行对设备可靠性有怀疑等情况，均应进行内、外部检验；水压试验一般每 6 年进行一次；其次按 GB150-1998《钢制压力容器》对压力容器进行设计、制造和验收，参照《压力容器安全监察规程》、《锅炉压力容器安全监察暂行条例》，制定压力容器安全操作规程，并严格遵守和贯彻实施，确保压力容器安全运行，并定期对压力容器进行检验及维护。在压力容器发生爆炸时，应立即成立指挥中心，抢救受伤人员。（b）对化学爆炸的防治：一是对易燃易爆化学物品归类、单独存放一室，经常检查危险品贮藏情况，及时消除事故隐患；二是制定严格、完善的管理制度，加强对易燃易爆物品的管理；三是安装相应的预测报警装置；四是要求对有毒有害物质的使用一定要按照操作规程进行。（c）对粉尘爆炸的防治，首先要控制粉尘的产生和积聚，可采取加强通风、设除尘室、经常清扫、喷水雾、提高室内空气中相对湿度等措施。一般相对湿度提高到 65%，粉尘就不易在空气中悬浮，应控制车间粉尘浓度在10mg/m</w:t>
      </w:r>
      <w:r>
        <w:rPr>
          <w:rFonts w:ascii="Arial" w:hAnsi="Arial" w:eastAsia="宋体" w:cs="Arial"/>
          <w:spacing w:val="10"/>
          <w:sz w:val="24"/>
          <w:szCs w:val="24"/>
          <w:vertAlign w:val="superscript"/>
        </w:rPr>
        <w:t>3</w:t>
      </w:r>
      <w:r>
        <w:rPr>
          <w:rFonts w:ascii="Arial" w:hAnsi="Arial" w:eastAsia="宋体" w:cs="Arial"/>
          <w:spacing w:val="10"/>
          <w:sz w:val="24"/>
          <w:szCs w:val="24"/>
        </w:rPr>
        <w:t>以下，防止粉尘燃烧和爆炸；其次是控制爆炸范围，在相邻车间中设水幕，阻止爆炸延伸，厂房建筑要有泄压设施；第三是要严格控制火源，在有粉尘产生的车间严禁明火，加强设备、管道的密封设计，防止粉尘和腐蚀介质外泄。</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（3）对操作人员加强安全知识教育，认真执行操作规程和安全规程，操作人员要配备个人防护用具。</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危险化学品的运输：易燃易爆物质和危险化学品的运输要按照国家有关规定的要求执行。同时要加强运输车辆的检修和保护，提高驾驶人员的驾驶技术和责任心。此外还要注意天气变化情况，在多雾、大风、暴雨的天气条件下不宜运输危险化学品，防止发生运输事故而引发环境污染事故的发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（5）天然气管道运输环境风险防范措施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设计阶段：优化路由，尽量避开居民区以及复杂地质段，以减少由于天然气泄漏引起的火灾、爆炸事故对居民的危害。对管道沿线人口密集、房屋距管线较近等敏感地区，提高设计系数，增加管线壁厚，以增强管道抵抗外部可能造成破坏的能力。设计选用质量可靠的管材和工艺设备，保证管道的带压运行安全，具备可靠安全泄压就地保护措施。管线采用防腐材料和牺牲阳极法相结合的方式可靠防腐。各设施采用高质量、高可靠性产品，关键部件和附件充分考虑工艺过程及物料特性的要求。为防止泄漏引起爆炸、燃烧、在站场的重要地点、控制室等设置可燃烧气体浓度探测报警装置。设置紧急截断阀和放空系统，可保障压力超限时不危害设施安全。站内电器设备、设施的选型、设计、安装及维护等均需符合规范。采取防雷和防静电设计。消防设计符合相关规范的要求。站场内配备一定数量的移动灭火器材；平面布置符合防火间距的要求。建筑结构耐火等级达到要求。</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施工阶段：严格挑选施工队伍，管道施工单位应持有劳动行政部门颁发的压力管道安装许可证。从事管道焊接以及无损检测的检测人员，必须按有关规定持证上岗。严格遵守施工规范，并有严格的施工监理制度，应由有资格的监理单位对施工质量进行监督、检查。对工程中所使用的设备及附件，应严格进行施工安装前的质量检验，检验合格后方可进行施工安装。施工过程中，施工单位编制“安全施工预案”，经相关部门批准后，再进行施工。进行水压试验，排除更多的存在焊缝和母材的缺陷，从而增加管道的安全性。施工完毕后，应由项目建设主管部门对管道的施工质量进行监督检验。</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运营阶段：严格控制天然气的气质，定期检修，排除管内污物。定期检查管道安全保护系统(如截断阀、安全阀、放空系统等)，使管道在超压时能够得到安全处理。管道标志桩应尽可能清晰，特别是管道穿越铁路、公路时，标志桩可从不同的方位和角度看清。巡线员定期巡线，发现危及管道安全的情况及时处理和汇报。加大巡线频率，提高巡线的有效性，发现对管道安全有影响的行为，应及时制止、采取相应措施并向上级报告。在管道系统投产运行前，应制订出供正常、异常或紧急状态下的操作手册和维修手册，并对操作、维修人员进行培训，持证上岗。制订应急操作规程，在规程中应说明发生管道事故时应采取的操作步骤，规定抢修进度，限制事故的影响，另外还应说明与管道操作人员有关的安全问题。操作人员每周应进行安全活动，提高职工的安全意识，识别事故发生前的异常状态，并采取相应的措施。对重要的仪器设备有完善的检查项目、维护方法；按计划进行定期维护；有专门档案(包括维护记录档案)，文件齐全。对管道沿线的居民作好宣传，张贴《中华人民共和国石油天然气管道保护法》，加强居民认识。建设单位大修及事故抢修依托西气东输二线维抢修中心完成，该中心设在南宁，由于距离较远，运营期间应将其也纳入应急演练之内，同时寻求项目所在地地方抢维修队伍的支持。对管道两侧200m范围和站场厂界1000m内的受管道风险事故影响的集中居民区和社会关注区的居民作好事故应急宣传，保证一旦发生天然气泄漏事故时，能作出正确反应。建设单位应随时保持与管道沿线主管部门的联系，杜绝沿线设施建设过程中的占管、压管及其他破坏管道的活动，降低第三方破坏管道引发环境风险事故的可能性。</w:t>
      </w:r>
    </w:p>
    <w:p>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2.生产设备故障及污染治理设施运行事故环境风险防范措施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（1）制定严格的工艺操作规程，加强安全监督和管理，对设备的运行进行实时监控，严格执行生产管理的规章制度和操作规程，对操作工人要加强技术培训，防止工人误操作而导致事故的发生。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（2）要合理安排生产和检修计划，降低设备故障的出现，对生产系统容易出现故障的设备要有一定数量的库存。</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（3）建立设备管理信息系统，注重设备状态监测和故障诊断，使设备管理从事后维修向预测预报过渡，降低设备突发故障率，避免重大事故发生。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加强污水处理站的管理，确保污水处理设施的正常运行；另外必须建立事故应急池，当发生污水处理设施事故时，可将废水临时排放到应急池中，并立即停止生产，抢修污水处理设施，待污水处理设施恢复运行后再恢复生产，同时将应急池内贮存的废水抽回污水处理站处理，杜绝废水直接外排。</w:t>
      </w:r>
    </w:p>
    <w:p>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3.固废风险防范措施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要按照《一般工业固体废物贮存和填埋污染控制标准》、《危险废物贮存污染控制标准》的要求对固体废物进行企业内暂存，并定期清理外运。</w:t>
      </w:r>
    </w:p>
    <w:p>
      <w:pPr>
        <w:numPr>
          <w:ilvl w:val="0"/>
          <w:numId w:val="34"/>
        </w:numPr>
        <w:spacing w:line="500" w:lineRule="exact"/>
        <w:outlineLvl w:val="3"/>
        <w:rPr>
          <w:rFonts w:ascii="Arial" w:hAnsi="Arial" w:eastAsia="宋体" w:cs="Arial"/>
          <w:b/>
          <w:sz w:val="24"/>
          <w:szCs w:val="24"/>
        </w:rPr>
      </w:pPr>
      <w:r>
        <w:rPr>
          <w:rFonts w:hint="eastAsia" w:ascii="Arial" w:hAnsi="Arial" w:eastAsia="宋体" w:cs="Arial"/>
          <w:b/>
          <w:sz w:val="24"/>
          <w:szCs w:val="24"/>
        </w:rPr>
        <w:t>企业已有的</w:t>
      </w:r>
      <w:r>
        <w:rPr>
          <w:rFonts w:ascii="Arial" w:hAnsi="Arial" w:eastAsia="宋体" w:cs="Arial"/>
          <w:b/>
          <w:sz w:val="24"/>
          <w:szCs w:val="24"/>
        </w:rPr>
        <w:t>主要风险防范措施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w:t>
      </w:r>
      <w:r>
        <w:rPr>
          <w:rFonts w:hint="eastAsia" w:ascii="Arial" w:hAnsi="Arial" w:eastAsia="宋体" w:cs="Arial"/>
          <w:spacing w:val="10"/>
          <w:sz w:val="24"/>
          <w:szCs w:val="24"/>
        </w:rPr>
        <w:t>已有的</w:t>
      </w:r>
      <w:r>
        <w:rPr>
          <w:rFonts w:ascii="Arial" w:hAnsi="Arial" w:eastAsia="宋体" w:cs="Arial"/>
          <w:spacing w:val="10"/>
          <w:sz w:val="24"/>
          <w:szCs w:val="24"/>
        </w:rPr>
        <w:t>地表水风险防范措施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（1）三级风险防范</w:t>
      </w:r>
      <w:r>
        <w:rPr>
          <w:rFonts w:hint="eastAsia" w:ascii="Arial" w:hAnsi="Arial" w:eastAsia="宋体" w:cs="Arial"/>
          <w:spacing w:val="10"/>
          <w:sz w:val="24"/>
          <w:szCs w:val="24"/>
        </w:rPr>
        <w:t>体系</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一级风险防范措施—地沟及围堰</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装置区</w:t>
      </w:r>
      <w:r>
        <w:rPr>
          <w:rFonts w:hint="eastAsia" w:ascii="Arial" w:hAnsi="Arial" w:eastAsia="宋体" w:cs="Arial"/>
          <w:spacing w:val="10"/>
          <w:sz w:val="24"/>
          <w:szCs w:val="24"/>
        </w:rPr>
        <w:t>、</w:t>
      </w:r>
      <w:r>
        <w:rPr>
          <w:rFonts w:ascii="Arial" w:hAnsi="Arial" w:eastAsia="宋体" w:cs="Arial"/>
          <w:spacing w:val="10"/>
          <w:sz w:val="24"/>
          <w:szCs w:val="24"/>
        </w:rPr>
        <w:t>罐区</w:t>
      </w:r>
      <w:r>
        <w:rPr>
          <w:rFonts w:hint="eastAsia" w:ascii="Arial" w:hAnsi="Arial" w:eastAsia="宋体" w:cs="Arial"/>
          <w:spacing w:val="10"/>
          <w:sz w:val="24"/>
          <w:szCs w:val="24"/>
        </w:rPr>
        <w:t>围堰</w:t>
      </w:r>
      <w:r>
        <w:rPr>
          <w:rFonts w:ascii="Arial" w:hAnsi="Arial" w:eastAsia="宋体" w:cs="Arial"/>
          <w:spacing w:val="10"/>
          <w:sz w:val="24"/>
          <w:szCs w:val="24"/>
        </w:rPr>
        <w:t>及其配套设施（如备用罐、储液池、导流设施、清污水切换设施等），防止污染雨水和轻微事故泄漏造成的环境污染；设置车间事故废水、废液的收集系统。各车间内建地沟，储罐设置围堰，地沟及围堰内设泵或管线与厂区事故应急池相连，可及时将废水导排至事故应急池。若化学品储罐发生泄漏，首先将泄漏物料收集在围堰内，待事故妥善处理后将可回收部分进行回收利用，不可回收部分收集进入事故应急池中，分批送至污水处理站进行处理后达标排放。</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正常情况下，罐区排水阀门处于常开状态超过15min后，罐区内洁净雨水进入市政管网排放；当发生泄漏时，罐区排水阀门处于关闭状态，以使突发性泄漏的物料囤积在罐区内，不跑到外围。</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二级风险防范措施—事故应急池</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目前厂区设有3个事故应急池，总容积1500m</w:t>
      </w:r>
      <w:r>
        <w:rPr>
          <w:rFonts w:ascii="Arial" w:hAnsi="Arial" w:eastAsia="宋体" w:cs="Arial"/>
          <w:spacing w:val="10"/>
          <w:sz w:val="24"/>
          <w:szCs w:val="24"/>
          <w:vertAlign w:val="superscript"/>
        </w:rPr>
        <w:t>3</w:t>
      </w:r>
      <w:r>
        <w:rPr>
          <w:rFonts w:ascii="Arial" w:hAnsi="Arial" w:eastAsia="宋体" w:cs="Arial"/>
          <w:spacing w:val="10"/>
          <w:sz w:val="24"/>
          <w:szCs w:val="24"/>
        </w:rPr>
        <w:t>，其中地块一的200m</w:t>
      </w:r>
      <w:r>
        <w:rPr>
          <w:rFonts w:ascii="Arial" w:hAnsi="Arial" w:eastAsia="宋体" w:cs="Arial"/>
          <w:spacing w:val="10"/>
          <w:sz w:val="24"/>
          <w:szCs w:val="24"/>
          <w:vertAlign w:val="superscript"/>
        </w:rPr>
        <w:t>3</w:t>
      </w:r>
      <w:r>
        <w:rPr>
          <w:rFonts w:ascii="Arial" w:hAnsi="Arial" w:eastAsia="宋体" w:cs="Arial"/>
          <w:spacing w:val="10"/>
          <w:sz w:val="24"/>
          <w:szCs w:val="24"/>
        </w:rPr>
        <w:t>，地块二的500m</w:t>
      </w:r>
      <w:r>
        <w:rPr>
          <w:rFonts w:ascii="Arial" w:hAnsi="Arial" w:eastAsia="宋体" w:cs="Arial"/>
          <w:spacing w:val="10"/>
          <w:sz w:val="24"/>
          <w:szCs w:val="24"/>
          <w:vertAlign w:val="superscript"/>
        </w:rPr>
        <w:t>3</w:t>
      </w:r>
      <w:r>
        <w:rPr>
          <w:rFonts w:ascii="Arial" w:hAnsi="Arial" w:eastAsia="宋体" w:cs="Arial"/>
          <w:spacing w:val="10"/>
          <w:sz w:val="24"/>
          <w:szCs w:val="24"/>
        </w:rPr>
        <w:t>，地块三的800m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若泄漏物料超过储罐/储槽围堰高度的三分之二，应立即打开阀门，将泄漏物料引入事故池，避免泄漏物料溢流出围堰，待事故妥善处理后，将可回收部分进行回收利用，不可回收部分分批送污水处理站处理后达标排放；若泄漏物料量超过事故池容量的三分之二而事故仍无法得到有效控制，应立即采取停产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一般情况下企业生产设施发生泄漏的可能性较小，且事故发生后较易控制，可将风险控制在车间或厂区内；污水处理系统出现自身故障或由其他外部因素影响而发生故障的几率相对较大，若污水处理站发生事故，导致污水无法处理达标，可将该污水排入事故池中暂存。</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三级风险防范措施—雨水废水排口闸阀</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一般情况下，事故发生后，一级、二级风险防范措施即能够将事故控制在厂内，但由于特殊原因或者不可抗拒因素，危害难以控制。</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厂区雨水和废水排口设置闸阀，一旦由于强烈不可抗力造成物料或污水泄漏，停产后一级、二级风险防范措施未能全部储存物料或污水，应立即关闭闸阀，避免事故废水由雨水排口进入外环境，最大限度避免事故废水进入地表水体。</w:t>
      </w:r>
    </w:p>
    <w:p>
      <w:pPr>
        <w:spacing w:line="500" w:lineRule="exact"/>
        <w:ind w:firstLine="490" w:firstLineChars="200"/>
        <w:rPr>
          <w:rFonts w:ascii="Arial" w:hAnsi="Arial" w:eastAsia="宋体" w:cs="Arial"/>
          <w:spacing w:val="10"/>
          <w:sz w:val="24"/>
          <w:szCs w:val="24"/>
        </w:rPr>
      </w:pPr>
    </w:p>
    <w:p>
      <w:pPr>
        <w:jc w:val="center"/>
        <w:rPr>
          <w:rFonts w:ascii="Arial" w:hAnsi="Arial" w:eastAsia="宋体" w:cs="Arial"/>
          <w:spacing w:val="10"/>
          <w:sz w:val="24"/>
          <w:szCs w:val="24"/>
        </w:rPr>
      </w:pPr>
      <w:r>
        <w:rPr>
          <w:rFonts w:ascii="Arial" w:hAnsi="Arial" w:cs="Arial"/>
        </w:rPr>
        <w:drawing>
          <wp:inline distT="0" distB="0" distL="114300" distR="114300">
            <wp:extent cx="4457700" cy="3152140"/>
            <wp:effectExtent l="0" t="0" r="0" b="10160"/>
            <wp:docPr id="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pic:cNvPicPr>
                      <a:picLocks noChangeAspect="1"/>
                    </pic:cNvPicPr>
                  </pic:nvPicPr>
                  <pic:blipFill>
                    <a:blip r:embed="rId144"/>
                    <a:stretch>
                      <a:fillRect/>
                    </a:stretch>
                  </pic:blipFill>
                  <pic:spPr>
                    <a:xfrm>
                      <a:off x="0" y="0"/>
                      <a:ext cx="4457700" cy="3152140"/>
                    </a:xfrm>
                    <a:prstGeom prst="rect">
                      <a:avLst/>
                    </a:prstGeom>
                    <a:noFill/>
                    <a:ln>
                      <a:noFill/>
                    </a:ln>
                  </pic:spPr>
                </pic:pic>
              </a:graphicData>
            </a:graphic>
          </wp:inline>
        </w:drawing>
      </w:r>
    </w:p>
    <w:p>
      <w:pPr>
        <w:spacing w:line="500" w:lineRule="exact"/>
        <w:ind w:firstLine="490" w:firstLineChars="20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17</w:t>
      </w:r>
      <w:r>
        <w:rPr>
          <w:rFonts w:ascii="Arial" w:hAnsi="Arial" w:eastAsia="宋体" w:cs="Arial"/>
          <w:b/>
          <w:spacing w:val="10"/>
          <w:sz w:val="24"/>
          <w:szCs w:val="24"/>
        </w:rPr>
        <w:t xml:space="preserve">  水环境风险防控体系封堵措施体系示意图</w:t>
      </w:r>
    </w:p>
    <w:p>
      <w:pPr>
        <w:ind w:firstLine="530" w:firstLineChars="200"/>
        <w:jc w:val="center"/>
        <w:rPr>
          <w:rFonts w:ascii="Arial" w:hAnsi="Arial" w:eastAsia="宋体" w:cs="Arial"/>
          <w:spacing w:val="10"/>
          <w:sz w:val="24"/>
          <w:szCs w:val="24"/>
        </w:rPr>
      </w:pPr>
      <w:r>
        <w:rPr>
          <w:rFonts w:ascii="Arial" w:hAnsi="Arial" w:cs="Arial"/>
        </w:rPr>
        <mc:AlternateContent>
          <mc:Choice Requires="wps">
            <w:drawing>
              <wp:anchor distT="0" distB="0" distL="114300" distR="114300" simplePos="0" relativeHeight="251713536" behindDoc="0" locked="0" layoutInCell="1" allowOverlap="1">
                <wp:simplePos x="0" y="0"/>
                <wp:positionH relativeFrom="column">
                  <wp:posOffset>3095625</wp:posOffset>
                </wp:positionH>
                <wp:positionV relativeFrom="paragraph">
                  <wp:posOffset>5261610</wp:posOffset>
                </wp:positionV>
                <wp:extent cx="71755" cy="158115"/>
                <wp:effectExtent l="0" t="5080" r="18415" b="18415"/>
                <wp:wrapNone/>
                <wp:docPr id="18" name="流程图: 对照 18"/>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43.75pt;margin-top:414.3pt;height:12.45pt;width:5.65pt;rotation:-5898240f;z-index:251713536;v-text-anchor:middle;mso-width-relative:page;mso-height-relative:page;" fillcolor="#00B050" filled="t" stroked="t" coordsize="21600,21600" o:gfxdata="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Gc6o9kAAAALAQAADwAAAAAAAAABACAAAAAiAAAAZHJz&#10;L2Rvd25yZXYueG1sUEsBAhQAFAAAAAgAh07iQFBvbM51AgAAwwQAAA4AAAAAAAAAAQAgAAAAKAEA&#10;AGRycy9lMm9Eb2MueG1sUEsFBgAAAAAGAAYAWQEAAA8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701248" behindDoc="0" locked="0" layoutInCell="1" allowOverlap="1">
                <wp:simplePos x="0" y="0"/>
                <wp:positionH relativeFrom="column">
                  <wp:posOffset>3286125</wp:posOffset>
                </wp:positionH>
                <wp:positionV relativeFrom="paragraph">
                  <wp:posOffset>2450465</wp:posOffset>
                </wp:positionV>
                <wp:extent cx="71755" cy="158115"/>
                <wp:effectExtent l="0" t="5080" r="18415" b="18415"/>
                <wp:wrapNone/>
                <wp:docPr id="7" name="流程图: 对照 7"/>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58.75pt;margin-top:192.95pt;height:12.45pt;width:5.65pt;rotation:-5898240f;z-index:251701248;v-text-anchor:middle;mso-width-relative:page;mso-height-relative:page;" fillcolor="#00B050" filled="t" stroked="t" coordsize="21600,21600" o:gfxdata="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ENE9n2QAAAAsBAAAPAAAAAAAAAAEAIAAAACIAAABkcnMv&#10;ZG93bnJldi54bWxQSwECFAAUAAAACACHTuJA619GV3QCAADBBAAADgAAAAAAAAABACAAAAAoAQAA&#10;ZHJzL2Uyb0RvYy54bWxQSwUGAAAAAAYABgBZAQAADgY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700224" behindDoc="0" locked="0" layoutInCell="1" allowOverlap="1">
                <wp:simplePos x="0" y="0"/>
                <wp:positionH relativeFrom="column">
                  <wp:posOffset>3444875</wp:posOffset>
                </wp:positionH>
                <wp:positionV relativeFrom="paragraph">
                  <wp:posOffset>2644775</wp:posOffset>
                </wp:positionV>
                <wp:extent cx="71755" cy="158115"/>
                <wp:effectExtent l="0" t="5080" r="18415" b="18415"/>
                <wp:wrapNone/>
                <wp:docPr id="9" name="流程图: 对照 9"/>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71.25pt;margin-top:208.25pt;height:12.45pt;width:5.65pt;rotation:-5898240f;z-index:251700224;v-text-anchor:middle;mso-width-relative:page;mso-height-relative:page;" fillcolor="#00B050" filled="t" stroked="t" coordsize="21600,21600" o:gfxdata="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5tNxf2QAAAAsBAAAPAAAAAAAAAAEAIAAAACIAAABkcnMv&#10;ZG93bnJldi54bWxQSwECFAAUAAAACACHTuJA/w6ufXQCAADBBAAADgAAAAAAAAABACAAAAAoAQAA&#10;ZHJzL2Uyb0RvYy54bWxQSwUGAAAAAAYABgBZAQAADgY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9200" behindDoc="0" locked="0" layoutInCell="1" allowOverlap="1">
                <wp:simplePos x="0" y="0"/>
                <wp:positionH relativeFrom="column">
                  <wp:posOffset>2125345</wp:posOffset>
                </wp:positionH>
                <wp:positionV relativeFrom="paragraph">
                  <wp:posOffset>2573655</wp:posOffset>
                </wp:positionV>
                <wp:extent cx="71755" cy="158115"/>
                <wp:effectExtent l="0" t="5080" r="18415" b="18415"/>
                <wp:wrapNone/>
                <wp:docPr id="226" name="流程图: 对照 226"/>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67.35pt;margin-top:202.65pt;height:12.45pt;width:5.65pt;rotation:-5898240f;z-index:251699200;v-text-anchor:middle;mso-width-relative:page;mso-height-relative:page;" fillcolor="#00B050" filled="t" stroked="t" coordsize="21600,21600" o:gfxdata="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&#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zXBizYAAAACwEAAA8AAAAAAAAAAQAgAAAAIgAAAGRy&#10;cy9kb3ducmV2LnhtbFBLAQIUABQAAAAIAIdO4kCjiiBxdwIAAMUEAAAOAAAAAAAAAAEAIAAAACcB&#10;AABkcnMvZTJvRG9jLnhtbFBLBQYAAAAABgAGAFkBAAAQBg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8176" behindDoc="0" locked="0" layoutInCell="1" allowOverlap="1">
                <wp:simplePos x="0" y="0"/>
                <wp:positionH relativeFrom="column">
                  <wp:posOffset>1869440</wp:posOffset>
                </wp:positionH>
                <wp:positionV relativeFrom="paragraph">
                  <wp:posOffset>5131435</wp:posOffset>
                </wp:positionV>
                <wp:extent cx="71755" cy="158115"/>
                <wp:effectExtent l="0" t="5080" r="18415" b="18415"/>
                <wp:wrapNone/>
                <wp:docPr id="14" name="流程图: 对照 14"/>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47.2pt;margin-top:404.05pt;height:12.45pt;width:5.65pt;rotation:-5898240f;z-index:251698176;v-text-anchor:middle;mso-width-relative:page;mso-height-relative:page;" fillcolor="#00B050" filled="t" stroked="t" coordsize="21600,21600" o:gfxdata="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xfeEdkAAAALAQAADwAAAAAAAAABACAAAAAiAAAAZHJz&#10;L2Rvd25yZXYueG1sUEsBAhQAFAAAAAgAh07iQNYeOuh1AgAAwwQAAA4AAAAAAAAAAQAgAAAAKAEA&#10;AGRycy9lMm9Eb2MueG1sUEsFBgAAAAAGAAYAWQEAAA8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7152" behindDoc="0" locked="0" layoutInCell="1" allowOverlap="1">
                <wp:simplePos x="0" y="0"/>
                <wp:positionH relativeFrom="column">
                  <wp:posOffset>2409825</wp:posOffset>
                </wp:positionH>
                <wp:positionV relativeFrom="paragraph">
                  <wp:posOffset>5367020</wp:posOffset>
                </wp:positionV>
                <wp:extent cx="71755" cy="158115"/>
                <wp:effectExtent l="0" t="5080" r="18415" b="18415"/>
                <wp:wrapNone/>
                <wp:docPr id="224" name="流程图: 对照 224"/>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89.75pt;margin-top:422.6pt;height:12.45pt;width:5.65pt;rotation:-5898240f;z-index:251697152;v-text-anchor:middle;mso-width-relative:page;mso-height-relative:page;" fillcolor="#00B050" filled="t" stroked="t" coordsize="21600,21600" o:gfxdata="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Qp9U52QAAAAsBAAAPAAAAAAAAAAEAIAAAACIAAABk&#10;cnMvZG93bnJldi54bWxQSwECFAAUAAAACACHTuJAw/1IPncCAADFBAAADgAAAAAAAAABACAAAAAo&#10;AQAAZHJzL2Uyb0RvYy54bWxQSwUGAAAAAAYABgBZAQAAEQY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5104" behindDoc="0" locked="0" layoutInCell="1" allowOverlap="1">
                <wp:simplePos x="0" y="0"/>
                <wp:positionH relativeFrom="column">
                  <wp:posOffset>2687320</wp:posOffset>
                </wp:positionH>
                <wp:positionV relativeFrom="paragraph">
                  <wp:posOffset>6844030</wp:posOffset>
                </wp:positionV>
                <wp:extent cx="83185" cy="158750"/>
                <wp:effectExtent l="318" t="0" r="12382" b="12383"/>
                <wp:wrapNone/>
                <wp:docPr id="225" name="流程图: 对照 225"/>
                <wp:cNvGraphicFramePr/>
                <a:graphic xmlns:a="http://schemas.openxmlformats.org/drawingml/2006/main">
                  <a:graphicData uri="http://schemas.microsoft.com/office/word/2010/wordprocessingShape">
                    <wps:wsp>
                      <wps:cNvSpPr/>
                      <wps:spPr>
                        <a:xfrm rot="16200000" flipH="1">
                          <a:off x="0" y="0"/>
                          <a:ext cx="83185" cy="158750"/>
                        </a:xfrm>
                        <a:prstGeom prst="flowChartCollate">
                          <a:avLst/>
                        </a:prstGeom>
                        <a:solidFill>
                          <a:srgbClr val="CC00FF"/>
                        </a:solidFill>
                        <a:ln w="12700" cap="flat" cmpd="sng" algn="ctr">
                          <a:solidFill>
                            <a:srgbClr val="CC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flip:x;margin-left:211.6pt;margin-top:538.9pt;height:12.5pt;width:6.55pt;rotation:5898240f;z-index:251695104;v-text-anchor:middle;mso-width-relative:page;mso-height-relative:page;" fillcolor="#CC00FF" filled="t" stroked="t" coordsize="21600,21600" o:gfxdata="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JchmjbAAAADQEAAA8AAAAAAAAAAQAgAAAAIgAA&#10;AGRycy9kb3ducmV2LnhtbFBLAQIUABQAAAAIAIdO4kDEH0aKdwIAAM8EAAAOAAAAAAAAAAEAIAAA&#10;ACoBAABkcnMvZTJvRG9jLnhtbFBLBQYAAAAABgAGAFkBAAATBgAAAAA=&#10;">
                <v:fill on="t" focussize="0,0"/>
                <v:stroke weight="1pt" color="#CC00FF" joinstyle="round"/>
                <v:imagedata o:title=""/>
                <o:lock v:ext="edit" aspectratio="f"/>
              </v:shape>
            </w:pict>
          </mc:Fallback>
        </mc:AlternateContent>
      </w:r>
      <w:r>
        <w:rPr>
          <w:rFonts w:ascii="Arial" w:hAnsi="Arial" w:cs="Arial"/>
        </w:rPr>
        <w:drawing>
          <wp:anchor distT="0" distB="0" distL="114300" distR="114300" simplePos="0" relativeHeight="251692032" behindDoc="0" locked="0" layoutInCell="1" allowOverlap="1">
            <wp:simplePos x="0" y="0"/>
            <wp:positionH relativeFrom="column">
              <wp:posOffset>4897120</wp:posOffset>
            </wp:positionH>
            <wp:positionV relativeFrom="paragraph">
              <wp:posOffset>87630</wp:posOffset>
            </wp:positionV>
            <wp:extent cx="617220" cy="823595"/>
            <wp:effectExtent l="0" t="0" r="0" b="0"/>
            <wp:wrapNone/>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17220" cy="823595"/>
                    </a:xfrm>
                    <a:prstGeom prst="rect">
                      <a:avLst/>
                    </a:prstGeom>
                  </pic:spPr>
                </pic:pic>
              </a:graphicData>
            </a:graphic>
          </wp:anchor>
        </w:drawing>
      </w:r>
      <w:r>
        <w:rPr>
          <w:rFonts w:ascii="Arial" w:hAnsi="Arial" w:eastAsia="宋体" w:cs="Arial"/>
          <w:spacing w:val="10"/>
          <w:sz w:val="24"/>
          <w:szCs w:val="24"/>
        </w:rPr>
        <mc:AlternateContent>
          <mc:Choice Requires="wps">
            <w:drawing>
              <wp:anchor distT="0" distB="0" distL="114300" distR="114300" simplePos="0" relativeHeight="251693056" behindDoc="0" locked="0" layoutInCell="1" allowOverlap="1">
                <wp:simplePos x="0" y="0"/>
                <wp:positionH relativeFrom="column">
                  <wp:posOffset>340360</wp:posOffset>
                </wp:positionH>
                <wp:positionV relativeFrom="paragraph">
                  <wp:posOffset>6962775</wp:posOffset>
                </wp:positionV>
                <wp:extent cx="1336675" cy="831215"/>
                <wp:effectExtent l="0" t="0" r="15875" b="26035"/>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6964" cy="831215"/>
                        </a:xfrm>
                        <a:prstGeom prst="rect">
                          <a:avLst/>
                        </a:prstGeom>
                        <a:solidFill>
                          <a:srgbClr val="FFFFFF"/>
                        </a:solidFill>
                        <a:ln w="9525">
                          <a:solidFill>
                            <a:srgbClr val="000000"/>
                          </a:solidFill>
                          <a:miter lim="800000"/>
                        </a:ln>
                      </wps:spPr>
                      <wps:txbx>
                        <w:txbxContent>
                          <w:p>
                            <w:pPr>
                              <w:rPr>
                                <w:rFonts w:ascii="Arial" w:hAnsi="Arial" w:eastAsia="宋体" w:cs="Arial"/>
                                <w:b/>
                                <w:sz w:val="21"/>
                                <w:szCs w:val="21"/>
                              </w:rPr>
                            </w:pPr>
                            <w:r>
                              <w:rPr>
                                <w:rFonts w:ascii="Arial" w:hAnsi="Arial" w:eastAsia="宋体" w:cs="Arial"/>
                                <w:b/>
                                <w:sz w:val="21"/>
                                <w:szCs w:val="21"/>
                              </w:rPr>
                              <w:t>图例：</w:t>
                            </w:r>
                          </w:p>
                          <w:p>
                            <w:pPr>
                              <w:spacing w:line="300" w:lineRule="exact"/>
                              <w:ind w:firstLine="397"/>
                              <w:rPr>
                                <w:rFonts w:ascii="Arial" w:hAnsi="Arial" w:eastAsia="宋体" w:cs="Arial"/>
                                <w:sz w:val="21"/>
                                <w:szCs w:val="21"/>
                              </w:rPr>
                            </w:pPr>
                            <w:r>
                              <w:rPr>
                                <w:rFonts w:hint="eastAsia" w:ascii="Arial" w:hAnsi="Arial" w:eastAsia="宋体" w:cs="Arial"/>
                                <w:sz w:val="21"/>
                                <w:szCs w:val="21"/>
                              </w:rPr>
                              <w:t>雨水阀</w:t>
                            </w:r>
                          </w:p>
                          <w:p>
                            <w:pPr>
                              <w:spacing w:line="300" w:lineRule="exact"/>
                              <w:ind w:firstLine="397"/>
                              <w:rPr>
                                <w:rFonts w:ascii="Arial" w:hAnsi="Arial" w:eastAsia="宋体" w:cs="Arial"/>
                                <w:sz w:val="21"/>
                                <w:szCs w:val="21"/>
                              </w:rPr>
                            </w:pPr>
                            <w:r>
                              <w:rPr>
                                <w:rFonts w:hint="eastAsia" w:ascii="Arial" w:hAnsi="Arial" w:eastAsia="宋体" w:cs="Arial"/>
                                <w:sz w:val="21"/>
                                <w:szCs w:val="21"/>
                              </w:rPr>
                              <w:t>污水排放口阀门</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6.8pt;margin-top:548.25pt;height:65.45pt;width:105.25pt;z-index:251693056;mso-width-relative:page;mso-height-relative:page;" fillcolor="#FFFFFF" filled="t" stroked="t" coordsize="21600,21600" o:gfxdata="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bf&#10;lHXbAAAADAEAAA8AAAAAAAAAAQAgAAAAIgAAAGRycy9kb3ducmV2LnhtbFBLAQIUABQAAAAIAIdO&#10;4kAy7AJzIAIAAC8EAAAOAAAAAAAAAAEAIAAAACoBAABkcnMvZTJvRG9jLnhtbFBLBQYAAAAABgAG&#10;AFkBAAC8BQAAAAA=&#10;">
                <v:fill on="t" focussize="0,0"/>
                <v:stroke color="#000000" miterlimit="8" joinstyle="miter"/>
                <v:imagedata o:title=""/>
                <o:lock v:ext="edit" aspectratio="f"/>
                <v:textbox>
                  <w:txbxContent>
                    <w:p>
                      <w:pPr>
                        <w:rPr>
                          <w:rFonts w:ascii="Arial" w:hAnsi="Arial" w:eastAsia="宋体" w:cs="Arial"/>
                          <w:b/>
                          <w:sz w:val="21"/>
                          <w:szCs w:val="21"/>
                        </w:rPr>
                      </w:pPr>
                      <w:r>
                        <w:rPr>
                          <w:rFonts w:ascii="Arial" w:hAnsi="Arial" w:eastAsia="宋体" w:cs="Arial"/>
                          <w:b/>
                          <w:sz w:val="21"/>
                          <w:szCs w:val="21"/>
                        </w:rPr>
                        <w:t>图例：</w:t>
                      </w:r>
                    </w:p>
                    <w:p>
                      <w:pPr>
                        <w:spacing w:line="300" w:lineRule="exact"/>
                        <w:ind w:firstLine="397"/>
                        <w:rPr>
                          <w:rFonts w:ascii="Arial" w:hAnsi="Arial" w:eastAsia="宋体" w:cs="Arial"/>
                          <w:sz w:val="21"/>
                          <w:szCs w:val="21"/>
                        </w:rPr>
                      </w:pPr>
                      <w:r>
                        <w:rPr>
                          <w:rFonts w:hint="eastAsia" w:ascii="Arial" w:hAnsi="Arial" w:eastAsia="宋体" w:cs="Arial"/>
                          <w:sz w:val="21"/>
                          <w:szCs w:val="21"/>
                        </w:rPr>
                        <w:t>雨水阀</w:t>
                      </w:r>
                    </w:p>
                    <w:p>
                      <w:pPr>
                        <w:spacing w:line="300" w:lineRule="exact"/>
                        <w:ind w:firstLine="397"/>
                        <w:rPr>
                          <w:rFonts w:ascii="Arial" w:hAnsi="Arial" w:eastAsia="宋体" w:cs="Arial"/>
                          <w:sz w:val="21"/>
                          <w:szCs w:val="21"/>
                        </w:rPr>
                      </w:pPr>
                      <w:r>
                        <w:rPr>
                          <w:rFonts w:hint="eastAsia" w:ascii="Arial" w:hAnsi="Arial" w:eastAsia="宋体" w:cs="Arial"/>
                          <w:sz w:val="21"/>
                          <w:szCs w:val="21"/>
                        </w:rPr>
                        <w:t>污水排放口阀门</w:t>
                      </w:r>
                    </w:p>
                  </w:txbxContent>
                </v:textbox>
              </v:shape>
            </w:pict>
          </mc:Fallback>
        </mc:AlternateContent>
      </w:r>
      <w:r>
        <w:rPr>
          <w:rFonts w:ascii="Arial" w:hAnsi="Arial" w:cs="Arial"/>
        </w:rPr>
        <mc:AlternateContent>
          <mc:Choice Requires="wps">
            <w:drawing>
              <wp:anchor distT="0" distB="0" distL="114300" distR="114300" simplePos="0" relativeHeight="251696128" behindDoc="0" locked="0" layoutInCell="1" allowOverlap="1">
                <wp:simplePos x="0" y="0"/>
                <wp:positionH relativeFrom="column">
                  <wp:posOffset>506095</wp:posOffset>
                </wp:positionH>
                <wp:positionV relativeFrom="paragraph">
                  <wp:posOffset>7511415</wp:posOffset>
                </wp:positionV>
                <wp:extent cx="83185" cy="158750"/>
                <wp:effectExtent l="0" t="0" r="12700" b="12700"/>
                <wp:wrapNone/>
                <wp:docPr id="227" name="流程图: 对照 227"/>
                <wp:cNvGraphicFramePr/>
                <a:graphic xmlns:a="http://schemas.openxmlformats.org/drawingml/2006/main">
                  <a:graphicData uri="http://schemas.microsoft.com/office/word/2010/wordprocessingShape">
                    <wps:wsp>
                      <wps:cNvSpPr/>
                      <wps:spPr>
                        <a:xfrm rot="16200000" flipH="1">
                          <a:off x="0" y="0"/>
                          <a:ext cx="83127" cy="158750"/>
                        </a:xfrm>
                        <a:prstGeom prst="flowChartCollate">
                          <a:avLst/>
                        </a:prstGeom>
                        <a:solidFill>
                          <a:srgbClr val="CC00FF"/>
                        </a:solidFill>
                        <a:ln w="12700" cap="flat" cmpd="sng" algn="ctr">
                          <a:solidFill>
                            <a:srgbClr val="CC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flip:x;margin-left:39.85pt;margin-top:591.45pt;height:12.5pt;width:6.55pt;rotation:5898240f;z-index:251696128;v-text-anchor:middle;mso-width-relative:page;mso-height-relative:page;" fillcolor="#CC00FF" filled="t" stroked="t" coordsize="21600,21600" o:gfxdata="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xObKaNgAAAALAQAADwAAAAAAAAABACAAAAAiAAAAZHJz&#10;L2Rvd25yZXYueG1sUEsBAhQAFAAAAAgAh07iQIM9O6V2AgAAzwQAAA4AAAAAAAAAAQAgAAAAJwEA&#10;AGRycy9lMm9Eb2MueG1sUEsFBgAAAAAGAAYAWQEAAA8GAAAAAA==&#10;">
                <v:fill on="t" focussize="0,0"/>
                <v:stroke weight="1pt" color="#CC00FF"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4080" behindDoc="0" locked="0" layoutInCell="1" allowOverlap="1">
                <wp:simplePos x="0" y="0"/>
                <wp:positionH relativeFrom="column">
                  <wp:posOffset>523240</wp:posOffset>
                </wp:positionH>
                <wp:positionV relativeFrom="paragraph">
                  <wp:posOffset>7308215</wp:posOffset>
                </wp:positionV>
                <wp:extent cx="71755" cy="158750"/>
                <wp:effectExtent l="0" t="0" r="23495" b="12700"/>
                <wp:wrapNone/>
                <wp:docPr id="228" name="流程图: 对照 228"/>
                <wp:cNvGraphicFramePr/>
                <a:graphic xmlns:a="http://schemas.openxmlformats.org/drawingml/2006/main">
                  <a:graphicData uri="http://schemas.microsoft.com/office/word/2010/wordprocessingShape">
                    <wps:wsp>
                      <wps:cNvSpPr/>
                      <wps:spPr>
                        <a:xfrm>
                          <a:off x="0" y="0"/>
                          <a:ext cx="71755" cy="158750"/>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41.2pt;margin-top:575.45pt;height:12.5pt;width:5.65pt;z-index:251694080;v-text-anchor:middle;mso-width-relative:page;mso-height-relative:page;" fillcolor="#00B050" filled="t" stroked="t" coordsize="21600,21600" o:gfxdata="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WoVI9kAAAALAQAADwAAAAAAAAABACAAAAAiAAAAZHJzL2Rvd25yZXYu&#10;eG1sUEsBAhQAFAAAAAgAh07iQJB1GwtsAgAAtgQAAA4AAAAAAAAAAQAgAAAAKAEAAGRycy9lMm9E&#10;b2MueG1sUEsFBgAAAAAGAAYAWQEAAAYGAAAAAA==&#10;">
                <v:fill on="t" focussize="0,0"/>
                <v:stroke weight="1pt" color="#009900" joinstyle="round"/>
                <v:imagedata o:title=""/>
                <o:lock v:ext="edit" aspectratio="f"/>
              </v:shape>
            </w:pict>
          </mc:Fallback>
        </mc:AlternateContent>
      </w:r>
      <w:r>
        <w:rPr>
          <w:rFonts w:ascii="Arial" w:hAnsi="Arial" w:eastAsia="宋体" w:cs="Arial"/>
          <w:spacing w:val="10"/>
          <w:sz w:val="24"/>
          <w:szCs w:val="24"/>
        </w:rPr>
        <w:drawing>
          <wp:inline distT="0" distB="0" distL="0" distR="0">
            <wp:extent cx="5170170" cy="7716520"/>
            <wp:effectExtent l="19050" t="19050" r="11430" b="17780"/>
            <wp:docPr id="280" name="图片 280" descr="C:\Users\Admin\Desktop\底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Admin\Desktop\底图.jpg"/>
                    <pic:cNvPicPr>
                      <a:picLocks noChangeAspect="1" noChangeArrowheads="1"/>
                    </pic:cNvPicPr>
                  </pic:nvPicPr>
                  <pic:blipFill>
                    <a:blip r:embed="rId146">
                      <a:extLst>
                        <a:ext uri="{28A0092B-C50C-407E-A947-70E740481C1C}">
                          <a14:useLocalDpi xmlns:a14="http://schemas.microsoft.com/office/drawing/2010/main" val="0"/>
                        </a:ext>
                      </a:extLst>
                    </a:blip>
                    <a:srcRect t="4865"/>
                    <a:stretch>
                      <a:fillRect/>
                    </a:stretch>
                  </pic:blipFill>
                  <pic:spPr>
                    <a:xfrm>
                      <a:off x="0" y="0"/>
                      <a:ext cx="5174615" cy="7723495"/>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pPr>
        <w:spacing w:line="500" w:lineRule="exact"/>
        <w:ind w:firstLine="490" w:firstLineChars="200"/>
        <w:jc w:val="center"/>
        <w:rPr>
          <w:rFonts w:ascii="Arial" w:hAnsi="Arial" w:eastAsia="宋体" w:cs="Arial"/>
          <w:b/>
          <w:spacing w:val="10"/>
          <w:sz w:val="24"/>
          <w:szCs w:val="24"/>
          <w:highlight w:val="yellow"/>
        </w:rPr>
      </w:pPr>
      <w:r>
        <w:rPr>
          <w:rFonts w:ascii="Arial" w:hAnsi="Arial" w:eastAsia="宋体" w:cs="Arial"/>
          <w:b/>
          <w:spacing w:val="10"/>
          <w:sz w:val="24"/>
          <w:szCs w:val="24"/>
        </w:rPr>
        <w:t>图4.3-</w:t>
      </w:r>
      <w:r>
        <w:rPr>
          <w:rFonts w:hint="eastAsia" w:ascii="Arial" w:hAnsi="Arial" w:eastAsia="宋体" w:cs="Arial"/>
          <w:b/>
          <w:spacing w:val="10"/>
          <w:sz w:val="24"/>
          <w:szCs w:val="24"/>
        </w:rPr>
        <w:t>18</w:t>
      </w:r>
      <w:r>
        <w:rPr>
          <w:rFonts w:ascii="Arial" w:hAnsi="Arial" w:eastAsia="宋体" w:cs="Arial"/>
          <w:b/>
          <w:spacing w:val="10"/>
          <w:sz w:val="24"/>
          <w:szCs w:val="24"/>
        </w:rPr>
        <w:t xml:space="preserve">  厂区水封堵位置</w:t>
      </w:r>
      <w:r>
        <w:rPr>
          <w:rFonts w:hint="eastAsia" w:ascii="Arial" w:hAnsi="Arial" w:eastAsia="宋体" w:cs="Arial"/>
          <w:b/>
          <w:spacing w:val="10"/>
          <w:sz w:val="24"/>
          <w:szCs w:val="24"/>
        </w:rPr>
        <w:t>示意图</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（2）雨水系统</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目前厂区设有3个初期雨水池，总容积9000m</w:t>
      </w:r>
      <w:r>
        <w:rPr>
          <w:rFonts w:ascii="Arial" w:hAnsi="Arial" w:eastAsia="宋体" w:cs="Arial"/>
          <w:spacing w:val="10"/>
          <w:sz w:val="24"/>
          <w:szCs w:val="24"/>
          <w:vertAlign w:val="superscript"/>
        </w:rPr>
        <w:t>3</w:t>
      </w:r>
      <w:r>
        <w:rPr>
          <w:rFonts w:ascii="Arial" w:hAnsi="Arial" w:eastAsia="宋体" w:cs="Arial"/>
          <w:spacing w:val="10"/>
          <w:sz w:val="24"/>
          <w:szCs w:val="24"/>
        </w:rPr>
        <w:t>，其中地块一的1000m</w:t>
      </w:r>
      <w:r>
        <w:rPr>
          <w:rFonts w:ascii="Arial" w:hAnsi="Arial" w:eastAsia="宋体" w:cs="Arial"/>
          <w:spacing w:val="10"/>
          <w:sz w:val="24"/>
          <w:szCs w:val="24"/>
          <w:vertAlign w:val="superscript"/>
        </w:rPr>
        <w:t>3</w:t>
      </w:r>
      <w:r>
        <w:rPr>
          <w:rFonts w:ascii="Arial" w:hAnsi="Arial" w:eastAsia="宋体" w:cs="Arial"/>
          <w:spacing w:val="10"/>
          <w:sz w:val="24"/>
          <w:szCs w:val="24"/>
        </w:rPr>
        <w:t>，地块二的4500m</w:t>
      </w:r>
      <w:r>
        <w:rPr>
          <w:rFonts w:ascii="Arial" w:hAnsi="Arial" w:eastAsia="宋体" w:cs="Arial"/>
          <w:spacing w:val="10"/>
          <w:sz w:val="24"/>
          <w:szCs w:val="24"/>
          <w:vertAlign w:val="superscript"/>
        </w:rPr>
        <w:t>3</w:t>
      </w:r>
      <w:r>
        <w:rPr>
          <w:rFonts w:ascii="Arial" w:hAnsi="Arial" w:eastAsia="宋体" w:cs="Arial"/>
          <w:spacing w:val="10"/>
          <w:sz w:val="24"/>
          <w:szCs w:val="24"/>
        </w:rPr>
        <w:t>，地块三的3500m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雨水管沟内也在关键节点设置闸门、管线与厂区事故池相连，废水一旦进入雨水系统，可将废水引至事故池后再送至污水处理站处理，阻断事故废水直接通过雨水系统进入厂外水体，造成污染。</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（3）事故状态下废水收集机制</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事故情形下，事故生产废水可直接进入事故池进行暂存，若发生储罐/储槽泄漏事故，泄漏物料首先由围堰进行收集，后导入事故池等待处理；初期雨水经雨水沟闸板阀截留后进入初期雨水收集池暂存，后分批进入污水处理站处理，雨水排口设有闸阀，一旦生产事故废水（如池体溢流）、消防废水等混入雨水管网，可关闭闸阀避免事故废水通过雨水管网进入外环境。</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已有的</w:t>
      </w:r>
      <w:r>
        <w:rPr>
          <w:rFonts w:ascii="Arial" w:hAnsi="Arial" w:eastAsia="宋体" w:cs="Arial"/>
          <w:spacing w:val="10"/>
          <w:sz w:val="24"/>
          <w:szCs w:val="24"/>
        </w:rPr>
        <w:t>大气风险防范措施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（1）物料泄漏应急、救援及减缓措施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当发生易燃易爆或有毒有害物料泄漏时，可根据物料性质，选择采取以下措施，防止事态进一步发展。</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根据事故级别启动应急预案。</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根据装置各高点设置的风向标，将无关人员迅速疏散到上风向安全区，对危险区域进行隔离，并严格控制出入，切断火源；根据需要疏散周围居住区人群。</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易挥发易燃液体泄漏时，用工业覆盖层或吸附/吸收剂盖住泄漏点附近的下水道等地方，防止气体进入。</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④</w:t>
      </w:r>
      <w:r>
        <w:rPr>
          <w:rFonts w:ascii="Arial" w:hAnsi="Arial" w:eastAsia="宋体" w:cs="Arial"/>
          <w:spacing w:val="10"/>
          <w:sz w:val="24"/>
          <w:szCs w:val="24"/>
        </w:rPr>
        <w:t>小量液体泄漏：用砂土或</w:t>
      </w:r>
      <w:r>
        <w:rPr>
          <w:rFonts w:hint="eastAsia" w:ascii="Arial" w:hAnsi="Arial" w:eastAsia="宋体" w:cs="Arial"/>
          <w:spacing w:val="10"/>
          <w:sz w:val="24"/>
          <w:szCs w:val="24"/>
          <w:lang w:eastAsia="zh-CN"/>
        </w:rPr>
        <w:t>其他</w:t>
      </w:r>
      <w:r>
        <w:rPr>
          <w:rFonts w:ascii="Arial" w:hAnsi="Arial" w:eastAsia="宋体" w:cs="Arial"/>
          <w:spacing w:val="10"/>
          <w:sz w:val="24"/>
          <w:szCs w:val="24"/>
        </w:rPr>
        <w:t>不燃材料吸附或吸收。也可以用大量水冲洗（除硫酸外），稀释水排入废水系统；大量液体泄漏：构筑临时围堤收容。用泡沫覆盖，降低挥发蒸气灾害。用防爆泵转移至槽车或专用收集器内，回收或外委资质单位处置。</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⑤</w:t>
      </w:r>
      <w:r>
        <w:rPr>
          <w:rFonts w:ascii="Arial" w:hAnsi="Arial" w:eastAsia="宋体" w:cs="Arial"/>
          <w:spacing w:val="10"/>
          <w:sz w:val="24"/>
          <w:szCs w:val="24"/>
        </w:rPr>
        <w:t>氨水泄漏事故应急措施：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氨水泄漏的部位主要有氨水储罐区、反应车间及氨水物料输送管线的阀门及泵等部位，设置氨水泄漏检测报警装置和水喷淋装置。</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如果是氨水管线或阀门泄漏，迅速撤离泄漏污染区人员至上风处，并根据氨的泄漏量对泄漏区进行隔离，严格限制人员出入。切断火源。应急处理人员戴自给正压式呼吸器，穿防静电工作服。找到泄漏源后立即关门相应的物料输送管线的阀门，并用水喷淋，吸收泄漏挥发到空气中的氨，以减少氨的挥发量。吸收氨水的废水通过车间外的环形水沟排入事故收集池内。</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如果是氨水储罐泄漏，立即开启水喷淋装置，吸收泄漏挥发到空气中的氨，并使用应急泵进行紧急倒料，送入到另一个贮罐中，以减少氨的泄漏和挥发量。吸收氨水的废水暂时储存于氨水储罐区的防火堤内，并通过管道排入事故收集池内。迅速撤离泄漏污染区人员至上风处，并根据氨的泄漏量对泄漏区进行隔离，严格限制人员出入。应急处理人员戴自给正压式呼吸器，穿防静电工作服。切断火源，并对氨水储罐区的泄漏点进行堵漏，控制氨水的泄漏量。</w:t>
      </w:r>
    </w:p>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⑥</w:t>
      </w:r>
      <w:r>
        <w:rPr>
          <w:rFonts w:ascii="Arial" w:hAnsi="Arial" w:eastAsia="宋体" w:cs="Arial"/>
          <w:spacing w:val="10"/>
          <w:sz w:val="24"/>
          <w:szCs w:val="24"/>
        </w:rPr>
        <w:t>盐酸、硫酸储罐泄漏风险防范措施</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盐酸、硫酸风险防范措施表</w:t>
      </w:r>
    </w:p>
    <w:tbl>
      <w:tblPr>
        <w:tblStyle w:val="88"/>
        <w:tblW w:w="8993" w:type="dxa"/>
        <w:jc w:val="center"/>
        <w:tblInd w:w="0" w:type="dxa"/>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3"/>
        <w:gridCol w:w="1091"/>
        <w:gridCol w:w="7079"/>
      </w:tblGrid>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23"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序号</w:t>
            </w:r>
          </w:p>
        </w:tc>
        <w:tc>
          <w:tcPr>
            <w:tcW w:w="1091"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风险因素</w:t>
            </w:r>
          </w:p>
        </w:tc>
        <w:tc>
          <w:tcPr>
            <w:tcW w:w="7079"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防范措施</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993" w:type="dxa"/>
            <w:gridSpan w:val="3"/>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盐酸</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23"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使用储存环节</w:t>
            </w:r>
          </w:p>
        </w:tc>
        <w:tc>
          <w:tcPr>
            <w:tcW w:w="1091"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反应设备槽、储罐发生泄漏</w:t>
            </w:r>
          </w:p>
        </w:tc>
        <w:tc>
          <w:tcPr>
            <w:tcW w:w="7079"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1、盐酸储罐应设高液位报警器，并设截止阀。盐酸储罐区设置HCl 检测报警器探头。</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2、工作人员如皮肤接触，应立即脱去污染衣着，用大量流动清水冲洗至少15 分钟，如溅入眼中，用大量流动清水或生理盐水彻底冲洗至少15 分钟；</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迅速控制泄漏点源，迅速撤离泄漏污染区人员至上风处，并立即进行隔离，小泄漏时隔离150m，大泄漏时隔离300m，严格限制出入；</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3、建议应急处理人员戴自给正压式呼吸器，穿化学防护服，从上风处进入现场，尽可能切断泄漏源；</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4、合理通风，加速扩散，喷水或</w:t>
            </w:r>
            <w:r>
              <w:rPr>
                <w:rFonts w:hint="eastAsia" w:ascii="Arial" w:hAnsi="Arial" w:eastAsia="宋体" w:cs="Arial"/>
                <w:kern w:val="0"/>
                <w:sz w:val="21"/>
                <w:lang w:eastAsia="zh-CN"/>
              </w:rPr>
              <w:t>其他</w:t>
            </w:r>
            <w:r>
              <w:rPr>
                <w:rFonts w:ascii="Arial" w:hAnsi="Arial" w:eastAsia="宋体" w:cs="Arial"/>
                <w:kern w:val="0"/>
                <w:sz w:val="21"/>
              </w:rPr>
              <w:t>稀碱液中和，构筑围堤或挖坑收容产生的大量废水；</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5、联系设备对废水进行收集回收、稀释、中和，用黄沙和泥土吸除渗出的溶液。</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993" w:type="dxa"/>
            <w:gridSpan w:val="3"/>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硫酸</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23"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使用、储存环节</w:t>
            </w:r>
          </w:p>
        </w:tc>
        <w:tc>
          <w:tcPr>
            <w:tcW w:w="1091"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rPr>
                <w:rFonts w:ascii="Arial" w:hAnsi="Arial" w:eastAsia="宋体" w:cs="Arial"/>
                <w:kern w:val="0"/>
                <w:sz w:val="21"/>
              </w:rPr>
            </w:pPr>
            <w:r>
              <w:rPr>
                <w:rFonts w:ascii="Arial" w:hAnsi="Arial" w:eastAsia="宋体" w:cs="Arial"/>
                <w:kern w:val="0"/>
                <w:sz w:val="21"/>
              </w:rPr>
              <w:t>反应设备槽、储罐发生泄漏</w:t>
            </w:r>
          </w:p>
        </w:tc>
        <w:tc>
          <w:tcPr>
            <w:tcW w:w="7079"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1、在硫酸储罐周围设置围堰，围堰内铺设耐酸砖地面。</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2、如硫酸外泄，处理人员应戴好耐酸防护服、防毒面具与橡皮手套再进行泄漏物的处理；</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3、被硫酸污染后的地面上洒上碳酸钠或烧碱中和后，再用水冲洗；</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4、禁止直接用水冲洗硫酸外泄液；</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5、派专人不定期对硫酸贮罐及输出管道、阀门等部件进行检修，及时更换即将损坏的零件；</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6、硫酸贮罐应放置于通风、阴凉和干燥的地方，且地坪需经耐酸处理；</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7、在硫酸贮罐周围不能堆放易燃物品，不能有火源与热源；</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8、附近相关设备要接地线；</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9、配备碱性溶液，以备职工在操作中被硫酸灼伤可进行一定的处理；</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10、在厂区应配备一定量碱以防应急处理使用；</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11、根据规定对贮存设备进行分级，按分级要求，确定检查频率，并保存记录。</w:t>
            </w:r>
          </w:p>
        </w:tc>
      </w:tr>
    </w:tbl>
    <w:p>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⑦</w:t>
      </w:r>
      <w:r>
        <w:rPr>
          <w:rFonts w:ascii="Arial" w:hAnsi="Arial" w:eastAsia="宋体" w:cs="Arial"/>
          <w:spacing w:val="10"/>
          <w:sz w:val="24"/>
          <w:szCs w:val="24"/>
        </w:rPr>
        <w:t>天然气风险防范措施</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天然气风险防范措施</w:t>
      </w:r>
    </w:p>
    <w:tbl>
      <w:tblPr>
        <w:tblStyle w:val="88"/>
        <w:tblW w:w="8993"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24"/>
        <w:gridCol w:w="2180"/>
        <w:gridCol w:w="598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24"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序号</w:t>
            </w:r>
          </w:p>
        </w:tc>
        <w:tc>
          <w:tcPr>
            <w:tcW w:w="2180"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风险因素</w:t>
            </w:r>
          </w:p>
        </w:tc>
        <w:tc>
          <w:tcPr>
            <w:tcW w:w="5989"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防范措施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24"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使用环节</w:t>
            </w:r>
          </w:p>
        </w:tc>
        <w:tc>
          <w:tcPr>
            <w:tcW w:w="2180"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hint="eastAsia" w:ascii="宋体" w:hAnsi="宋体" w:eastAsia="宋体" w:cs="宋体"/>
                <w:kern w:val="0"/>
                <w:sz w:val="21"/>
              </w:rPr>
              <w:t>⑴</w:t>
            </w:r>
            <w:r>
              <w:rPr>
                <w:rFonts w:ascii="Arial" w:hAnsi="Arial" w:eastAsia="宋体" w:cs="Arial"/>
                <w:kern w:val="0"/>
                <w:sz w:val="21"/>
              </w:rPr>
              <w:t>管线发生泄漏或爆炸；</w:t>
            </w:r>
            <w:r>
              <w:rPr>
                <w:rFonts w:hint="eastAsia" w:ascii="宋体" w:hAnsi="宋体" w:eastAsia="宋体" w:cs="宋体"/>
                <w:kern w:val="0"/>
                <w:sz w:val="21"/>
              </w:rPr>
              <w:t>⑵</w:t>
            </w:r>
            <w:r>
              <w:rPr>
                <w:rFonts w:ascii="Arial" w:hAnsi="Arial" w:eastAsia="宋体" w:cs="Arial"/>
                <w:kern w:val="0"/>
                <w:sz w:val="21"/>
              </w:rPr>
              <w:t>员工生产操作技术不符合规范导致氨气泄漏；</w:t>
            </w:r>
            <w:r>
              <w:rPr>
                <w:rFonts w:hint="eastAsia" w:ascii="宋体" w:hAnsi="宋体" w:eastAsia="宋体" w:cs="宋体"/>
                <w:kern w:val="0"/>
                <w:sz w:val="21"/>
              </w:rPr>
              <w:t>⑶</w:t>
            </w:r>
            <w:r>
              <w:rPr>
                <w:rFonts w:ascii="Arial" w:hAnsi="Arial" w:eastAsia="宋体" w:cs="Arial"/>
                <w:kern w:val="0"/>
                <w:sz w:val="21"/>
              </w:rPr>
              <w:t>连接管阀门密封不严泄漏。</w:t>
            </w:r>
          </w:p>
        </w:tc>
        <w:tc>
          <w:tcPr>
            <w:tcW w:w="5989" w:type="dxa"/>
            <w:tcBorders>
              <w:top w:val="single" w:color="auto" w:sz="2" w:space="0"/>
              <w:left w:val="single" w:color="auto" w:sz="2" w:space="0"/>
              <w:bottom w:val="single" w:color="auto" w:sz="2" w:space="0"/>
              <w:right w:val="single" w:color="auto" w:sz="2" w:space="0"/>
            </w:tcBorders>
            <w:vAlign w:val="center"/>
          </w:tcPr>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1、控制天然气的泄漏；</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2、设立警戒区域，除消防及应急处理人员外，</w:t>
            </w:r>
            <w:r>
              <w:rPr>
                <w:rFonts w:hint="eastAsia" w:ascii="Arial" w:hAnsi="Arial" w:eastAsia="宋体" w:cs="Arial"/>
                <w:kern w:val="0"/>
                <w:sz w:val="21"/>
                <w:lang w:eastAsia="zh-CN"/>
              </w:rPr>
              <w:t>其他</w:t>
            </w:r>
            <w:r>
              <w:rPr>
                <w:rFonts w:ascii="Arial" w:hAnsi="Arial" w:eastAsia="宋体" w:cs="Arial"/>
                <w:kern w:val="0"/>
                <w:sz w:val="21"/>
              </w:rPr>
              <w:t>人员禁止进入警戒区；</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3、严禁火种进入警戒区域。进入现场人员严禁携带手机、非防爆对讲机、照相机、录像机，必要时切断事故现场电源；</w:t>
            </w:r>
          </w:p>
          <w:p>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4、对泄漏物进行收容、处理，使泄漏物得到安全可靠的处置，防止二次事故发生。</w:t>
            </w:r>
          </w:p>
        </w:tc>
      </w:tr>
    </w:tbl>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已有的</w:t>
      </w:r>
      <w:r>
        <w:rPr>
          <w:rFonts w:ascii="Arial" w:hAnsi="Arial" w:eastAsia="宋体" w:cs="Arial"/>
          <w:spacing w:val="10"/>
          <w:sz w:val="24"/>
          <w:szCs w:val="24"/>
        </w:rPr>
        <w:t>地下水风险防范措施</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厂区已建工程</w:t>
      </w:r>
      <w:r>
        <w:rPr>
          <w:rFonts w:ascii="Arial" w:hAnsi="Arial" w:eastAsia="宋体" w:cs="Arial"/>
          <w:spacing w:val="10"/>
          <w:sz w:val="24"/>
          <w:szCs w:val="24"/>
        </w:rPr>
        <w:t>采取分区防渗措施。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目前企业已设置4个地下水监控井，分别为2#（一号地块西北角）、3#（一号地块东南角）、4#（二号地块东南角）、5#监控井（三号地块东南角）。</w:t>
      </w:r>
    </w:p>
    <w:p>
      <w:pPr>
        <w:ind w:firstLine="530" w:firstLineChars="200"/>
        <w:jc w:val="center"/>
        <w:rPr>
          <w:rFonts w:ascii="Arial" w:hAnsi="Arial" w:eastAsia="宋体" w:cs="Arial"/>
          <w:spacing w:val="10"/>
          <w:sz w:val="24"/>
          <w:szCs w:val="24"/>
        </w:rPr>
      </w:pPr>
      <w:r>
        <w:rPr>
          <w:rFonts w:ascii="Arial" w:hAnsi="Arial" w:cs="Arial"/>
        </w:rPr>
        <w:drawing>
          <wp:inline distT="0" distB="0" distL="0" distR="0">
            <wp:extent cx="3872230" cy="4019550"/>
            <wp:effectExtent l="19050" t="19050" r="13970" b="1905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47"/>
                    <a:stretch>
                      <a:fillRect/>
                    </a:stretch>
                  </pic:blipFill>
                  <pic:spPr>
                    <a:xfrm>
                      <a:off x="0" y="0"/>
                      <a:ext cx="3876037" cy="4023696"/>
                    </a:xfrm>
                    <a:prstGeom prst="rect">
                      <a:avLst/>
                    </a:prstGeom>
                    <a:ln w="12700">
                      <a:solidFill>
                        <a:sysClr val="windowText" lastClr="000000"/>
                      </a:solidFill>
                    </a:ln>
                  </pic:spPr>
                </pic:pic>
              </a:graphicData>
            </a:graphic>
          </wp:inline>
        </w:drawing>
      </w:r>
    </w:p>
    <w:p>
      <w:pPr>
        <w:spacing w:line="500" w:lineRule="exact"/>
        <w:ind w:firstLine="490" w:firstLineChars="200"/>
        <w:jc w:val="center"/>
        <w:rPr>
          <w:rFonts w:ascii="Arial" w:hAnsi="Arial" w:eastAsia="宋体" w:cs="Arial"/>
          <w:b/>
          <w:spacing w:val="10"/>
          <w:sz w:val="24"/>
          <w:szCs w:val="24"/>
        </w:rPr>
      </w:pPr>
      <w:r>
        <w:rPr>
          <w:rFonts w:ascii="Arial" w:hAnsi="Arial" w:eastAsia="宋体" w:cs="Arial"/>
          <w:b/>
          <w:spacing w:val="10"/>
          <w:sz w:val="24"/>
          <w:szCs w:val="24"/>
        </w:rPr>
        <w:t>图4.3-1</w:t>
      </w:r>
      <w:r>
        <w:rPr>
          <w:rFonts w:hint="eastAsia" w:ascii="Arial" w:hAnsi="Arial" w:eastAsia="宋体" w:cs="Arial"/>
          <w:b/>
          <w:spacing w:val="10"/>
          <w:sz w:val="24"/>
          <w:szCs w:val="24"/>
        </w:rPr>
        <w:t>9</w:t>
      </w:r>
      <w:r>
        <w:rPr>
          <w:rFonts w:ascii="Arial" w:hAnsi="Arial" w:eastAsia="宋体" w:cs="Arial"/>
          <w:b/>
          <w:spacing w:val="10"/>
          <w:sz w:val="24"/>
          <w:szCs w:val="24"/>
        </w:rPr>
        <w:t xml:space="preserve">  厂区地下水监控井分布示意图</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4.现有工程应急物资</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建设单位广西中伟新能源科技有限公司已委托编制了突发环境事件应急预案并在钦州市生态环境局备案成功。目前已有的应急储备物资见表4-</w:t>
      </w:r>
      <w:r>
        <w:rPr>
          <w:rFonts w:hint="eastAsia" w:ascii="Arial" w:hAnsi="Arial" w:eastAsia="宋体" w:cs="Arial"/>
          <w:spacing w:val="10"/>
          <w:sz w:val="24"/>
          <w:szCs w:val="24"/>
        </w:rPr>
        <w:t>78</w:t>
      </w:r>
      <w:r>
        <w:rPr>
          <w:rFonts w:ascii="Arial" w:hAnsi="Arial" w:eastAsia="宋体" w:cs="Arial"/>
          <w:spacing w:val="10"/>
          <w:sz w:val="24"/>
          <w:szCs w:val="24"/>
        </w:rPr>
        <w:t>。</w:t>
      </w:r>
    </w:p>
    <w:p>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应急储备物资明细表</w:t>
      </w:r>
    </w:p>
    <w:tbl>
      <w:tblPr>
        <w:tblStyle w:val="88"/>
        <w:tblW w:w="878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7"/>
        <w:gridCol w:w="2443"/>
        <w:gridCol w:w="763"/>
        <w:gridCol w:w="749"/>
        <w:gridCol w:w="1197"/>
        <w:gridCol w:w="2097"/>
        <w:gridCol w:w="10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bookmarkStart w:id="343" w:name="_Hlk130234708"/>
            <w:r>
              <w:rPr>
                <w:rFonts w:ascii="Arial" w:hAnsi="Arial" w:eastAsia="宋体" w:cs="Arial"/>
                <w:sz w:val="21"/>
                <w:szCs w:val="21"/>
              </w:rPr>
              <w:t>序号</w:t>
            </w:r>
          </w:p>
        </w:tc>
        <w:tc>
          <w:tcPr>
            <w:tcW w:w="244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物资名称</w:t>
            </w:r>
          </w:p>
        </w:tc>
        <w:tc>
          <w:tcPr>
            <w:tcW w:w="763"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单位</w:t>
            </w:r>
          </w:p>
        </w:tc>
        <w:tc>
          <w:tcPr>
            <w:tcW w:w="749"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数量</w:t>
            </w:r>
          </w:p>
        </w:tc>
        <w:tc>
          <w:tcPr>
            <w:tcW w:w="11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功能</w:t>
            </w: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规格</w:t>
            </w:r>
          </w:p>
        </w:tc>
        <w:tc>
          <w:tcPr>
            <w:tcW w:w="101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补充物资情况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c>
          <w:tcPr>
            <w:tcW w:w="2443" w:type="dxa"/>
            <w:tcBorders>
              <w:bottom w:val="single" w:color="000000" w:sz="8" w:space="0"/>
              <w:right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二级化学防护服装（红色）</w:t>
            </w:r>
          </w:p>
        </w:tc>
        <w:tc>
          <w:tcPr>
            <w:tcW w:w="763" w:type="dxa"/>
            <w:tcBorders>
              <w:left w:val="single" w:color="000000" w:sz="8" w:space="0"/>
              <w:bottom w:val="single" w:color="000000" w:sz="8" w:space="0"/>
              <w:right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tcBorders>
              <w:left w:val="single" w:color="000000" w:sz="8" w:space="0"/>
              <w:bottom w:val="single" w:color="000000" w:sz="8" w:space="0"/>
              <w:right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1197" w:type="dxa"/>
            <w:vMerge w:val="restart"/>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人员防护</w:t>
            </w:r>
          </w:p>
        </w:tc>
        <w:tc>
          <w:tcPr>
            <w:tcW w:w="2097" w:type="dxa"/>
            <w:tcBorders>
              <w:lef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带防化靴，防化手套</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c>
          <w:tcPr>
            <w:tcW w:w="244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防化手套</w:t>
            </w:r>
          </w:p>
        </w:tc>
        <w:tc>
          <w:tcPr>
            <w:tcW w:w="76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副</w:t>
            </w:r>
          </w:p>
        </w:tc>
        <w:tc>
          <w:tcPr>
            <w:tcW w:w="749"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雷克兰，防化耐油耐酸碱</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防化靴</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双</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雷克兰，耐强酸碱，防水防砸</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4</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防酸碱防护服</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耐酸碱</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5</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正压式空气呼吸器</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RHZK6.8/A</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6</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自吸过滤式防毒面罩（半面罩）</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8</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3200防尘</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7</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过滤式防毒面具</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kern w:val="0"/>
                <w:sz w:val="21"/>
                <w:szCs w:val="21"/>
                <w:lang w:bidi="ar"/>
              </w:rPr>
              <w:t>全面罩</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8</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消防安全腰带</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根</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5</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105cm/高强丙纶/.承重1800kg</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9</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雨衣</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大、中、小号</w:t>
            </w:r>
          </w:p>
        </w:tc>
        <w:tc>
          <w:tcPr>
            <w:tcW w:w="1011" w:type="dxa"/>
            <w:tcBorders>
              <w:left w:val="single" w:color="000000" w:sz="8" w:space="0"/>
            </w:tcBorders>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10</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安全绳</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条</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1197" w:type="dxa"/>
            <w:vMerge w:val="continue"/>
            <w:tcBorders>
              <w:left w:val="single" w:color="000000" w:sz="8" w:space="0"/>
              <w:right w:val="single" w:color="000000" w:sz="8" w:space="0"/>
            </w:tcBorders>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Φ9.5*20m,尼龙，3C认证</w:t>
            </w:r>
          </w:p>
        </w:tc>
        <w:tc>
          <w:tcPr>
            <w:tcW w:w="101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11</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隔离带</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卷</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restart"/>
            <w:tcBorders>
              <w:top w:val="nil"/>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警戒隔离</w:t>
            </w: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50m</w:t>
            </w:r>
          </w:p>
        </w:tc>
        <w:tc>
          <w:tcPr>
            <w:tcW w:w="101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12</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闪光警示灯</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10</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鼎达太阳能爆闪</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13</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高音喇叭</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CR-80，50W</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14</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四合一气体检测仪</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1197" w:type="dxa"/>
            <w:vMerge w:val="restart"/>
            <w:vAlign w:val="center"/>
          </w:tcPr>
          <w:p>
            <w:pPr>
              <w:spacing w:line="240" w:lineRule="exact"/>
              <w:jc w:val="center"/>
              <w:rPr>
                <w:rFonts w:ascii="Arial" w:hAnsi="Arial" w:eastAsia="宋体" w:cs="Arial"/>
                <w:sz w:val="21"/>
                <w:szCs w:val="21"/>
              </w:rPr>
            </w:pPr>
            <w:r>
              <w:rPr>
                <w:rFonts w:ascii="Arial" w:hAnsi="Arial" w:eastAsia="宋体" w:cs="Arial"/>
                <w:sz w:val="21"/>
                <w:szCs w:val="21"/>
              </w:rPr>
              <w:t>应急监测</w:t>
            </w: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BH-4S/氨气+氧气+一氧化碳+硫化氢</w:t>
            </w:r>
          </w:p>
        </w:tc>
        <w:tc>
          <w:tcPr>
            <w:tcW w:w="101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15</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风向标</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tcBorders>
              <w:bottom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1197" w:type="dxa"/>
            <w:vMerge w:val="continue"/>
            <w:tcBorders>
              <w:bottom w:val="single" w:color="auto" w:sz="4" w:space="0"/>
            </w:tcBorders>
            <w:vAlign w:val="center"/>
          </w:tcPr>
          <w:p>
            <w:pPr>
              <w:spacing w:line="240" w:lineRule="exact"/>
              <w:jc w:val="center"/>
              <w:rPr>
                <w:rFonts w:ascii="Arial" w:hAnsi="Arial" w:eastAsia="宋体" w:cs="Arial"/>
                <w:sz w:val="21"/>
                <w:szCs w:val="21"/>
              </w:rPr>
            </w:pPr>
          </w:p>
        </w:tc>
        <w:tc>
          <w:tcPr>
            <w:tcW w:w="2097" w:type="dxa"/>
            <w:tcBorders>
              <w:bottom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标准型，2m支架</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16</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手提式多功能应急灯</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tcBorders>
              <w:bottom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3</w:t>
            </w:r>
          </w:p>
        </w:tc>
        <w:tc>
          <w:tcPr>
            <w:tcW w:w="1197" w:type="dxa"/>
            <w:vMerge w:val="restart"/>
            <w:tcBorders>
              <w:bottom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应急照明</w:t>
            </w:r>
          </w:p>
        </w:tc>
        <w:tc>
          <w:tcPr>
            <w:tcW w:w="2097" w:type="dxa"/>
            <w:tcBorders>
              <w:bottom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沃尔森，防爆，超亮远程</w:t>
            </w:r>
          </w:p>
        </w:tc>
        <w:tc>
          <w:tcPr>
            <w:tcW w:w="1011"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17</w:t>
            </w:r>
          </w:p>
        </w:tc>
        <w:tc>
          <w:tcPr>
            <w:tcW w:w="2443" w:type="dxa"/>
            <w:tcBorders>
              <w:bottom w:val="single" w:color="000000" w:sz="8" w:space="0"/>
              <w:right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电缆线卷</w:t>
            </w:r>
          </w:p>
        </w:tc>
        <w:tc>
          <w:tcPr>
            <w:tcW w:w="763" w:type="dxa"/>
            <w:tcBorders>
              <w:left w:val="single" w:color="000000" w:sz="8" w:space="0"/>
              <w:bottom w:val="single" w:color="000000" w:sz="8" w:space="0"/>
              <w:right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tcBorders>
              <w:top w:val="single" w:color="auto" w:sz="4" w:space="0"/>
              <w:left w:val="single" w:color="auto" w:sz="4" w:space="0"/>
              <w:bottom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1197" w:type="dxa"/>
            <w:vMerge w:val="continue"/>
            <w:tcBorders>
              <w:top w:val="single" w:color="auto" w:sz="4" w:space="0"/>
              <w:bottom w:val="single" w:color="auto" w:sz="4" w:space="0"/>
            </w:tcBorders>
            <w:vAlign w:val="center"/>
          </w:tcPr>
          <w:p>
            <w:pPr>
              <w:spacing w:line="240" w:lineRule="exact"/>
              <w:jc w:val="center"/>
              <w:rPr>
                <w:rFonts w:ascii="Arial" w:hAnsi="Arial" w:eastAsia="宋体" w:cs="Arial"/>
                <w:sz w:val="21"/>
                <w:szCs w:val="21"/>
              </w:rPr>
            </w:pPr>
          </w:p>
        </w:tc>
        <w:tc>
          <w:tcPr>
            <w:tcW w:w="2097" w:type="dxa"/>
            <w:tcBorders>
              <w:top w:val="single" w:color="auto" w:sz="4" w:space="0"/>
              <w:bottom w:val="single" w:color="auto" w:sz="4" w:space="0"/>
              <w:righ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220v，50m</w:t>
            </w:r>
          </w:p>
        </w:tc>
        <w:tc>
          <w:tcPr>
            <w:tcW w:w="1011" w:type="dxa"/>
            <w:tcBorders>
              <w:lef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18</w:t>
            </w:r>
          </w:p>
        </w:tc>
        <w:tc>
          <w:tcPr>
            <w:tcW w:w="244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折叠式担架</w:t>
            </w:r>
          </w:p>
        </w:tc>
        <w:tc>
          <w:tcPr>
            <w:tcW w:w="76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付</w:t>
            </w:r>
          </w:p>
        </w:tc>
        <w:tc>
          <w:tcPr>
            <w:tcW w:w="749" w:type="dxa"/>
            <w:tcBorders>
              <w:top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restart"/>
            <w:tcBorders>
              <w:top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伤员救护</w:t>
            </w:r>
          </w:p>
        </w:tc>
        <w:tc>
          <w:tcPr>
            <w:tcW w:w="2097" w:type="dxa"/>
            <w:tcBorders>
              <w:top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医家用多功能折叠</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19</w:t>
            </w:r>
          </w:p>
        </w:tc>
        <w:tc>
          <w:tcPr>
            <w:tcW w:w="244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医疗急救箱（内有纱布、绷带、医用酒精消毒棉球、碘伏）</w:t>
            </w:r>
          </w:p>
        </w:tc>
        <w:tc>
          <w:tcPr>
            <w:tcW w:w="76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749" w:type="dxa"/>
            <w:tcBorders>
              <w:top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tcBorders>
              <w:top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390*215*280mm/3层</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20</w:t>
            </w:r>
          </w:p>
        </w:tc>
        <w:tc>
          <w:tcPr>
            <w:tcW w:w="244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空容器</w:t>
            </w:r>
          </w:p>
        </w:tc>
        <w:tc>
          <w:tcPr>
            <w:tcW w:w="763" w:type="dxa"/>
            <w:tcBorders>
              <w:top w:val="single" w:color="000000" w:sz="8"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tcBorders>
              <w:top w:val="single" w:color="auto" w:sz="4" w:space="0"/>
            </w:tcBorders>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restart"/>
            <w:tcBorders>
              <w:top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填挖砂土、收集泄漏物</w:t>
            </w:r>
          </w:p>
        </w:tc>
        <w:tc>
          <w:tcPr>
            <w:tcW w:w="2097" w:type="dxa"/>
            <w:tcBorders>
              <w:top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1m</w:t>
            </w:r>
            <w:r>
              <w:rPr>
                <w:rFonts w:ascii="Arial" w:hAnsi="Arial" w:eastAsia="宋体" w:cs="Arial"/>
                <w:sz w:val="21"/>
                <w:szCs w:val="21"/>
                <w:vertAlign w:val="superscript"/>
              </w:rPr>
              <w:t>3</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21</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消防水带</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条</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DN65</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22</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空压机</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30L/无油</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23</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管道封堵气囊</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DN300/600耐酸碱腐蚀</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24</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防爆黄铜尖锹</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把</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3</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190*240mm</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25</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防汛沙袋</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只</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150</w:t>
            </w:r>
          </w:p>
        </w:tc>
        <w:tc>
          <w:tcPr>
            <w:tcW w:w="1197" w:type="dxa"/>
            <w:vMerge w:val="continue"/>
            <w:vAlign w:val="center"/>
          </w:tcPr>
          <w:p>
            <w:pPr>
              <w:spacing w:line="240" w:lineRule="exact"/>
              <w:jc w:val="center"/>
              <w:rPr>
                <w:rFonts w:ascii="Arial" w:hAnsi="Arial" w:eastAsia="宋体" w:cs="Arial"/>
                <w:b/>
                <w:bCs/>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30*70</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26</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十字镐</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把</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10</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kern w:val="0"/>
                <w:sz w:val="21"/>
                <w:szCs w:val="21"/>
                <w:lang w:bidi="ar"/>
              </w:rPr>
              <w:t>十字镐</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27</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不锈钢潜水泵</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220v，Q=10m</w:t>
            </w:r>
            <w:r>
              <w:rPr>
                <w:rFonts w:ascii="Arial" w:hAnsi="Arial" w:eastAsia="宋体" w:cs="Arial"/>
                <w:sz w:val="21"/>
                <w:szCs w:val="21"/>
                <w:vertAlign w:val="superscript"/>
              </w:rPr>
              <w:t>3</w:t>
            </w:r>
            <w:r>
              <w:rPr>
                <w:rFonts w:ascii="Arial" w:hAnsi="Arial" w:eastAsia="宋体" w:cs="Arial"/>
                <w:sz w:val="21"/>
                <w:szCs w:val="21"/>
              </w:rPr>
              <w:t>/h</w:t>
            </w:r>
          </w:p>
        </w:tc>
        <w:tc>
          <w:tcPr>
            <w:tcW w:w="1011" w:type="dxa"/>
            <w:vAlign w:val="center"/>
          </w:tcPr>
          <w:p>
            <w:pPr>
              <w:spacing w:line="240" w:lineRule="exact"/>
              <w:jc w:val="center"/>
              <w:rPr>
                <w:rFonts w:ascii="Arial" w:hAnsi="Arial" w:eastAsia="宋体" w:cs="Arial"/>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2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28</w:t>
            </w:r>
          </w:p>
        </w:tc>
        <w:tc>
          <w:tcPr>
            <w:tcW w:w="244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耐磨防腐泵</w:t>
            </w:r>
          </w:p>
        </w:tc>
        <w:tc>
          <w:tcPr>
            <w:tcW w:w="763"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749" w:type="dxa"/>
            <w:vAlign w:val="center"/>
          </w:tcPr>
          <w:p>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1197" w:type="dxa"/>
            <w:vMerge w:val="continue"/>
            <w:vAlign w:val="center"/>
          </w:tcPr>
          <w:p>
            <w:pPr>
              <w:spacing w:line="240" w:lineRule="exact"/>
              <w:jc w:val="center"/>
              <w:rPr>
                <w:rFonts w:ascii="Arial" w:hAnsi="Arial" w:eastAsia="宋体" w:cs="Arial"/>
                <w:sz w:val="21"/>
                <w:szCs w:val="21"/>
              </w:rPr>
            </w:pPr>
          </w:p>
        </w:tc>
        <w:tc>
          <w:tcPr>
            <w:tcW w:w="2097" w:type="dxa"/>
            <w:vAlign w:val="center"/>
          </w:tcPr>
          <w:p>
            <w:pPr>
              <w:spacing w:line="240" w:lineRule="exact"/>
              <w:jc w:val="center"/>
              <w:rPr>
                <w:rFonts w:ascii="Arial" w:hAnsi="Arial" w:eastAsia="宋体" w:cs="Arial"/>
                <w:sz w:val="21"/>
                <w:szCs w:val="21"/>
              </w:rPr>
            </w:pPr>
            <w:r>
              <w:rPr>
                <w:rFonts w:ascii="Arial" w:hAnsi="Arial" w:eastAsia="宋体" w:cs="Arial"/>
                <w:sz w:val="21"/>
                <w:szCs w:val="21"/>
              </w:rPr>
              <w:t>30FUH-20-5/25</w:t>
            </w:r>
          </w:p>
        </w:tc>
        <w:tc>
          <w:tcPr>
            <w:tcW w:w="1011" w:type="dxa"/>
            <w:vAlign w:val="center"/>
          </w:tcPr>
          <w:p>
            <w:pPr>
              <w:spacing w:line="240" w:lineRule="exact"/>
              <w:jc w:val="center"/>
              <w:rPr>
                <w:rFonts w:ascii="Arial" w:hAnsi="Arial" w:eastAsia="宋体" w:cs="Arial"/>
                <w:sz w:val="21"/>
                <w:szCs w:val="21"/>
              </w:rPr>
            </w:pPr>
          </w:p>
        </w:tc>
      </w:tr>
      <w:bookmarkEnd w:id="343"/>
    </w:tbl>
    <w:p>
      <w:pPr>
        <w:numPr>
          <w:ilvl w:val="0"/>
          <w:numId w:val="34"/>
        </w:numPr>
        <w:spacing w:line="500" w:lineRule="exact"/>
        <w:outlineLvl w:val="3"/>
        <w:rPr>
          <w:rFonts w:ascii="Arial" w:hAnsi="Arial" w:eastAsia="宋体" w:cs="Arial"/>
          <w:b/>
          <w:sz w:val="24"/>
          <w:szCs w:val="24"/>
        </w:rPr>
      </w:pPr>
      <w:r>
        <w:rPr>
          <w:rFonts w:hint="eastAsia" w:ascii="Arial" w:hAnsi="Arial" w:eastAsia="宋体" w:cs="Arial"/>
          <w:b/>
          <w:sz w:val="24"/>
          <w:szCs w:val="24"/>
        </w:rPr>
        <w:t>项目依托的风险防范措施</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1.依托的地表水风险防范措施</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（1）依托现有三级防控体系</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u w:val="single"/>
        </w:rPr>
        <w:t>项目依托厂区现有的三级风险防范体系（详见&amp;4.3.8.2）</w:t>
      </w:r>
      <w:r>
        <w:rPr>
          <w:rFonts w:hint="eastAsia"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①依托事故池</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根据《关于印发〈水体污染防控紧急措施设计导则〉的通知》（中国石化建标〔2006〕43号）相关要求，并参考</w:t>
      </w:r>
      <w:r>
        <w:rPr>
          <w:rFonts w:hint="eastAsia" w:ascii="Arial" w:hAnsi="Arial" w:eastAsia="宋体" w:cs="Arial"/>
          <w:spacing w:val="10"/>
          <w:sz w:val="24"/>
          <w:szCs w:val="24"/>
        </w:rPr>
        <w:t>《石油化工企业设计防火规范》（GB50160-2008）、</w:t>
      </w:r>
      <w:r>
        <w:rPr>
          <w:rFonts w:ascii="Arial" w:hAnsi="Arial" w:eastAsia="宋体" w:cs="Arial"/>
          <w:spacing w:val="10"/>
          <w:sz w:val="24"/>
          <w:szCs w:val="24"/>
        </w:rPr>
        <w:t>《石油化工环境保护设计规范》（SH/T3024-2017），结合项目的平面布置及现有工程事故池分布情况，核算</w:t>
      </w:r>
      <w:r>
        <w:rPr>
          <w:rFonts w:hint="eastAsia" w:ascii="Arial" w:hAnsi="Arial" w:eastAsia="宋体" w:cs="Arial"/>
          <w:spacing w:val="10"/>
          <w:sz w:val="24"/>
          <w:szCs w:val="24"/>
        </w:rPr>
        <w:t>依托</w:t>
      </w:r>
      <w:r>
        <w:rPr>
          <w:rFonts w:ascii="Arial" w:hAnsi="Arial" w:eastAsia="宋体" w:cs="Arial"/>
          <w:spacing w:val="10"/>
          <w:sz w:val="24"/>
          <w:szCs w:val="24"/>
        </w:rPr>
        <w:t>事故池</w:t>
      </w:r>
      <w:r>
        <w:rPr>
          <w:rFonts w:hint="eastAsia" w:ascii="Arial" w:hAnsi="Arial" w:eastAsia="宋体" w:cs="Arial"/>
          <w:spacing w:val="10"/>
          <w:sz w:val="24"/>
          <w:szCs w:val="24"/>
        </w:rPr>
        <w:t>的</w:t>
      </w:r>
      <w:r>
        <w:rPr>
          <w:rFonts w:ascii="Arial" w:hAnsi="Arial" w:eastAsia="宋体" w:cs="Arial"/>
          <w:spacing w:val="10"/>
          <w:sz w:val="24"/>
          <w:szCs w:val="24"/>
        </w:rPr>
        <w:t>有效</w:t>
      </w:r>
      <w:r>
        <w:rPr>
          <w:rFonts w:hint="eastAsia" w:ascii="Arial" w:hAnsi="Arial" w:eastAsia="宋体" w:cs="Arial"/>
          <w:spacing w:val="10"/>
          <w:sz w:val="24"/>
          <w:szCs w:val="24"/>
        </w:rPr>
        <w:t>性</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可作为事故排水的储存设施包括应急池、事故罐、防火堤内或围堰内区域。</w:t>
      </w:r>
    </w:p>
    <w:p>
      <w:pPr>
        <w:spacing w:line="500" w:lineRule="exact"/>
        <w:ind w:firstLine="490" w:firstLineChars="200"/>
        <w:rPr>
          <w:rFonts w:ascii="Arial" w:hAnsi="Arial" w:eastAsia="宋体" w:cs="Arial"/>
          <w:spacing w:val="10"/>
          <w:sz w:val="24"/>
          <w:szCs w:val="24"/>
          <w:vertAlign w:val="subscript"/>
        </w:rPr>
      </w:pPr>
      <w:r>
        <w:rPr>
          <w:rFonts w:ascii="Arial" w:hAnsi="Arial" w:eastAsia="宋体" w:cs="Arial"/>
          <w:spacing w:val="10"/>
          <w:sz w:val="24"/>
          <w:szCs w:val="24"/>
        </w:rPr>
        <w:t>V</w:t>
      </w:r>
      <w:r>
        <w:rPr>
          <w:rFonts w:ascii="Arial" w:hAnsi="Arial" w:eastAsia="宋体" w:cs="Arial"/>
          <w:spacing w:val="10"/>
          <w:sz w:val="24"/>
          <w:szCs w:val="24"/>
          <w:vertAlign w:val="subscript"/>
        </w:rPr>
        <w:t>T</w:t>
      </w:r>
      <w:r>
        <w:rPr>
          <w:rFonts w:ascii="Arial" w:hAnsi="Arial" w:eastAsia="宋体" w:cs="Arial"/>
          <w:spacing w:val="10"/>
          <w:sz w:val="24"/>
          <w:szCs w:val="24"/>
        </w:rPr>
        <w:t>=(V</w:t>
      </w:r>
      <w:r>
        <w:rPr>
          <w:rFonts w:ascii="Arial" w:hAnsi="Arial" w:eastAsia="宋体" w:cs="Arial"/>
          <w:spacing w:val="10"/>
          <w:sz w:val="24"/>
          <w:szCs w:val="24"/>
          <w:vertAlign w:val="subscript"/>
        </w:rPr>
        <w:t>1</w:t>
      </w:r>
      <w:r>
        <w:rPr>
          <w:rFonts w:ascii="Arial" w:hAnsi="Arial" w:eastAsia="宋体" w:cs="Arial"/>
          <w:spacing w:val="10"/>
          <w:sz w:val="24"/>
          <w:szCs w:val="24"/>
        </w:rPr>
        <w:t>+V</w:t>
      </w:r>
      <w:r>
        <w:rPr>
          <w:rFonts w:ascii="Arial" w:hAnsi="Arial" w:eastAsia="宋体" w:cs="Arial"/>
          <w:spacing w:val="10"/>
          <w:sz w:val="24"/>
          <w:szCs w:val="24"/>
          <w:vertAlign w:val="subscript"/>
        </w:rPr>
        <w:t>2</w:t>
      </w:r>
      <w:r>
        <w:rPr>
          <w:rFonts w:ascii="Arial" w:hAnsi="Arial" w:eastAsia="宋体" w:cs="Arial"/>
          <w:spacing w:val="10"/>
          <w:sz w:val="24"/>
          <w:szCs w:val="24"/>
        </w:rPr>
        <w:t>-V</w:t>
      </w:r>
      <w:r>
        <w:rPr>
          <w:rFonts w:ascii="Arial" w:hAnsi="Arial" w:eastAsia="宋体" w:cs="Arial"/>
          <w:spacing w:val="10"/>
          <w:sz w:val="24"/>
          <w:szCs w:val="24"/>
          <w:vertAlign w:val="subscript"/>
        </w:rPr>
        <w:t>3</w:t>
      </w:r>
      <w:r>
        <w:rPr>
          <w:rFonts w:ascii="Arial" w:hAnsi="Arial" w:eastAsia="宋体" w:cs="Arial"/>
          <w:spacing w:val="10"/>
          <w:sz w:val="24"/>
          <w:szCs w:val="24"/>
        </w:rPr>
        <w:t>)</w:t>
      </w:r>
      <w:r>
        <w:rPr>
          <w:rFonts w:ascii="Arial" w:hAnsi="Arial" w:eastAsia="宋体" w:cs="Arial"/>
          <w:spacing w:val="10"/>
          <w:sz w:val="24"/>
          <w:szCs w:val="24"/>
          <w:vertAlign w:val="subscript"/>
        </w:rPr>
        <w:t xml:space="preserve">max </w:t>
      </w:r>
      <w:r>
        <w:rPr>
          <w:rFonts w:ascii="Arial" w:hAnsi="Arial" w:eastAsia="宋体" w:cs="Arial"/>
          <w:spacing w:val="10"/>
          <w:sz w:val="24"/>
          <w:szCs w:val="24"/>
        </w:rPr>
        <w:t>+V</w:t>
      </w:r>
      <w:r>
        <w:rPr>
          <w:rFonts w:ascii="Arial" w:hAnsi="Arial" w:eastAsia="宋体" w:cs="Arial"/>
          <w:spacing w:val="10"/>
          <w:sz w:val="24"/>
          <w:szCs w:val="24"/>
          <w:vertAlign w:val="subscript"/>
        </w:rPr>
        <w:t>4</w:t>
      </w:r>
      <w:r>
        <w:rPr>
          <w:rFonts w:ascii="Arial" w:hAnsi="Arial" w:eastAsia="宋体" w:cs="Arial"/>
          <w:spacing w:val="10"/>
          <w:sz w:val="24"/>
          <w:szCs w:val="24"/>
        </w:rPr>
        <w:t>+V</w:t>
      </w:r>
      <w:r>
        <w:rPr>
          <w:rFonts w:ascii="Arial" w:hAnsi="Arial" w:eastAsia="宋体" w:cs="Arial"/>
          <w:spacing w:val="10"/>
          <w:sz w:val="24"/>
          <w:szCs w:val="24"/>
          <w:vertAlign w:val="subscript"/>
        </w:rPr>
        <w:t>5</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T</w:t>
      </w:r>
      <w:r>
        <w:rPr>
          <w:rFonts w:ascii="Arial" w:hAnsi="Arial" w:eastAsia="宋体" w:cs="Arial"/>
          <w:spacing w:val="10"/>
          <w:sz w:val="24"/>
          <w:szCs w:val="24"/>
        </w:rPr>
        <w:t>——事故储存设施总有效容积；</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1</w:t>
      </w:r>
      <w:r>
        <w:rPr>
          <w:rFonts w:ascii="Arial" w:hAnsi="Arial" w:eastAsia="宋体" w:cs="Arial"/>
          <w:spacing w:val="10"/>
          <w:sz w:val="24"/>
          <w:szCs w:val="24"/>
        </w:rPr>
        <w:t>——收集系统范围内发生事故的一个罐组或一套装置的物料量，储存相同物料的按单个最大计，装置物料量按存留最大物料量的单个容器计，单罐最大的</w:t>
      </w:r>
      <w:r>
        <w:rPr>
          <w:rFonts w:hint="eastAsia" w:ascii="Arial" w:hAnsi="Arial" w:eastAsia="宋体" w:cs="Arial"/>
          <w:spacing w:val="10"/>
          <w:sz w:val="24"/>
          <w:szCs w:val="24"/>
        </w:rPr>
        <w:t>洗水外排槽75</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hint="eastAsia" w:ascii="Arial" w:hAnsi="Arial" w:eastAsia="宋体" w:cs="Arial"/>
          <w:spacing w:val="10"/>
          <w:sz w:val="24"/>
          <w:szCs w:val="24"/>
        </w:rPr>
        <w:t>，储存系数0.9，最大物料量为67.5</w:t>
      </w:r>
      <w:r>
        <w:rPr>
          <w:rFonts w:ascii="Arial" w:hAnsi="Arial" w:eastAsia="宋体" w:cs="Arial"/>
          <w:spacing w:val="10"/>
          <w:sz w:val="24"/>
          <w:szCs w:val="24"/>
        </w:rPr>
        <w:t xml:space="preserve"> 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2</w:t>
      </w:r>
      <w:r>
        <w:rPr>
          <w:rFonts w:ascii="Arial" w:hAnsi="Arial" w:eastAsia="宋体" w:cs="Arial"/>
          <w:spacing w:val="10"/>
          <w:sz w:val="24"/>
          <w:szCs w:val="24"/>
        </w:rPr>
        <w:t>——发生事故的储罐或装置的消防水量，m</w:t>
      </w:r>
      <w:r>
        <w:rPr>
          <w:rFonts w:ascii="Arial" w:hAnsi="Arial" w:eastAsia="宋体" w:cs="Arial"/>
          <w:spacing w:val="10"/>
          <w:sz w:val="24"/>
          <w:szCs w:val="24"/>
          <w:vertAlign w:val="superscript"/>
        </w:rPr>
        <w:t>3</w:t>
      </w:r>
      <w:r>
        <w:rPr>
          <w:rFonts w:ascii="Arial" w:hAnsi="Arial" w:eastAsia="宋体" w:cs="Arial"/>
          <w:spacing w:val="10"/>
          <w:sz w:val="24"/>
          <w:szCs w:val="24"/>
        </w:rPr>
        <w:t>，根据设计方案X1</w:t>
      </w:r>
      <w:r>
        <w:rPr>
          <w:rFonts w:hint="eastAsia" w:ascii="Arial" w:hAnsi="Arial" w:eastAsia="宋体" w:cs="Arial"/>
          <w:spacing w:val="10"/>
          <w:sz w:val="24"/>
          <w:szCs w:val="24"/>
        </w:rPr>
        <w:t>9</w:t>
      </w:r>
      <w:r>
        <w:rPr>
          <w:rFonts w:ascii="Arial" w:hAnsi="Arial" w:eastAsia="宋体" w:cs="Arial"/>
          <w:spacing w:val="10"/>
          <w:sz w:val="24"/>
          <w:szCs w:val="24"/>
        </w:rPr>
        <w:t>车间火灾持续按</w:t>
      </w:r>
      <w:r>
        <w:rPr>
          <w:rFonts w:hint="eastAsia" w:ascii="Arial" w:hAnsi="Arial" w:eastAsia="宋体" w:cs="Arial"/>
          <w:spacing w:val="10"/>
          <w:sz w:val="24"/>
          <w:szCs w:val="24"/>
        </w:rPr>
        <w:t>3</w:t>
      </w:r>
      <w:r>
        <w:rPr>
          <w:rFonts w:ascii="Arial" w:hAnsi="Arial" w:eastAsia="宋体" w:cs="Arial"/>
          <w:spacing w:val="10"/>
          <w:sz w:val="24"/>
          <w:szCs w:val="24"/>
        </w:rPr>
        <w:t>小时计，</w:t>
      </w:r>
      <w:r>
        <w:rPr>
          <w:rFonts w:hint="eastAsia" w:ascii="Arial" w:hAnsi="Arial" w:eastAsia="宋体" w:cs="Arial"/>
          <w:spacing w:val="10"/>
          <w:sz w:val="24"/>
          <w:szCs w:val="24"/>
        </w:rPr>
        <w:t>室内外消防用水合计35</w:t>
      </w:r>
      <w:r>
        <w:rPr>
          <w:rFonts w:ascii="Arial" w:hAnsi="Arial" w:eastAsia="宋体" w:cs="Arial"/>
          <w:spacing w:val="10"/>
          <w:sz w:val="24"/>
          <w:szCs w:val="24"/>
        </w:rPr>
        <w:t>L/s，消防用水量为</w:t>
      </w:r>
      <w:r>
        <w:rPr>
          <w:rFonts w:hint="eastAsia" w:ascii="Arial" w:hAnsi="Arial" w:eastAsia="宋体" w:cs="Arial"/>
          <w:spacing w:val="10"/>
          <w:sz w:val="24"/>
          <w:szCs w:val="24"/>
        </w:rPr>
        <w:t>378</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3</w:t>
      </w:r>
      <w:r>
        <w:rPr>
          <w:rFonts w:ascii="Arial" w:hAnsi="Arial" w:eastAsia="宋体" w:cs="Arial"/>
          <w:spacing w:val="10"/>
          <w:sz w:val="24"/>
          <w:szCs w:val="24"/>
        </w:rPr>
        <w:t>——发生事故时可以转输到其他储存或处理设施的物料量，m</w:t>
      </w:r>
      <w:r>
        <w:rPr>
          <w:rFonts w:ascii="Arial" w:hAnsi="Arial" w:eastAsia="宋体" w:cs="Arial"/>
          <w:spacing w:val="10"/>
          <w:sz w:val="24"/>
          <w:szCs w:val="24"/>
          <w:vertAlign w:val="superscript"/>
        </w:rPr>
        <w:t>3</w:t>
      </w:r>
      <w:r>
        <w:rPr>
          <w:rFonts w:ascii="Arial" w:hAnsi="Arial" w:eastAsia="宋体" w:cs="Arial"/>
          <w:spacing w:val="10"/>
          <w:sz w:val="24"/>
          <w:szCs w:val="24"/>
        </w:rPr>
        <w:t>，</w:t>
      </w:r>
      <w:r>
        <w:rPr>
          <w:rFonts w:hint="eastAsia" w:ascii="Arial" w:hAnsi="Arial" w:eastAsia="宋体" w:cs="Arial"/>
          <w:spacing w:val="10"/>
          <w:sz w:val="24"/>
          <w:szCs w:val="24"/>
        </w:rPr>
        <w:t>洗水外排槽设有</w:t>
      </w:r>
      <w:r>
        <w:rPr>
          <w:rFonts w:ascii="Arial" w:hAnsi="Arial" w:eastAsia="宋体" w:cs="Arial"/>
          <w:spacing w:val="10"/>
          <w:sz w:val="24"/>
          <w:szCs w:val="24"/>
        </w:rPr>
        <w:t>围堰</w:t>
      </w:r>
      <w:r>
        <w:rPr>
          <w:rFonts w:hint="eastAsia" w:ascii="Arial" w:hAnsi="Arial" w:eastAsia="宋体" w:cs="Arial"/>
          <w:spacing w:val="10"/>
          <w:sz w:val="24"/>
          <w:szCs w:val="24"/>
        </w:rPr>
        <w:t>，</w:t>
      </w:r>
      <w:r>
        <w:rPr>
          <w:rFonts w:ascii="Arial" w:hAnsi="Arial" w:eastAsia="宋体" w:cs="Arial"/>
          <w:spacing w:val="10"/>
          <w:sz w:val="24"/>
          <w:szCs w:val="24"/>
        </w:rPr>
        <w:t>有效容积约</w:t>
      </w:r>
      <w:r>
        <w:rPr>
          <w:rFonts w:hint="eastAsia" w:ascii="Arial" w:hAnsi="Arial" w:eastAsia="宋体" w:cs="Arial"/>
          <w:spacing w:val="10"/>
          <w:sz w:val="24"/>
          <w:szCs w:val="24"/>
        </w:rPr>
        <w:t>72</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4</w:t>
      </w:r>
      <w:r>
        <w:rPr>
          <w:rFonts w:ascii="Arial" w:hAnsi="Arial" w:eastAsia="宋体" w:cs="Arial"/>
          <w:spacing w:val="10"/>
          <w:sz w:val="24"/>
          <w:szCs w:val="24"/>
        </w:rPr>
        <w:t>——发生事故时仍必须进入该收集系统的生产废水量，m</w:t>
      </w:r>
      <w:r>
        <w:rPr>
          <w:rFonts w:ascii="Arial" w:hAnsi="Arial" w:eastAsia="宋体" w:cs="Arial"/>
          <w:spacing w:val="10"/>
          <w:sz w:val="24"/>
          <w:szCs w:val="24"/>
          <w:vertAlign w:val="superscript"/>
        </w:rPr>
        <w:t>3</w:t>
      </w:r>
      <w:r>
        <w:rPr>
          <w:rFonts w:ascii="Arial" w:hAnsi="Arial" w:eastAsia="宋体" w:cs="Arial"/>
          <w:spacing w:val="10"/>
          <w:sz w:val="24"/>
          <w:szCs w:val="24"/>
        </w:rPr>
        <w:t>，0 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5</w:t>
      </w:r>
      <w:r>
        <w:rPr>
          <w:rFonts w:ascii="Arial" w:hAnsi="Arial" w:eastAsia="宋体" w:cs="Arial"/>
          <w:spacing w:val="10"/>
          <w:sz w:val="24"/>
          <w:szCs w:val="24"/>
        </w:rPr>
        <w:t>——发生事故时可能进入该收集系统的降雨量，m</w:t>
      </w:r>
      <w:r>
        <w:rPr>
          <w:rFonts w:ascii="Arial" w:hAnsi="Arial" w:eastAsia="宋体" w:cs="Arial"/>
          <w:spacing w:val="10"/>
          <w:sz w:val="24"/>
          <w:szCs w:val="24"/>
          <w:vertAlign w:val="superscript"/>
        </w:rPr>
        <w:t>3</w:t>
      </w:r>
      <w:r>
        <w:rPr>
          <w:rFonts w:ascii="Arial" w:hAnsi="Arial" w:eastAsia="宋体" w:cs="Arial"/>
          <w:spacing w:val="10"/>
          <w:sz w:val="24"/>
          <w:szCs w:val="24"/>
        </w:rPr>
        <w:t>，V</w:t>
      </w:r>
      <w:r>
        <w:rPr>
          <w:rFonts w:ascii="Arial" w:hAnsi="Arial" w:eastAsia="宋体" w:cs="Arial"/>
          <w:spacing w:val="10"/>
          <w:sz w:val="24"/>
          <w:szCs w:val="24"/>
          <w:vertAlign w:val="subscript"/>
        </w:rPr>
        <w:t>5</w:t>
      </w:r>
      <w:r>
        <w:rPr>
          <w:rFonts w:ascii="Arial" w:hAnsi="Arial" w:eastAsia="宋体" w:cs="Arial"/>
          <w:spacing w:val="10"/>
          <w:sz w:val="24"/>
          <w:szCs w:val="24"/>
        </w:rPr>
        <w:t>=10qF；q为降雨强度，按平均日降雨量计，单位为mm，q=q</w:t>
      </w:r>
      <w:r>
        <w:rPr>
          <w:rFonts w:ascii="Arial" w:hAnsi="Arial" w:eastAsia="宋体" w:cs="Arial"/>
          <w:spacing w:val="10"/>
          <w:sz w:val="24"/>
          <w:szCs w:val="24"/>
          <w:vertAlign w:val="subscript"/>
        </w:rPr>
        <w:t>n</w:t>
      </w:r>
      <w:r>
        <w:rPr>
          <w:rFonts w:ascii="Arial" w:hAnsi="Arial" w:eastAsia="宋体" w:cs="Arial"/>
          <w:spacing w:val="10"/>
          <w:sz w:val="24"/>
          <w:szCs w:val="24"/>
        </w:rPr>
        <w:t>/n，q</w:t>
      </w:r>
      <w:r>
        <w:rPr>
          <w:rFonts w:ascii="Arial" w:hAnsi="Arial" w:eastAsia="宋体" w:cs="Arial"/>
          <w:spacing w:val="10"/>
          <w:sz w:val="24"/>
          <w:szCs w:val="24"/>
          <w:vertAlign w:val="subscript"/>
        </w:rPr>
        <w:t>n</w:t>
      </w:r>
      <w:r>
        <w:rPr>
          <w:rFonts w:ascii="Arial" w:hAnsi="Arial" w:eastAsia="宋体" w:cs="Arial"/>
          <w:spacing w:val="10"/>
          <w:sz w:val="24"/>
          <w:szCs w:val="24"/>
        </w:rPr>
        <w:t>为年平均降雨量（</w:t>
      </w:r>
      <w:r>
        <w:rPr>
          <w:rFonts w:ascii="Arial" w:hAnsi="Arial" w:eastAsia="宋体" w:cs="Arial"/>
          <w:spacing w:val="10"/>
          <w:kern w:val="0"/>
          <w:sz w:val="24"/>
          <w:szCs w:val="24"/>
        </w:rPr>
        <w:t>1764.5</w:t>
      </w:r>
      <w:r>
        <w:rPr>
          <w:rFonts w:ascii="Arial" w:hAnsi="Arial" w:eastAsia="宋体" w:cs="Arial"/>
          <w:spacing w:val="10"/>
          <w:sz w:val="24"/>
          <w:szCs w:val="24"/>
        </w:rPr>
        <w:t>mm），n为年平均降雨日数，钦州年平均降雨约171d；F为必须进入事故废水收集系统的雨水汇水面积，0.</w:t>
      </w:r>
      <w:r>
        <w:rPr>
          <w:rFonts w:hint="eastAsia" w:ascii="Arial" w:hAnsi="Arial" w:eastAsia="宋体" w:cs="Arial"/>
          <w:spacing w:val="10"/>
          <w:sz w:val="24"/>
          <w:szCs w:val="24"/>
        </w:rPr>
        <w:t>19</w:t>
      </w:r>
      <w:r>
        <w:rPr>
          <w:rFonts w:ascii="Arial" w:hAnsi="Arial" w:eastAsia="宋体" w:cs="Arial"/>
          <w:spacing w:val="10"/>
          <w:sz w:val="24"/>
          <w:szCs w:val="24"/>
        </w:rPr>
        <w:t>hm</w:t>
      </w:r>
      <w:r>
        <w:rPr>
          <w:rFonts w:ascii="Arial" w:hAnsi="Arial" w:eastAsia="宋体" w:cs="Arial"/>
          <w:spacing w:val="10"/>
          <w:sz w:val="24"/>
          <w:szCs w:val="24"/>
          <w:vertAlign w:val="superscript"/>
        </w:rPr>
        <w:t>2</w:t>
      </w:r>
      <w:r>
        <w:rPr>
          <w:rFonts w:ascii="Arial" w:hAnsi="Arial" w:eastAsia="宋体" w:cs="Arial"/>
          <w:spacing w:val="10"/>
          <w:sz w:val="24"/>
          <w:szCs w:val="24"/>
        </w:rPr>
        <w:t>（X1</w:t>
      </w:r>
      <w:r>
        <w:rPr>
          <w:rFonts w:hint="eastAsia" w:ascii="Arial" w:hAnsi="Arial" w:eastAsia="宋体" w:cs="Arial"/>
          <w:spacing w:val="10"/>
          <w:sz w:val="24"/>
          <w:szCs w:val="24"/>
        </w:rPr>
        <w:t>9</w:t>
      </w:r>
      <w:r>
        <w:rPr>
          <w:rFonts w:ascii="Arial" w:hAnsi="Arial" w:eastAsia="宋体" w:cs="Arial"/>
          <w:spacing w:val="10"/>
          <w:sz w:val="24"/>
          <w:szCs w:val="24"/>
        </w:rPr>
        <w:t>车间），V</w:t>
      </w:r>
      <w:r>
        <w:rPr>
          <w:rFonts w:ascii="Arial" w:hAnsi="Arial" w:eastAsia="宋体" w:cs="Arial"/>
          <w:spacing w:val="10"/>
          <w:sz w:val="24"/>
          <w:szCs w:val="24"/>
          <w:vertAlign w:val="subscript"/>
        </w:rPr>
        <w:t>5</w:t>
      </w:r>
      <w:r>
        <w:rPr>
          <w:rFonts w:ascii="Arial" w:hAnsi="Arial" w:eastAsia="宋体" w:cs="Arial"/>
          <w:spacing w:val="10"/>
          <w:sz w:val="24"/>
          <w:szCs w:val="24"/>
        </w:rPr>
        <w:t>约为</w:t>
      </w:r>
      <w:r>
        <w:rPr>
          <w:rFonts w:hint="eastAsia" w:ascii="Arial" w:hAnsi="Arial" w:eastAsia="宋体" w:cs="Arial"/>
          <w:spacing w:val="10"/>
          <w:sz w:val="24"/>
          <w:szCs w:val="24"/>
        </w:rPr>
        <w:t>2</w:t>
      </w:r>
      <w:r>
        <w:rPr>
          <w:rFonts w:ascii="Arial" w:hAnsi="Arial" w:eastAsia="宋体" w:cs="Arial"/>
          <w:spacing w:val="10"/>
          <w:sz w:val="24"/>
          <w:szCs w:val="24"/>
        </w:rPr>
        <w:t>0 m</w:t>
      </w:r>
      <w:r>
        <w:rPr>
          <w:rFonts w:ascii="Arial" w:hAnsi="Arial" w:eastAsia="宋体" w:cs="Arial"/>
          <w:spacing w:val="10"/>
          <w:sz w:val="24"/>
          <w:szCs w:val="24"/>
          <w:vertAlign w:val="superscript"/>
        </w:rPr>
        <w:t>3</w:t>
      </w:r>
      <w:r>
        <w:rPr>
          <w:rFonts w:ascii="Arial" w:hAnsi="Arial" w:eastAsia="宋体" w:cs="Arial"/>
          <w:spacing w:val="10"/>
          <w:sz w:val="24"/>
          <w:szCs w:val="24"/>
        </w:rPr>
        <w:t>。</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经计算，项目事故池有效容积应不小于</w:t>
      </w:r>
      <w:r>
        <w:rPr>
          <w:rFonts w:hint="eastAsia" w:ascii="Arial" w:hAnsi="Arial" w:eastAsia="宋体" w:cs="Arial"/>
          <w:spacing w:val="10"/>
          <w:sz w:val="24"/>
          <w:szCs w:val="24"/>
        </w:rPr>
        <w:t>398</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。地块二</w:t>
      </w:r>
      <w:r>
        <w:rPr>
          <w:rFonts w:hint="eastAsia" w:ascii="Arial" w:hAnsi="Arial" w:eastAsia="宋体" w:cs="Arial"/>
          <w:spacing w:val="10"/>
          <w:sz w:val="24"/>
          <w:szCs w:val="24"/>
        </w:rPr>
        <w:t>现有的</w:t>
      </w:r>
      <w:r>
        <w:rPr>
          <w:rFonts w:ascii="Arial" w:hAnsi="Arial" w:eastAsia="宋体" w:cs="Arial"/>
          <w:spacing w:val="10"/>
          <w:sz w:val="24"/>
          <w:szCs w:val="24"/>
        </w:rPr>
        <w:t>500m</w:t>
      </w:r>
      <w:r>
        <w:rPr>
          <w:rFonts w:ascii="Arial" w:hAnsi="Arial" w:eastAsia="宋体" w:cs="Arial"/>
          <w:spacing w:val="10"/>
          <w:sz w:val="24"/>
          <w:szCs w:val="24"/>
          <w:vertAlign w:val="superscript"/>
        </w:rPr>
        <w:t>3</w:t>
      </w:r>
      <w:r>
        <w:rPr>
          <w:rFonts w:ascii="Arial" w:hAnsi="Arial" w:eastAsia="宋体" w:cs="Arial"/>
          <w:spacing w:val="10"/>
          <w:sz w:val="24"/>
          <w:szCs w:val="24"/>
        </w:rPr>
        <w:t>事故池</w:t>
      </w:r>
      <w:r>
        <w:rPr>
          <w:rFonts w:hint="eastAsia" w:ascii="Arial" w:hAnsi="Arial" w:eastAsia="宋体" w:cs="Arial"/>
          <w:spacing w:val="10"/>
          <w:sz w:val="24"/>
          <w:szCs w:val="24"/>
        </w:rPr>
        <w:t>可以满足风险防控要求</w:t>
      </w:r>
      <w:r>
        <w:rPr>
          <w:rFonts w:ascii="Arial" w:hAnsi="Arial" w:eastAsia="宋体" w:cs="Arial"/>
          <w:spacing w:val="10"/>
          <w:sz w:val="24"/>
          <w:szCs w:val="24"/>
        </w:rPr>
        <w:t>，项目无需新增事故池容积。</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（2）依托初期雨水池</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项目占地范围的初期雨水已纳入现有工程进行核算，故无新增初期雨水，无需新增初期雨水池容积。</w:t>
      </w:r>
    </w:p>
    <w:p>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2.依托现有</w:t>
      </w:r>
      <w:r>
        <w:rPr>
          <w:rFonts w:ascii="Arial" w:hAnsi="Arial" w:eastAsia="宋体" w:cs="Arial"/>
          <w:spacing w:val="10"/>
          <w:sz w:val="24"/>
          <w:szCs w:val="24"/>
        </w:rPr>
        <w:t>地下水监控井</w:t>
      </w:r>
    </w:p>
    <w:p>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项目依托现有4个</w:t>
      </w:r>
      <w:r>
        <w:rPr>
          <w:rFonts w:ascii="Arial" w:hAnsi="Arial" w:eastAsia="宋体" w:cs="Arial"/>
          <w:spacing w:val="10"/>
          <w:sz w:val="24"/>
          <w:szCs w:val="24"/>
          <w:u w:val="single"/>
        </w:rPr>
        <w:t>地下水监控井</w:t>
      </w:r>
      <w:r>
        <w:rPr>
          <w:rFonts w:hint="eastAsia" w:ascii="Arial" w:hAnsi="Arial" w:eastAsia="宋体" w:cs="Arial"/>
          <w:spacing w:val="10"/>
          <w:sz w:val="24"/>
          <w:szCs w:val="24"/>
          <w:u w:val="single"/>
        </w:rPr>
        <w:t>，项目主要位于2#地块，根据图4.3-19，依托的4个</w:t>
      </w:r>
      <w:r>
        <w:rPr>
          <w:rFonts w:ascii="Arial" w:hAnsi="Arial" w:eastAsia="宋体" w:cs="Arial"/>
          <w:spacing w:val="10"/>
          <w:sz w:val="24"/>
          <w:szCs w:val="24"/>
          <w:u w:val="single"/>
        </w:rPr>
        <w:t>地下水监控井</w:t>
      </w:r>
      <w:r>
        <w:rPr>
          <w:rFonts w:hint="eastAsia" w:ascii="Arial" w:hAnsi="Arial" w:eastAsia="宋体" w:cs="Arial"/>
          <w:spacing w:val="10"/>
          <w:sz w:val="24"/>
          <w:szCs w:val="24"/>
          <w:u w:val="single"/>
        </w:rPr>
        <w:t>可以满足本项目要求。</w:t>
      </w:r>
    </w:p>
    <w:p>
      <w:pPr>
        <w:numPr>
          <w:ilvl w:val="0"/>
          <w:numId w:val="34"/>
        </w:numPr>
        <w:spacing w:line="500" w:lineRule="exact"/>
        <w:outlineLvl w:val="3"/>
        <w:rPr>
          <w:rFonts w:ascii="Arial" w:hAnsi="Arial" w:eastAsia="宋体" w:cs="Arial"/>
          <w:b/>
          <w:sz w:val="24"/>
          <w:szCs w:val="24"/>
        </w:rPr>
      </w:pPr>
      <w:r>
        <w:rPr>
          <w:rFonts w:ascii="Arial" w:hAnsi="Arial" w:eastAsia="宋体" w:cs="Arial"/>
          <w:b/>
          <w:sz w:val="24"/>
          <w:szCs w:val="24"/>
        </w:rPr>
        <w:t>项目风险防范措施</w:t>
      </w:r>
    </w:p>
    <w:p>
      <w:pPr>
        <w:spacing w:line="500" w:lineRule="exact"/>
        <w:ind w:firstLine="450" w:firstLineChars="200"/>
        <w:rPr>
          <w:rFonts w:ascii="Arial" w:hAnsi="Arial" w:eastAsia="宋体" w:cs="Arial"/>
          <w:b/>
          <w:sz w:val="24"/>
          <w:szCs w:val="24"/>
        </w:rPr>
      </w:pPr>
      <w:r>
        <w:rPr>
          <w:rFonts w:ascii="Arial" w:hAnsi="Arial" w:eastAsia="宋体" w:cs="Arial"/>
          <w:b/>
          <w:sz w:val="24"/>
          <w:szCs w:val="24"/>
        </w:rPr>
        <w:t>1.新增地表水风险防范措施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企业已建立事故废水“三级防控体系”，项目新增</w:t>
      </w:r>
      <w:r>
        <w:rPr>
          <w:rFonts w:hint="eastAsia" w:ascii="Arial" w:hAnsi="Arial" w:eastAsia="宋体" w:cs="Arial"/>
          <w:spacing w:val="10"/>
          <w:sz w:val="24"/>
          <w:szCs w:val="24"/>
        </w:rPr>
        <w:t>一级风险防范措施详见表4-79</w:t>
      </w:r>
      <w:r>
        <w:rPr>
          <w:rFonts w:ascii="Arial" w:hAnsi="Arial" w:eastAsia="宋体" w:cs="Arial"/>
          <w:spacing w:val="10"/>
          <w:sz w:val="24"/>
          <w:szCs w:val="24"/>
        </w:rPr>
        <w:t>。</w:t>
      </w:r>
    </w:p>
    <w:p>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新增一级风险防范措施</w:t>
      </w:r>
    </w:p>
    <w:tbl>
      <w:tblPr>
        <w:tblStyle w:val="88"/>
        <w:tblW w:w="899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844"/>
        <w:gridCol w:w="6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1844"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名称</w:t>
            </w:r>
          </w:p>
        </w:tc>
        <w:tc>
          <w:tcPr>
            <w:tcW w:w="6333" w:type="dxa"/>
            <w:tcBorders>
              <w:top w:val="single" w:color="auto" w:sz="4" w:space="0"/>
              <w:left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防范措施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84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X19车间</w:t>
            </w:r>
          </w:p>
        </w:tc>
        <w:tc>
          <w:tcPr>
            <w:tcW w:w="633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left"/>
              <w:rPr>
                <w:rFonts w:ascii="Arial" w:hAnsi="Arial" w:eastAsia="宋体" w:cs="Arial"/>
                <w:spacing w:val="10"/>
                <w:sz w:val="21"/>
                <w:szCs w:val="21"/>
              </w:rPr>
            </w:pPr>
            <w:r>
              <w:rPr>
                <w:rFonts w:hint="eastAsia" w:ascii="Arial" w:hAnsi="Arial" w:eastAsia="宋体" w:cs="Arial"/>
                <w:spacing w:val="10"/>
                <w:sz w:val="21"/>
                <w:szCs w:val="21"/>
              </w:rPr>
              <w:t>①车间内湿区生产区设置地沟和集水坑，设泵或管线与厂区事故应急池相连，防止液态物料漫流出车间；</w:t>
            </w:r>
          </w:p>
          <w:p>
            <w:pPr>
              <w:adjustRightInd w:val="0"/>
              <w:snapToGrid w:val="0"/>
              <w:spacing w:line="240" w:lineRule="exact"/>
              <w:jc w:val="left"/>
              <w:rPr>
                <w:rFonts w:ascii="Arial" w:hAnsi="Arial" w:eastAsia="宋体" w:cs="Arial"/>
                <w:spacing w:val="10"/>
                <w:sz w:val="21"/>
                <w:szCs w:val="21"/>
              </w:rPr>
            </w:pPr>
            <w:r>
              <w:rPr>
                <w:rFonts w:hint="eastAsia" w:ascii="Arial" w:hAnsi="Arial" w:eastAsia="宋体" w:cs="Arial"/>
                <w:spacing w:val="10"/>
                <w:sz w:val="21"/>
                <w:szCs w:val="21"/>
              </w:rPr>
              <w:t>②车间外氨水罐、配酸罐、双氧水罐、液碱罐、洗水外排槽等储罐设置0.6~0.7m高围堰。</w:t>
            </w:r>
          </w:p>
        </w:tc>
      </w:tr>
    </w:tbl>
    <w:p>
      <w:pPr>
        <w:spacing w:line="500" w:lineRule="exact"/>
        <w:ind w:firstLine="490" w:firstLineChars="200"/>
        <w:rPr>
          <w:rFonts w:ascii="Arial" w:hAnsi="Arial" w:eastAsia="宋体" w:cs="Arial"/>
          <w:spacing w:val="10"/>
          <w:sz w:val="24"/>
          <w:szCs w:val="24"/>
        </w:rPr>
      </w:pPr>
      <w:r>
        <w:rPr>
          <w:rFonts w:ascii="Arial" w:hAnsi="Arial" w:eastAsia="宋体" w:cs="Arial"/>
          <w:b/>
          <w:spacing w:val="10"/>
          <w:sz w:val="24"/>
          <w:szCs w:val="24"/>
        </w:rPr>
        <w:t>2.新增地下水风险防范措施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（1）分区防渗</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ascii="Arial" w:hAnsi="Arial" w:eastAsia="宋体" w:cs="Arial"/>
          <w:spacing w:val="10"/>
          <w:kern w:val="0"/>
          <w:sz w:val="24"/>
          <w:szCs w:val="24"/>
        </w:rPr>
        <w:t>新增分区防渗措施，详见&amp;5.2.3。</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（2）跟踪监测</w:t>
      </w:r>
    </w:p>
    <w:p>
      <w:pPr>
        <w:tabs>
          <w:tab w:val="left" w:pos="1325"/>
        </w:tabs>
        <w:autoSpaceDE w:val="0"/>
        <w:autoSpaceDN w:val="0"/>
        <w:adjustRightInd w:val="0"/>
        <w:spacing w:line="500" w:lineRule="exact"/>
        <w:ind w:firstLine="490" w:firstLineChars="200"/>
        <w:jc w:val="left"/>
        <w:rPr>
          <w:rFonts w:ascii="Arial" w:hAnsi="Arial" w:eastAsia="宋体" w:cs="Arial"/>
          <w:spacing w:val="10"/>
          <w:kern w:val="0"/>
          <w:sz w:val="24"/>
          <w:szCs w:val="24"/>
        </w:rPr>
      </w:pPr>
      <w:r>
        <w:rPr>
          <w:rFonts w:ascii="Arial" w:hAnsi="Arial" w:eastAsia="宋体" w:cs="Arial"/>
          <w:spacing w:val="10"/>
          <w:kern w:val="0"/>
          <w:sz w:val="24"/>
          <w:szCs w:val="24"/>
        </w:rPr>
        <w:t>结合现有工程地下水监控井及监测因子，项目无需新增地下水监控井及监测因子。</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新增管道防护措施，管道均使用规格明确的管材，满足原料对管材温度、压力、化学等方面的要求，所用阀门、接口均采用渗漏措施，并通过了灵敏泄漏试验，生产过程中加强对输送管线的检查力度，实行专人定时对管线进行检查，发现泄漏立即通知生产部门停止生产，切断输送阀门，直至完全修复；对穿过道路的管廊和架空的管线地面均进行严格防渗措施，并在管廊设置收集沟，在出口设收集坑，出现泄漏情况能及时收集处理。</w:t>
      </w:r>
    </w:p>
    <w:p>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3.新增大气风险防控措施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防雷接地按照《建筑物防雷设计规范》（GB50057-2010）、《石油化工装置防雷设计规范》（GB50650-2011）中的有关规定设置。具有爆炸危险场所的工艺生产装置及建、构筑物，均进行防直击雷及防雷电感应，并各做接地体装置。</w:t>
      </w:r>
      <w:r>
        <w:rPr>
          <w:rFonts w:hint="eastAsia" w:ascii="Arial" w:hAnsi="Arial" w:eastAsia="宋体" w:cs="Arial"/>
          <w:spacing w:val="10"/>
          <w:sz w:val="24"/>
          <w:szCs w:val="24"/>
          <w:lang w:eastAsia="zh-CN"/>
        </w:rPr>
        <w:t>其他建筑物</w:t>
      </w:r>
      <w:r>
        <w:rPr>
          <w:rFonts w:ascii="Arial" w:hAnsi="Arial" w:eastAsia="宋体" w:cs="Arial"/>
          <w:spacing w:val="10"/>
          <w:sz w:val="24"/>
          <w:szCs w:val="24"/>
        </w:rPr>
        <w:t>，装设避雷网以防直接雷击。</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（2）按照《消防给水及消火栓系统技术规范》（GB50974-2014）、《建筑灭火器配置设计规范》（GB50140-2005）等设计规范，配备相应的消防器材，保证安全生产。</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（3）项目装置设置自保系统、有毒可燃气体报警仪。</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（4）应急疏散</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厂内设置消防通道，当发生一般性危险物质泄漏、火灾等事故时，可将停车场作为临时应急安置场所，厂内非应急人员迅速沿厂内道路向远离事故发生源的方向疏散至临时应急安置场所。当发生较重大的环境风险事故时，厂内非应急人员迅速沿厂内道路快速就近出厂区，由陆海大道、滨海公路等道路疏散，周边居民就近沿道路向上风向一带疏散，在应急避难场所集合后，再根据安排进行下一步撤离安置。</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疏散通道或消防车道的醒目处设置“禁止阻塞”标志；“安全出口”的标志设置在安全疏散门口的正上方；紧急出口或疏散通道中的门上设置“禁止锁闭”标志。</w:t>
      </w:r>
    </w:p>
    <w:p>
      <w:pPr>
        <w:spacing w:line="500" w:lineRule="exact"/>
        <w:ind w:firstLine="490" w:firstLineChars="200"/>
        <w:rPr>
          <w:rFonts w:ascii="Arial" w:hAnsi="Arial" w:eastAsia="宋体" w:cs="Arial"/>
          <w:spacing w:val="10"/>
          <w:sz w:val="24"/>
          <w:szCs w:val="24"/>
        </w:rPr>
      </w:pPr>
    </w:p>
    <w:p>
      <w:pPr>
        <w:adjustRightInd w:val="0"/>
        <w:snapToGrid w:val="0"/>
        <w:jc w:val="center"/>
        <w:rPr>
          <w:rFonts w:ascii="Arial" w:hAnsi="Arial" w:eastAsia="宋体" w:cs="Arial"/>
          <w:sz w:val="24"/>
          <w:szCs w:val="24"/>
        </w:rPr>
      </w:pPr>
      <w:r>
        <w:rPr>
          <w:rFonts w:ascii="Arial" w:hAnsi="Arial" w:cs="Arial"/>
        </w:rPr>
        <mc:AlternateContent>
          <mc:Choice Requires="wps">
            <w:drawing>
              <wp:anchor distT="0" distB="0" distL="114300" distR="114300" simplePos="0" relativeHeight="251711488" behindDoc="0" locked="0" layoutInCell="1" allowOverlap="1">
                <wp:simplePos x="0" y="0"/>
                <wp:positionH relativeFrom="column">
                  <wp:posOffset>1789430</wp:posOffset>
                </wp:positionH>
                <wp:positionV relativeFrom="paragraph">
                  <wp:posOffset>2583815</wp:posOffset>
                </wp:positionV>
                <wp:extent cx="41275" cy="297180"/>
                <wp:effectExtent l="57150" t="38100" r="53975" b="26670"/>
                <wp:wrapNone/>
                <wp:docPr id="232" name="直接箭头连接符 232"/>
                <wp:cNvGraphicFramePr/>
                <a:graphic xmlns:a="http://schemas.openxmlformats.org/drawingml/2006/main">
                  <a:graphicData uri="http://schemas.microsoft.com/office/word/2010/wordprocessingShape">
                    <wps:wsp>
                      <wps:cNvCnPr/>
                      <wps:spPr>
                        <a:xfrm flipV="1">
                          <a:off x="0" y="0"/>
                          <a:ext cx="41275" cy="297180"/>
                        </a:xfrm>
                        <a:prstGeom prst="straightConnector1">
                          <a:avLst/>
                        </a:prstGeom>
                        <a:noFill/>
                        <a:ln w="19050" cap="flat" cmpd="sng" algn="ctr">
                          <a:solidFill>
                            <a:srgbClr val="0000FF"/>
                          </a:solidFill>
                          <a:prstDash val="dash"/>
                          <a:tailEnd type="arrow"/>
                        </a:ln>
                        <a:effectLst/>
                      </wps:spPr>
                      <wps:bodyPr/>
                    </wps:wsp>
                  </a:graphicData>
                </a:graphic>
              </wp:anchor>
            </w:drawing>
          </mc:Choice>
          <mc:Fallback>
            <w:pict>
              <v:shape id="_x0000_s1026" o:spid="_x0000_s1026" o:spt="32" type="#_x0000_t32" style="position:absolute;left:0pt;flip:y;margin-left:140.9pt;margin-top:203.45pt;height:23.4pt;width:3.25pt;z-index:251711488;mso-width-relative:page;mso-height-relative:page;" filled="f" stroked="t" coordsize="21600,21600" o:gfxdata="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NnpK9sAAAALAQAADwAAAAAAAAABACAAAAAiAAAAZHJzL2Rvd25yZXYueG1sUEsB&#10;AhQAFAAAAAgAh07iQNvPZC/yAQAAmAMAAA4AAAAAAAAAAQAgAAAAKgEAAGRycy9lMm9Eb2MueG1s&#10;UEsFBgAAAAAGAAYAWQEAAI4FAAAAAA==&#10;">
                <v:fill on="f" focussize="0,0"/>
                <v:stroke weight="1.5pt" color="#0000FF"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3296" behindDoc="0" locked="0" layoutInCell="1" allowOverlap="1">
                <wp:simplePos x="0" y="0"/>
                <wp:positionH relativeFrom="column">
                  <wp:posOffset>2548890</wp:posOffset>
                </wp:positionH>
                <wp:positionV relativeFrom="paragraph">
                  <wp:posOffset>3079115</wp:posOffset>
                </wp:positionV>
                <wp:extent cx="354330" cy="41275"/>
                <wp:effectExtent l="38100" t="76200" r="26670" b="73025"/>
                <wp:wrapNone/>
                <wp:docPr id="231" name="直接箭头连接符 231"/>
                <wp:cNvGraphicFramePr/>
                <a:graphic xmlns:a="http://schemas.openxmlformats.org/drawingml/2006/main">
                  <a:graphicData uri="http://schemas.microsoft.com/office/word/2010/wordprocessingShape">
                    <wps:wsp>
                      <wps:cNvCnPr/>
                      <wps:spPr>
                        <a:xfrm flipH="1" flipV="1">
                          <a:off x="0" y="0"/>
                          <a:ext cx="354330" cy="41275"/>
                        </a:xfrm>
                        <a:prstGeom prst="straightConnector1">
                          <a:avLst/>
                        </a:prstGeom>
                        <a:noFill/>
                        <a:ln w="19050" cap="flat" cmpd="sng" algn="ctr">
                          <a:solidFill>
                            <a:srgbClr val="0000FF"/>
                          </a:solidFill>
                          <a:prstDash val="dash"/>
                          <a:tailEnd type="arrow"/>
                        </a:ln>
                        <a:effectLst/>
                      </wps:spPr>
                      <wps:bodyPr/>
                    </wps:wsp>
                  </a:graphicData>
                </a:graphic>
              </wp:anchor>
            </w:drawing>
          </mc:Choice>
          <mc:Fallback>
            <w:pict>
              <v:shape id="_x0000_s1026" o:spid="_x0000_s1026" o:spt="32" type="#_x0000_t32" style="position:absolute;left:0pt;flip:x y;margin-left:200.7pt;margin-top:242.45pt;height:3.25pt;width:27.9pt;z-index:251703296;mso-width-relative:page;mso-height-relative:page;" filled="f" stroked="t" coordsize="21600,21600" o:gfxdata="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HUiKNoAAAALAQAADwAAAAAAAAABACAAAAAiAAAAZHJzL2Rvd25yZXYueG1sUEsB&#10;AhQAFAAAAAgAh07iQPc3Z9HzAQAAogMAAA4AAAAAAAAAAQAgAAAAKQEAAGRycy9lMm9Eb2MueG1s&#10;UEsFBgAAAAAGAAYAWQEAAI4FAAAAAA==&#10;">
                <v:fill on="f" focussize="0,0"/>
                <v:stroke weight="1.5pt" color="#0000FF"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2272" behindDoc="0" locked="0" layoutInCell="1" allowOverlap="1">
                <wp:simplePos x="0" y="0"/>
                <wp:positionH relativeFrom="column">
                  <wp:posOffset>1499870</wp:posOffset>
                </wp:positionH>
                <wp:positionV relativeFrom="paragraph">
                  <wp:posOffset>1616075</wp:posOffset>
                </wp:positionV>
                <wp:extent cx="475615" cy="777240"/>
                <wp:effectExtent l="0" t="0" r="0" b="0"/>
                <wp:wrapNone/>
                <wp:docPr id="2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75615" cy="777240"/>
                        </a:xfrm>
                        <a:prstGeom prst="rect">
                          <a:avLst/>
                        </a:prstGeom>
                        <a:noFill/>
                        <a:ln w="9525">
                          <a:noFill/>
                          <a:miter lim="800000"/>
                        </a:ln>
                      </wps:spPr>
                      <wps:txbx>
                        <w:txbxContent>
                          <w:p>
                            <w:pPr>
                              <w:adjustRightInd w:val="0"/>
                              <w:snapToGrid w:val="0"/>
                              <w:rPr>
                                <w:rFonts w:ascii="宋体" w:hAnsi="宋体" w:eastAsia="宋体"/>
                                <w:b/>
                                <w:color w:val="FF00FF"/>
                                <w:sz w:val="21"/>
                              </w:rPr>
                            </w:pPr>
                            <w:r>
                              <w:rPr>
                                <w:rFonts w:hint="eastAsia" w:ascii="宋体" w:hAnsi="宋体" w:eastAsia="宋体"/>
                                <w:b/>
                                <w:color w:val="FF00FF"/>
                                <w:sz w:val="21"/>
                              </w:rPr>
                              <w:t>临时</w:t>
                            </w:r>
                          </w:p>
                          <w:p>
                            <w:pPr>
                              <w:adjustRightInd w:val="0"/>
                              <w:snapToGrid w:val="0"/>
                              <w:rPr>
                                <w:rFonts w:ascii="宋体" w:hAnsi="宋体" w:eastAsia="宋体"/>
                                <w:b/>
                                <w:color w:val="FF00FF"/>
                                <w:sz w:val="21"/>
                              </w:rPr>
                            </w:pPr>
                            <w:r>
                              <w:rPr>
                                <w:rFonts w:hint="eastAsia" w:ascii="宋体" w:hAnsi="宋体" w:eastAsia="宋体"/>
                                <w:b/>
                                <w:color w:val="FF00FF"/>
                                <w:sz w:val="21"/>
                              </w:rPr>
                              <w:t>应急</w:t>
                            </w:r>
                          </w:p>
                          <w:p>
                            <w:pPr>
                              <w:adjustRightInd w:val="0"/>
                              <w:snapToGrid w:val="0"/>
                              <w:rPr>
                                <w:rFonts w:ascii="宋体" w:hAnsi="宋体" w:eastAsia="宋体"/>
                                <w:b/>
                                <w:color w:val="FF00FF"/>
                                <w:sz w:val="21"/>
                              </w:rPr>
                            </w:pPr>
                            <w:r>
                              <w:rPr>
                                <w:rFonts w:hint="eastAsia" w:ascii="宋体" w:hAnsi="宋体" w:eastAsia="宋体"/>
                                <w:b/>
                                <w:color w:val="FF00FF"/>
                                <w:sz w:val="21"/>
                              </w:rPr>
                              <w:t>安置</w:t>
                            </w:r>
                          </w:p>
                          <w:p>
                            <w:pPr>
                              <w:adjustRightInd w:val="0"/>
                              <w:snapToGrid w:val="0"/>
                              <w:rPr>
                                <w:rFonts w:ascii="宋体" w:hAnsi="宋体" w:eastAsia="宋体"/>
                                <w:b/>
                                <w:color w:val="FF00FF"/>
                                <w:sz w:val="21"/>
                              </w:rPr>
                            </w:pPr>
                            <w:r>
                              <w:rPr>
                                <w:rFonts w:hint="eastAsia" w:ascii="宋体" w:hAnsi="宋体" w:eastAsia="宋体"/>
                                <w:b/>
                                <w:color w:val="FF00FF"/>
                                <w:sz w:val="21"/>
                              </w:rPr>
                              <w:t>场所</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18.1pt;margin-top:127.25pt;height:61.2pt;width:37.45pt;z-index:251702272;mso-width-relative:page;mso-height-relative:margin;mso-height-percent:200;" filled="f" stroked="f" coordsize="21600,21600" o:gfxdata="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amd/f2QAAAAsBAAAPAAAAAAAAAAEAIAAA&#10;ACIAAABkcnMvZG93bnJldi54bWxQSwECFAAUAAAACACHTuJANJgHpwsCAADcAwAADgAAAAAAAAAB&#10;ACAAAAAoAQAAZHJzL2Uyb0RvYy54bWxQSwUGAAAAAAYABgBZAQAApQUAAAAA&#10;">
                <v:fill on="f" focussize="0,0"/>
                <v:stroke on="f" miterlimit="8" joinstyle="miter"/>
                <v:imagedata o:title=""/>
                <o:lock v:ext="edit" aspectratio="f"/>
                <v:textbox style="mso-fit-shape-to-text:t;">
                  <w:txbxContent>
                    <w:p>
                      <w:pPr>
                        <w:adjustRightInd w:val="0"/>
                        <w:snapToGrid w:val="0"/>
                        <w:rPr>
                          <w:rFonts w:ascii="宋体" w:hAnsi="宋体" w:eastAsia="宋体"/>
                          <w:b/>
                          <w:color w:val="FF00FF"/>
                          <w:sz w:val="21"/>
                        </w:rPr>
                      </w:pPr>
                      <w:r>
                        <w:rPr>
                          <w:rFonts w:hint="eastAsia" w:ascii="宋体" w:hAnsi="宋体" w:eastAsia="宋体"/>
                          <w:b/>
                          <w:color w:val="FF00FF"/>
                          <w:sz w:val="21"/>
                        </w:rPr>
                        <w:t>临时</w:t>
                      </w:r>
                    </w:p>
                    <w:p>
                      <w:pPr>
                        <w:adjustRightInd w:val="0"/>
                        <w:snapToGrid w:val="0"/>
                        <w:rPr>
                          <w:rFonts w:ascii="宋体" w:hAnsi="宋体" w:eastAsia="宋体"/>
                          <w:b/>
                          <w:color w:val="FF00FF"/>
                          <w:sz w:val="21"/>
                        </w:rPr>
                      </w:pPr>
                      <w:r>
                        <w:rPr>
                          <w:rFonts w:hint="eastAsia" w:ascii="宋体" w:hAnsi="宋体" w:eastAsia="宋体"/>
                          <w:b/>
                          <w:color w:val="FF00FF"/>
                          <w:sz w:val="21"/>
                        </w:rPr>
                        <w:t>应急</w:t>
                      </w:r>
                    </w:p>
                    <w:p>
                      <w:pPr>
                        <w:adjustRightInd w:val="0"/>
                        <w:snapToGrid w:val="0"/>
                        <w:rPr>
                          <w:rFonts w:ascii="宋体" w:hAnsi="宋体" w:eastAsia="宋体"/>
                          <w:b/>
                          <w:color w:val="FF00FF"/>
                          <w:sz w:val="21"/>
                        </w:rPr>
                      </w:pPr>
                      <w:r>
                        <w:rPr>
                          <w:rFonts w:hint="eastAsia" w:ascii="宋体" w:hAnsi="宋体" w:eastAsia="宋体"/>
                          <w:b/>
                          <w:color w:val="FF00FF"/>
                          <w:sz w:val="21"/>
                        </w:rPr>
                        <w:t>安置</w:t>
                      </w:r>
                    </w:p>
                    <w:p>
                      <w:pPr>
                        <w:adjustRightInd w:val="0"/>
                        <w:snapToGrid w:val="0"/>
                        <w:rPr>
                          <w:rFonts w:ascii="宋体" w:hAnsi="宋体" w:eastAsia="宋体"/>
                          <w:b/>
                          <w:color w:val="FF00FF"/>
                          <w:sz w:val="21"/>
                        </w:rPr>
                      </w:pPr>
                      <w:r>
                        <w:rPr>
                          <w:rFonts w:hint="eastAsia" w:ascii="宋体" w:hAnsi="宋体" w:eastAsia="宋体"/>
                          <w:b/>
                          <w:color w:val="FF00FF"/>
                          <w:sz w:val="21"/>
                        </w:rPr>
                        <w:t>场所</w:t>
                      </w:r>
                    </w:p>
                  </w:txbxContent>
                </v:textbox>
              </v:shape>
            </w:pict>
          </mc:Fallback>
        </mc:AlternateContent>
      </w:r>
      <w:r>
        <w:rPr>
          <w:rFonts w:ascii="Arial" w:hAnsi="Arial" w:cs="Arial"/>
        </w:rPr>
        <mc:AlternateContent>
          <mc:Choice Requires="wps">
            <w:drawing>
              <wp:anchor distT="0" distB="0" distL="114300" distR="114300" simplePos="0" relativeHeight="251710464" behindDoc="0" locked="0" layoutInCell="1" allowOverlap="1">
                <wp:simplePos x="0" y="0"/>
                <wp:positionH relativeFrom="column">
                  <wp:posOffset>1455420</wp:posOffset>
                </wp:positionH>
                <wp:positionV relativeFrom="paragraph">
                  <wp:posOffset>1715135</wp:posOffset>
                </wp:positionV>
                <wp:extent cx="533400" cy="623570"/>
                <wp:effectExtent l="38100" t="38100" r="38100" b="43180"/>
                <wp:wrapNone/>
                <wp:docPr id="233" name="矩形 233"/>
                <wp:cNvGraphicFramePr/>
                <a:graphic xmlns:a="http://schemas.openxmlformats.org/drawingml/2006/main">
                  <a:graphicData uri="http://schemas.microsoft.com/office/word/2010/wordprocessingShape">
                    <wps:wsp>
                      <wps:cNvSpPr/>
                      <wps:spPr>
                        <a:xfrm rot="297778">
                          <a:off x="0" y="0"/>
                          <a:ext cx="533400" cy="623570"/>
                        </a:xfrm>
                        <a:prstGeom prst="rect">
                          <a:avLst/>
                        </a:prstGeom>
                        <a:noFill/>
                        <a:ln w="12700" cap="flat" cmpd="sng" algn="ctr">
                          <a:solidFill>
                            <a:srgbClr val="FF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6pt;margin-top:135.05pt;height:49.1pt;width:42pt;rotation:325253f;z-index:251710464;v-text-anchor:middle;mso-width-relative:page;mso-height-relative:page;" filled="f" stroked="t" coordsize="21600,21600" o:gfxdata="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xl8tdkAAAAL&#10;AQAADwAAAAAAAAABACAAAAAiAAAAZHJzL2Rvd25yZXYueG1sUEsBAhQAFAAAAAgAh07iQCL5+LNU&#10;AgAAhAQAAA4AAAAAAAAAAQAgAAAAKAEAAGRycy9lMm9Eb2MueG1sUEsFBgAAAAAGAAYAWQEAAO4F&#10;AAAAAA==&#10;">
                <v:fill on="f" focussize="0,0"/>
                <v:stroke weight="1pt" color="#FF00FF" joinstyle="round"/>
                <v:imagedata o:title=""/>
                <o:lock v:ext="edit" aspectratio="f"/>
              </v:rect>
            </w:pict>
          </mc:Fallback>
        </mc:AlternateContent>
      </w:r>
      <w:r>
        <w:rPr>
          <w:rFonts w:ascii="Arial" w:hAnsi="Arial" w:cs="Arial"/>
        </w:rPr>
        <w:drawing>
          <wp:anchor distT="0" distB="0" distL="114300" distR="114300" simplePos="0" relativeHeight="251712512" behindDoc="0" locked="0" layoutInCell="1" allowOverlap="1">
            <wp:simplePos x="0" y="0"/>
            <wp:positionH relativeFrom="column">
              <wp:posOffset>4747895</wp:posOffset>
            </wp:positionH>
            <wp:positionV relativeFrom="paragraph">
              <wp:posOffset>180340</wp:posOffset>
            </wp:positionV>
            <wp:extent cx="539750" cy="720725"/>
            <wp:effectExtent l="0" t="0" r="0" b="3175"/>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539750" cy="720725"/>
                    </a:xfrm>
                    <a:prstGeom prst="rect">
                      <a:avLst/>
                    </a:prstGeom>
                    <a:noFill/>
                  </pic:spPr>
                </pic:pic>
              </a:graphicData>
            </a:graphic>
          </wp:anchor>
        </w:drawing>
      </w:r>
      <w:r>
        <w:rPr>
          <w:rFonts w:ascii="Arial" w:hAnsi="Arial" w:cs="Arial"/>
        </w:rPr>
        <w:drawing>
          <wp:inline distT="0" distB="0" distL="0" distR="0">
            <wp:extent cx="5467350" cy="5913120"/>
            <wp:effectExtent l="19050" t="19050" r="19050" b="1143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9"/>
                    <a:stretch>
                      <a:fillRect/>
                    </a:stretch>
                  </pic:blipFill>
                  <pic:spPr>
                    <a:xfrm>
                      <a:off x="0" y="0"/>
                      <a:ext cx="5471600" cy="5917865"/>
                    </a:xfrm>
                    <a:prstGeom prst="rect">
                      <a:avLst/>
                    </a:prstGeom>
                    <a:ln w="12700">
                      <a:solidFill>
                        <a:sysClr val="windowText" lastClr="000000"/>
                      </a:solidFill>
                    </a:ln>
                  </pic:spPr>
                </pic:pic>
              </a:graphicData>
            </a:graphic>
          </wp:inline>
        </w:drawing>
      </w:r>
    </w:p>
    <w:p>
      <w:pPr>
        <w:adjustRightInd w:val="0"/>
        <w:snapToGrid w:val="0"/>
        <w:jc w:val="center"/>
        <w:rPr>
          <w:rFonts w:ascii="Arial" w:hAnsi="Arial" w:eastAsia="宋体" w:cs="Arial"/>
          <w:b/>
          <w:sz w:val="24"/>
          <w:szCs w:val="24"/>
        </w:rPr>
      </w:pPr>
      <w:r>
        <w:rPr>
          <w:rFonts w:ascii="Arial" w:hAnsi="Arial" w:eastAsia="宋体" w:cs="Arial"/>
          <w:b/>
          <w:sz w:val="24"/>
          <w:szCs w:val="24"/>
        </w:rPr>
        <w:t>图4.3-</w:t>
      </w:r>
      <w:r>
        <w:rPr>
          <w:rFonts w:hint="eastAsia" w:ascii="Arial" w:hAnsi="Arial" w:eastAsia="宋体" w:cs="Arial"/>
          <w:b/>
          <w:sz w:val="24"/>
          <w:szCs w:val="24"/>
        </w:rPr>
        <w:t>20</w:t>
      </w:r>
      <w:r>
        <w:rPr>
          <w:rFonts w:ascii="Arial" w:hAnsi="Arial" w:eastAsia="宋体" w:cs="Arial"/>
          <w:b/>
          <w:sz w:val="24"/>
          <w:szCs w:val="24"/>
        </w:rPr>
        <w:t xml:space="preserve">  应急疏散通道、安置场所位置示意图（a）</w:t>
      </w:r>
    </w:p>
    <w:p>
      <w:pPr>
        <w:adjustRightInd w:val="0"/>
        <w:snapToGrid w:val="0"/>
        <w:jc w:val="center"/>
        <w:rPr>
          <w:rFonts w:ascii="Arial" w:hAnsi="Arial" w:eastAsia="宋体" w:cs="Arial"/>
          <w:sz w:val="24"/>
          <w:szCs w:val="24"/>
        </w:rPr>
      </w:pPr>
      <w:r>
        <w:rPr>
          <w:rFonts w:ascii="Arial" w:hAnsi="Arial" w:cs="Arial"/>
        </w:rPr>
        <w:drawing>
          <wp:anchor distT="0" distB="0" distL="114300" distR="114300" simplePos="0" relativeHeight="251709440" behindDoc="0" locked="0" layoutInCell="1" allowOverlap="1">
            <wp:simplePos x="0" y="0"/>
            <wp:positionH relativeFrom="column">
              <wp:posOffset>4941570</wp:posOffset>
            </wp:positionH>
            <wp:positionV relativeFrom="paragraph">
              <wp:posOffset>14605</wp:posOffset>
            </wp:positionV>
            <wp:extent cx="617220" cy="823595"/>
            <wp:effectExtent l="0" t="0" r="0" b="0"/>
            <wp:wrapNone/>
            <wp:docPr id="2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617220" cy="823595"/>
                    </a:xfrm>
                    <a:prstGeom prst="rect">
                      <a:avLst/>
                    </a:prstGeom>
                    <a:noFill/>
                  </pic:spPr>
                </pic:pic>
              </a:graphicData>
            </a:graphic>
          </wp:anchor>
        </w:drawing>
      </w:r>
      <w:r>
        <w:rPr>
          <w:rFonts w:ascii="Arial" w:hAnsi="Arial" w:cs="Arial"/>
        </w:rPr>
        <mc:AlternateContent>
          <mc:Choice Requires="wps">
            <w:drawing>
              <wp:anchor distT="0" distB="0" distL="114300" distR="114300" simplePos="0" relativeHeight="251706368" behindDoc="0" locked="0" layoutInCell="1" allowOverlap="1">
                <wp:simplePos x="0" y="0"/>
                <wp:positionH relativeFrom="column">
                  <wp:posOffset>1774190</wp:posOffset>
                </wp:positionH>
                <wp:positionV relativeFrom="paragraph">
                  <wp:posOffset>1531620</wp:posOffset>
                </wp:positionV>
                <wp:extent cx="81280" cy="263525"/>
                <wp:effectExtent l="19050" t="38100" r="52070" b="22225"/>
                <wp:wrapNone/>
                <wp:docPr id="261" name="直接箭头连接符 261"/>
                <wp:cNvGraphicFramePr/>
                <a:graphic xmlns:a="http://schemas.openxmlformats.org/drawingml/2006/main">
                  <a:graphicData uri="http://schemas.microsoft.com/office/word/2010/wordprocessingShape">
                    <wps:wsp>
                      <wps:cNvCnPr/>
                      <wps:spPr>
                        <a:xfrm flipV="1">
                          <a:off x="0" y="0"/>
                          <a:ext cx="81280" cy="263525"/>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y;margin-left:139.7pt;margin-top:120.6pt;height:20.75pt;width:6.4pt;z-index:251706368;mso-width-relative:page;mso-height-relative:page;" filled="f" stroked="t" coordsize="21600,21600" o:gfxdata="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ZMfY7YAAAACwEAAA8AAAAAAAAAAQAgAAAAIgAAAGRycy9kb3ducmV2Lnht&#10;bFBLAQIUABQAAAAIAIdO4kBkeUwg+QEAAKwDAAAOAAAAAAAAAAEAIAAAACcBAABkcnMvZTJvRG9j&#10;LnhtbFBLBQYAAAAABgAGAFkBAACSBQ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8416" behindDoc="0" locked="0" layoutInCell="1" allowOverlap="1">
                <wp:simplePos x="0" y="0"/>
                <wp:positionH relativeFrom="column">
                  <wp:posOffset>1919605</wp:posOffset>
                </wp:positionH>
                <wp:positionV relativeFrom="paragraph">
                  <wp:posOffset>1836420</wp:posOffset>
                </wp:positionV>
                <wp:extent cx="290830" cy="131445"/>
                <wp:effectExtent l="38100" t="38100" r="13970" b="20955"/>
                <wp:wrapNone/>
                <wp:docPr id="262" name="直接箭头连接符 262"/>
                <wp:cNvGraphicFramePr/>
                <a:graphic xmlns:a="http://schemas.openxmlformats.org/drawingml/2006/main">
                  <a:graphicData uri="http://schemas.microsoft.com/office/word/2010/wordprocessingShape">
                    <wps:wsp>
                      <wps:cNvCnPr/>
                      <wps:spPr>
                        <a:xfrm flipH="1" flipV="1">
                          <a:off x="0" y="0"/>
                          <a:ext cx="290830" cy="131445"/>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x y;margin-left:151.15pt;margin-top:144.6pt;height:10.35pt;width:22.9pt;z-index:251708416;mso-width-relative:page;mso-height-relative:page;" filled="f" stroked="t" coordsize="21600,21600" o:gfxdata="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FP/w82gAAAAsBAAAPAAAAAAAAAAEAIAAAACIAAABkcnMv&#10;ZG93bnJldi54bWxQSwECFAAUAAAACACHTuJANEa0lAECAAC3AwAADgAAAAAAAAABACAAAAApAQAA&#10;ZHJzL2Uyb0RvYy54bWxQSwUGAAAAAAYABgBZAQAAnAU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7392" behindDoc="0" locked="0" layoutInCell="1" allowOverlap="1">
                <wp:simplePos x="0" y="0"/>
                <wp:positionH relativeFrom="column">
                  <wp:posOffset>2174240</wp:posOffset>
                </wp:positionH>
                <wp:positionV relativeFrom="paragraph">
                  <wp:posOffset>2196465</wp:posOffset>
                </wp:positionV>
                <wp:extent cx="0" cy="262890"/>
                <wp:effectExtent l="95250" t="38100" r="57150" b="22860"/>
                <wp:wrapNone/>
                <wp:docPr id="263" name="直接箭头连接符 263"/>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y;margin-left:171.2pt;margin-top:172.95pt;height:20.7pt;width:0pt;z-index:251707392;mso-width-relative:page;mso-height-relative:page;" filled="f" stroked="t" coordsize="21600,21600" o:gfxdata="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9z2FY2QAAAAsBAAAPAAAAAAAAAAEAIAAAACIAAABkcnMvZG93bnJldi54bWxQ&#10;SwECFAAUAAAACACHTuJA9K2T1PYBAACoAwAADgAAAAAAAAABACAAAAAoAQAAZHJzL2Uyb0RvYy54&#10;bWxQSwUGAAAAAAYABgBZAQAAkAU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5344" behindDoc="0" locked="0" layoutInCell="1" allowOverlap="1">
                <wp:simplePos x="0" y="0"/>
                <wp:positionH relativeFrom="column">
                  <wp:posOffset>1337310</wp:posOffset>
                </wp:positionH>
                <wp:positionV relativeFrom="paragraph">
                  <wp:posOffset>1068070</wp:posOffset>
                </wp:positionV>
                <wp:extent cx="768985" cy="449580"/>
                <wp:effectExtent l="0" t="0" r="0" b="0"/>
                <wp:wrapNone/>
                <wp:docPr id="26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8985" cy="449580"/>
                        </a:xfrm>
                        <a:prstGeom prst="rect">
                          <a:avLst/>
                        </a:prstGeom>
                        <a:noFill/>
                        <a:ln w="9525">
                          <a:noFill/>
                          <a:miter lim="800000"/>
                        </a:ln>
                      </wps:spPr>
                      <wps:txbx>
                        <w:txbxContent>
                          <w:p>
                            <w:pPr>
                              <w:adjustRightInd w:val="0"/>
                              <w:snapToGrid w:val="0"/>
                              <w:jc w:val="center"/>
                              <w:rPr>
                                <w:rFonts w:ascii="宋体" w:hAnsi="宋体" w:eastAsia="宋体"/>
                                <w:b/>
                                <w:sz w:val="21"/>
                              </w:rPr>
                            </w:pPr>
                            <w:r>
                              <w:rPr>
                                <w:rFonts w:hint="eastAsia" w:ascii="宋体" w:hAnsi="宋体" w:eastAsia="宋体"/>
                                <w:b/>
                                <w:sz w:val="21"/>
                              </w:rPr>
                              <w:t>应急安置场所</w:t>
                            </w:r>
                          </w:p>
                          <w:p>
                            <w:pPr>
                              <w:adjustRightInd w:val="0"/>
                              <w:snapToGrid w:val="0"/>
                              <w:jc w:val="center"/>
                              <w:rPr>
                                <w:rFonts w:ascii="宋体" w:hAnsi="宋体" w:eastAsia="宋体"/>
                                <w:b/>
                                <w:sz w:val="21"/>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5.3pt;margin-top:84.1pt;height:35.4pt;width:60.55pt;z-index:251705344;mso-width-relative:page;mso-height-relative:page;" filled="f" stroked="f" coordsize="21600,21600" o:gfxdata="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NiVN9gAAAALAQAADwAAAAAAAAABACAAAAAi&#10;AAAAZHJzL2Rvd25yZXYueG1sUEsBAhQAFAAAAAgAh07iQNMLGJ4KAgAA3AMAAA4AAAAAAAAAAQAg&#10;AAAAJwEAAGRycy9lMm9Eb2MueG1sUEsFBgAAAAAGAAYAWQEAAKMFAAAAAA==&#10;">
                <v:fill on="f" focussize="0,0"/>
                <v:stroke on="f" miterlimit="8" joinstyle="miter"/>
                <v:imagedata o:title=""/>
                <o:lock v:ext="edit" aspectratio="f"/>
                <v:textbox>
                  <w:txbxContent>
                    <w:p>
                      <w:pPr>
                        <w:adjustRightInd w:val="0"/>
                        <w:snapToGrid w:val="0"/>
                        <w:jc w:val="center"/>
                        <w:rPr>
                          <w:rFonts w:ascii="宋体" w:hAnsi="宋体" w:eastAsia="宋体"/>
                          <w:b/>
                          <w:sz w:val="21"/>
                        </w:rPr>
                      </w:pPr>
                      <w:r>
                        <w:rPr>
                          <w:rFonts w:hint="eastAsia" w:ascii="宋体" w:hAnsi="宋体" w:eastAsia="宋体"/>
                          <w:b/>
                          <w:sz w:val="21"/>
                        </w:rPr>
                        <w:t>应急安置场所</w:t>
                      </w:r>
                    </w:p>
                    <w:p>
                      <w:pPr>
                        <w:adjustRightInd w:val="0"/>
                        <w:snapToGrid w:val="0"/>
                        <w:jc w:val="center"/>
                        <w:rPr>
                          <w:rFonts w:ascii="宋体" w:hAnsi="宋体" w:eastAsia="宋体"/>
                          <w:b/>
                          <w:sz w:val="21"/>
                        </w:rPr>
                      </w:pPr>
                    </w:p>
                  </w:txbxContent>
                </v:textbox>
              </v:shape>
            </w:pict>
          </mc:Fallback>
        </mc:AlternateContent>
      </w:r>
      <w:r>
        <w:rPr>
          <w:rFonts w:ascii="Arial" w:hAnsi="Arial" w:cs="Arial"/>
        </w:rPr>
        <mc:AlternateContent>
          <mc:Choice Requires="wps">
            <w:drawing>
              <wp:anchor distT="0" distB="0" distL="114300" distR="114300" simplePos="0" relativeHeight="251704320" behindDoc="0" locked="0" layoutInCell="1" allowOverlap="1">
                <wp:simplePos x="0" y="0"/>
                <wp:positionH relativeFrom="column">
                  <wp:posOffset>1413510</wp:posOffset>
                </wp:positionH>
                <wp:positionV relativeFrom="paragraph">
                  <wp:posOffset>1056640</wp:posOffset>
                </wp:positionV>
                <wp:extent cx="518795" cy="464185"/>
                <wp:effectExtent l="0" t="0" r="14605" b="12065"/>
                <wp:wrapNone/>
                <wp:docPr id="234" name="任意多边形 234"/>
                <wp:cNvGraphicFramePr/>
                <a:graphic xmlns:a="http://schemas.openxmlformats.org/drawingml/2006/main">
                  <a:graphicData uri="http://schemas.microsoft.com/office/word/2010/wordprocessingShape">
                    <wps:wsp>
                      <wps:cNvSpPr/>
                      <wps:spPr>
                        <a:xfrm>
                          <a:off x="0" y="0"/>
                          <a:ext cx="518795" cy="464185"/>
                        </a:xfrm>
                        <a:custGeom>
                          <a:avLst/>
                          <a:gdLst>
                            <a:gd name="connsiteX0" fmla="*/ 209550 w 1457325"/>
                            <a:gd name="connsiteY0" fmla="*/ 9525 h 1104900"/>
                            <a:gd name="connsiteX1" fmla="*/ 1457325 w 1457325"/>
                            <a:gd name="connsiteY1" fmla="*/ 314325 h 1104900"/>
                            <a:gd name="connsiteX2" fmla="*/ 1257300 w 1457325"/>
                            <a:gd name="connsiteY2" fmla="*/ 1104900 h 1104900"/>
                            <a:gd name="connsiteX3" fmla="*/ 371475 w 1457325"/>
                            <a:gd name="connsiteY3" fmla="*/ 942975 h 1104900"/>
                            <a:gd name="connsiteX4" fmla="*/ 0 w 1457325"/>
                            <a:gd name="connsiteY4" fmla="*/ 590550 h 1104900"/>
                            <a:gd name="connsiteX5" fmla="*/ 152400 w 1457325"/>
                            <a:gd name="connsiteY5" fmla="*/ 0 h 1104900"/>
                            <a:gd name="connsiteX6" fmla="*/ 209550 w 1457325"/>
                            <a:gd name="connsiteY6" fmla="*/ 9525 h 1104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57325" h="1104900">
                              <a:moveTo>
                                <a:pt x="209550" y="9525"/>
                              </a:moveTo>
                              <a:lnTo>
                                <a:pt x="1457325" y="314325"/>
                              </a:lnTo>
                              <a:lnTo>
                                <a:pt x="1257300" y="1104900"/>
                              </a:lnTo>
                              <a:lnTo>
                                <a:pt x="371475" y="942975"/>
                              </a:lnTo>
                              <a:lnTo>
                                <a:pt x="0" y="590550"/>
                              </a:lnTo>
                              <a:lnTo>
                                <a:pt x="152400" y="0"/>
                              </a:lnTo>
                              <a:lnTo>
                                <a:pt x="209550" y="9525"/>
                              </a:lnTo>
                              <a:close/>
                            </a:path>
                          </a:pathLst>
                        </a:custGeom>
                        <a:noFill/>
                        <a:ln w="1905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11.3pt;margin-top:83.2pt;height:36.55pt;width:40.85pt;z-index:251704320;v-text-anchor:middle;mso-width-relative:page;mso-height-relative:page;" filled="f" stroked="t" coordsize="1457325,1104900" o:gfxdata="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" path="m209550,9525l1457325,314325,1257300,1104900,371475,942975,0,590550,152400,0,209550,9525xe">
                <v:path o:connectlocs="74597,4001;518795,132052;447587,464185;132241,396157;0,248098;54253,0;74597,4001" o:connectangles="0,0,0,0,0,0,0"/>
                <v:fill on="f" focussize="0,0"/>
                <v:stroke weight="1.5pt" color="#0000FF" joinstyle="round"/>
                <v:imagedata o:title=""/>
                <o:lock v:ext="edit" aspectratio="f"/>
              </v:shape>
            </w:pict>
          </mc:Fallback>
        </mc:AlternateContent>
      </w:r>
      <w:r>
        <w:rPr>
          <w:rFonts w:ascii="Arial" w:hAnsi="Arial" w:cs="Arial"/>
        </w:rPr>
        <w:t xml:space="preserve"> </w:t>
      </w:r>
      <w:r>
        <w:rPr>
          <w:rFonts w:ascii="Arial" w:hAnsi="Arial" w:cs="Arial"/>
        </w:rPr>
        <w:drawing>
          <wp:inline distT="0" distB="0" distL="0" distR="0">
            <wp:extent cx="5486400" cy="4876800"/>
            <wp:effectExtent l="0" t="0" r="0" b="0"/>
            <wp:docPr id="2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486400" cy="4876800"/>
                    </a:xfrm>
                    <a:prstGeom prst="rect">
                      <a:avLst/>
                    </a:prstGeom>
                    <a:noFill/>
                    <a:ln>
                      <a:noFill/>
                    </a:ln>
                  </pic:spPr>
                </pic:pic>
              </a:graphicData>
            </a:graphic>
          </wp:inline>
        </w:drawing>
      </w:r>
    </w:p>
    <w:p>
      <w:pPr>
        <w:adjustRightInd w:val="0"/>
        <w:snapToGrid w:val="0"/>
        <w:jc w:val="center"/>
        <w:rPr>
          <w:rFonts w:ascii="Arial" w:hAnsi="Arial" w:eastAsia="宋体" w:cs="Arial"/>
          <w:sz w:val="24"/>
          <w:szCs w:val="24"/>
        </w:rPr>
      </w:pPr>
      <w:r>
        <w:rPr>
          <w:rFonts w:ascii="Arial" w:hAnsi="Arial" w:eastAsia="宋体" w:cs="Arial"/>
          <w:b/>
          <w:sz w:val="24"/>
          <w:szCs w:val="24"/>
        </w:rPr>
        <w:t>图4.3-</w:t>
      </w:r>
      <w:r>
        <w:rPr>
          <w:rFonts w:hint="eastAsia" w:ascii="Arial" w:hAnsi="Arial" w:eastAsia="宋体" w:cs="Arial"/>
          <w:b/>
          <w:sz w:val="24"/>
          <w:szCs w:val="24"/>
        </w:rPr>
        <w:t>21</w:t>
      </w:r>
      <w:r>
        <w:rPr>
          <w:rFonts w:ascii="Arial" w:hAnsi="Arial" w:eastAsia="宋体" w:cs="Arial"/>
          <w:b/>
          <w:sz w:val="24"/>
          <w:szCs w:val="24"/>
        </w:rPr>
        <w:t xml:space="preserve">  应急疏散通道、安置场所位置示意图（b）</w:t>
      </w:r>
    </w:p>
    <w:p>
      <w:pPr>
        <w:adjustRightInd w:val="0"/>
        <w:snapToGrid w:val="0"/>
        <w:jc w:val="center"/>
        <w:rPr>
          <w:rFonts w:ascii="Arial" w:hAnsi="Arial" w:eastAsia="宋体" w:cs="Arial"/>
          <w:sz w:val="24"/>
          <w:szCs w:val="24"/>
        </w:rPr>
      </w:pPr>
    </w:p>
    <w:p>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4.生产装置事故防控措施</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所有专用设备根据工艺要求、物料性质，按照《生产设备安全卫生设计总则》（GB5083）进行选择。选用的机械、设备和电气设备符合国家或行业技术标准。</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应急预案</w:t>
      </w:r>
    </w:p>
    <w:p>
      <w:pPr>
        <w:numPr>
          <w:ilvl w:val="0"/>
          <w:numId w:val="35"/>
        </w:numPr>
        <w:spacing w:line="500" w:lineRule="exact"/>
        <w:outlineLvl w:val="3"/>
        <w:rPr>
          <w:rFonts w:ascii="Arial" w:hAnsi="Arial" w:eastAsia="宋体" w:cs="Arial"/>
          <w:b/>
          <w:sz w:val="24"/>
          <w:szCs w:val="24"/>
        </w:rPr>
      </w:pPr>
      <w:r>
        <w:rPr>
          <w:rFonts w:ascii="Arial" w:hAnsi="Arial" w:eastAsia="宋体" w:cs="Arial"/>
          <w:b/>
          <w:sz w:val="24"/>
          <w:szCs w:val="24"/>
        </w:rPr>
        <w:t>应急预案编制要求</w:t>
      </w:r>
    </w:p>
    <w:p>
      <w:pPr>
        <w:spacing w:line="500" w:lineRule="exact"/>
        <w:ind w:firstLine="470"/>
        <w:rPr>
          <w:rFonts w:ascii="Arial" w:hAnsi="Arial" w:eastAsia="宋体" w:cs="Arial"/>
          <w:spacing w:val="10"/>
          <w:sz w:val="24"/>
        </w:rPr>
      </w:pPr>
      <w:r>
        <w:rPr>
          <w:rFonts w:ascii="Arial" w:hAnsi="Arial" w:eastAsia="宋体" w:cs="Arial"/>
          <w:spacing w:val="10"/>
          <w:sz w:val="24"/>
        </w:rPr>
        <w:t>企业已编制突发环境事件应急预案并已备案，企业应根据项目新增内容对应急预案进行修编。</w:t>
      </w:r>
    </w:p>
    <w:p>
      <w:pPr>
        <w:spacing w:line="500" w:lineRule="exact"/>
        <w:ind w:firstLine="470"/>
        <w:rPr>
          <w:rFonts w:ascii="Arial" w:hAnsi="Arial" w:eastAsia="宋体" w:cs="Arial"/>
          <w:spacing w:val="10"/>
          <w:sz w:val="24"/>
        </w:rPr>
      </w:pPr>
      <w:r>
        <w:rPr>
          <w:rFonts w:ascii="Arial" w:hAnsi="Arial" w:eastAsia="宋体" w:cs="Arial"/>
          <w:spacing w:val="10"/>
          <w:sz w:val="24"/>
        </w:rPr>
        <w:t>根据风险导则，本报告提出应急预案编制的原则要求。</w:t>
      </w:r>
    </w:p>
    <w:p>
      <w:pPr>
        <w:spacing w:line="500" w:lineRule="exact"/>
        <w:ind w:firstLine="470"/>
        <w:rPr>
          <w:rFonts w:ascii="Arial" w:hAnsi="Arial" w:eastAsia="宋体" w:cs="Arial"/>
          <w:b/>
          <w:spacing w:val="10"/>
          <w:sz w:val="24"/>
        </w:rPr>
      </w:pPr>
      <w:r>
        <w:rPr>
          <w:rFonts w:ascii="Arial" w:hAnsi="Arial" w:eastAsia="宋体" w:cs="Arial"/>
          <w:b/>
          <w:spacing w:val="10"/>
          <w:sz w:val="24"/>
        </w:rPr>
        <w:t>1.预案适用范围</w:t>
      </w:r>
    </w:p>
    <w:p>
      <w:pPr>
        <w:spacing w:line="500" w:lineRule="exact"/>
        <w:ind w:firstLine="490" w:firstLineChars="200"/>
        <w:jc w:val="left"/>
        <w:rPr>
          <w:rFonts w:ascii="Arial" w:hAnsi="Arial" w:eastAsia="宋体" w:cs="Arial"/>
          <w:spacing w:val="10"/>
          <w:kern w:val="0"/>
          <w:sz w:val="24"/>
        </w:rPr>
      </w:pPr>
      <w:r>
        <w:rPr>
          <w:rFonts w:ascii="Arial" w:hAnsi="Arial" w:eastAsia="宋体" w:cs="Arial"/>
          <w:spacing w:val="10"/>
          <w:kern w:val="0"/>
          <w:sz w:val="24"/>
        </w:rPr>
        <w:t>应急预案针对本项目一般性环境污染事件及其以上级别的环境污染及突发环境事件的应急处置，以及附属区域内产生不利影响的各类环境污染事件。</w:t>
      </w:r>
    </w:p>
    <w:p>
      <w:pPr>
        <w:spacing w:line="500" w:lineRule="exact"/>
        <w:ind w:firstLine="470"/>
        <w:rPr>
          <w:rFonts w:ascii="Arial" w:hAnsi="Arial" w:eastAsia="宋体" w:cs="Arial"/>
          <w:b/>
          <w:spacing w:val="10"/>
          <w:sz w:val="24"/>
        </w:rPr>
      </w:pPr>
      <w:r>
        <w:rPr>
          <w:rFonts w:ascii="Arial" w:hAnsi="Arial" w:eastAsia="宋体" w:cs="Arial"/>
          <w:b/>
          <w:spacing w:val="10"/>
          <w:sz w:val="24"/>
        </w:rPr>
        <w:t>2.环境事件分类与分级</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国家突发环境事件分级</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 xml:space="preserve"> 特别重大突发环境事件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凡符合下列情形之一的，为特别重大突发环境事件：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a、因环境污染直接导致30人以上死亡或100人以上中毒或重伤的；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b、因环境污染疏散、转移人员5万人以上的；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c、因环境污染造成直接经济损失1亿元以上的；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d、因环境污染造成区域生态功能丧失或该区域国家重点保护物种灭绝的；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e、因环境污染造成设区的市级以上城市集中式饮用水水源地取水中断的；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类放射源丢失、被盗、失控并造成大范围严重辐射污染后果的；放射性同位素和射线装置失控导致3人以上急性死亡的；放射性物质泄漏，造成大范围辐射污染后果的；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g、造成重大跨国境影响的境内突发环境事件。</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 xml:space="preserve"> 重大突发环境事件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凡符合下列情形之一的，为重大突发环境事件：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a、因环境污染直接导致10人以上30人以下死亡或50人以上100人以下中毒或重伤的；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b、因环境污染疏散、转移人员1万人以上5万人以下的；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c、因环境污染造成直接经济损失2000万元以上1亿元以下的；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d、因环境污染造成区域生态功能部分丧失或该区域国家重点保护野生动植物种群大批死亡的；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e、因环境污染造成县级城市集中式饮用水水源地取水中断的；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类放射源丢失、被盗的；放射性同位素和射线装置失控导致3人以下急性死亡或者10人以上急性重度放射病、局部器官残疾的；放射性物质泄漏，造成较大范围辐射污染后果的；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g、造成跨省级行政区域影响的突发环境事件。</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 xml:space="preserve"> 较大突发环境事件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凡符合下列情形之一的，为较大突发环境事件：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a、因环境污染直接导致3人以上10人以下死亡或10人以上50人以下中毒或重伤的；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b、因环境污染疏散、转移人员5000人以上1万人以下的；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c、因环境污染造成直接经济损失500万元以上2000万元以下的；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d、因环境污染造成国家重点保护的动植物物种受到破坏的；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e、因环境污染造成乡镇集中式饮用水水源地取水中断的；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Ⅲ</w:t>
      </w:r>
      <w:r>
        <w:rPr>
          <w:rFonts w:ascii="Arial" w:hAnsi="Arial" w:eastAsia="宋体" w:cs="Arial"/>
          <w:spacing w:val="10"/>
          <w:sz w:val="24"/>
        </w:rPr>
        <w:t>类放射源丢失、被盗的；放射性同位素和射线装置失控导致 10 人以下急性重度放射病、局部器官残疾的；放射性物质泄漏，造成小范围辐射污染后果的；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g、造成跨设区的市级行政区域影响的突发环境事件。</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④</w:t>
      </w:r>
      <w:r>
        <w:rPr>
          <w:rFonts w:ascii="Arial" w:hAnsi="Arial" w:eastAsia="宋体" w:cs="Arial"/>
          <w:spacing w:val="10"/>
          <w:sz w:val="24"/>
        </w:rPr>
        <w:t xml:space="preserve"> 一般突发环境事件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凡符合下列情形之一的，为一般突发环境事件：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a、因环境污染直接导致3人以下死亡或10人以下中毒或重伤的；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b、因环境污染疏散、转移人员5000人以下的；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c、因环境污染造成直接经济损失500万元以下的；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d、因环境污染造成跨县级行政区域纠纷，引起一般性群体影响的；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w:t>
      </w:r>
      <w:r>
        <w:rPr>
          <w:rFonts w:hint="eastAsia" w:ascii="宋体" w:hAnsi="宋体" w:eastAsia="宋体" w:cs="宋体"/>
          <w:spacing w:val="10"/>
          <w:sz w:val="24"/>
        </w:rPr>
        <w:t>Ⅳ</w:t>
      </w:r>
      <w:r>
        <w:rPr>
          <w:rFonts w:ascii="Arial" w:hAnsi="Arial" w:eastAsia="宋体" w:cs="Arial"/>
          <w:spacing w:val="10"/>
          <w:sz w:val="24"/>
        </w:rPr>
        <w:t>、</w:t>
      </w:r>
      <w:r>
        <w:rPr>
          <w:rFonts w:hint="eastAsia" w:ascii="宋体" w:hAnsi="宋体" w:eastAsia="宋体" w:cs="宋体"/>
          <w:spacing w:val="10"/>
          <w:sz w:val="24"/>
        </w:rPr>
        <w:t>Ⅴ</w:t>
      </w:r>
      <w:r>
        <w:rPr>
          <w:rFonts w:ascii="Arial" w:hAnsi="Arial" w:eastAsia="宋体" w:cs="Arial"/>
          <w:spacing w:val="10"/>
          <w:sz w:val="24"/>
        </w:rPr>
        <w:t>类放射源丢失、被盗的；放射性同位素和射线装置失控导致人员受到超过年剂量限值的照射的；放射性物质泄漏，造成厂区内或设施内局部辐射污染后果的；铀矿冶、伴生矿超标排放，造成环境辐射污染后果的；</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f、对环境造成一定影响，尚未达到较大突发环境事件级别的。</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企业突发环境事件分级</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针对企业突发环境事件严重性、紧急程度、危害程度、影响范围、公司内部（生产工段、车间）控制事态的能力以及需要调动的应急资源，将企业突发环境事件分为三个不同的等级，事件分级依次为：</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 xml:space="preserve"> 岗位级</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a、可能引发企业突发环境事件的各因素的所有事件。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b、只需现场人员履行工作职责，启动相应的现场处置措施即可。</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c、影响范围在操作岗位上。</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 xml:space="preserve"> 车间级</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a、事故已经发生或升级，企业主要生产设施需要关停，需立即采取行动以防止泄漏物扩散的事件。</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b、现场人员要履行他们的职责，启动现场处置措施，需要启动厂区内部分应急组织。</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c、影响范围在公司控制范围内。</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 xml:space="preserve"> 企业级</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a、包括事件已经发生或升级，需要立即采取行动防止泄漏物外排出厂的事件，以保证厂区外部临近区环境的安全。</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b、现场人员要履行他们的职责，可能需要厂区外援助以减轻事故的影响，各应急组织机构要全面启动。</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c、影响范围超出公司控制范围。</w:t>
      </w:r>
    </w:p>
    <w:p>
      <w:pPr>
        <w:spacing w:line="500" w:lineRule="exact"/>
        <w:ind w:firstLine="470"/>
        <w:rPr>
          <w:rFonts w:ascii="Arial" w:hAnsi="Arial" w:eastAsia="宋体" w:cs="Arial"/>
          <w:spacing w:val="10"/>
          <w:sz w:val="24"/>
        </w:rPr>
      </w:pPr>
      <w:r>
        <w:rPr>
          <w:rFonts w:ascii="Arial" w:hAnsi="Arial" w:eastAsia="宋体" w:cs="Arial"/>
          <w:spacing w:val="10"/>
          <w:sz w:val="24"/>
        </w:rPr>
        <w:t>在企业突发环境事件时与国家突发环境事件分级相对应，并与之有效的衔接。</w:t>
      </w:r>
    </w:p>
    <w:p>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3.组织机构与职责</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企业应设立事故应急组织机构，并和当地消防中心、生态环境局建立正常的定期联系，并明确各机构职责。组织机构由总指挥、副总指挥及组成人员组成。</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当发生重大事故时，由应急组织机构总指挥负责企业应急救援工作的组织和指挥。各职能部门职责如下：</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总指挥：决定启动、终止应急预案；全权负责事故应急处置的组织指挥，对应急方案进行决策；负责人员、资源配置、应急队伍的调动；根据事态发展和控制程度，适时提高或降低相应级别，并调整事故处置方案；协调事故现场有关工作；必要时向有关单位发出救援请求；接受政府的指令和调动；配合政府部门开展应急处置和事故调查工作；组织事故调查，总结应急救援工作经验教训，组织并迅速恢复生产。</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副总指挥：协助总指挥负责应急救援的具体指挥工作；做好事故接警、报警、情况通报及事故处置工作指挥；负责事故的应急、抢险、抢修现场指挥、疏散、道路管制工作指挥；负责现场医疗救护指挥及中毒、受伤人员分类抢救和护送转院工作指挥。</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通讯联络组的职责：主要负责应急过程中指挥部成员、及相关部门的通讯联络，保证应急过程中的通讯畅通，同时对事故的全过程做好处理记录和报告记录。</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现场抢救组的职责：做好设施的抢(排)险，人员和物资的疏散、转移以及对伤员的救护等工作。</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⑸</w:t>
      </w:r>
      <w:r>
        <w:rPr>
          <w:rFonts w:ascii="Arial" w:hAnsi="Arial" w:eastAsia="宋体" w:cs="Arial"/>
          <w:spacing w:val="10"/>
          <w:sz w:val="24"/>
        </w:rPr>
        <w:t xml:space="preserve"> 保卫警戒组职责：依照规定指挥控制事故发生区的秩序，人员疏散以及危险区的警戒工作，并作为机动人员随时待命。</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⑹</w:t>
      </w:r>
      <w:r>
        <w:rPr>
          <w:rFonts w:ascii="Arial" w:hAnsi="Arial" w:eastAsia="宋体" w:cs="Arial"/>
          <w:spacing w:val="10"/>
          <w:sz w:val="24"/>
        </w:rPr>
        <w:t xml:space="preserve"> 后勤保障组职责：主要负责事故及灾害抢险救灾所需物资的供应、调运及人员的安置等工作。</w:t>
      </w:r>
    </w:p>
    <w:p>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4.监控和预警</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根据预警对应的突发环境事件危害程度、影响范围、控制事态的能力以及可以调动的应急资源，突发环境事件预警分为岗位级（蓝色）预警、车间级（黄色）预警和企业级（红色）预警三个等级。</w:t>
      </w:r>
    </w:p>
    <w:p>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5.应急响应</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突发环境事件应急响应坚持属地为主的原则，相关单位配合。按突发环境事件的可控性、严重程度和影响范围，突发环境事件的应急响应分为重大（一级响应）、较大（二级响应）、一般（三级响应）三级。超出本级应急处置能力时，应及时请求上一级应急救援指挥机构启动上一级应急预案。</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一级响应</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环境风险事故的影响和危害已经超出厂区边界，需要园区、当地政府等外部应急救援力量提供援助，或发生重大区域性自然灾害事件，企业应急救援力量需要紧密配合外部救援力量，完成各项应急救援工作。</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二级响应</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出现污染事故，但通过动用厂区各专职和兼职应急救援力量即可有效处理的环境污染事故，厂区内所有应急救援力量进入现场应急状态。</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三级响应</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预警应急为可控制的异常事件或者为容易控制的突发事件。现场操作人员经过简单的应急救援培训即可完成事故现场的所有应急处置。</w:t>
      </w:r>
    </w:p>
    <w:p>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6.应急保障</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通信与信息保障</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企业应建立有线、无线相结合的基础应急通信系统，并大力发展视频远程传输技术，保障通信畅通。同时，提供与应急工作相关的单位和人员的通信联系方式和方法。</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应急队伍保障</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按照《突发环境污染事故应急预案》要求，建设好抢险救援辅助队伍，随时做好处理重特大事故的准备。同时，加强应急队伍的业务培训和应急演练，增加员工应急能力；加强与</w:t>
      </w:r>
      <w:r>
        <w:rPr>
          <w:rFonts w:hint="eastAsia" w:ascii="Arial" w:hAnsi="Arial" w:eastAsia="宋体" w:cs="Arial"/>
          <w:spacing w:val="10"/>
          <w:sz w:val="24"/>
          <w:lang w:eastAsia="zh-CN"/>
        </w:rPr>
        <w:t>其他</w:t>
      </w:r>
      <w:r>
        <w:rPr>
          <w:rFonts w:ascii="Arial" w:hAnsi="Arial" w:eastAsia="宋体" w:cs="Arial"/>
          <w:spacing w:val="10"/>
          <w:sz w:val="24"/>
        </w:rPr>
        <w:t>企业的交流与合作，不断提高应急队伍的素质和能力，与专业救护队签订救援协议。</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应急物资装备保障</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主要的应急物资包括通信预警、急救设备以及为避免污染事故污染物外排和伤害的应急保障设施，并对其进行日常维护。</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经费保障</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处置环境污染事故工作和平常演练所需的有关经费，每年安全部做预算，报总指挥批准，由财务科设立独立的应急经费，保证专款专用，并能随时取出。</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⑸</w:t>
      </w:r>
      <w:r>
        <w:rPr>
          <w:rFonts w:ascii="Arial" w:hAnsi="Arial" w:eastAsia="宋体" w:cs="Arial"/>
          <w:spacing w:val="10"/>
          <w:sz w:val="24"/>
        </w:rPr>
        <w:t xml:space="preserve"> 医疗急救保障</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医疗急救保障由当地各医院给予救护支持，形成应急救援的医疗保障。</w:t>
      </w:r>
    </w:p>
    <w:p>
      <w:pPr>
        <w:spacing w:line="500" w:lineRule="exact"/>
        <w:ind w:firstLine="488" w:firstLineChars="199"/>
        <w:jc w:val="left"/>
        <w:rPr>
          <w:rFonts w:ascii="Arial" w:hAnsi="Arial" w:eastAsia="宋体" w:cs="Arial"/>
          <w:spacing w:val="10"/>
          <w:sz w:val="24"/>
        </w:rPr>
      </w:pPr>
      <w:r>
        <w:rPr>
          <w:rFonts w:ascii="Arial" w:hAnsi="Arial" w:eastAsia="宋体" w:cs="Arial"/>
          <w:b/>
          <w:spacing w:val="10"/>
          <w:sz w:val="24"/>
        </w:rPr>
        <w:t>7.善后处理</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环境突发事故控制住后，要同时进行如下的善后处理：</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及时调查环境污染事故的起因，对污染事故基本情况进行定性和定量描述，对整个事故进行评估，对玩忽职守并造成严重后果的，追究相关人员责任。</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收集相关资料存挡，包括事故性质、参数与后果、决策记录、信息分析等，进行工作总结，为防范环境突发事故指挥部门提供决策依据。</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对受伤工人或群众进行抢救及安抚，制定相应的赔偿计划等善后工作。</w:t>
      </w:r>
    </w:p>
    <w:p>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对受损的设施设备进行检修等善后工作，当确定设施设备能正常运行时再恢复生产。</w:t>
      </w:r>
    </w:p>
    <w:p>
      <w:pPr>
        <w:spacing w:line="500" w:lineRule="exact"/>
        <w:ind w:firstLine="488" w:firstLineChars="199"/>
        <w:jc w:val="left"/>
        <w:rPr>
          <w:rFonts w:ascii="Arial" w:hAnsi="Arial" w:eastAsia="宋体" w:cs="Arial"/>
          <w:spacing w:val="10"/>
          <w:sz w:val="24"/>
        </w:rPr>
      </w:pPr>
      <w:r>
        <w:rPr>
          <w:rFonts w:ascii="Arial" w:hAnsi="Arial" w:eastAsia="宋体" w:cs="Arial"/>
          <w:b/>
          <w:spacing w:val="10"/>
          <w:sz w:val="24"/>
        </w:rPr>
        <w:t>8.预案管理与演练</w:t>
      </w:r>
    </w:p>
    <w:p>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为了确保快速、有序和有效的应急反应能力，企业所有人员必须熟悉可能产生的各种紧急事故和应急行动。所有人员要接受安全和应急培训，使他们熟悉警报、疏散路线，安全躲避场所等。此外，应急反应组织的成员要求进行专业培训，并定期进行培训和演习。</w:t>
      </w:r>
    </w:p>
    <w:p>
      <w:pPr>
        <w:numPr>
          <w:ilvl w:val="0"/>
          <w:numId w:val="35"/>
        </w:numPr>
        <w:spacing w:line="500" w:lineRule="exact"/>
        <w:outlineLvl w:val="3"/>
        <w:rPr>
          <w:rFonts w:ascii="Arial" w:hAnsi="Arial" w:eastAsia="宋体" w:cs="Arial"/>
          <w:b/>
          <w:sz w:val="24"/>
          <w:szCs w:val="24"/>
        </w:rPr>
      </w:pPr>
      <w:r>
        <w:rPr>
          <w:rFonts w:ascii="Arial" w:hAnsi="Arial" w:eastAsia="宋体" w:cs="Arial"/>
          <w:b/>
          <w:sz w:val="24"/>
          <w:szCs w:val="24"/>
        </w:rPr>
        <w:t>企业应急预案与区域联动要求</w:t>
      </w:r>
    </w:p>
    <w:p>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为防治企业发生多米诺连锁事故，应建立单位自救、企业互救与社会救援相结合的区域联防联动机制，这是事故发生后能够控制事态扩大的有效举措。建立联防联动三级快速响应机制。一旦发生事故，本企业立即处置并通知相邻联防企业，一方面做好自身防范，另一方面做好互相救援工作；相邻联防企业接到互救报警电话，应立即参加互救应急救援；企业首先应判断事故是否可以靠自救和互救及时控制，否则立即上报上级，启动工业区级紧急救援预案。</w:t>
      </w:r>
    </w:p>
    <w:p>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项目应建立突然环境事件应急预案，应急预案应与钦州市应急预案有效衔接，主要包括应急组织机构、人员的衔接，预案分级响应的衔接，应急救援保障的衔接，应急培训计划的衔接，公众教育的衔接，风险防范措施的衔接，形成三级架构应急预案体系。同时，建设单位环境风险防控系统应纳入园区风险防控体系，与地方政府和园区险防控形成联动机制的三级风险防控体系，在日常风险防控工作和突发环境事件应急工作中要与园区紧密联系，在突发环境事件时能及时与园区、地方政府沟通，依托园区的风险防控设施和管理，实现企业与园区环境风险防控设施和管理的有效联动，有效防控环境风险。</w:t>
      </w:r>
    </w:p>
    <w:p>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风险评价结论</w:t>
      </w:r>
    </w:p>
    <w:p>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项目风险因素</w:t>
      </w:r>
    </w:p>
    <w:p>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项目涉及的危险物质包括硫酸钴</w:t>
      </w:r>
      <w:r>
        <w:rPr>
          <w:rFonts w:hint="eastAsia" w:ascii="Arial" w:hAnsi="Arial" w:eastAsia="宋体" w:cs="Arial"/>
          <w:spacing w:val="10"/>
          <w:sz w:val="24"/>
          <w:szCs w:val="24"/>
        </w:rPr>
        <w:t>晶体</w:t>
      </w:r>
      <w:r>
        <w:rPr>
          <w:rFonts w:ascii="Arial" w:hAnsi="Arial" w:eastAsia="宋体" w:cs="Arial"/>
          <w:spacing w:val="10"/>
          <w:sz w:val="24"/>
          <w:szCs w:val="24"/>
        </w:rPr>
        <w:t>、21%氨水、</w:t>
      </w:r>
      <w:r>
        <w:rPr>
          <w:rFonts w:hint="eastAsia" w:ascii="Arial" w:hAnsi="Arial" w:eastAsia="宋体" w:cs="Arial"/>
          <w:spacing w:val="10"/>
          <w:sz w:val="24"/>
          <w:szCs w:val="24"/>
        </w:rPr>
        <w:t>稀硫酸、含钴废水</w:t>
      </w:r>
      <w:r>
        <w:rPr>
          <w:rFonts w:ascii="Arial" w:hAnsi="Arial" w:eastAsia="宋体" w:cs="Arial"/>
          <w:spacing w:val="10"/>
          <w:sz w:val="24"/>
          <w:szCs w:val="24"/>
        </w:rPr>
        <w:t>等。</w:t>
      </w:r>
    </w:p>
    <w:p>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在风险识别的基础上，</w:t>
      </w:r>
      <w:r>
        <w:rPr>
          <w:rFonts w:ascii="Arial" w:hAnsi="Arial" w:eastAsia="宋体" w:cs="Arial"/>
          <w:spacing w:val="10"/>
          <w:sz w:val="24"/>
        </w:rPr>
        <w:t>通过对项目环境风险类型及影响途径分析，项目危险因素主要考虑</w:t>
      </w:r>
      <w:r>
        <w:rPr>
          <w:rFonts w:hint="eastAsia" w:ascii="Arial" w:hAnsi="Arial" w:eastAsia="宋体" w:cs="Arial"/>
          <w:spacing w:val="10"/>
          <w:sz w:val="24"/>
        </w:rPr>
        <w:t>X19车间氨水罐、洗水外排槽及配酸槽泄漏</w:t>
      </w:r>
      <w:r>
        <w:rPr>
          <w:rFonts w:ascii="Arial" w:hAnsi="Arial" w:eastAsia="宋体" w:cs="Arial"/>
          <w:spacing w:val="10"/>
          <w:sz w:val="24"/>
        </w:rPr>
        <w:t>。</w:t>
      </w:r>
    </w:p>
    <w:p>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环境敏感性及事故影响分析</w:t>
      </w:r>
    </w:p>
    <w:p>
      <w:pPr>
        <w:spacing w:line="500" w:lineRule="exact"/>
        <w:ind w:firstLine="470"/>
        <w:rPr>
          <w:rFonts w:ascii="Arial" w:hAnsi="Arial" w:eastAsia="宋体" w:cs="Arial"/>
          <w:spacing w:val="10"/>
          <w:sz w:val="24"/>
        </w:rPr>
      </w:pPr>
      <w:r>
        <w:rPr>
          <w:rFonts w:ascii="Arial" w:hAnsi="Arial" w:eastAsia="宋体" w:cs="Arial"/>
          <w:spacing w:val="10"/>
          <w:sz w:val="24"/>
          <w:szCs w:val="24"/>
        </w:rPr>
        <w:t>厂区周边500m范围内人口为1700，厂区周边5km范围内人口约2.18万人，大气环境敏感程度为敏感；地表水和地下水环境敏感程度均为较敏感。</w:t>
      </w:r>
    </w:p>
    <w:p>
      <w:pPr>
        <w:spacing w:line="500" w:lineRule="exact"/>
        <w:ind w:firstLine="489"/>
        <w:jc w:val="left"/>
        <w:rPr>
          <w:rFonts w:ascii="Arial" w:hAnsi="Arial" w:eastAsia="宋体" w:cs="Arial"/>
          <w:sz w:val="24"/>
        </w:rPr>
      </w:pPr>
      <w:r>
        <w:rPr>
          <w:rFonts w:ascii="Arial" w:hAnsi="Arial" w:eastAsia="宋体" w:cs="Arial"/>
          <w:sz w:val="24"/>
        </w:rPr>
        <w:t>1、大气风险影响</w:t>
      </w:r>
    </w:p>
    <w:p>
      <w:pPr>
        <w:spacing w:line="500" w:lineRule="exact"/>
        <w:ind w:firstLine="489"/>
        <w:jc w:val="left"/>
        <w:rPr>
          <w:rFonts w:ascii="Arial" w:hAnsi="Arial" w:eastAsia="宋体" w:cs="Arial"/>
          <w:spacing w:val="10"/>
          <w:sz w:val="24"/>
          <w:highlight w:val="yellow"/>
        </w:rPr>
      </w:pPr>
      <w:r>
        <w:rPr>
          <w:rFonts w:ascii="Arial" w:hAnsi="Arial" w:eastAsia="宋体" w:cs="Arial"/>
          <w:spacing w:val="10"/>
          <w:sz w:val="24"/>
        </w:rPr>
        <w:t>根据预测，</w:t>
      </w:r>
      <w:r>
        <w:rPr>
          <w:rFonts w:hint="eastAsia" w:ascii="Arial" w:hAnsi="Arial" w:eastAsia="宋体" w:cs="Arial"/>
          <w:spacing w:val="10"/>
          <w:sz w:val="24"/>
        </w:rPr>
        <w:t>氨水</w:t>
      </w:r>
      <w:r>
        <w:rPr>
          <w:rFonts w:ascii="Arial" w:hAnsi="Arial" w:eastAsia="宋体" w:cs="Arial"/>
          <w:spacing w:val="10"/>
          <w:sz w:val="24"/>
        </w:rPr>
        <w:t>泄漏：</w:t>
      </w:r>
      <w:r>
        <w:rPr>
          <w:rFonts w:ascii="Arial" w:hAnsi="Arial" w:eastAsia="宋体" w:cs="Arial"/>
          <w:spacing w:val="10"/>
          <w:sz w:val="24"/>
          <w:u w:val="single"/>
        </w:rPr>
        <w:t>最不利气象条件下，最远影响距离为</w:t>
      </w:r>
      <w:r>
        <w:rPr>
          <w:rFonts w:hint="eastAsia" w:ascii="Arial" w:hAnsi="Arial" w:eastAsia="宋体" w:cs="Arial"/>
          <w:spacing w:val="10"/>
          <w:sz w:val="24"/>
          <w:u w:val="single"/>
        </w:rPr>
        <w:t>14</w:t>
      </w:r>
      <w:r>
        <w:rPr>
          <w:rFonts w:ascii="Arial" w:hAnsi="Arial" w:eastAsia="宋体" w:cs="Arial"/>
          <w:spacing w:val="10"/>
          <w:sz w:val="24"/>
          <w:u w:val="single"/>
        </w:rPr>
        <w:t>0m，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r>
        <w:rPr>
          <w:rFonts w:ascii="Arial" w:hAnsi="Arial" w:eastAsia="宋体" w:cs="Arial"/>
          <w:spacing w:val="10"/>
          <w:sz w:val="24"/>
          <w:u w:val="single"/>
        </w:rPr>
        <w:t>；常见气象条件下，最远影响距离为</w:t>
      </w:r>
      <w:r>
        <w:rPr>
          <w:rFonts w:hint="eastAsia" w:ascii="Arial" w:hAnsi="Arial" w:eastAsia="宋体" w:cs="Arial"/>
          <w:spacing w:val="10"/>
          <w:sz w:val="24"/>
          <w:u w:val="single"/>
        </w:rPr>
        <w:t>20</w:t>
      </w:r>
      <w:r>
        <w:rPr>
          <w:rFonts w:ascii="Arial" w:hAnsi="Arial" w:eastAsia="宋体" w:cs="Arial"/>
          <w:spacing w:val="10"/>
          <w:sz w:val="24"/>
          <w:u w:val="single"/>
        </w:rPr>
        <w:t>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p>
    <w:p>
      <w:pPr>
        <w:spacing w:line="500" w:lineRule="exact"/>
        <w:ind w:firstLine="470"/>
        <w:rPr>
          <w:rFonts w:ascii="Arial" w:hAnsi="Arial" w:eastAsia="宋体" w:cs="Arial"/>
          <w:spacing w:val="10"/>
          <w:sz w:val="24"/>
        </w:rPr>
      </w:pPr>
      <w:r>
        <w:rPr>
          <w:rFonts w:ascii="Arial" w:hAnsi="Arial" w:eastAsia="宋体" w:cs="Arial"/>
          <w:spacing w:val="10"/>
          <w:sz w:val="24"/>
        </w:rPr>
        <w:t>2、地表水风险影响</w:t>
      </w:r>
    </w:p>
    <w:p>
      <w:pPr>
        <w:spacing w:line="500" w:lineRule="exact"/>
        <w:ind w:firstLine="470"/>
        <w:rPr>
          <w:rFonts w:ascii="Arial" w:hAnsi="Arial" w:eastAsia="宋体" w:cs="Arial"/>
          <w:spacing w:val="10"/>
          <w:sz w:val="24"/>
          <w:szCs w:val="24"/>
        </w:rPr>
      </w:pPr>
      <w:r>
        <w:rPr>
          <w:rFonts w:hint="eastAsia" w:ascii="Arial" w:hAnsi="Arial" w:eastAsia="宋体" w:cs="Arial"/>
          <w:spacing w:val="10"/>
          <w:sz w:val="24"/>
        </w:rPr>
        <w:t>若配酸槽</w:t>
      </w:r>
      <w:r>
        <w:rPr>
          <w:rFonts w:hint="eastAsia" w:ascii="Arial" w:hAnsi="Arial" w:eastAsia="宋体" w:cs="Arial"/>
          <w:spacing w:val="10"/>
          <w:sz w:val="24"/>
          <w:szCs w:val="24"/>
        </w:rPr>
        <w:t>1t稀硫酸泄漏全部进入雨水管道，会导致海水中硫酸盐浓度增大，但增量有限，影响范围有限，对附近红树林的影响有限，地表水风险影响可接受。</w:t>
      </w:r>
    </w:p>
    <w:p>
      <w:pPr>
        <w:spacing w:line="500" w:lineRule="exact"/>
        <w:ind w:firstLine="470"/>
        <w:rPr>
          <w:rFonts w:ascii="Arial" w:hAnsi="Arial" w:eastAsia="宋体" w:cs="Arial"/>
          <w:spacing w:val="10"/>
          <w:sz w:val="24"/>
          <w:szCs w:val="24"/>
        </w:rPr>
      </w:pPr>
      <w:r>
        <w:rPr>
          <w:rFonts w:ascii="Arial" w:hAnsi="Arial" w:eastAsia="宋体" w:cs="Arial"/>
          <w:spacing w:val="10"/>
          <w:sz w:val="24"/>
          <w:szCs w:val="24"/>
        </w:rPr>
        <w:t>3、地下水风险影响</w:t>
      </w:r>
    </w:p>
    <w:p>
      <w:pPr>
        <w:spacing w:line="500" w:lineRule="exact"/>
        <w:ind w:firstLine="470"/>
        <w:rPr>
          <w:rFonts w:ascii="Arial" w:hAnsi="Arial" w:eastAsia="宋体" w:cs="Arial"/>
          <w:spacing w:val="10"/>
          <w:sz w:val="24"/>
          <w:szCs w:val="24"/>
          <w:highlight w:val="yellow"/>
        </w:rPr>
      </w:pPr>
      <w:r>
        <w:rPr>
          <w:rFonts w:ascii="Arial" w:hAnsi="Arial" w:eastAsia="宋体" w:cs="Arial"/>
          <w:spacing w:val="10"/>
          <w:sz w:val="24"/>
          <w:szCs w:val="24"/>
        </w:rPr>
        <w:t>泄漏发生后，区域地下水中的</w:t>
      </w:r>
      <w:r>
        <w:rPr>
          <w:rFonts w:hint="eastAsia" w:ascii="Arial" w:hAnsi="Arial" w:eastAsia="宋体" w:cs="Arial"/>
          <w:spacing w:val="10"/>
          <w:sz w:val="24"/>
          <w:szCs w:val="24"/>
        </w:rPr>
        <w:t>钴、耗氧量、氨氮、硫酸盐</w:t>
      </w:r>
      <w:r>
        <w:rPr>
          <w:rFonts w:ascii="Arial" w:hAnsi="Arial" w:eastAsia="宋体" w:cs="Arial"/>
          <w:spacing w:val="10"/>
          <w:sz w:val="24"/>
          <w:szCs w:val="24"/>
        </w:rPr>
        <w:t>浓度逐渐增加，泄漏后100天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地下水中钴浓度均低于</w:t>
      </w:r>
      <w:r>
        <w:rPr>
          <w:rFonts w:ascii="Arial" w:hAnsi="Arial" w:eastAsia="宋体" w:cs="Arial"/>
          <w:spacing w:val="10"/>
          <w:sz w:val="24"/>
          <w:szCs w:val="24"/>
        </w:rPr>
        <w:t>《地下水质量标准》（GB/T14848-2017）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类水标准（0.0</w:t>
      </w:r>
      <w:r>
        <w:rPr>
          <w:rFonts w:hint="eastAsia" w:ascii="Arial" w:hAnsi="Arial" w:eastAsia="宋体" w:cs="Arial"/>
          <w:spacing w:val="10"/>
          <w:sz w:val="24"/>
          <w:szCs w:val="24"/>
        </w:rPr>
        <w:t>5</w:t>
      </w:r>
      <w:r>
        <w:rPr>
          <w:rFonts w:ascii="Arial" w:hAnsi="Arial" w:eastAsia="宋体" w:cs="Arial"/>
          <w:spacing w:val="10"/>
          <w:sz w:val="24"/>
          <w:szCs w:val="24"/>
        </w:rPr>
        <w:t>mg/L）</w:t>
      </w:r>
      <w:r>
        <w:rPr>
          <w:rFonts w:hint="eastAsia" w:ascii="Arial" w:hAnsi="Arial" w:eastAsia="宋体" w:cs="Arial"/>
          <w:spacing w:val="10"/>
          <w:sz w:val="24"/>
          <w:szCs w:val="24"/>
        </w:rPr>
        <w:t>，</w:t>
      </w:r>
      <w:r>
        <w:rPr>
          <w:rFonts w:ascii="Arial" w:hAnsi="Arial" w:eastAsia="宋体" w:cs="Arial"/>
          <w:spacing w:val="10"/>
          <w:sz w:val="24"/>
          <w:szCs w:val="24"/>
        </w:rPr>
        <w:t>最大浓度</w:t>
      </w:r>
      <w:r>
        <w:rPr>
          <w:rFonts w:hint="eastAsia" w:ascii="Arial" w:hAnsi="Arial" w:eastAsia="宋体" w:cs="Arial"/>
          <w:spacing w:val="10"/>
          <w:sz w:val="24"/>
          <w:szCs w:val="24"/>
        </w:rPr>
        <w:t>0.0217</w:t>
      </w:r>
      <w:r>
        <w:rPr>
          <w:rFonts w:ascii="Arial" w:hAnsi="Arial" w:eastAsia="宋体" w:cs="Arial"/>
          <w:spacing w:val="10"/>
          <w:sz w:val="24"/>
          <w:szCs w:val="24"/>
        </w:rPr>
        <w:t>mg/L；</w:t>
      </w:r>
      <w:r>
        <w:rPr>
          <w:rFonts w:hint="eastAsia" w:ascii="Arial" w:hAnsi="Arial" w:eastAsia="宋体" w:cs="Arial"/>
          <w:spacing w:val="10"/>
          <w:sz w:val="24"/>
          <w:szCs w:val="24"/>
        </w:rPr>
        <w:t>因耗氧量、氨氮、硫酸盐背景浓度已超标，</w:t>
      </w:r>
      <w:r>
        <w:rPr>
          <w:rFonts w:ascii="Arial" w:hAnsi="Arial" w:eastAsia="宋体" w:cs="Arial"/>
          <w:spacing w:val="10"/>
          <w:sz w:val="24"/>
          <w:szCs w:val="24"/>
        </w:rPr>
        <w:t>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下游地下水中耗氧量、氨氮、硫酸盐浓度均超标，最大浓度分别为</w:t>
      </w:r>
      <w:r>
        <w:rPr>
          <w:rFonts w:hint="eastAsia" w:ascii="Arial" w:hAnsi="Arial" w:eastAsia="宋体" w:cs="Arial"/>
          <w:spacing w:val="10"/>
          <w:sz w:val="24"/>
          <w:szCs w:val="24"/>
          <w:u w:val="single"/>
        </w:rPr>
        <w:t>6.35</w:t>
      </w:r>
      <w:r>
        <w:rPr>
          <w:rFonts w:ascii="Arial" w:hAnsi="Arial" w:eastAsia="宋体" w:cs="Arial"/>
          <w:spacing w:val="10"/>
          <w:sz w:val="24"/>
          <w:szCs w:val="24"/>
          <w:u w:val="single"/>
        </w:rPr>
        <w:t>mg/L</w:t>
      </w:r>
      <w:r>
        <w:rPr>
          <w:rFonts w:hint="eastAsia" w:ascii="Arial" w:hAnsi="Arial" w:eastAsia="宋体" w:cs="Arial"/>
          <w:spacing w:val="10"/>
          <w:sz w:val="24"/>
          <w:szCs w:val="24"/>
        </w:rPr>
        <w:t>、15.45</w:t>
      </w:r>
      <w:r>
        <w:rPr>
          <w:rFonts w:ascii="Arial" w:hAnsi="Arial" w:eastAsia="宋体" w:cs="Arial"/>
          <w:spacing w:val="10"/>
          <w:sz w:val="24"/>
          <w:szCs w:val="24"/>
        </w:rPr>
        <w:t>mg/L</w:t>
      </w:r>
      <w:r>
        <w:rPr>
          <w:rFonts w:hint="eastAsia" w:ascii="Arial" w:hAnsi="Arial" w:eastAsia="宋体" w:cs="Arial"/>
          <w:spacing w:val="10"/>
          <w:sz w:val="24"/>
          <w:szCs w:val="24"/>
        </w:rPr>
        <w:t>、1084.5</w:t>
      </w:r>
      <w:r>
        <w:rPr>
          <w:rFonts w:ascii="Arial" w:hAnsi="Arial" w:eastAsia="宋体" w:cs="Arial"/>
          <w:spacing w:val="10"/>
          <w:sz w:val="24"/>
          <w:szCs w:val="24"/>
        </w:rPr>
        <w:t>mg/L</w:t>
      </w:r>
      <w:r>
        <w:rPr>
          <w:rFonts w:hint="eastAsia" w:ascii="Arial" w:hAnsi="Arial" w:eastAsia="宋体" w:cs="Arial"/>
          <w:spacing w:val="10"/>
          <w:sz w:val="24"/>
          <w:szCs w:val="24"/>
        </w:rPr>
        <w:t>，分别超标</w:t>
      </w:r>
      <w:r>
        <w:rPr>
          <w:rFonts w:hint="eastAsia" w:ascii="Arial" w:hAnsi="Arial" w:eastAsia="宋体" w:cs="Arial"/>
          <w:spacing w:val="10"/>
          <w:sz w:val="24"/>
          <w:szCs w:val="24"/>
          <w:u w:val="single"/>
        </w:rPr>
        <w:t>1.1倍</w:t>
      </w:r>
      <w:r>
        <w:rPr>
          <w:rFonts w:hint="eastAsia" w:ascii="Arial" w:hAnsi="Arial" w:eastAsia="宋体" w:cs="Arial"/>
          <w:spacing w:val="10"/>
          <w:sz w:val="24"/>
          <w:szCs w:val="24"/>
        </w:rPr>
        <w:t>、30倍、3.3倍；泄漏后34天</w:t>
      </w:r>
      <w:r>
        <w:rPr>
          <w:rFonts w:ascii="Arial" w:hAnsi="Arial" w:eastAsia="宋体" w:cs="Arial"/>
          <w:spacing w:val="10"/>
          <w:sz w:val="24"/>
          <w:szCs w:val="24"/>
        </w:rPr>
        <w:t>污染物到达</w:t>
      </w:r>
      <w:r>
        <w:rPr>
          <w:rFonts w:hint="eastAsia" w:ascii="Arial" w:hAnsi="Arial" w:eastAsia="宋体" w:cs="Arial"/>
          <w:spacing w:val="10"/>
          <w:sz w:val="24"/>
          <w:szCs w:val="24"/>
        </w:rPr>
        <w:t>最近的东面</w:t>
      </w:r>
      <w:r>
        <w:rPr>
          <w:rFonts w:ascii="Arial" w:hAnsi="Arial" w:eastAsia="宋体" w:cs="Arial"/>
          <w:spacing w:val="10"/>
          <w:sz w:val="24"/>
          <w:szCs w:val="24"/>
        </w:rPr>
        <w:t>厂界</w:t>
      </w:r>
      <w:r>
        <w:rPr>
          <w:rFonts w:hint="eastAsia" w:ascii="Arial" w:hAnsi="Arial" w:eastAsia="宋体" w:cs="Arial"/>
          <w:spacing w:val="10"/>
          <w:sz w:val="24"/>
          <w:szCs w:val="24"/>
        </w:rPr>
        <w:t>，</w:t>
      </w:r>
      <w:r>
        <w:rPr>
          <w:rFonts w:ascii="Arial" w:hAnsi="Arial" w:eastAsia="宋体" w:cs="Arial"/>
          <w:spacing w:val="10"/>
          <w:sz w:val="24"/>
          <w:szCs w:val="24"/>
        </w:rPr>
        <w:t>1000天污染物未到达排泄边界。</w:t>
      </w:r>
    </w:p>
    <w:p>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环境风险防范措施和应急预案</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项目主要采取的风险防范措施包括：设置DCS控制系统，可燃气体和有毒气体检测报警器，工艺装置的风险防范设施，</w:t>
      </w:r>
      <w:r>
        <w:rPr>
          <w:rFonts w:hint="eastAsia" w:ascii="Arial" w:hAnsi="Arial" w:eastAsia="宋体" w:cs="Arial"/>
          <w:spacing w:val="10"/>
          <w:sz w:val="24"/>
          <w:szCs w:val="24"/>
        </w:rPr>
        <w:t>车间内湿区生产区四周设置地沟及集水坑</w:t>
      </w:r>
      <w:r>
        <w:rPr>
          <w:rFonts w:ascii="Arial" w:hAnsi="Arial" w:eastAsia="宋体" w:cs="Arial"/>
          <w:spacing w:val="10"/>
          <w:sz w:val="24"/>
          <w:szCs w:val="24"/>
        </w:rPr>
        <w:t>、</w:t>
      </w:r>
      <w:r>
        <w:rPr>
          <w:rFonts w:hint="eastAsia" w:ascii="Arial" w:hAnsi="Arial" w:eastAsia="宋体" w:cs="Arial"/>
          <w:spacing w:val="10"/>
          <w:sz w:val="24"/>
          <w:szCs w:val="24"/>
        </w:rPr>
        <w:t>车间外储罐设置围堰</w:t>
      </w:r>
      <w:r>
        <w:rPr>
          <w:rFonts w:ascii="Arial" w:hAnsi="Arial" w:eastAsia="宋体" w:cs="Arial"/>
          <w:spacing w:val="10"/>
          <w:sz w:val="24"/>
          <w:szCs w:val="24"/>
        </w:rPr>
        <w:t>；设置三级防控体系；厂区进行分区防渗；</w:t>
      </w:r>
      <w:r>
        <w:rPr>
          <w:rFonts w:ascii="Arial" w:hAnsi="Arial" w:eastAsia="宋体" w:cs="Arial"/>
          <w:spacing w:val="10"/>
          <w:sz w:val="24"/>
        </w:rPr>
        <w:t>编制企业突发环境事件应急预案，并体现分级响应、区域联动，与园区及地方政府突发环境事件应急预案相衔接，明确分级响应程序</w:t>
      </w:r>
      <w:r>
        <w:rPr>
          <w:rFonts w:ascii="Arial" w:hAnsi="Arial" w:eastAsia="宋体" w:cs="Arial"/>
          <w:spacing w:val="10"/>
          <w:sz w:val="24"/>
          <w:szCs w:val="24"/>
        </w:rPr>
        <w:t>。</w:t>
      </w:r>
    </w:p>
    <w:p>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风险评价小结及建议</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1、结论</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在采取报告书提出的风险防范措施并严格制定环境突发事故应急预案，配备应急物资，保证突发环境风险事故时，能按应急预案采取应急措施的情况下，项目环境风险在可控范围内。</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2、建议</w:t>
      </w:r>
    </w:p>
    <w:p>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⑴</w:t>
      </w:r>
      <w:r>
        <w:rPr>
          <w:rFonts w:ascii="Arial" w:hAnsi="Arial" w:eastAsia="宋体" w:cs="Arial"/>
          <w:spacing w:val="10"/>
          <w:sz w:val="24"/>
          <w:szCs w:val="24"/>
        </w:rPr>
        <w:t xml:space="preserve"> 按照“企业自救、属地为主、分级响应、区域联动”的原则，将项目纳入企业突发环境事故应急预案中，并实现与地方政府或相关管理部门突发环境事故应急预案的有效衔接。</w:t>
      </w:r>
    </w:p>
    <w:p>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⑵</w:t>
      </w:r>
      <w:r>
        <w:rPr>
          <w:rFonts w:ascii="Arial" w:hAnsi="Arial" w:eastAsia="宋体" w:cs="Arial"/>
          <w:spacing w:val="10"/>
          <w:sz w:val="24"/>
          <w:szCs w:val="24"/>
        </w:rPr>
        <w:t xml:space="preserve"> 建设单位安全环保部等工作人员对公司各级领导和员工进行相应的各级《环境风险事故应急预案》进行宜传和培训，并定期组织演练。</w:t>
      </w:r>
    </w:p>
    <w:p>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⑶</w:t>
      </w:r>
      <w:r>
        <w:rPr>
          <w:rFonts w:ascii="Arial" w:hAnsi="Arial" w:eastAsia="宋体" w:cs="Arial"/>
          <w:spacing w:val="10"/>
          <w:sz w:val="24"/>
          <w:szCs w:val="24"/>
        </w:rPr>
        <w:t xml:space="preserve"> 在后续的设计、建设和运行过程中，严格按照国家、行业和地方的法律法规和相关标准、规范的要求，健全、完善、落实和保持公司风险源的安全控制措施和设施。</w:t>
      </w:r>
    </w:p>
    <w:p>
      <w:pPr>
        <w:pStyle w:val="475"/>
        <w:spacing w:line="500" w:lineRule="exact"/>
        <w:ind w:firstLine="489"/>
        <w:rPr>
          <w:rFonts w:ascii="Arial" w:hAnsi="Arial" w:cs="Arial"/>
          <w:spacing w:val="10"/>
        </w:rPr>
      </w:pPr>
    </w:p>
    <w:p>
      <w:pPr>
        <w:pStyle w:val="475"/>
        <w:spacing w:line="500" w:lineRule="exact"/>
        <w:ind w:firstLine="489"/>
        <w:rPr>
          <w:rFonts w:ascii="Arial" w:hAnsi="Arial" w:cs="Arial"/>
          <w:spacing w:val="10"/>
        </w:rPr>
      </w:pPr>
    </w:p>
    <w:p>
      <w:pPr>
        <w:pStyle w:val="3"/>
        <w:numPr>
          <w:ilvl w:val="0"/>
          <w:numId w:val="1"/>
        </w:numPr>
        <w:tabs>
          <w:tab w:val="left" w:pos="1931"/>
          <w:tab w:val="clear" w:pos="3065"/>
        </w:tabs>
        <w:ind w:left="1276"/>
        <w:rPr>
          <w:rFonts w:ascii="Arial" w:hAnsi="Arial" w:cs="Arial"/>
          <w:spacing w:val="10"/>
        </w:rPr>
      </w:pPr>
      <w:bookmarkStart w:id="344" w:name="_Toc104677321"/>
      <w:bookmarkStart w:id="345" w:name="_Toc341856705"/>
      <w:bookmarkStart w:id="346" w:name="_Toc1742963"/>
      <w:bookmarkStart w:id="347" w:name="_Toc185950231"/>
      <w:r>
        <w:rPr>
          <w:rFonts w:ascii="Arial" w:hAnsi="Arial" w:cs="Arial"/>
          <w:spacing w:val="10"/>
        </w:rPr>
        <w:t>环境保护措施及其可行性论证</w:t>
      </w:r>
      <w:bookmarkEnd w:id="344"/>
      <w:bookmarkEnd w:id="345"/>
      <w:bookmarkEnd w:id="346"/>
      <w:bookmarkEnd w:id="347"/>
    </w:p>
    <w:p>
      <w:pPr>
        <w:pStyle w:val="5"/>
        <w:spacing w:line="500" w:lineRule="exact"/>
        <w:ind w:firstLine="490" w:firstLineChars="200"/>
      </w:pPr>
      <w:r>
        <w:t>根据国家和地方相关环保法律、法规的规定，建设项目必须遵守国家有关环境保护管理的要求，污染物排放不得超过国家或地方规定的强制性污染物排放标准。</w:t>
      </w:r>
    </w:p>
    <w:p>
      <w:pPr>
        <w:pStyle w:val="5"/>
        <w:spacing w:line="500" w:lineRule="exact"/>
        <w:ind w:firstLine="490" w:firstLineChars="200"/>
      </w:pPr>
      <w:r>
        <w:t>本章将针对工程分析提出的污染源及其拟采用的环保措施的可行性进行分析评述，并提出相应的对策与建议。</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348" w:name="_Toc312743966"/>
      <w:bookmarkStart w:id="349" w:name="_Toc1742964"/>
      <w:bookmarkStart w:id="350" w:name="_Toc185950232"/>
      <w:bookmarkStart w:id="351" w:name="_Toc372829540"/>
      <w:bookmarkStart w:id="352" w:name="_Toc333494269"/>
      <w:bookmarkStart w:id="353" w:name="_Toc104677322"/>
      <w:bookmarkStart w:id="354" w:name="_Toc421712628"/>
      <w:r>
        <w:rPr>
          <w:rFonts w:ascii="Arial" w:eastAsia="宋体" w:cs="Arial"/>
          <w:b/>
        </w:rPr>
        <w:t>施工期污染防治</w:t>
      </w:r>
      <w:bookmarkEnd w:id="348"/>
      <w:r>
        <w:rPr>
          <w:rFonts w:ascii="Arial" w:eastAsia="宋体" w:cs="Arial"/>
          <w:b/>
        </w:rPr>
        <w:t>对策</w:t>
      </w:r>
      <w:bookmarkEnd w:id="349"/>
      <w:bookmarkEnd w:id="350"/>
      <w:bookmarkEnd w:id="351"/>
      <w:bookmarkEnd w:id="352"/>
      <w:bookmarkEnd w:id="353"/>
      <w:bookmarkEnd w:id="354"/>
    </w:p>
    <w:p>
      <w:pPr>
        <w:pStyle w:val="5"/>
        <w:spacing w:line="500" w:lineRule="exact"/>
        <w:ind w:firstLine="490" w:firstLineChars="200"/>
      </w:pPr>
      <w:r>
        <w:t>施工期主要污染物为施工扬尘、施工机械设备废气、施工废水、施工噪声、建筑垃圾等。本项目已变更完成，根据现场勘查，施工废气、施工废水带来的污染对周边环境影响较小，建筑垃圾等均已妥善处置。</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355" w:name="_Toc338342851"/>
      <w:bookmarkStart w:id="356" w:name="_Toc104677327"/>
      <w:bookmarkStart w:id="357" w:name="_Toc1742965"/>
      <w:bookmarkStart w:id="358" w:name="_Toc341856707"/>
      <w:bookmarkStart w:id="359" w:name="_Toc185950233"/>
      <w:r>
        <w:rPr>
          <w:rFonts w:ascii="Arial" w:eastAsia="宋体" w:cs="Arial"/>
          <w:b/>
        </w:rPr>
        <w:t>运营期污染防治措施</w:t>
      </w:r>
      <w:bookmarkEnd w:id="355"/>
      <w:bookmarkEnd w:id="356"/>
      <w:bookmarkEnd w:id="357"/>
      <w:bookmarkEnd w:id="358"/>
      <w:bookmarkEnd w:id="359"/>
    </w:p>
    <w:p>
      <w:pPr>
        <w:pStyle w:val="5"/>
        <w:numPr>
          <w:ilvl w:val="1"/>
          <w:numId w:val="37"/>
        </w:numPr>
        <w:spacing w:line="500" w:lineRule="exact"/>
        <w:ind w:left="0" w:firstLine="0"/>
        <w:outlineLvl w:val="2"/>
        <w:rPr>
          <w:b/>
        </w:rPr>
      </w:pPr>
      <w:bookmarkStart w:id="360" w:name="_Toc88674805"/>
      <w:bookmarkStart w:id="361" w:name="_Toc104677328"/>
      <w:bookmarkStart w:id="362" w:name="_Toc87124283"/>
      <w:bookmarkStart w:id="363" w:name="_Toc58596483"/>
      <w:bookmarkStart w:id="364" w:name="_Toc67921896"/>
      <w:bookmarkStart w:id="365" w:name="_Toc57715643"/>
      <w:r>
        <w:rPr>
          <w:b/>
        </w:rPr>
        <w:t>大气污染防治措施</w:t>
      </w:r>
      <w:bookmarkEnd w:id="360"/>
      <w:bookmarkEnd w:id="361"/>
      <w:bookmarkEnd w:id="362"/>
    </w:p>
    <w:p>
      <w:pPr>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项目变更后废气治理措施汇总表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914"/>
        <w:gridCol w:w="1417"/>
        <w:gridCol w:w="1701"/>
        <w:gridCol w:w="2059"/>
        <w:gridCol w:w="1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污染源</w:t>
            </w:r>
          </w:p>
        </w:tc>
        <w:tc>
          <w:tcPr>
            <w:tcW w:w="914"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排气筒编号</w:t>
            </w:r>
          </w:p>
        </w:tc>
        <w:tc>
          <w:tcPr>
            <w:tcW w:w="1417"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污染因子</w:t>
            </w:r>
          </w:p>
        </w:tc>
        <w:tc>
          <w:tcPr>
            <w:tcW w:w="1701"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处理措施</w:t>
            </w:r>
          </w:p>
        </w:tc>
        <w:tc>
          <w:tcPr>
            <w:tcW w:w="205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排气筒参数</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（高度/内径/温度）</w:t>
            </w:r>
          </w:p>
        </w:tc>
        <w:tc>
          <w:tcPr>
            <w:tcW w:w="115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风量m</w:t>
            </w:r>
            <w:r>
              <w:rPr>
                <w:rFonts w:ascii="Arial" w:hAnsi="Arial" w:eastAsia="宋体" w:cs="Arial"/>
                <w:spacing w:val="10"/>
                <w:sz w:val="21"/>
                <w:szCs w:val="21"/>
                <w:vertAlign w:val="superscript"/>
              </w:rPr>
              <w:t>3</w:t>
            </w:r>
            <w:r>
              <w:rPr>
                <w:rFonts w:ascii="Arial" w:hAnsi="Arial" w:eastAsia="宋体" w:cs="Arial"/>
                <w:spacing w:val="10"/>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反应、洗涤废气</w:t>
            </w:r>
          </w:p>
        </w:tc>
        <w:tc>
          <w:tcPr>
            <w:tcW w:w="914"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w:t>
            </w:r>
          </w:p>
        </w:tc>
        <w:tc>
          <w:tcPr>
            <w:tcW w:w="1417"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1701"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2059"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c>
          <w:tcPr>
            <w:tcW w:w="1156"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w:t>
            </w:r>
            <w:r>
              <w:rPr>
                <w:rFonts w:ascii="Arial" w:hAnsi="Arial" w:eastAsia="宋体" w:cs="Arial"/>
                <w:spacing w:val="10"/>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6"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w:t>
            </w:r>
          </w:p>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包装粉尘</w:t>
            </w:r>
          </w:p>
        </w:tc>
        <w:tc>
          <w:tcPr>
            <w:tcW w:w="914"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w:t>
            </w:r>
          </w:p>
        </w:tc>
        <w:tc>
          <w:tcPr>
            <w:tcW w:w="1417"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颗粒物、钴及其化合物</w:t>
            </w:r>
          </w:p>
        </w:tc>
        <w:tc>
          <w:tcPr>
            <w:tcW w:w="1701"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脉冲布袋除尘器</w:t>
            </w:r>
          </w:p>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2059"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c>
          <w:tcPr>
            <w:tcW w:w="1156"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w:t>
            </w:r>
            <w:r>
              <w:rPr>
                <w:rFonts w:ascii="Arial" w:hAnsi="Arial" w:eastAsia="宋体" w:cs="Arial"/>
                <w:spacing w:val="10"/>
                <w:sz w:val="21"/>
                <w:szCs w:val="21"/>
              </w:rPr>
              <w:t>00</w:t>
            </w:r>
          </w:p>
        </w:tc>
      </w:tr>
    </w:tbl>
    <w:p>
      <w:pPr>
        <w:pStyle w:val="5"/>
        <w:numPr>
          <w:ilvl w:val="0"/>
          <w:numId w:val="39"/>
        </w:numPr>
        <w:spacing w:line="500" w:lineRule="exact"/>
        <w:outlineLvl w:val="3"/>
        <w:rPr>
          <w:b/>
        </w:rPr>
      </w:pPr>
      <w:r>
        <w:rPr>
          <w:b/>
        </w:rPr>
        <w:t>废气治理措施可行性分析</w:t>
      </w:r>
    </w:p>
    <w:p>
      <w:pPr>
        <w:pStyle w:val="5"/>
        <w:spacing w:line="500" w:lineRule="exact"/>
        <w:ind w:firstLine="490" w:firstLineChars="200"/>
      </w:pPr>
      <w:r>
        <w:rPr>
          <w:rFonts w:hint="eastAsia"/>
        </w:rPr>
        <w:t>1、</w:t>
      </w:r>
      <w:r>
        <w:t>反应、洗涤废气</w:t>
      </w:r>
    </w:p>
    <w:p>
      <w:pPr>
        <w:pStyle w:val="5"/>
        <w:spacing w:line="500" w:lineRule="exact"/>
        <w:ind w:firstLine="490" w:firstLineChars="200"/>
      </w:pPr>
      <w:r>
        <w:rPr>
          <w:rFonts w:hint="eastAsia"/>
        </w:rPr>
        <w:t>合成反应废气、压滤废气一同经吸收塔处理，经1根20m高排气筒（DA145）排放。</w:t>
      </w:r>
    </w:p>
    <w:p>
      <w:pPr>
        <w:pStyle w:val="5"/>
      </w:pPr>
      <w:r>
        <w:t>吸收塔工作流程为：废气由引风机引入吸收塔，与喷淋液进行气液两相充分接触吸收。废气经过净化后，再经除雾板脱水除雾后从吸收塔上端排气管排入大气。吸收液在塔底经水泵增压后在塔顶喷淋而下，最后回流至塔底循环使用。</w:t>
      </w:r>
    </w:p>
    <w:p>
      <w:pPr>
        <w:pStyle w:val="5"/>
      </w:pPr>
      <w:r>
        <w:t>吸收塔的性能特点：</w:t>
      </w:r>
    </w:p>
    <w:p>
      <w:pPr>
        <w:pStyle w:val="5"/>
      </w:pPr>
      <w:r>
        <w:rPr>
          <w:rFonts w:hint="eastAsia"/>
        </w:rPr>
        <w:t>（1）</w:t>
      </w:r>
      <w:r>
        <w:t>适用范围广：适用于生产过程中排放的有机废气、氨、硫酸、盐酸、氢氟酸等尾气及二氧化硫、氮氧化物等酸性气体。</w:t>
      </w:r>
    </w:p>
    <w:p>
      <w:pPr>
        <w:pStyle w:val="5"/>
      </w:pPr>
      <w:r>
        <w:rPr>
          <w:rFonts w:hint="eastAsia"/>
        </w:rPr>
        <w:t>（2）</w:t>
      </w:r>
      <w:r>
        <w:t>净化效率高：喷淋比表面积大，对</w:t>
      </w:r>
      <w:r>
        <w:rPr>
          <w:rFonts w:hint="eastAsia"/>
        </w:rPr>
        <w:t>氨气</w:t>
      </w:r>
      <w:r>
        <w:t>净化效率可达93%~97%。</w:t>
      </w:r>
    </w:p>
    <w:p>
      <w:pPr>
        <w:pStyle w:val="5"/>
      </w:pPr>
      <w:r>
        <w:rPr>
          <w:rFonts w:hint="eastAsia"/>
        </w:rPr>
        <w:t>（3）</w:t>
      </w:r>
      <w:r>
        <w:t>吸收塔设备占地面积小：净化塔采用PP、FRP等材料，将塔体、吸收液槽、循环泵、吸收液管道系统组成一套完整的工业废气处理设备，结构紧凑，便与现场安装及操作管理，占地面积小。</w:t>
      </w:r>
    </w:p>
    <w:p>
      <w:pPr>
        <w:pStyle w:val="5"/>
        <w:spacing w:line="500" w:lineRule="exact"/>
        <w:ind w:firstLine="490" w:firstLineChars="200"/>
      </w:pPr>
      <w:r>
        <w:rPr>
          <w:rFonts w:hint="eastAsia"/>
          <w:bCs/>
        </w:rPr>
        <w:t>厂区氨水储罐呼吸废气经吸收塔处理后排放，氨气处理方式与本项目</w:t>
      </w:r>
      <w:r>
        <w:t>反应、洗涤废气处理方式相同</w:t>
      </w:r>
      <w:r>
        <w:rPr>
          <w:rFonts w:hint="eastAsia"/>
        </w:rPr>
        <w:t>。</w:t>
      </w:r>
      <w:r>
        <w:rPr>
          <w:rFonts w:hint="eastAsia"/>
          <w:bCs/>
        </w:rPr>
        <w:t>根据《广西中伟新能源科技有限公司北部湾产业基地三元项目（一期一阶段）竣工环境保护验收报告》中对项目氨水罐区排气筒的监测数据（详见表5-2），吸收塔处理氨气效率为97%；本次评价保守考虑吸收塔处理效率按90%计。</w:t>
      </w:r>
    </w:p>
    <w:p>
      <w:pPr>
        <w:numPr>
          <w:ilvl w:val="4"/>
          <w:numId w:val="38"/>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氨水储罐呼吸废气验收监测结果</w:t>
      </w:r>
    </w:p>
    <w:tbl>
      <w:tblPr>
        <w:tblStyle w:val="88"/>
        <w:tblW w:w="899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85"/>
        <w:gridCol w:w="1025"/>
        <w:gridCol w:w="1025"/>
        <w:gridCol w:w="969"/>
        <w:gridCol w:w="962"/>
        <w:gridCol w:w="960"/>
        <w:gridCol w:w="959"/>
        <w:gridCol w:w="957"/>
        <w:gridCol w:w="9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vMerge w:val="restart"/>
            <w:tcBorders>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项目</w:t>
            </w:r>
          </w:p>
        </w:tc>
        <w:tc>
          <w:tcPr>
            <w:tcW w:w="7808" w:type="dxa"/>
            <w:gridSpan w:val="8"/>
            <w:tcBorders>
              <w:left w:val="single" w:color="auto" w:sz="4" w:space="0"/>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监测结果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340" w:hRule="atLeast"/>
          <w:jc w:val="center"/>
        </w:trPr>
        <w:tc>
          <w:tcPr>
            <w:tcW w:w="1185" w:type="dxa"/>
            <w:vMerge w:val="continue"/>
            <w:tcBorders>
              <w:right w:val="single" w:color="auto" w:sz="4" w:space="0"/>
            </w:tcBorders>
            <w:vAlign w:val="center"/>
          </w:tcPr>
          <w:p>
            <w:pPr>
              <w:snapToGrid w:val="0"/>
              <w:spacing w:line="240" w:lineRule="exact"/>
              <w:jc w:val="center"/>
              <w:rPr>
                <w:rFonts w:ascii="Arial" w:hAnsi="Arial" w:eastAsia="宋体" w:cs="Arial"/>
                <w:sz w:val="21"/>
                <w:szCs w:val="21"/>
              </w:rPr>
            </w:pPr>
          </w:p>
        </w:tc>
        <w:tc>
          <w:tcPr>
            <w:tcW w:w="3981" w:type="dxa"/>
            <w:gridSpan w:val="4"/>
            <w:tcBorders>
              <w:left w:val="single" w:color="auto" w:sz="4" w:space="0"/>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吸收塔处理前</w:t>
            </w:r>
          </w:p>
        </w:tc>
        <w:tc>
          <w:tcPr>
            <w:tcW w:w="3827" w:type="dxa"/>
            <w:gridSpan w:val="4"/>
            <w:tcBorders>
              <w:left w:val="single" w:color="auto" w:sz="4" w:space="0"/>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吸收塔处理后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vMerge w:val="continue"/>
            <w:tcBorders>
              <w:right w:val="single" w:color="auto" w:sz="4" w:space="0"/>
            </w:tcBorders>
            <w:vAlign w:val="center"/>
          </w:tcPr>
          <w:p>
            <w:pPr>
              <w:snapToGrid w:val="0"/>
              <w:spacing w:line="240" w:lineRule="exact"/>
              <w:jc w:val="center"/>
              <w:rPr>
                <w:rFonts w:ascii="Arial" w:hAnsi="Arial" w:eastAsia="宋体" w:cs="Arial"/>
                <w:sz w:val="21"/>
                <w:szCs w:val="21"/>
              </w:rPr>
            </w:pPr>
          </w:p>
        </w:tc>
        <w:tc>
          <w:tcPr>
            <w:tcW w:w="1025"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第一次</w:t>
            </w:r>
          </w:p>
        </w:tc>
        <w:tc>
          <w:tcPr>
            <w:tcW w:w="1025"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第二次</w:t>
            </w:r>
          </w:p>
        </w:tc>
        <w:tc>
          <w:tcPr>
            <w:tcW w:w="969"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第三次</w:t>
            </w:r>
          </w:p>
        </w:tc>
        <w:tc>
          <w:tcPr>
            <w:tcW w:w="962"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平均值</w:t>
            </w:r>
          </w:p>
        </w:tc>
        <w:tc>
          <w:tcPr>
            <w:tcW w:w="960"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第一次</w:t>
            </w:r>
          </w:p>
        </w:tc>
        <w:tc>
          <w:tcPr>
            <w:tcW w:w="959"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第二次</w:t>
            </w:r>
          </w:p>
        </w:tc>
        <w:tc>
          <w:tcPr>
            <w:tcW w:w="957"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第三次</w:t>
            </w:r>
          </w:p>
        </w:tc>
        <w:tc>
          <w:tcPr>
            <w:tcW w:w="951" w:type="dxa"/>
            <w:tcBorders>
              <w:lef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平均值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tcBorders>
              <w:top w:val="single" w:color="auto" w:sz="4" w:space="0"/>
              <w:bottom w:val="single" w:color="auto" w:sz="4" w:space="0"/>
            </w:tcBorders>
            <w:vAlign w:val="center"/>
          </w:tcPr>
          <w:p>
            <w:pPr>
              <w:snapToGrid w:val="0"/>
              <w:spacing w:line="240" w:lineRule="exact"/>
              <w:jc w:val="center"/>
              <w:rPr>
                <w:rFonts w:ascii="Arial" w:hAnsi="Arial" w:eastAsia="宋体" w:cs="Arial"/>
                <w:bCs/>
                <w:sz w:val="21"/>
                <w:szCs w:val="21"/>
              </w:rPr>
            </w:pPr>
            <w:r>
              <w:rPr>
                <w:rFonts w:ascii="Arial" w:hAnsi="Arial" w:eastAsia="宋体" w:cs="Arial"/>
                <w:bCs/>
                <w:sz w:val="21"/>
                <w:szCs w:val="21"/>
              </w:rPr>
              <w:t>标干烟气</w:t>
            </w:r>
          </w:p>
          <w:p>
            <w:pPr>
              <w:snapToGrid w:val="0"/>
              <w:spacing w:line="240" w:lineRule="exact"/>
              <w:jc w:val="center"/>
              <w:rPr>
                <w:rFonts w:ascii="Arial" w:hAnsi="Arial" w:eastAsia="宋体" w:cs="Arial"/>
                <w:bCs/>
                <w:sz w:val="21"/>
                <w:szCs w:val="21"/>
              </w:rPr>
            </w:pPr>
            <w:r>
              <w:rPr>
                <w:rFonts w:ascii="Arial" w:hAnsi="Arial" w:eastAsia="宋体" w:cs="Arial"/>
                <w:bCs/>
                <w:sz w:val="21"/>
                <w:szCs w:val="21"/>
              </w:rPr>
              <w:t>流量m</w:t>
            </w:r>
            <w:r>
              <w:rPr>
                <w:rFonts w:ascii="Arial" w:hAnsi="Arial" w:eastAsia="宋体" w:cs="Arial"/>
                <w:bCs/>
                <w:sz w:val="21"/>
                <w:szCs w:val="21"/>
                <w:vertAlign w:val="superscript"/>
              </w:rPr>
              <w:t>3</w:t>
            </w:r>
            <w:r>
              <w:rPr>
                <w:rFonts w:ascii="Arial" w:hAnsi="Arial" w:eastAsia="宋体" w:cs="Arial"/>
                <w:bCs/>
                <w:sz w:val="21"/>
                <w:szCs w:val="21"/>
              </w:rPr>
              <w:t>/h</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104</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104</w:t>
            </w:r>
          </w:p>
        </w:tc>
        <w:tc>
          <w:tcPr>
            <w:tcW w:w="96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147</w:t>
            </w:r>
          </w:p>
        </w:tc>
        <w:tc>
          <w:tcPr>
            <w:tcW w:w="962"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118</w:t>
            </w:r>
          </w:p>
        </w:tc>
        <w:tc>
          <w:tcPr>
            <w:tcW w:w="960"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959"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957"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951"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tcBorders>
              <w:left w:val="single" w:color="auto" w:sz="4" w:space="0"/>
            </w:tcBorders>
            <w:vAlign w:val="center"/>
          </w:tcPr>
          <w:p>
            <w:pPr>
              <w:snapToGrid w:val="0"/>
              <w:spacing w:line="240" w:lineRule="exact"/>
              <w:jc w:val="center"/>
              <w:rPr>
                <w:rFonts w:ascii="Arial" w:hAnsi="Arial" w:eastAsia="宋体" w:cs="Arial"/>
                <w:bCs/>
                <w:sz w:val="21"/>
                <w:szCs w:val="21"/>
              </w:rPr>
            </w:pPr>
            <w:r>
              <w:rPr>
                <w:rFonts w:ascii="Arial" w:hAnsi="Arial" w:eastAsia="宋体" w:cs="Arial"/>
                <w:bCs/>
                <w:sz w:val="21"/>
                <w:szCs w:val="21"/>
              </w:rPr>
              <w:t>流速m/s</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1.10</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1.10</w:t>
            </w:r>
          </w:p>
        </w:tc>
        <w:tc>
          <w:tcPr>
            <w:tcW w:w="96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1.56</w:t>
            </w:r>
          </w:p>
        </w:tc>
        <w:tc>
          <w:tcPr>
            <w:tcW w:w="962"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1.25</w:t>
            </w:r>
          </w:p>
        </w:tc>
        <w:tc>
          <w:tcPr>
            <w:tcW w:w="960"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959"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957"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951"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tcBorders>
              <w:top w:val="single" w:color="auto" w:sz="4" w:space="0"/>
              <w:bottom w:val="single" w:color="auto" w:sz="4" w:space="0"/>
            </w:tcBorders>
            <w:vAlign w:val="center"/>
          </w:tcPr>
          <w:p>
            <w:pPr>
              <w:snapToGrid w:val="0"/>
              <w:spacing w:line="240" w:lineRule="exact"/>
              <w:jc w:val="center"/>
              <w:rPr>
                <w:rFonts w:ascii="Arial" w:hAnsi="Arial" w:eastAsia="宋体" w:cs="Arial"/>
                <w:bCs/>
                <w:sz w:val="21"/>
                <w:szCs w:val="21"/>
              </w:rPr>
            </w:pPr>
            <w:r>
              <w:rPr>
                <w:rFonts w:ascii="Arial" w:hAnsi="Arial" w:eastAsia="宋体" w:cs="Arial"/>
                <w:bCs/>
                <w:sz w:val="21"/>
                <w:szCs w:val="21"/>
              </w:rPr>
              <w:t>烟温</w:t>
            </w:r>
            <w:r>
              <w:rPr>
                <w:rFonts w:hint="eastAsia" w:ascii="宋体" w:hAnsi="宋体" w:eastAsia="宋体" w:cs="宋体"/>
                <w:bCs/>
                <w:sz w:val="21"/>
                <w:szCs w:val="21"/>
              </w:rPr>
              <w:t>℃</w:t>
            </w:r>
          </w:p>
        </w:tc>
        <w:tc>
          <w:tcPr>
            <w:tcW w:w="1025" w:type="dxa"/>
            <w:tcBorders>
              <w:lef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w:t>
            </w:r>
          </w:p>
        </w:tc>
        <w:tc>
          <w:tcPr>
            <w:tcW w:w="1025" w:type="dxa"/>
            <w:tcBorders>
              <w:lef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w:t>
            </w:r>
          </w:p>
        </w:tc>
        <w:tc>
          <w:tcPr>
            <w:tcW w:w="969" w:type="dxa"/>
            <w:tcBorders>
              <w:lef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w:t>
            </w:r>
          </w:p>
        </w:tc>
        <w:tc>
          <w:tcPr>
            <w:tcW w:w="962" w:type="dxa"/>
            <w:tcBorders>
              <w:left w:val="single" w:color="auto" w:sz="4" w:space="0"/>
            </w:tcBorders>
            <w:vAlign w:val="center"/>
          </w:tcPr>
          <w:p>
            <w:pPr>
              <w:spacing w:line="240" w:lineRule="exact"/>
              <w:jc w:val="center"/>
              <w:rPr>
                <w:rFonts w:ascii="Arial" w:hAnsi="Arial" w:eastAsia="宋体" w:cs="Arial"/>
                <w:sz w:val="21"/>
                <w:szCs w:val="21"/>
              </w:rPr>
            </w:pPr>
            <w:r>
              <w:rPr>
                <w:rFonts w:ascii="Arial" w:hAnsi="Arial" w:eastAsia="宋体" w:cs="Arial"/>
                <w:sz w:val="21"/>
                <w:szCs w:val="21"/>
              </w:rPr>
              <w:t>34</w:t>
            </w:r>
          </w:p>
        </w:tc>
        <w:tc>
          <w:tcPr>
            <w:tcW w:w="960"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959"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957"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951" w:type="dxa"/>
            <w:tcBorders>
              <w:left w:val="single" w:color="auto" w:sz="4" w:space="0"/>
            </w:tcBorders>
            <w:vAlign w:val="center"/>
          </w:tcPr>
          <w:p>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tcBorders>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实测浓度</w:t>
            </w:r>
          </w:p>
          <w:p>
            <w:pPr>
              <w:snapToGrid w:val="0"/>
              <w:spacing w:line="240" w:lineRule="exact"/>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570</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563</w:t>
            </w:r>
          </w:p>
        </w:tc>
        <w:tc>
          <w:tcPr>
            <w:tcW w:w="96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557</w:t>
            </w:r>
          </w:p>
        </w:tc>
        <w:tc>
          <w:tcPr>
            <w:tcW w:w="962"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563</w:t>
            </w:r>
          </w:p>
        </w:tc>
        <w:tc>
          <w:tcPr>
            <w:tcW w:w="960"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18.1</w:t>
            </w:r>
          </w:p>
        </w:tc>
        <w:tc>
          <w:tcPr>
            <w:tcW w:w="95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17.2</w:t>
            </w:r>
          </w:p>
        </w:tc>
        <w:tc>
          <w:tcPr>
            <w:tcW w:w="957"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18.3</w:t>
            </w:r>
          </w:p>
        </w:tc>
        <w:tc>
          <w:tcPr>
            <w:tcW w:w="951"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rPr>
              <w:t>17.9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185" w:type="dxa"/>
            <w:tcBorders>
              <w:right w:val="single" w:color="auto" w:sz="4" w:space="0"/>
            </w:tcBorders>
            <w:vAlign w:val="center"/>
          </w:tcPr>
          <w:p>
            <w:pPr>
              <w:snapToGrid w:val="0"/>
              <w:spacing w:line="240" w:lineRule="exact"/>
              <w:jc w:val="center"/>
              <w:rPr>
                <w:rFonts w:ascii="Arial" w:hAnsi="Arial" w:eastAsia="宋体" w:cs="Arial"/>
                <w:sz w:val="21"/>
                <w:szCs w:val="21"/>
              </w:rPr>
            </w:pPr>
            <w:r>
              <w:rPr>
                <w:rFonts w:ascii="Arial" w:hAnsi="Arial" w:eastAsia="宋体" w:cs="Arial"/>
                <w:sz w:val="21"/>
                <w:szCs w:val="21"/>
              </w:rPr>
              <w:t>排放速率</w:t>
            </w:r>
          </w:p>
          <w:p>
            <w:pPr>
              <w:snapToGrid w:val="0"/>
              <w:spacing w:line="240" w:lineRule="exact"/>
              <w:jc w:val="center"/>
              <w:rPr>
                <w:rFonts w:ascii="Arial" w:hAnsi="Arial" w:eastAsia="宋体" w:cs="Arial"/>
                <w:sz w:val="21"/>
                <w:szCs w:val="21"/>
              </w:rPr>
            </w:pPr>
            <w:r>
              <w:rPr>
                <w:rFonts w:ascii="Arial" w:hAnsi="Arial" w:eastAsia="宋体" w:cs="Arial"/>
                <w:sz w:val="21"/>
                <w:szCs w:val="21"/>
              </w:rPr>
              <w:t>kg/h</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0.059</w:t>
            </w:r>
          </w:p>
        </w:tc>
        <w:tc>
          <w:tcPr>
            <w:tcW w:w="1025"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0.059</w:t>
            </w:r>
          </w:p>
        </w:tc>
        <w:tc>
          <w:tcPr>
            <w:tcW w:w="96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0.082</w:t>
            </w:r>
          </w:p>
        </w:tc>
        <w:tc>
          <w:tcPr>
            <w:tcW w:w="962"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0.067</w:t>
            </w:r>
          </w:p>
        </w:tc>
        <w:tc>
          <w:tcPr>
            <w:tcW w:w="960"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c>
          <w:tcPr>
            <w:tcW w:w="959"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0.0018</w:t>
            </w:r>
          </w:p>
        </w:tc>
        <w:tc>
          <w:tcPr>
            <w:tcW w:w="957"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c>
          <w:tcPr>
            <w:tcW w:w="951" w:type="dxa"/>
            <w:tcBorders>
              <w:left w:val="single" w:color="auto" w:sz="4" w:space="0"/>
            </w:tcBorders>
            <w:vAlign w:val="center"/>
          </w:tcPr>
          <w:p>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r>
    </w:tbl>
    <w:p>
      <w:pPr>
        <w:pStyle w:val="5"/>
        <w:spacing w:line="500" w:lineRule="exact"/>
        <w:ind w:firstLine="490" w:firstLineChars="200"/>
        <w:rPr>
          <w:bCs/>
        </w:rPr>
      </w:pPr>
      <w:r>
        <w:rPr>
          <w:rFonts w:hint="eastAsia"/>
          <w:bCs/>
        </w:rPr>
        <w:t>根据工程分析可知，合成反应废气、压滤废气一同经吸收塔处理，DA145排气筒排放的氨气浓度满足《无机化学工业污染物排放标准》（GB31573-2015）要求。因此合成反应废气、压滤废气一同经吸收塔处理排放方式可行。合成反应废气、压滤废气</w:t>
      </w:r>
      <w:r>
        <w:rPr>
          <w:rFonts w:hint="eastAsia"/>
        </w:rPr>
        <w:t>类比本厂三元前驱体生产线反应釜、压滤废气实测数据，反应、压滤废气经吸收塔处理后，氨气浓度在7.57~18.3</w:t>
      </w:r>
      <w:r>
        <w:rPr>
          <w:rFonts w:ascii="Times New Roman" w:hAnsi="Times New Roman" w:eastAsia="仿宋_GB2312" w:cs="Times New Roman"/>
          <w:spacing w:val="0"/>
          <w:sz w:val="21"/>
          <w:szCs w:val="21"/>
        </w:rPr>
        <w:t xml:space="preserve"> </w:t>
      </w:r>
      <w:r>
        <w:t>mg</w:t>
      </w:r>
      <w:r>
        <w:rPr>
          <w:rFonts w:hint="eastAsia"/>
        </w:rPr>
        <w:t>/m</w:t>
      </w:r>
      <w:r>
        <w:rPr>
          <w:rFonts w:hint="eastAsia"/>
          <w:vertAlign w:val="superscript"/>
        </w:rPr>
        <w:t>3</w:t>
      </w:r>
      <w:r>
        <w:rPr>
          <w:rFonts w:hint="eastAsia"/>
        </w:rPr>
        <w:t>之间，</w:t>
      </w:r>
      <w:r>
        <w:rPr>
          <w:rFonts w:hint="eastAsia"/>
          <w:bCs/>
        </w:rPr>
        <w:t>氨气浓度满足《无机化学工业污染物排放标准》（GB31573-2015）要求。</w:t>
      </w:r>
    </w:p>
    <w:p>
      <w:pPr>
        <w:pStyle w:val="5"/>
        <w:spacing w:line="500" w:lineRule="exact"/>
        <w:ind w:firstLine="490" w:firstLineChars="200"/>
      </w:pPr>
      <w:r>
        <w:rPr>
          <w:rFonts w:hint="eastAsia"/>
          <w:bCs/>
        </w:rPr>
        <w:t>DA145排气筒高度为20m，</w:t>
      </w:r>
      <w:r>
        <w:rPr>
          <w:bCs/>
        </w:rPr>
        <w:t>排气筒高度满足《无机化学工业污染物排放标准》（GB31573-2015）不低于15m要求。</w:t>
      </w:r>
    </w:p>
    <w:p>
      <w:pPr>
        <w:pStyle w:val="5"/>
        <w:spacing w:line="500" w:lineRule="exact"/>
        <w:ind w:firstLine="490" w:firstLineChars="200"/>
      </w:pPr>
      <w:r>
        <w:rPr>
          <w:rFonts w:hint="eastAsia"/>
        </w:rPr>
        <w:t>2、烘干粉尘、破碎粉尘、包装粉尘</w:t>
      </w:r>
    </w:p>
    <w:p>
      <w:pPr>
        <w:pStyle w:val="5"/>
        <w:spacing w:line="500" w:lineRule="exact"/>
        <w:ind w:firstLine="490" w:firstLineChars="200"/>
      </w:pPr>
      <w:r>
        <w:rPr>
          <w:rFonts w:hint="eastAsia"/>
        </w:rPr>
        <w:t>破碎粉尘、包装粉尘一同经布袋除尘器处理后，与烘干粉尘一同经吸收塔处理后通过DA146排气筒排放。</w:t>
      </w:r>
    </w:p>
    <w:p>
      <w:pPr>
        <w:pStyle w:val="5"/>
        <w:spacing w:line="500" w:lineRule="exact"/>
        <w:ind w:firstLine="490" w:firstLineChars="200"/>
      </w:pPr>
      <w:r>
        <w:rPr>
          <w:rFonts w:hint="eastAsia"/>
          <w:u w:val="single"/>
        </w:rPr>
        <w:t>袋式除尘器属粉尘颗粒物去除可行性技术，参照《污染源源强核算技术指南 锅炉》（</w:t>
      </w:r>
      <w:r>
        <w:rPr>
          <w:u w:val="single"/>
        </w:rPr>
        <w:t>HJ991-2018</w:t>
      </w:r>
      <w:r>
        <w:rPr>
          <w:rFonts w:hint="eastAsia"/>
          <w:u w:val="single"/>
        </w:rPr>
        <w:t>），袋式除尘器去除粉尘颗粒物效率为99%~99.99%，</w:t>
      </w:r>
      <w:r>
        <w:rPr>
          <w:rFonts w:hint="eastAsia"/>
          <w:bCs/>
          <w:u w:val="single"/>
        </w:rPr>
        <w:t>本次评价保守考虑袋式除尘器+湿式除尘器综合处理效率按99%计；</w:t>
      </w:r>
      <w:r>
        <w:rPr>
          <w:bCs/>
          <w:u w:val="single"/>
        </w:rPr>
        <w:t>参照《污染源源强核算技术指南 汽车制造》（HJ1097-2020），湿式除尘处理颗粒物效率为80~98%，烘干粉尘经湿式除尘效率按90%计</w:t>
      </w:r>
      <w:r>
        <w:rPr>
          <w:rFonts w:hint="eastAsia"/>
          <w:bCs/>
          <w:u w:val="single"/>
        </w:rPr>
        <w:t>。</w:t>
      </w:r>
      <w:r>
        <w:rPr>
          <w:rFonts w:hint="eastAsia"/>
          <w:bCs/>
        </w:rPr>
        <w:t>根据工程分析可知，</w:t>
      </w:r>
      <w:r>
        <w:rPr>
          <w:rFonts w:hint="eastAsia"/>
        </w:rPr>
        <w:t>破碎粉尘、包装粉尘一同经布袋除尘器处理后，与烘干粉尘一同经吸收塔处理后通过DA146排气筒排放</w:t>
      </w:r>
      <w:r>
        <w:rPr>
          <w:rFonts w:hint="eastAsia"/>
          <w:bCs/>
        </w:rPr>
        <w:t>，DA146排气筒排放的颗粒物、钴及其化合物浓度满足《无机化学工业污染物排放标准》（GB31573-2015）要求。因此</w:t>
      </w:r>
      <w:r>
        <w:rPr>
          <w:rFonts w:hint="eastAsia"/>
        </w:rPr>
        <w:t>破碎粉尘、包装粉尘一同经布袋除尘器处理后，与烘干粉尘一同经吸收塔处理</w:t>
      </w:r>
      <w:r>
        <w:rPr>
          <w:rFonts w:hint="eastAsia"/>
          <w:bCs/>
        </w:rPr>
        <w:t>方式可行。烘干粉尘类比本厂三元前驱体生产线单体烘箱废气实测数据，烘干粉尘经吸收塔处理后，颗粒物浓度在1.3~2.9mg/m</w:t>
      </w:r>
      <w:r>
        <w:rPr>
          <w:rFonts w:hint="eastAsia"/>
          <w:bCs/>
          <w:vertAlign w:val="superscript"/>
        </w:rPr>
        <w:t>3</w:t>
      </w:r>
      <w:r>
        <w:rPr>
          <w:rFonts w:hint="eastAsia"/>
          <w:bCs/>
        </w:rPr>
        <w:t>之间，颗粒物浓度满足《无机化学工业污染物排放标准》（GB31573-2015）要求；包装粉尘类比本厂三元前驱体生产线包装粉尘实测数据，包装粉尘经吸收塔处理后，颗粒物浓度在1.4~8.7mg/m</w:t>
      </w:r>
      <w:r>
        <w:rPr>
          <w:rFonts w:hint="eastAsia"/>
          <w:bCs/>
          <w:vertAlign w:val="superscript"/>
        </w:rPr>
        <w:t>3</w:t>
      </w:r>
      <w:r>
        <w:rPr>
          <w:rFonts w:hint="eastAsia"/>
          <w:bCs/>
        </w:rPr>
        <w:t>之间，颗粒物浓度满足《无机化学工业污染物排放标准》（GB31573-2015）要求，并且本项目包装粉尘采用布袋除尘器+吸收塔处理，处理效率高于三元前驱体生产线包装粉尘吸收塔。</w:t>
      </w:r>
    </w:p>
    <w:p>
      <w:pPr>
        <w:pStyle w:val="5"/>
        <w:spacing w:line="500" w:lineRule="exact"/>
        <w:ind w:firstLine="490" w:firstLineChars="200"/>
      </w:pPr>
      <w:r>
        <w:rPr>
          <w:rFonts w:hint="eastAsia"/>
          <w:bCs/>
        </w:rPr>
        <w:t>DA146排气筒高度为20m，</w:t>
      </w:r>
      <w:r>
        <w:rPr>
          <w:bCs/>
        </w:rPr>
        <w:t>排气筒高度满足《无机化学工业污染物排放标准》（GB31573-2015）不低于15m要求。</w:t>
      </w:r>
    </w:p>
    <w:p>
      <w:pPr>
        <w:pStyle w:val="5"/>
        <w:numPr>
          <w:ilvl w:val="0"/>
          <w:numId w:val="39"/>
        </w:numPr>
        <w:spacing w:line="500" w:lineRule="exact"/>
        <w:outlineLvl w:val="3"/>
        <w:rPr>
          <w:b/>
        </w:rPr>
      </w:pPr>
      <w:r>
        <w:rPr>
          <w:b/>
        </w:rPr>
        <w:t>无组织废气治理措施</w:t>
      </w:r>
    </w:p>
    <w:p>
      <w:pPr>
        <w:pStyle w:val="5"/>
        <w:spacing w:line="500" w:lineRule="exact"/>
        <w:ind w:firstLine="490" w:firstLineChars="200"/>
      </w:pPr>
      <w:r>
        <w:t>项目无组织废气防治措施主要有：</w:t>
      </w:r>
    </w:p>
    <w:p>
      <w:pPr>
        <w:pStyle w:val="5"/>
        <w:spacing w:line="500" w:lineRule="exact"/>
        <w:ind w:firstLine="490" w:firstLineChars="200"/>
      </w:pPr>
      <w:r>
        <w:rPr>
          <w:rFonts w:hint="eastAsia"/>
        </w:rPr>
        <w:t>1</w:t>
      </w:r>
      <w:r>
        <w:t>、生产工艺</w:t>
      </w:r>
    </w:p>
    <w:p>
      <w:pPr>
        <w:pStyle w:val="5"/>
        <w:spacing w:line="500" w:lineRule="exact"/>
        <w:rPr>
          <w:u w:val="single"/>
        </w:rPr>
      </w:pPr>
      <w:r>
        <w:rPr>
          <w:rFonts w:hint="eastAsia"/>
          <w:u w:val="single"/>
        </w:rPr>
        <w:t>X19车间内干区的</w:t>
      </w:r>
      <w:r>
        <w:rPr>
          <w:rFonts w:hint="eastAsia"/>
          <w:bCs/>
          <w:u w:val="single"/>
        </w:rPr>
        <w:t>烘干粉尘、破碎粉尘、包装粉尘</w:t>
      </w:r>
      <w:r>
        <w:rPr>
          <w:rFonts w:hint="eastAsia"/>
          <w:u w:val="single"/>
        </w:rPr>
        <w:t>负压收集处理；破碎间投料口增加集气罩；干区部分单独设置烘干间、破碎间、包装间，生产过程中各生产操作间为密闭状态。</w:t>
      </w:r>
    </w:p>
    <w:p>
      <w:pPr>
        <w:pStyle w:val="5"/>
        <w:spacing w:line="500" w:lineRule="exact"/>
      </w:pPr>
      <w:r>
        <w:rPr>
          <w:rFonts w:hint="eastAsia"/>
        </w:rPr>
        <w:t>X19车间内湿区的</w:t>
      </w:r>
      <w:r>
        <w:t>各生产设备均在密闭反应釜、槽和管道内，建设单位应加强日常管理，避免生产设备产生跑、冒、滴、漏等现象。</w:t>
      </w:r>
    </w:p>
    <w:p>
      <w:pPr>
        <w:pStyle w:val="5"/>
        <w:spacing w:line="500" w:lineRule="exact"/>
        <w:ind w:firstLine="490" w:firstLineChars="200"/>
      </w:pPr>
      <w:r>
        <w:rPr>
          <w:rFonts w:hint="eastAsia"/>
        </w:rPr>
        <w:t>2</w:t>
      </w:r>
      <w:r>
        <w:t>、物料储运</w:t>
      </w:r>
    </w:p>
    <w:p>
      <w:pPr>
        <w:pStyle w:val="5"/>
        <w:spacing w:line="500" w:lineRule="exact"/>
        <w:ind w:firstLine="490" w:firstLineChars="200"/>
      </w:pPr>
      <w:r>
        <w:t>运输车辆采取封闭车厢或苫盖严密，厂区道路硬化、洒水、清洁等措施。</w:t>
      </w:r>
    </w:p>
    <w:p>
      <w:pPr>
        <w:pStyle w:val="5"/>
        <w:spacing w:line="500" w:lineRule="exact"/>
        <w:ind w:firstLine="490" w:firstLineChars="200"/>
      </w:pPr>
      <w:r>
        <w:t>采取上述措施后，废气可达标排放，经预测拟建项目产生的废气对周边环境影响较小。</w:t>
      </w:r>
    </w:p>
    <w:p>
      <w:pPr>
        <w:pStyle w:val="5"/>
        <w:numPr>
          <w:ilvl w:val="1"/>
          <w:numId w:val="37"/>
        </w:numPr>
        <w:spacing w:line="500" w:lineRule="exact"/>
        <w:ind w:left="0" w:firstLine="0"/>
        <w:outlineLvl w:val="2"/>
        <w:rPr>
          <w:b/>
        </w:rPr>
      </w:pPr>
      <w:bookmarkStart w:id="366" w:name="_Toc87124284"/>
      <w:bookmarkStart w:id="367" w:name="_Toc88674806"/>
      <w:bookmarkStart w:id="368" w:name="_Toc104677329"/>
      <w:r>
        <w:rPr>
          <w:b/>
        </w:rPr>
        <w:t>地表水污染防治措施</w:t>
      </w:r>
      <w:bookmarkEnd w:id="363"/>
      <w:bookmarkEnd w:id="364"/>
      <w:bookmarkEnd w:id="365"/>
      <w:bookmarkEnd w:id="366"/>
      <w:bookmarkEnd w:id="367"/>
      <w:bookmarkEnd w:id="368"/>
    </w:p>
    <w:p>
      <w:pPr>
        <w:pStyle w:val="5"/>
        <w:numPr>
          <w:ilvl w:val="0"/>
          <w:numId w:val="40"/>
        </w:numPr>
        <w:spacing w:line="500" w:lineRule="exact"/>
        <w:outlineLvl w:val="3"/>
        <w:rPr>
          <w:b/>
        </w:rPr>
      </w:pPr>
      <w:r>
        <w:rPr>
          <w:b/>
        </w:rPr>
        <w:t>废水处理方式</w:t>
      </w:r>
    </w:p>
    <w:p>
      <w:pPr>
        <w:pStyle w:val="5"/>
        <w:adjustRightInd w:val="0"/>
        <w:snapToGrid w:val="0"/>
        <w:spacing w:line="500" w:lineRule="exact"/>
        <w:ind w:firstLine="490" w:firstLineChars="200"/>
        <w:rPr>
          <w:szCs w:val="24"/>
        </w:rPr>
      </w:pPr>
      <w:r>
        <w:rPr>
          <w:rFonts w:hint="eastAsia"/>
          <w:szCs w:val="24"/>
        </w:rPr>
        <w:t>1、生产废水</w:t>
      </w:r>
    </w:p>
    <w:p>
      <w:pPr>
        <w:pStyle w:val="5"/>
        <w:adjustRightInd w:val="0"/>
        <w:snapToGrid w:val="0"/>
        <w:spacing w:line="500" w:lineRule="exact"/>
        <w:ind w:firstLine="490" w:firstLineChars="200"/>
        <w:rPr>
          <w:szCs w:val="24"/>
        </w:rPr>
      </w:pPr>
      <w:r>
        <w:rPr>
          <w:szCs w:val="24"/>
        </w:rPr>
        <w:t>项目变更后全厂废水处理方式见图5.2-1。</w:t>
      </w:r>
    </w:p>
    <w:p>
      <w:pPr>
        <w:pStyle w:val="5"/>
        <w:adjustRightInd w:val="0"/>
        <w:snapToGrid w:val="0"/>
        <w:spacing w:line="240" w:lineRule="auto"/>
        <w:ind w:firstLine="0"/>
        <w:rPr>
          <w:szCs w:val="24"/>
          <w:highlight w:val="yellow"/>
        </w:rPr>
      </w:pPr>
      <w:r>
        <w:object>
          <v:shape id="_x0000_i1065" o:spt="75" type="#_x0000_t75" style="height:387pt;width:438pt;" o:ole="t" filled="f" o:preferrelative="t" stroked="f" coordsize="21600,21600">
            <v:path/>
            <v:fill on="f" focussize="0,0"/>
            <v:stroke on="f" joinstyle="miter"/>
            <v:imagedata r:id="rId152" o:title=""/>
            <o:lock v:ext="edit" aspectratio="t"/>
            <w10:wrap type="none"/>
            <w10:anchorlock/>
          </v:shape>
          <o:OLEObject Type="Embed" ProgID="Visio.Drawing.11" ShapeID="_x0000_i1065" DrawAspect="Content" ObjectID="_1468075765" r:id="rId151">
            <o:LockedField>false</o:LockedField>
          </o:OLEObject>
        </w:object>
      </w:r>
    </w:p>
    <w:p>
      <w:pPr>
        <w:pStyle w:val="5"/>
        <w:adjustRightInd w:val="0"/>
        <w:snapToGrid w:val="0"/>
        <w:spacing w:line="500" w:lineRule="exact"/>
        <w:ind w:firstLine="0"/>
        <w:jc w:val="center"/>
        <w:rPr>
          <w:b/>
          <w:szCs w:val="24"/>
        </w:rPr>
      </w:pPr>
      <w:r>
        <w:rPr>
          <w:b/>
          <w:szCs w:val="24"/>
        </w:rPr>
        <w:t>图5.2-1  项目变更后全厂废水处理措施图</w:t>
      </w:r>
    </w:p>
    <w:p>
      <w:pPr>
        <w:pStyle w:val="5"/>
        <w:adjustRightInd w:val="0"/>
        <w:snapToGrid w:val="0"/>
        <w:spacing w:line="500" w:lineRule="exact"/>
        <w:ind w:firstLine="490" w:firstLineChars="200"/>
        <w:rPr>
          <w:szCs w:val="24"/>
        </w:rPr>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w:t>
      </w:r>
      <w:r>
        <w:rPr>
          <w:szCs w:val="24"/>
        </w:rPr>
        <w:t>，近期依托大榄坪污水处理厂排海管道排入A2排污区，远期待大榄坪污水处理厂升级改造完成后排入大榄坪污水处理厂处理。</w:t>
      </w:r>
    </w:p>
    <w:p>
      <w:pPr>
        <w:pStyle w:val="5"/>
        <w:spacing w:line="500" w:lineRule="exact"/>
        <w:ind w:firstLine="490" w:firstLineChars="200"/>
        <w:rPr>
          <w:szCs w:val="24"/>
        </w:rPr>
      </w:pPr>
      <w:r>
        <w:rPr>
          <w:rFonts w:hint="eastAsia"/>
          <w:szCs w:val="24"/>
        </w:rPr>
        <w:t>2</w:t>
      </w:r>
      <w:r>
        <w:rPr>
          <w:szCs w:val="24"/>
        </w:rPr>
        <w:t>、生活污水</w:t>
      </w:r>
    </w:p>
    <w:p>
      <w:pPr>
        <w:pStyle w:val="5"/>
        <w:spacing w:line="500" w:lineRule="exact"/>
        <w:ind w:firstLine="490" w:firstLineChars="200"/>
        <w:rPr>
          <w:szCs w:val="24"/>
        </w:rPr>
      </w:pPr>
      <w:r>
        <w:rPr>
          <w:szCs w:val="24"/>
        </w:rPr>
        <w:t>生活污水经地埋式三级化粪池处理后，与现有工程生活污水一同排入园区污水管道，排向大榄坪污水处理厂处理。</w:t>
      </w:r>
    </w:p>
    <w:p>
      <w:pPr>
        <w:pStyle w:val="5"/>
        <w:numPr>
          <w:ilvl w:val="0"/>
          <w:numId w:val="40"/>
        </w:numPr>
        <w:spacing w:line="500" w:lineRule="exact"/>
        <w:outlineLvl w:val="3"/>
        <w:rPr>
          <w:b/>
        </w:rPr>
      </w:pPr>
      <w:r>
        <w:rPr>
          <w:b/>
        </w:rPr>
        <w:t>废水依托可行性分析</w:t>
      </w:r>
    </w:p>
    <w:p>
      <w:pPr>
        <w:pStyle w:val="5"/>
        <w:spacing w:line="500" w:lineRule="exact"/>
        <w:ind w:firstLine="490" w:firstLineChars="200"/>
        <w:rPr>
          <w:szCs w:val="24"/>
        </w:rPr>
      </w:pPr>
      <w:r>
        <w:rPr>
          <w:szCs w:val="24"/>
        </w:rPr>
        <w:t>1、处理规模可行性分析</w:t>
      </w:r>
    </w:p>
    <w:p>
      <w:pPr>
        <w:pStyle w:val="5"/>
        <w:spacing w:line="500" w:lineRule="exact"/>
        <w:ind w:firstLine="490" w:firstLineChars="200"/>
        <w:rPr>
          <w:szCs w:val="24"/>
        </w:rPr>
      </w:pPr>
      <w:r>
        <w:rPr>
          <w:rFonts w:hint="eastAsia"/>
          <w:szCs w:val="24"/>
        </w:rPr>
        <w:t>（1）MVR污水处理设施</w:t>
      </w:r>
    </w:p>
    <w:p>
      <w:pPr>
        <w:pStyle w:val="5"/>
        <w:spacing w:line="500" w:lineRule="exact"/>
        <w:ind w:firstLine="490" w:firstLineChars="200"/>
        <w:rPr>
          <w:szCs w:val="24"/>
        </w:rPr>
      </w:pPr>
      <w:r>
        <w:rPr>
          <w:szCs w:val="24"/>
        </w:rPr>
        <w:t>全厂污水处理车间设置12台60t/dMVR处理高盐废水，其中</w:t>
      </w:r>
      <w:r>
        <w:rPr>
          <w:rFonts w:hint="eastAsia"/>
          <w:szCs w:val="24"/>
        </w:rPr>
        <w:t>S5车间设置1台（1#），</w:t>
      </w:r>
      <w:r>
        <w:rPr>
          <w:szCs w:val="24"/>
        </w:rPr>
        <w:t>S</w:t>
      </w:r>
      <w:r>
        <w:rPr>
          <w:rFonts w:hint="eastAsia"/>
          <w:szCs w:val="24"/>
        </w:rPr>
        <w:t>8、S9车间设置11台（2#~12#）。本项目羟基钴生产线X19车间废水依托S8、S9污水处理车间4#~12#MVR设备处理，全厂</w:t>
      </w:r>
      <w:r>
        <w:rPr>
          <w:szCs w:val="24"/>
        </w:rPr>
        <w:t>各MVR处理情况见表5-</w:t>
      </w:r>
      <w:r>
        <w:rPr>
          <w:rFonts w:hint="eastAsia"/>
          <w:szCs w:val="24"/>
        </w:rPr>
        <w:t>3</w:t>
      </w:r>
      <w:r>
        <w:rPr>
          <w:szCs w:val="24"/>
        </w:rPr>
        <w:t>。</w:t>
      </w:r>
    </w:p>
    <w:p>
      <w:pPr>
        <w:numPr>
          <w:ilvl w:val="4"/>
          <w:numId w:val="38"/>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全厂</w:t>
      </w:r>
      <w:r>
        <w:rPr>
          <w:rFonts w:ascii="Arial" w:hAnsi="Arial" w:eastAsia="宋体" w:cs="Arial"/>
          <w:b/>
          <w:sz w:val="24"/>
          <w:szCs w:val="24"/>
        </w:rPr>
        <w:t>MVR处理废水情况表（单位：t/d）</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829"/>
        <w:gridCol w:w="2206"/>
        <w:gridCol w:w="812"/>
        <w:gridCol w:w="1111"/>
        <w:gridCol w:w="992"/>
        <w:gridCol w:w="1095"/>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编号</w:t>
            </w:r>
          </w:p>
        </w:tc>
        <w:tc>
          <w:tcPr>
            <w:tcW w:w="82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位置</w:t>
            </w:r>
          </w:p>
        </w:tc>
        <w:tc>
          <w:tcPr>
            <w:tcW w:w="2206"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处理</w:t>
            </w:r>
          </w:p>
          <w:p>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变更前</w:t>
            </w:r>
          </w:p>
        </w:tc>
        <w:tc>
          <w:tcPr>
            <w:tcW w:w="2087" w:type="dxa"/>
            <w:gridSpan w:val="2"/>
            <w:shd w:val="clear" w:color="auto" w:fill="auto"/>
            <w:vAlign w:val="center"/>
          </w:tcPr>
          <w:p>
            <w:pPr>
              <w:pStyle w:val="5"/>
              <w:adjustRightInd w:val="0"/>
              <w:snapToGrid w:val="0"/>
              <w:spacing w:line="240" w:lineRule="auto"/>
              <w:ind w:firstLine="0"/>
              <w:jc w:val="center"/>
              <w:rPr>
                <w:sz w:val="21"/>
                <w:szCs w:val="21"/>
              </w:rPr>
            </w:pPr>
            <w:r>
              <w:rPr>
                <w:sz w:val="21"/>
                <w:szCs w:val="21"/>
              </w:rPr>
              <w:t>变更后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2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220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1#</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S5车间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氢氧化钴处置线萃取废水和MHP生产线萃取废水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1440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153.6</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153.6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2#、3#</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MSP生产线X21、X22车间电积镍废水和氢氧化钴处置线X23车间电积钴废水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2880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592.31</w:t>
            </w:r>
          </w:p>
        </w:tc>
        <w:tc>
          <w:tcPr>
            <w:tcW w:w="1095" w:type="dxa"/>
            <w:shd w:val="clear" w:color="auto" w:fill="auto"/>
            <w:vAlign w:val="center"/>
          </w:tcPr>
          <w:p>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592.31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56" w:type="dxa"/>
            <w:shd w:val="clear" w:color="auto" w:fill="auto"/>
            <w:vAlign w:val="center"/>
          </w:tcPr>
          <w:p>
            <w:pPr>
              <w:pStyle w:val="5"/>
              <w:adjustRightInd w:val="0"/>
              <w:snapToGrid w:val="0"/>
              <w:spacing w:line="240" w:lineRule="auto"/>
              <w:ind w:firstLine="0"/>
              <w:jc w:val="center"/>
              <w:rPr>
                <w:sz w:val="21"/>
                <w:szCs w:val="21"/>
              </w:rPr>
            </w:pPr>
            <w:r>
              <w:rPr>
                <w:sz w:val="21"/>
                <w:szCs w:val="21"/>
              </w:rPr>
              <w:t>4#~12#</w:t>
            </w:r>
          </w:p>
        </w:tc>
        <w:tc>
          <w:tcPr>
            <w:tcW w:w="829" w:type="dxa"/>
            <w:shd w:val="clear" w:color="auto" w:fill="auto"/>
            <w:vAlign w:val="center"/>
          </w:tcPr>
          <w:p>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pPr>
              <w:pStyle w:val="5"/>
              <w:adjustRightInd w:val="0"/>
              <w:snapToGrid w:val="0"/>
              <w:spacing w:line="240" w:lineRule="auto"/>
              <w:ind w:firstLine="0"/>
              <w:jc w:val="center"/>
              <w:rPr>
                <w:sz w:val="21"/>
                <w:szCs w:val="21"/>
              </w:rPr>
            </w:pPr>
            <w:r>
              <w:rPr>
                <w:sz w:val="21"/>
                <w:szCs w:val="21"/>
              </w:rPr>
              <w:t>2061.48</w:t>
            </w:r>
          </w:p>
        </w:tc>
        <w:tc>
          <w:tcPr>
            <w:tcW w:w="1095"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pPr>
              <w:pStyle w:val="5"/>
              <w:adjustRightInd w:val="0"/>
              <w:snapToGrid w:val="0"/>
              <w:spacing w:line="240" w:lineRule="auto"/>
              <w:ind w:firstLine="0"/>
              <w:jc w:val="center"/>
              <w:rPr>
                <w:sz w:val="21"/>
                <w:szCs w:val="21"/>
              </w:rPr>
            </w:pPr>
            <w:r>
              <w:rPr>
                <w:rFonts w:hint="eastAsia"/>
                <w:sz w:val="21"/>
                <w:szCs w:val="21"/>
              </w:rPr>
              <w:t>1890.36</w:t>
            </w:r>
          </w:p>
        </w:tc>
      </w:tr>
    </w:tbl>
    <w:p>
      <w:pPr>
        <w:pStyle w:val="5"/>
        <w:spacing w:line="500" w:lineRule="exact"/>
        <w:ind w:firstLine="490" w:firstLineChars="200"/>
        <w:rPr>
          <w:szCs w:val="24"/>
        </w:rPr>
      </w:pPr>
      <w:r>
        <w:rPr>
          <w:szCs w:val="24"/>
        </w:rPr>
        <w:t>项目变更后S</w:t>
      </w:r>
      <w:r>
        <w:rPr>
          <w:rFonts w:hint="eastAsia"/>
          <w:szCs w:val="24"/>
        </w:rPr>
        <w:t>5污水处理车间</w:t>
      </w:r>
      <w:r>
        <w:rPr>
          <w:szCs w:val="24"/>
        </w:rPr>
        <w:t>1#MVR废水处理量不变，处理氢氧化钴处置线萃取废水和MHP生产线萃取废水1286.4t/d，余量153.6t/d；S</w:t>
      </w:r>
      <w:r>
        <w:rPr>
          <w:rFonts w:hint="eastAsia"/>
          <w:szCs w:val="24"/>
        </w:rPr>
        <w:t>8、S9污水处理车间2</w:t>
      </w:r>
      <w:r>
        <w:rPr>
          <w:szCs w:val="24"/>
        </w:rPr>
        <w:t>#、3</w:t>
      </w:r>
      <w:r>
        <w:rPr>
          <w:rFonts w:hint="eastAsia"/>
          <w:szCs w:val="24"/>
        </w:rPr>
        <w:t>#</w:t>
      </w:r>
      <w:r>
        <w:rPr>
          <w:szCs w:val="24"/>
        </w:rPr>
        <w:t>MVR废水处理量不变，处理MSP生产线X21、X22车间电积镍废水和氢氧化钴处置线X23车间电积钴废水</w:t>
      </w:r>
      <w:r>
        <w:rPr>
          <w:rFonts w:hint="eastAsia"/>
          <w:szCs w:val="24"/>
        </w:rPr>
        <w:t>2287.69</w:t>
      </w:r>
      <w:r>
        <w:rPr>
          <w:szCs w:val="24"/>
        </w:rPr>
        <w:t>t/d，余量</w:t>
      </w:r>
      <w:r>
        <w:rPr>
          <w:rFonts w:hint="eastAsia"/>
          <w:szCs w:val="24"/>
        </w:rPr>
        <w:t>592.31</w:t>
      </w:r>
      <w:r>
        <w:rPr>
          <w:szCs w:val="24"/>
        </w:rPr>
        <w:t>t/d；S</w:t>
      </w:r>
      <w:r>
        <w:rPr>
          <w:rFonts w:hint="eastAsia"/>
          <w:szCs w:val="24"/>
        </w:rPr>
        <w:t>8、S9污水处理车间4#~12#</w:t>
      </w:r>
      <w:r>
        <w:rPr>
          <w:szCs w:val="24"/>
        </w:rPr>
        <w:t>MVR处理三元前驱体C1~C6车间废水、MSP生产线X5萃取车间废水、羟基钴生产线X</w:t>
      </w:r>
      <w:r>
        <w:rPr>
          <w:rFonts w:hint="eastAsia"/>
          <w:szCs w:val="24"/>
        </w:rPr>
        <w:t>19车间</w:t>
      </w:r>
      <w:r>
        <w:rPr>
          <w:szCs w:val="24"/>
        </w:rPr>
        <w:t>生产废水由10898.52t</w:t>
      </w:r>
      <w:r>
        <w:rPr>
          <w:rFonts w:hint="eastAsia"/>
          <w:szCs w:val="24"/>
        </w:rPr>
        <w:t>/d变更为11069.64t/d，余量由</w:t>
      </w:r>
      <w:r>
        <w:rPr>
          <w:szCs w:val="24"/>
        </w:rPr>
        <w:t>2061.48t</w:t>
      </w:r>
      <w:r>
        <w:rPr>
          <w:rFonts w:hint="eastAsia"/>
          <w:szCs w:val="24"/>
        </w:rPr>
        <w:t>/d变更为1890.36t/d。</w:t>
      </w:r>
      <w:r>
        <w:rPr>
          <w:szCs w:val="24"/>
        </w:rPr>
        <w:t>项目设计的MVR污水处理规模可满足全厂污水处理。</w:t>
      </w:r>
    </w:p>
    <w:p>
      <w:pPr>
        <w:pStyle w:val="5"/>
        <w:spacing w:line="500" w:lineRule="exact"/>
        <w:ind w:firstLine="490" w:firstLineChars="200"/>
        <w:rPr>
          <w:szCs w:val="24"/>
          <w:u w:val="single"/>
        </w:rPr>
      </w:pPr>
      <w:r>
        <w:rPr>
          <w:rFonts w:hint="eastAsia"/>
          <w:szCs w:val="24"/>
          <w:u w:val="single"/>
        </w:rPr>
        <w:t>（2）综合污水处理站</w:t>
      </w:r>
    </w:p>
    <w:p>
      <w:pPr>
        <w:pStyle w:val="5"/>
        <w:spacing w:line="500" w:lineRule="exact"/>
        <w:ind w:firstLine="490" w:firstLineChars="200"/>
        <w:rPr>
          <w:szCs w:val="24"/>
          <w:u w:val="single"/>
        </w:rPr>
      </w:pPr>
      <w:r>
        <w:rPr>
          <w:rFonts w:hint="eastAsia"/>
          <w:szCs w:val="24"/>
          <w:u w:val="single"/>
        </w:rPr>
        <w:t>综合污水处理站位于地块三南面，内设1条臭氧催化氧化处理废水线，中伟全厂废水经综合污水处理站处理后，全厂废水总排口满足《无机化学工业污染物排放标准》（GB31573-2015）直接排放限值要求后，通过管道排入大榄坪污水处理厂排海管，经第八大街及四号路转入第十一大街，最终向西进入金鼓江，排放至A2排放区。综合污水处理站设计最大废水处理量为10000m</w:t>
      </w:r>
      <w:r>
        <w:rPr>
          <w:rFonts w:hint="eastAsia"/>
          <w:szCs w:val="24"/>
          <w:u w:val="single"/>
          <w:vertAlign w:val="superscript"/>
        </w:rPr>
        <w:t>3</w:t>
      </w:r>
      <w:r>
        <w:rPr>
          <w:rFonts w:hint="eastAsia"/>
          <w:szCs w:val="24"/>
          <w:u w:val="single"/>
        </w:rPr>
        <w:t>/d，目前已正常投入运行，现阶段污水处理量为1500~1800m</w:t>
      </w:r>
      <w:r>
        <w:rPr>
          <w:rFonts w:hint="eastAsia"/>
          <w:szCs w:val="24"/>
          <w:u w:val="single"/>
          <w:vertAlign w:val="superscript"/>
        </w:rPr>
        <w:t>3</w:t>
      </w:r>
      <w:r>
        <w:rPr>
          <w:rFonts w:hint="eastAsia"/>
          <w:szCs w:val="24"/>
          <w:u w:val="single"/>
        </w:rPr>
        <w:t>/d。本项目产生的生产废水</w:t>
      </w:r>
      <w:r>
        <w:rPr>
          <w:szCs w:val="24"/>
          <w:u w:val="single"/>
        </w:rPr>
        <w:t>经S</w:t>
      </w:r>
      <w:r>
        <w:rPr>
          <w:rFonts w:hint="eastAsia"/>
          <w:szCs w:val="24"/>
          <w:u w:val="single"/>
        </w:rPr>
        <w:t>8、S9污水处理车间处理后的冷凝水回用纯水站，开路母液依托厂区综合污水处理站臭氧催化氧化处理后外排，新增量为14.21t/d，项目设计的综合污水处理站污水处理规模可满足全厂污水处理。</w:t>
      </w:r>
    </w:p>
    <w:p>
      <w:pPr>
        <w:pStyle w:val="5"/>
        <w:spacing w:line="500" w:lineRule="exact"/>
        <w:ind w:firstLine="490" w:firstLineChars="200"/>
        <w:rPr>
          <w:szCs w:val="24"/>
        </w:rPr>
      </w:pPr>
      <w:r>
        <w:rPr>
          <w:rFonts w:hint="eastAsia"/>
          <w:szCs w:val="24"/>
        </w:rPr>
        <w:t>2、</w:t>
      </w:r>
      <w:r>
        <w:rPr>
          <w:szCs w:val="24"/>
        </w:rPr>
        <w:t>处理工艺可行性分析</w:t>
      </w:r>
    </w:p>
    <w:p>
      <w:pPr>
        <w:pStyle w:val="5"/>
        <w:spacing w:line="500" w:lineRule="exact"/>
        <w:ind w:firstLine="490" w:firstLineChars="200"/>
        <w:rPr>
          <w:szCs w:val="24"/>
          <w:u w:val="single"/>
        </w:rPr>
      </w:pPr>
      <w:r>
        <w:rPr>
          <w:rFonts w:hint="eastAsia"/>
          <w:szCs w:val="24"/>
          <w:u w:val="single"/>
        </w:rPr>
        <w:t>（1）精密过滤器</w:t>
      </w:r>
    </w:p>
    <w:p>
      <w:pPr>
        <w:pStyle w:val="5"/>
        <w:spacing w:line="500" w:lineRule="exact"/>
        <w:ind w:firstLine="490" w:firstLineChars="200"/>
        <w:rPr>
          <w:szCs w:val="24"/>
          <w:u w:val="single"/>
        </w:rPr>
      </w:pPr>
      <w:r>
        <w:rPr>
          <w:rFonts w:hint="eastAsia"/>
          <w:szCs w:val="24"/>
          <w:u w:val="single"/>
        </w:rPr>
        <w:t>车间废水经板框压滤、精密过滤器处理后排入厂区污水处理车间。精密过滤器又称保安过滤器，是一种用于去除液体或气体中微小颗粒、杂质的高效过滤设备，其工作原理为待过滤的液体从过滤器的进口进入，通过滤芯上的微孔结构允许流体通过，而比孔径大的颗粒、杂质等则被拦截在滤芯表面或内部。本项目精密过滤器采用不锈钢材料制成，具有较高的耐腐蚀性和较长的使用寿命，能够承受较高的压力差，过滤精度通常在 0.1 微米至 100 微米之间，清洗之后还可以再使用，免更换。</w:t>
      </w:r>
    </w:p>
    <w:p>
      <w:pPr>
        <w:pStyle w:val="5"/>
        <w:spacing w:line="500" w:lineRule="exact"/>
        <w:ind w:firstLine="490" w:firstLineChars="200"/>
        <w:rPr>
          <w:szCs w:val="24"/>
          <w:u w:val="single"/>
        </w:rPr>
      </w:pPr>
      <w:r>
        <w:rPr>
          <w:rFonts w:hint="eastAsia"/>
          <w:szCs w:val="24"/>
          <w:u w:val="single"/>
        </w:rPr>
        <w:t>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w:t>
      </w:r>
    </w:p>
    <w:p>
      <w:pPr>
        <w:pStyle w:val="5"/>
        <w:spacing w:line="500" w:lineRule="exact"/>
        <w:ind w:firstLine="490" w:firstLineChars="200"/>
        <w:rPr>
          <w:szCs w:val="24"/>
        </w:rPr>
      </w:pPr>
      <w:r>
        <w:rPr>
          <w:rFonts w:hint="eastAsia"/>
          <w:szCs w:val="24"/>
        </w:rPr>
        <w:t>（2）脱氨塔</w:t>
      </w:r>
    </w:p>
    <w:p>
      <w:pPr>
        <w:pStyle w:val="5"/>
        <w:spacing w:line="500" w:lineRule="exact"/>
        <w:ind w:firstLine="490" w:firstLineChars="200"/>
        <w:rPr>
          <w:szCs w:val="24"/>
        </w:rPr>
      </w:pPr>
      <w:r>
        <w:rPr>
          <w:rFonts w:hint="eastAsia"/>
          <w:szCs w:val="24"/>
        </w:rPr>
        <w:t>项目废水在S7污水处理车间使用脱氨塔去除氨氮。废水</w:t>
      </w:r>
      <w:r>
        <w:rPr>
          <w:szCs w:val="24"/>
        </w:rPr>
        <w:t>首先与塔釜液和蒸汽冷凝水换热，预热后从中上部进入汽提精馏塔的提馏段，沿塔内部下降；再沸器生成的蒸汽进入汽提精馏塔下部，沿塔内部上升；上升蒸汽与下降液相逆流接触传质，氨从液相转移到气相，液相下降到塔釜时，氨含量小于环保指标要求的浓度。提馏段携带氨的汽相进入精馏段，与从塔顶向下流动的回流液逆流接触传质，汽相中的氨浓度上升，从塔顶离开汽提精馏塔，通过热泵系统回收潜热，然后进入冷凝器冷凝，产生设定浓度的氨水，进入氨水储罐。</w:t>
      </w:r>
    </w:p>
    <w:p>
      <w:pPr>
        <w:pStyle w:val="5"/>
        <w:spacing w:line="500" w:lineRule="exact"/>
        <w:ind w:firstLine="490" w:firstLineChars="200"/>
        <w:rPr>
          <w:szCs w:val="24"/>
          <w:highlight w:val="yellow"/>
        </w:rPr>
      </w:pPr>
      <w:r>
        <w:rPr>
          <w:rFonts w:hint="eastAsia"/>
        </w:rPr>
        <w:t>根据脱氨塔设计参数，氨氮设计进水浓度为8000mg/L，出水浓度为15mg/L，去除效率可达到99.81%；本项目生产废水中氨氮浓度为2200mg/L，小于脱氨塔设计进水浓度，本次评价保守考虑生产废水经脱氨塔处理后的氨氮浓度为15mg/L，去除效率为98%。</w:t>
      </w:r>
    </w:p>
    <w:p>
      <w:pPr>
        <w:pStyle w:val="5"/>
        <w:spacing w:line="500" w:lineRule="exact"/>
        <w:ind w:firstLine="490" w:firstLineChars="200"/>
        <w:rPr>
          <w:szCs w:val="24"/>
        </w:rPr>
      </w:pPr>
      <w:r>
        <w:rPr>
          <w:rFonts w:hint="eastAsia"/>
          <w:szCs w:val="24"/>
        </w:rPr>
        <w:t>（3）陶瓷膜过滤</w:t>
      </w:r>
    </w:p>
    <w:p>
      <w:pPr>
        <w:pStyle w:val="5"/>
        <w:spacing w:line="500" w:lineRule="exact"/>
        <w:rPr>
          <w:szCs w:val="24"/>
        </w:rPr>
      </w:pPr>
      <w:r>
        <w:rPr>
          <w:rFonts w:hint="eastAsia"/>
          <w:szCs w:val="24"/>
        </w:rPr>
        <w:t>项目废水在S7污水处理车间使用陶瓷膜过滤去除钴。陶瓷膜分离技术是基于多孔陶瓷介质的筛分效应而进行的物质分离技术，采用与传统“死端过滤”“滤饼过滤”等过滤方式截然不同的动态“错流过滤”方式：即在压力驱动下，原料液在膜管内侧膜层表面以一定的流速高速流动，小分子物质（液体）沿与之垂直方向透过微孔膜，大分子物质（或固体颗粒）被膜截留，使流体达到分离浓缩和纯化的目的。</w:t>
      </w:r>
    </w:p>
    <w:p>
      <w:pPr>
        <w:pStyle w:val="5"/>
        <w:spacing w:line="500" w:lineRule="exact"/>
        <w:rPr>
          <w:szCs w:val="24"/>
        </w:rPr>
      </w:pPr>
      <w:r>
        <w:rPr>
          <w:rFonts w:hint="eastAsia"/>
          <w:szCs w:val="24"/>
        </w:rPr>
        <w:t>建立于无机材料科学基础上的陶瓷膜具有聚合物分离膜所无法比拟的一些优点：</w:t>
      </w:r>
    </w:p>
    <w:p>
      <w:pPr>
        <w:pStyle w:val="5"/>
        <w:spacing w:line="500" w:lineRule="exact"/>
        <w:rPr>
          <w:szCs w:val="24"/>
        </w:rPr>
      </w:pPr>
      <w:r>
        <w:rPr>
          <w:rFonts w:hint="eastAsia"/>
          <w:szCs w:val="24"/>
        </w:rPr>
        <w:t>①陶瓷膜膜层光洁度高，并呈多层结构且薄；流道孔径沿渗透液的流向逐渐增大，且逐级的孔径分布窄，孔隙率高，因而具有分离性能好，极低的过滤阻力，过滤通量高；</w:t>
      </w:r>
    </w:p>
    <w:p>
      <w:pPr>
        <w:pStyle w:val="5"/>
        <w:spacing w:line="500" w:lineRule="exact"/>
        <w:rPr>
          <w:szCs w:val="24"/>
        </w:rPr>
      </w:pPr>
      <w:r>
        <w:rPr>
          <w:rFonts w:hint="eastAsia"/>
          <w:szCs w:val="24"/>
        </w:rPr>
        <w:t>②无机材料对料液有极好的抗污染性，可反复清洗再生，通量稳定性好，使用寿命长。</w:t>
      </w:r>
    </w:p>
    <w:p>
      <w:pPr>
        <w:pStyle w:val="5"/>
        <w:spacing w:line="500" w:lineRule="exact"/>
        <w:rPr>
          <w:szCs w:val="24"/>
        </w:rPr>
      </w:pPr>
      <w:r>
        <w:rPr>
          <w:rFonts w:hint="eastAsia"/>
          <w:szCs w:val="24"/>
        </w:rPr>
        <w:t>③陶瓷膜化学稳定性好，适用</w:t>
      </w:r>
      <w:r>
        <w:rPr>
          <w:szCs w:val="24"/>
        </w:rPr>
        <w:t>pH 0</w:t>
      </w:r>
      <w:r>
        <w:rPr>
          <w:rFonts w:hint="eastAsia"/>
          <w:szCs w:val="24"/>
        </w:rPr>
        <w:t>～</w:t>
      </w:r>
      <w:r>
        <w:rPr>
          <w:szCs w:val="24"/>
        </w:rPr>
        <w:t>14</w:t>
      </w:r>
      <w:r>
        <w:rPr>
          <w:rFonts w:hint="eastAsia"/>
          <w:szCs w:val="24"/>
        </w:rPr>
        <w:t>，能抗微生物降解。对于有机溶剂、腐蚀气体和微生物侵蚀表现良好的稳定性。</w:t>
      </w:r>
    </w:p>
    <w:p>
      <w:pPr>
        <w:pStyle w:val="5"/>
        <w:spacing w:line="500" w:lineRule="exact"/>
        <w:rPr>
          <w:szCs w:val="24"/>
        </w:rPr>
      </w:pPr>
      <w:r>
        <w:rPr>
          <w:rFonts w:hint="eastAsia"/>
          <w:szCs w:val="24"/>
        </w:rPr>
        <w:t>④机械强度大，工作范围宽，膜承压</w:t>
      </w:r>
      <w:r>
        <w:rPr>
          <w:szCs w:val="24"/>
        </w:rPr>
        <w:t>1.6Mpa</w:t>
      </w:r>
      <w:r>
        <w:rPr>
          <w:rFonts w:hint="eastAsia"/>
          <w:szCs w:val="24"/>
        </w:rPr>
        <w:t>，支撑体承压</w:t>
      </w:r>
      <w:r>
        <w:rPr>
          <w:szCs w:val="24"/>
        </w:rPr>
        <w:t>6</w:t>
      </w:r>
      <w:r>
        <w:rPr>
          <w:rFonts w:hint="eastAsia"/>
          <w:szCs w:val="24"/>
        </w:rPr>
        <w:t>～</w:t>
      </w:r>
      <w:r>
        <w:rPr>
          <w:szCs w:val="24"/>
        </w:rPr>
        <w:t>12Mpa</w:t>
      </w:r>
      <w:r>
        <w:rPr>
          <w:rFonts w:hint="eastAsia"/>
          <w:szCs w:val="24"/>
        </w:rPr>
        <w:t>，并可反向冲洗；</w:t>
      </w:r>
    </w:p>
    <w:p>
      <w:pPr>
        <w:pStyle w:val="5"/>
        <w:spacing w:line="500" w:lineRule="exact"/>
        <w:rPr>
          <w:szCs w:val="24"/>
        </w:rPr>
      </w:pPr>
      <w:r>
        <w:rPr>
          <w:rFonts w:hint="eastAsia"/>
          <w:szCs w:val="24"/>
        </w:rPr>
        <w:t>⑤高的热稳定性，膜管可承受</w:t>
      </w:r>
      <w:r>
        <w:rPr>
          <w:szCs w:val="24"/>
        </w:rPr>
        <w:t>1000</w:t>
      </w:r>
      <w:r>
        <w:rPr>
          <w:rFonts w:hint="eastAsia"/>
          <w:szCs w:val="24"/>
        </w:rPr>
        <w:t>℃的高温；由于受密封材料的限制，装置一般均可在</w:t>
      </w:r>
      <w:r>
        <w:rPr>
          <w:szCs w:val="24"/>
        </w:rPr>
        <w:t>400</w:t>
      </w:r>
      <w:r>
        <w:rPr>
          <w:rFonts w:hint="eastAsia"/>
          <w:szCs w:val="24"/>
        </w:rPr>
        <w:t>℃以下操作。</w:t>
      </w:r>
    </w:p>
    <w:p>
      <w:pPr>
        <w:pStyle w:val="5"/>
        <w:spacing w:line="500" w:lineRule="exact"/>
        <w:rPr>
          <w:szCs w:val="24"/>
        </w:rPr>
      </w:pPr>
      <w:r>
        <w:rPr>
          <w:rFonts w:hint="eastAsia"/>
          <w:szCs w:val="24"/>
        </w:rPr>
        <w:t>⑥无老化问题，使用寿命长，正常使用寿命约为10年，后续只需更换滤芯。</w:t>
      </w:r>
    </w:p>
    <w:p>
      <w:pPr>
        <w:pStyle w:val="5"/>
        <w:spacing w:line="500" w:lineRule="exact"/>
        <w:rPr>
          <w:szCs w:val="24"/>
        </w:rPr>
      </w:pPr>
      <w:r>
        <w:rPr>
          <w:szCs w:val="24"/>
        </w:rPr>
        <w:t>根据</w:t>
      </w:r>
      <w:r>
        <w:rPr>
          <w:rFonts w:hint="eastAsia"/>
          <w:szCs w:val="24"/>
        </w:rPr>
        <w:t>中伟公司各地多年运行经验，陶瓷膜过滤去除重金属可达到91.6%以上，本次评价陶瓷膜过滤去除钴按90%计。</w:t>
      </w:r>
    </w:p>
    <w:p>
      <w:pPr>
        <w:pStyle w:val="5"/>
        <w:spacing w:line="500" w:lineRule="exact"/>
        <w:ind w:firstLine="490" w:firstLineChars="200"/>
        <w:rPr>
          <w:szCs w:val="24"/>
        </w:rPr>
      </w:pPr>
      <w:r>
        <w:rPr>
          <w:szCs w:val="24"/>
        </w:rPr>
        <w:t>（</w:t>
      </w:r>
      <w:r>
        <w:rPr>
          <w:rFonts w:hint="eastAsia"/>
          <w:szCs w:val="24"/>
        </w:rPr>
        <w:t>4</w:t>
      </w:r>
      <w:r>
        <w:rPr>
          <w:szCs w:val="24"/>
        </w:rPr>
        <w:t>）MVR蒸发结晶</w:t>
      </w:r>
    </w:p>
    <w:p>
      <w:pPr>
        <w:pStyle w:val="5"/>
        <w:spacing w:line="500" w:lineRule="exact"/>
        <w:rPr>
          <w:rFonts w:ascii="宋体" w:hAnsi="宋体" w:cs="宋体"/>
          <w:szCs w:val="24"/>
        </w:rPr>
      </w:pPr>
      <w:r>
        <w:rPr>
          <w:rFonts w:hint="eastAsia"/>
          <w:szCs w:val="24"/>
        </w:rPr>
        <w:t>项目废水在S8、S9污水处理车间使用MVR去除硫酸盐。</w:t>
      </w:r>
    </w:p>
    <w:p>
      <w:pPr>
        <w:pStyle w:val="5"/>
        <w:spacing w:line="500" w:lineRule="exact"/>
        <w:rPr>
          <w:szCs w:val="24"/>
        </w:rPr>
      </w:pPr>
      <w:r>
        <w:rPr>
          <w:rFonts w:hint="eastAsia" w:ascii="宋体" w:hAnsi="宋体" w:cs="宋体"/>
          <w:szCs w:val="24"/>
        </w:rPr>
        <w:t>①</w:t>
      </w:r>
      <w:r>
        <w:rPr>
          <w:szCs w:val="24"/>
        </w:rPr>
        <w:t>MVR蒸发原理</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机械式蒸汽再压缩（MVR）蒸发器，其原理是利用高能效蒸汽压缩机压缩蒸发产生的二次蒸汽，把电能转换成热能，提高二次蒸汽的焓，被提高热能的二次蒸汽打入蒸发室进行加热，以达到循环利用二次蒸汽已有的热能，从而可以不需要外部鲜蒸汽，通过蒸发器自循环来实现蒸发浓缩的目的。</w:t>
      </w:r>
    </w:p>
    <w:p>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工艺思路</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根据进水水质条件， MVR采用双效降膜浓缩+强制循环蒸发结晶的方案。物料在进蒸发系统前，先经过三级预热，物料首先与MVR蒸馏水换热，再与系统内富余的二次蒸汽换热，再与鲜蒸汽换热，达到设计温度后，进入一效降膜蒸发器内进行蒸发浓缩，当物料浓缩到设计浓度时，进入二效降膜蒸发器内进行蒸发浓缩，达到设计浓度时，转移至强制循环换热器内进一步蒸发结晶，晶浆经旋流浓缩后，进入稠厚器内，稠厚器内的晶浆达到离心机进料浓度时，进行离心分离。出盐经皮带输送机送至流化床干燥系统内干燥后，进半自动打包机内打包。</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考虑到氯离子及重金属的富集对盐品质的影响，定期排放排浓液（开路母液）。</w:t>
      </w:r>
    </w:p>
    <w:p>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物料流程</w:t>
      </w:r>
    </w:p>
    <w:p>
      <w:pPr>
        <w:spacing w:line="500" w:lineRule="exact"/>
        <w:ind w:firstLine="476"/>
        <w:rPr>
          <w:rFonts w:ascii="Arial" w:hAnsi="Arial" w:eastAsia="宋体" w:cs="Arial"/>
          <w:bCs/>
          <w:spacing w:val="10"/>
          <w:sz w:val="24"/>
          <w:szCs w:val="24"/>
        </w:rPr>
      </w:pPr>
      <w:r>
        <w:rPr>
          <w:rFonts w:ascii="Arial" w:hAnsi="Arial" w:eastAsia="宋体" w:cs="Arial"/>
          <w:bCs/>
          <w:spacing w:val="10"/>
          <w:sz w:val="24"/>
          <w:szCs w:val="24"/>
        </w:rPr>
        <w:t>MVR进料罐→预热→一/二效降膜浓缩→强制循环蒸发器→浓缩物料出料→稠厚器→离心出料→干燥打包</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母液从MVR进料罐经MVR进料泵送入蒸馏水预热器，与蒸馏水换热以后进入不凝气预热器，与不凝气换热后再进入鲜蒸汽预热器，预热至接近沸点温度。根据不同水量需求可分别进入一效降膜蒸发器或者强制蒸发器(下面物料流程按进入降膜蒸发器描述）。</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降膜蒸发采用两效设计，一效降膜循环泵将一效储料仓物料输送至一效降膜蒸发器布料盘，使物料在一效换热管内均匀布膜，料液在下降过程中，逐渐蒸发，生成二次蒸汽进入降膜分离器，浓缩液进入一效储料仓，如此循环，浓缩液通过联通管进入二效降膜蒸发器，二效降膜循环泵将二效储料仓物料输送至二效降膜蒸发器布料盘，使物料在二效换热管内均匀布膜，料液在下降过程中，逐渐蒸发，生成二次蒸汽进入降膜分离器，浓缩液进入二效储料仓，如此循环。经过两级浓缩后，物料通过降膜转料泵输送至结晶分离器。</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浓缩液进入结晶分离器，经过强制循环泵、管式强制循环蒸发器与结晶分离器组成的强制蒸发循环体系，物料在强制循环蒸发器换热管内流动过程中，受换热管外压缩后的蒸汽加热，物料进入结晶分离器后沸腾蒸发。蒸发产生的二次蒸汽进入结晶分离室气相，浓缩液停留在结晶分离室锥壳底部育晶。待分离器内的结晶物料及物料溶液的浓度达到设计要求后，通过晶浆出料泵输送至旋液分离器进行初步固液分离，高盐浆料进入稠厚器，清液返回结晶分离器。高盐浆料在稠厚器内二次沉降后，底部浆料输送至离心机，离心后出盐进行干燥打包处理。离心母液收集至母液罐，通过母液回流泵输送至结晶分离器继续蒸发结晶处理。由于本项目羟基钴生产线的废水含COD、氨氮、钴等污染物，在已采取措施后仍无法彻底去除，在多倍浓缩后，COD、氨氮、钴等污染物富集，同时因为在高温下有机物性质的转变，变成粘稠状物，导致结晶工序不能进一步进行及析出晶体，必须将浓缩母液开路，排浓液（开路母液）定期排放。</w:t>
      </w:r>
    </w:p>
    <w:p>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离心后出盐通过皮带输送机，输送至流化床干燥机，干盐通过振动筛将粗盐分离后进入干盐料仓暂存。料仓底部配备打包机，进行干盐打包处理，打包后仓储、外运。</w:t>
      </w:r>
    </w:p>
    <w:p>
      <w:pPr>
        <w:pStyle w:val="5"/>
        <w:spacing w:line="500" w:lineRule="exact"/>
        <w:ind w:firstLine="490" w:firstLineChars="200"/>
        <w:rPr>
          <w:szCs w:val="24"/>
        </w:rPr>
      </w:pPr>
      <w:r>
        <w:rPr>
          <w:szCs w:val="24"/>
        </w:rPr>
        <w:t>本项目排入MVR系统废水均为硫酸钠废水，可排入MVR内蒸发结晶。根据建设单位对MVR控制，废水经MVR蒸发结晶后硫酸盐回收率≥</w:t>
      </w:r>
      <w:r>
        <w:rPr>
          <w:rFonts w:hint="eastAsia"/>
          <w:szCs w:val="24"/>
        </w:rPr>
        <w:t>93%。</w:t>
      </w:r>
    </w:p>
    <w:p>
      <w:pPr>
        <w:pStyle w:val="5"/>
        <w:spacing w:line="500" w:lineRule="exact"/>
        <w:ind w:firstLine="490" w:firstLineChars="200"/>
      </w:pPr>
      <w:r>
        <w:t>3、依托排污管排放可行性分析</w:t>
      </w:r>
    </w:p>
    <w:p>
      <w:pPr>
        <w:pStyle w:val="5"/>
        <w:spacing w:line="500" w:lineRule="exact"/>
        <w:ind w:firstLine="490" w:firstLineChars="200"/>
      </w:pPr>
      <w:r>
        <w:t>全厂生产废水排放口依托大榄坪污水处理厂排海管由污水处理厂接出，经第八大街及四号路转入第十一大街，最终向西进入金鼓江，排放至A2排放区。目前排海管已建成投入使用。</w:t>
      </w:r>
    </w:p>
    <w:p>
      <w:pPr>
        <w:pStyle w:val="5"/>
        <w:spacing w:line="500" w:lineRule="exact"/>
        <w:ind w:firstLine="490" w:firstLineChars="200"/>
        <w:rPr>
          <w:szCs w:val="24"/>
        </w:rPr>
      </w:pPr>
      <w:r>
        <w:t>排海工程管道水量设计按远期规模为20万m</w:t>
      </w:r>
      <w:r>
        <w:rPr>
          <w:vertAlign w:val="superscript"/>
        </w:rPr>
        <w:t>3</w:t>
      </w:r>
      <w:r>
        <w:t>/d，管道设计流量为2893.52L/s，设计流速为1.44m/s，采用DN1600钢管。废水在钦州港大榄坪污水深海排放区A2排放口（GX070DIV）排放，排放区位置是以E108°39′12.0″、N21°39′15.0″为中心，半径1km的海域，周围设0.5km水质过渡带。大榄坪污水处理厂近期规划排水量50000 m</w:t>
      </w:r>
      <w:r>
        <w:rPr>
          <w:vertAlign w:val="superscript"/>
        </w:rPr>
        <w:t>3</w:t>
      </w:r>
      <w:r>
        <w:t>/d，广西中伟新能源科技有限公司近期规划排水量25000 m</w:t>
      </w:r>
      <w:r>
        <w:rPr>
          <w:vertAlign w:val="superscript"/>
        </w:rPr>
        <w:t>3</w:t>
      </w:r>
      <w:r>
        <w:t>/d，废水排放量小于管道设计水量，全厂总废水排放总量在规划范围内。</w:t>
      </w:r>
    </w:p>
    <w:p>
      <w:pPr>
        <w:pStyle w:val="5"/>
        <w:spacing w:line="500" w:lineRule="exact"/>
        <w:ind w:firstLine="490" w:firstLineChars="200"/>
      </w:pPr>
      <w:r>
        <w:rPr>
          <w:rFonts w:hint="eastAsia"/>
        </w:rPr>
        <w:t>4、A2排污区纳污可行性分析</w:t>
      </w:r>
    </w:p>
    <w:p>
      <w:pPr>
        <w:pStyle w:val="5"/>
        <w:spacing w:line="500" w:lineRule="exact"/>
        <w:ind w:firstLine="490" w:firstLineChars="200"/>
      </w:pPr>
      <w:r>
        <w:rPr>
          <w:rFonts w:hint="eastAsia"/>
        </w:rPr>
        <w:t>根据《钦州港大榄坪物流加工区总体规划修编（2022-2035）环境影响报告书》，A2排污区设计容量为25万m</w:t>
      </w:r>
      <w:r>
        <w:rPr>
          <w:rFonts w:hint="eastAsia"/>
          <w:vertAlign w:val="superscript"/>
        </w:rPr>
        <w:t>3</w:t>
      </w:r>
      <w:r>
        <w:rPr>
          <w:rFonts w:hint="eastAsia"/>
        </w:rPr>
        <w:t>/d，其中COD最大允许排放量为25431.44t/a，氨氮214.62t/a，石油类194.4t/a。目前排入A2排污区有广西金桂浆纸业有限公司、大榄坪污水处理厂和本项目建设单位广西中伟新能源科技有限公司，其中广西金桂浆纸业有限公司废水排放量为5.0万m</w:t>
      </w:r>
      <w:r>
        <w:rPr>
          <w:rFonts w:hint="eastAsia"/>
          <w:vertAlign w:val="superscript"/>
        </w:rPr>
        <w:t>3</w:t>
      </w:r>
      <w:r>
        <w:rPr>
          <w:rFonts w:hint="eastAsia"/>
        </w:rPr>
        <w:t>/d，COD排放量879.45t/a，氨氮排放量9.65t/a；大榄坪污水处理厂废水排放量为0.6万m</w:t>
      </w:r>
      <w:r>
        <w:rPr>
          <w:rFonts w:hint="eastAsia"/>
          <w:vertAlign w:val="superscript"/>
        </w:rPr>
        <w:t>3</w:t>
      </w:r>
      <w:r>
        <w:rPr>
          <w:rFonts w:hint="eastAsia"/>
        </w:rPr>
        <w:t>/d，COD排放量28.727t/a，氨氮排放量2.258t/a；本项目实施后全厂废水排放量为0.61万m</w:t>
      </w:r>
      <w:r>
        <w:rPr>
          <w:rFonts w:hint="eastAsia"/>
          <w:vertAlign w:val="superscript"/>
        </w:rPr>
        <w:t>3</w:t>
      </w:r>
      <w:r>
        <w:rPr>
          <w:rFonts w:hint="eastAsia"/>
        </w:rPr>
        <w:t>/d，COD排放量58.8315t/a，氨氮排放量6.0813t/a，本项目实施后A2排污区未超过设计容量。</w:t>
      </w:r>
    </w:p>
    <w:p>
      <w:pPr>
        <w:pStyle w:val="5"/>
        <w:spacing w:line="500" w:lineRule="exact"/>
        <w:ind w:firstLine="490" w:firstLineChars="200"/>
        <w:rPr>
          <w:szCs w:val="24"/>
        </w:rPr>
      </w:pPr>
      <w:r>
        <w:rPr>
          <w:rFonts w:hint="eastAsia"/>
          <w:szCs w:val="24"/>
        </w:rPr>
        <w:t>5、</w:t>
      </w:r>
      <w:r>
        <w:rPr>
          <w:szCs w:val="24"/>
        </w:rPr>
        <w:t>生活污水排放可行性</w:t>
      </w:r>
    </w:p>
    <w:p>
      <w:pPr>
        <w:pStyle w:val="5"/>
        <w:spacing w:line="500" w:lineRule="exact"/>
        <w:ind w:firstLine="490" w:firstLineChars="200"/>
        <w:rPr>
          <w:szCs w:val="24"/>
        </w:rPr>
      </w:pPr>
      <w:r>
        <w:t>生活污水经三级化粪池处理可满足大榄坪污水处理厂进水标准。大榄坪污水处理厂位于钦州市大榄坪工业区规划第八大道及五号路交汇处（厂区南侧隔路紧邻），服务范围包括大榄坪综合物流加工区、中马钦州产业园区、钦南进出口加工区、钦州港行政服务中心和钦州保税港区等，项目所在位置属于园区大榄坪污水处理厂的服务范围，周边污水管网已建成。大榄坪污水处理厂近期污水处理规模为5万m</w:t>
      </w:r>
      <w:r>
        <w:rPr>
          <w:vertAlign w:val="superscript"/>
        </w:rPr>
        <w:t>3</w:t>
      </w:r>
      <w:r>
        <w:t>/d，由于周边入驻企业较少，目前大榄坪污水处理厂水量约为0.3万m</w:t>
      </w:r>
      <w:r>
        <w:rPr>
          <w:vertAlign w:val="superscript"/>
        </w:rPr>
        <w:t>3</w:t>
      </w:r>
      <w:r>
        <w:t>/d；变更工程不新增生活污水，大榄坪污水处理厂可接纳本项目的生活污水。</w:t>
      </w:r>
    </w:p>
    <w:p>
      <w:pPr>
        <w:pStyle w:val="5"/>
        <w:numPr>
          <w:ilvl w:val="0"/>
          <w:numId w:val="40"/>
        </w:numPr>
        <w:spacing w:line="500" w:lineRule="exact"/>
        <w:outlineLvl w:val="3"/>
        <w:rPr>
          <w:b/>
        </w:rPr>
      </w:pPr>
      <w:r>
        <w:rPr>
          <w:b/>
        </w:rPr>
        <w:t>废水达标可行性分析</w:t>
      </w:r>
    </w:p>
    <w:p>
      <w:pPr>
        <w:pStyle w:val="5"/>
        <w:spacing w:line="500" w:lineRule="exact"/>
        <w:ind w:firstLine="490" w:firstLineChars="200"/>
        <w:rPr>
          <w:szCs w:val="24"/>
        </w:rPr>
      </w:pPr>
      <w:r>
        <w:rPr>
          <w:szCs w:val="24"/>
        </w:rPr>
        <w:t>1、车间排放口</w:t>
      </w:r>
    </w:p>
    <w:p>
      <w:pPr>
        <w:pStyle w:val="5"/>
        <w:spacing w:line="500" w:lineRule="exact"/>
        <w:ind w:firstLine="490" w:firstLineChars="200"/>
        <w:rPr>
          <w:szCs w:val="24"/>
          <w:highlight w:val="yellow"/>
          <w:u w:val="single"/>
        </w:rPr>
      </w:pPr>
      <w:r>
        <w:rPr>
          <w:rFonts w:hint="eastAsia"/>
          <w:szCs w:val="24"/>
          <w:u w:val="single"/>
        </w:rPr>
        <w:t>生产废水（W1-1）经管道收集，地面清洗废水（W1-2）经地坑收集，两股废水一同经X19车间内板框压滤机和精密过滤器处理。目前生产线在调试阶段，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《无机化学工业污染物排放标准》（GB31573-2015）车间或生产设施废水排放口标准限值要求后，</w:t>
      </w:r>
      <w:r>
        <w:rPr>
          <w:rFonts w:hint="eastAsia"/>
          <w:u w:val="single"/>
        </w:rPr>
        <w:t>通过管道泵入S7污水处理车间。</w:t>
      </w:r>
    </w:p>
    <w:p>
      <w:pPr>
        <w:pStyle w:val="5"/>
        <w:spacing w:line="500" w:lineRule="exact"/>
        <w:ind w:firstLine="490" w:firstLineChars="200"/>
        <w:rPr>
          <w:szCs w:val="24"/>
        </w:rPr>
      </w:pPr>
      <w:r>
        <w:rPr>
          <w:szCs w:val="24"/>
        </w:rPr>
        <w:t>2、厂区总排口</w:t>
      </w:r>
    </w:p>
    <w:p>
      <w:pPr>
        <w:pStyle w:val="5"/>
        <w:spacing w:line="500" w:lineRule="exact"/>
        <w:ind w:firstLine="490" w:firstLineChars="200"/>
        <w:rPr>
          <w:szCs w:val="24"/>
        </w:rPr>
      </w:pPr>
      <w:r>
        <w:rPr>
          <w:szCs w:val="24"/>
        </w:rPr>
        <w:t>根据上文工程分析废水源强核算，项目实施后全厂废水总排口满足《无机化学工业污染物排放标准》（GB31573-2015）</w:t>
      </w:r>
      <w:r>
        <w:rPr>
          <w:kern w:val="0"/>
          <w:szCs w:val="24"/>
        </w:rPr>
        <w:t>表1直接排放限值</w:t>
      </w:r>
      <w:r>
        <w:rPr>
          <w:szCs w:val="24"/>
        </w:rPr>
        <w:t>要求。</w:t>
      </w:r>
    </w:p>
    <w:p>
      <w:pPr>
        <w:pStyle w:val="5"/>
        <w:spacing w:line="500" w:lineRule="exact"/>
        <w:ind w:firstLine="490" w:firstLineChars="200"/>
        <w:rPr>
          <w:szCs w:val="24"/>
        </w:rPr>
      </w:pPr>
      <w:r>
        <w:rPr>
          <w:szCs w:val="24"/>
        </w:rPr>
        <w:t>3、生活污水排放口</w:t>
      </w:r>
    </w:p>
    <w:p>
      <w:pPr>
        <w:pStyle w:val="5"/>
        <w:spacing w:line="500" w:lineRule="exact"/>
        <w:ind w:firstLine="490" w:firstLineChars="200"/>
        <w:rPr>
          <w:szCs w:val="24"/>
        </w:rPr>
      </w:pPr>
      <w:r>
        <w:rPr>
          <w:szCs w:val="24"/>
        </w:rPr>
        <w:t>生活污水经三级化粪池处理可满足《无机化学工业污染物排放标准》（GB31573-2015）表1间接排放限值。</w:t>
      </w:r>
    </w:p>
    <w:p>
      <w:pPr>
        <w:pStyle w:val="5"/>
        <w:numPr>
          <w:ilvl w:val="1"/>
          <w:numId w:val="37"/>
        </w:numPr>
        <w:spacing w:line="500" w:lineRule="exact"/>
        <w:ind w:left="0" w:firstLine="0"/>
        <w:outlineLvl w:val="2"/>
        <w:rPr>
          <w:b/>
        </w:rPr>
      </w:pPr>
      <w:bookmarkStart w:id="369" w:name="_Toc67921897"/>
      <w:bookmarkStart w:id="370" w:name="_Toc88674807"/>
      <w:bookmarkStart w:id="371" w:name="_Toc58596484"/>
      <w:bookmarkStart w:id="372" w:name="_Toc87124285"/>
      <w:bookmarkStart w:id="373" w:name="_Toc57715644"/>
      <w:bookmarkStart w:id="374" w:name="_Toc104677330"/>
      <w:r>
        <w:rPr>
          <w:b/>
        </w:rPr>
        <w:t>地下水污染防治措施</w:t>
      </w:r>
      <w:bookmarkEnd w:id="369"/>
      <w:bookmarkEnd w:id="370"/>
      <w:bookmarkEnd w:id="371"/>
      <w:bookmarkEnd w:id="372"/>
      <w:bookmarkEnd w:id="373"/>
      <w:bookmarkEnd w:id="374"/>
    </w:p>
    <w:p>
      <w:pPr>
        <w:pStyle w:val="5"/>
        <w:tabs>
          <w:tab w:val="left" w:pos="1080"/>
        </w:tabs>
        <w:spacing w:line="480" w:lineRule="exact"/>
      </w:pPr>
      <w:r>
        <w:t>项目处于工业园区内，所在水文地质单元内无集中式、分散式饮用水源，项目地下水污染防治措施如下。</w:t>
      </w:r>
    </w:p>
    <w:p>
      <w:pPr>
        <w:pStyle w:val="5"/>
        <w:tabs>
          <w:tab w:val="left" w:pos="1080"/>
        </w:tabs>
        <w:spacing w:line="500" w:lineRule="exact"/>
      </w:pPr>
      <w:r>
        <w:t>1、源头控制</w:t>
      </w:r>
    </w:p>
    <w:p>
      <w:pPr>
        <w:pStyle w:val="5"/>
        <w:tabs>
          <w:tab w:val="left" w:pos="1080"/>
        </w:tabs>
        <w:spacing w:line="500" w:lineRule="exact"/>
        <w:rPr>
          <w:szCs w:val="24"/>
        </w:rPr>
      </w:pPr>
      <w:r>
        <w:rPr>
          <w:rFonts w:hint="eastAsia" w:ascii="宋体" w:hAnsi="宋体" w:cs="宋体"/>
        </w:rPr>
        <w:t>⑴</w:t>
      </w:r>
      <w:r>
        <w:t xml:space="preserve"> 加强生产和设备运行管理，提高安全意识，从原料产品储存、生产、运输、</w:t>
      </w:r>
      <w:r>
        <w:rPr>
          <w:szCs w:val="24"/>
        </w:rPr>
        <w:t>污染处理设施等全过程控制废水</w:t>
      </w:r>
      <w:r>
        <w:rPr>
          <w:rFonts w:hint="eastAsia"/>
          <w:szCs w:val="24"/>
          <w:lang w:eastAsia="zh-CN"/>
        </w:rPr>
        <w:t>泄漏</w:t>
      </w:r>
      <w:r>
        <w:rPr>
          <w:szCs w:val="24"/>
        </w:rPr>
        <w:t>。</w:t>
      </w:r>
    </w:p>
    <w:p>
      <w:pPr>
        <w:pStyle w:val="5"/>
        <w:tabs>
          <w:tab w:val="left" w:pos="1080"/>
        </w:tabs>
        <w:spacing w:line="500" w:lineRule="exact"/>
        <w:rPr>
          <w:szCs w:val="24"/>
        </w:rPr>
      </w:pPr>
      <w:r>
        <w:rPr>
          <w:rFonts w:hint="eastAsia" w:ascii="宋体" w:hAnsi="宋体" w:cs="宋体"/>
          <w:szCs w:val="24"/>
        </w:rPr>
        <w:t>⑵</w:t>
      </w:r>
      <w:r>
        <w:rPr>
          <w:szCs w:val="24"/>
        </w:rPr>
        <w:t xml:space="preserve"> 建立经常性的检修制度，定期检查污染源项地下水保护设施，以便及时发现地上、地下污水的跑、冒、滴、漏，及时消除污染隐患，杜绝跑冒滴漏现象。</w:t>
      </w:r>
    </w:p>
    <w:p>
      <w:pPr>
        <w:pStyle w:val="5"/>
        <w:tabs>
          <w:tab w:val="left" w:pos="1080"/>
        </w:tabs>
        <w:spacing w:line="500" w:lineRule="exact"/>
        <w:rPr>
          <w:szCs w:val="24"/>
        </w:rPr>
      </w:pPr>
      <w:r>
        <w:rPr>
          <w:rFonts w:hint="eastAsia" w:ascii="宋体" w:hAnsi="宋体" w:cs="宋体"/>
          <w:szCs w:val="24"/>
        </w:rPr>
        <w:t>⑶</w:t>
      </w:r>
      <w:r>
        <w:rPr>
          <w:szCs w:val="24"/>
        </w:rPr>
        <w:t xml:space="preserve"> 发现有污染物泄漏或渗漏，采取清理污染物和修补漏洞（缝）等补救措施。</w:t>
      </w:r>
    </w:p>
    <w:p>
      <w:pPr>
        <w:pStyle w:val="5"/>
        <w:tabs>
          <w:tab w:val="left" w:pos="1080"/>
        </w:tabs>
        <w:spacing w:line="480" w:lineRule="exact"/>
      </w:pPr>
      <w:r>
        <w:rPr>
          <w:szCs w:val="24"/>
        </w:rPr>
        <w:t>2、分区防治措施</w:t>
      </w:r>
    </w:p>
    <w:p>
      <w:pPr>
        <w:pStyle w:val="5"/>
        <w:tabs>
          <w:tab w:val="left" w:pos="1080"/>
        </w:tabs>
        <w:spacing w:line="480" w:lineRule="exact"/>
        <w:rPr>
          <w:szCs w:val="24"/>
        </w:rPr>
      </w:pPr>
      <w:r>
        <w:t>根据《环境影响评价技术导则  地下水环境》（HJ610-2016），结合项目场地污染控制难易程度和天然包气带防污性能，场区各生产功能单元可能泄漏至地面区域的污染物性质和生产单元构筑方式，将场区划分为重点防渗区、一般防渗区和简单防渗区。根据项目总平面布置及可能</w:t>
      </w:r>
      <w:r>
        <w:rPr>
          <w:szCs w:val="24"/>
        </w:rPr>
        <w:t>引发污水渗漏的部位，对厂区分区防渗</w:t>
      </w:r>
      <w:r>
        <w:rPr>
          <w:rFonts w:hint="eastAsia"/>
          <w:szCs w:val="24"/>
        </w:rPr>
        <w:t>。</w:t>
      </w:r>
      <w:r>
        <w:rPr>
          <w:szCs w:val="24"/>
        </w:rPr>
        <w:t>本项目涉及X</w:t>
      </w:r>
      <w:r>
        <w:rPr>
          <w:rFonts w:hint="eastAsia"/>
          <w:szCs w:val="24"/>
        </w:rPr>
        <w:t>19车间，将整个X19车间设置为重点防渗区，具体要求见</w:t>
      </w:r>
      <w:r>
        <w:rPr>
          <w:szCs w:val="24"/>
        </w:rPr>
        <w:t>表5-</w:t>
      </w:r>
      <w:r>
        <w:rPr>
          <w:rFonts w:hint="eastAsia"/>
          <w:szCs w:val="24"/>
        </w:rPr>
        <w:t>4</w:t>
      </w:r>
      <w:r>
        <w:rPr>
          <w:szCs w:val="24"/>
        </w:rPr>
        <w:t>。</w:t>
      </w:r>
    </w:p>
    <w:p>
      <w:pPr>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项目分区防渗一览表</w:t>
      </w:r>
    </w:p>
    <w:tbl>
      <w:tblPr>
        <w:tblStyle w:val="88"/>
        <w:tblW w:w="8498"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95"/>
        <w:gridCol w:w="3119"/>
        <w:gridCol w:w="2398"/>
        <w:gridCol w:w="198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995" w:type="dxa"/>
            <w:vAlign w:val="center"/>
          </w:tcPr>
          <w:p>
            <w:pPr>
              <w:pStyle w:val="5"/>
              <w:spacing w:line="240" w:lineRule="exact"/>
              <w:ind w:firstLine="0"/>
              <w:jc w:val="center"/>
              <w:rPr>
                <w:sz w:val="21"/>
                <w:szCs w:val="21"/>
              </w:rPr>
            </w:pPr>
            <w:r>
              <w:rPr>
                <w:sz w:val="21"/>
                <w:szCs w:val="21"/>
              </w:rPr>
              <w:t>类别</w:t>
            </w:r>
          </w:p>
        </w:tc>
        <w:tc>
          <w:tcPr>
            <w:tcW w:w="3119" w:type="dxa"/>
            <w:vAlign w:val="center"/>
          </w:tcPr>
          <w:p>
            <w:pPr>
              <w:pStyle w:val="5"/>
              <w:spacing w:line="240" w:lineRule="exact"/>
              <w:ind w:firstLine="0"/>
              <w:jc w:val="center"/>
              <w:rPr>
                <w:sz w:val="21"/>
                <w:szCs w:val="21"/>
              </w:rPr>
            </w:pPr>
            <w:r>
              <w:rPr>
                <w:sz w:val="21"/>
                <w:szCs w:val="21"/>
              </w:rPr>
              <w:t>防渗分区</w:t>
            </w:r>
          </w:p>
        </w:tc>
        <w:tc>
          <w:tcPr>
            <w:tcW w:w="2398" w:type="dxa"/>
            <w:vAlign w:val="center"/>
          </w:tcPr>
          <w:p>
            <w:pPr>
              <w:pStyle w:val="5"/>
              <w:spacing w:line="240" w:lineRule="exact"/>
              <w:ind w:firstLine="0"/>
              <w:jc w:val="center"/>
              <w:rPr>
                <w:sz w:val="21"/>
                <w:szCs w:val="21"/>
              </w:rPr>
            </w:pPr>
            <w:r>
              <w:rPr>
                <w:sz w:val="21"/>
                <w:szCs w:val="21"/>
              </w:rPr>
              <w:t>防渗结构</w:t>
            </w:r>
          </w:p>
        </w:tc>
        <w:tc>
          <w:tcPr>
            <w:tcW w:w="1986" w:type="dxa"/>
            <w:vAlign w:val="center"/>
          </w:tcPr>
          <w:p>
            <w:pPr>
              <w:pStyle w:val="5"/>
              <w:spacing w:line="240" w:lineRule="exact"/>
              <w:ind w:firstLine="0"/>
              <w:jc w:val="center"/>
              <w:rPr>
                <w:sz w:val="21"/>
                <w:szCs w:val="21"/>
              </w:rPr>
            </w:pPr>
            <w:r>
              <w:rPr>
                <w:sz w:val="21"/>
                <w:szCs w:val="21"/>
              </w:rPr>
              <w:t>防渗基本技术要求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95" w:type="dxa"/>
            <w:vAlign w:val="center"/>
          </w:tcPr>
          <w:p>
            <w:pPr>
              <w:pStyle w:val="5"/>
              <w:spacing w:line="240" w:lineRule="exact"/>
              <w:ind w:firstLine="0"/>
              <w:jc w:val="center"/>
              <w:rPr>
                <w:sz w:val="21"/>
                <w:szCs w:val="21"/>
              </w:rPr>
            </w:pPr>
            <w:r>
              <w:rPr>
                <w:sz w:val="21"/>
                <w:szCs w:val="21"/>
              </w:rPr>
              <w:t>重点防渗区</w:t>
            </w:r>
          </w:p>
        </w:tc>
        <w:tc>
          <w:tcPr>
            <w:tcW w:w="3119" w:type="dxa"/>
            <w:vAlign w:val="center"/>
          </w:tcPr>
          <w:p>
            <w:pPr>
              <w:pStyle w:val="5"/>
              <w:spacing w:line="240" w:lineRule="exact"/>
              <w:ind w:firstLine="0"/>
              <w:jc w:val="center"/>
              <w:rPr>
                <w:sz w:val="21"/>
                <w:szCs w:val="21"/>
              </w:rPr>
            </w:pPr>
            <w:r>
              <w:rPr>
                <w:rFonts w:hint="eastAsia"/>
                <w:sz w:val="21"/>
                <w:szCs w:val="21"/>
              </w:rPr>
              <w:t>X19车间</w:t>
            </w:r>
          </w:p>
        </w:tc>
        <w:tc>
          <w:tcPr>
            <w:tcW w:w="2398" w:type="dxa"/>
            <w:vAlign w:val="center"/>
          </w:tcPr>
          <w:p>
            <w:pPr>
              <w:pStyle w:val="5"/>
              <w:spacing w:line="240" w:lineRule="exact"/>
              <w:ind w:firstLine="0"/>
              <w:jc w:val="center"/>
              <w:rPr>
                <w:sz w:val="21"/>
                <w:szCs w:val="21"/>
              </w:rPr>
            </w:pPr>
            <w:r>
              <w:rPr>
                <w:sz w:val="21"/>
              </w:rPr>
              <w:t>人工防渗层：2mm厚高密度聚乙烯+20cm水泥硬化</w:t>
            </w:r>
          </w:p>
        </w:tc>
        <w:tc>
          <w:tcPr>
            <w:tcW w:w="1986" w:type="dxa"/>
            <w:vAlign w:val="center"/>
          </w:tcPr>
          <w:p>
            <w:pPr>
              <w:pStyle w:val="5"/>
              <w:spacing w:line="240" w:lineRule="exact"/>
              <w:ind w:firstLine="0"/>
              <w:jc w:val="center"/>
              <w:rPr>
                <w:sz w:val="21"/>
                <w:szCs w:val="21"/>
              </w:rPr>
            </w:pPr>
            <w:r>
              <w:rPr>
                <w:sz w:val="21"/>
                <w:szCs w:val="21"/>
              </w:rPr>
              <w:t>渗透系数≤1×10</w:t>
            </w:r>
            <w:r>
              <w:rPr>
                <w:sz w:val="21"/>
                <w:szCs w:val="21"/>
                <w:vertAlign w:val="superscript"/>
              </w:rPr>
              <w:t>-10</w:t>
            </w:r>
            <w:r>
              <w:rPr>
                <w:sz w:val="21"/>
                <w:szCs w:val="21"/>
              </w:rPr>
              <w:t>cm/s</w:t>
            </w:r>
          </w:p>
        </w:tc>
      </w:tr>
    </w:tbl>
    <w:p>
      <w:pPr>
        <w:spacing w:line="500" w:lineRule="exact"/>
        <w:ind w:firstLine="450" w:firstLineChars="200"/>
        <w:rPr>
          <w:rFonts w:ascii="Arial" w:hAnsi="Arial" w:eastAsia="宋体" w:cs="Arial"/>
          <w:spacing w:val="10"/>
          <w:sz w:val="24"/>
          <w:szCs w:val="24"/>
        </w:rPr>
      </w:pPr>
      <w:r>
        <w:rPr>
          <w:rFonts w:ascii="Arial" w:hAnsi="Arial" w:cs="Arial"/>
          <w:sz w:val="24"/>
          <w:szCs w:val="24"/>
        </w:rPr>
        <w:t>3、</w:t>
      </w:r>
      <w:r>
        <w:rPr>
          <w:rFonts w:ascii="Arial" w:hAnsi="Arial" w:eastAsia="宋体" w:cs="Arial"/>
          <w:spacing w:val="10"/>
          <w:sz w:val="24"/>
          <w:szCs w:val="24"/>
        </w:rPr>
        <w:t>地下水污染监控</w:t>
      </w:r>
    </w:p>
    <w:p>
      <w:pPr>
        <w:pStyle w:val="5"/>
        <w:tabs>
          <w:tab w:val="left" w:pos="1080"/>
        </w:tabs>
        <w:spacing w:line="480" w:lineRule="exact"/>
        <w:rPr>
          <w:szCs w:val="24"/>
        </w:rPr>
      </w:pPr>
      <w:r>
        <w:rPr>
          <w:szCs w:val="24"/>
        </w:rPr>
        <w:t>根据HJ610-2016，结合整个厂区总平面布置及地下水流向，厂区已设4个跟踪监测井。</w:t>
      </w:r>
    </w:p>
    <w:p>
      <w:pPr>
        <w:pStyle w:val="5"/>
        <w:tabs>
          <w:tab w:val="left" w:pos="1080"/>
        </w:tabs>
        <w:spacing w:line="480" w:lineRule="exact"/>
        <w:rPr>
          <w:szCs w:val="24"/>
        </w:rPr>
      </w:pPr>
      <w:r>
        <w:rPr>
          <w:szCs w:val="24"/>
        </w:rPr>
        <w:t>监测因子包括：pH、硫酸盐、石油烃、镍、钴、锰、砷、铅、镉、铬、汞。</w:t>
      </w:r>
    </w:p>
    <w:p>
      <w:pPr>
        <w:pStyle w:val="5"/>
        <w:tabs>
          <w:tab w:val="left" w:pos="1080"/>
        </w:tabs>
        <w:spacing w:line="480" w:lineRule="exact"/>
        <w:rPr>
          <w:szCs w:val="24"/>
        </w:rPr>
      </w:pPr>
      <w:r>
        <w:rPr>
          <w:szCs w:val="24"/>
        </w:rPr>
        <w:t>监测频次：1次/年。</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4、风险事故应急响应</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制定地下水风险事故应急响应预案，落实相关人员及设备，以便企业对突发事件快速作出有效处理，提出防止受污染的地下水扩散和对受污染的地下水进行治理的具体方案。</w:t>
      </w:r>
    </w:p>
    <w:p>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5、管理对策</w:t>
      </w:r>
    </w:p>
    <w:p>
      <w:pPr>
        <w:pStyle w:val="5"/>
        <w:tabs>
          <w:tab w:val="left" w:pos="1080"/>
        </w:tabs>
        <w:spacing w:line="480" w:lineRule="exact"/>
        <w:rPr>
          <w:szCs w:val="24"/>
        </w:rPr>
      </w:pPr>
      <w:r>
        <w:rPr>
          <w:szCs w:val="24"/>
        </w:rPr>
        <w:t>建立健全的环境管理体系及向生态环境部门报告制度，定期以书面报告形式向生态环境部门报告所在场地及其影响区地下水环境监测数据，排放污染物的种类、数量、浓度，以及排放设施、治理措施运行状况和运行效果等。</w:t>
      </w:r>
    </w:p>
    <w:p>
      <w:pPr>
        <w:pStyle w:val="5"/>
        <w:numPr>
          <w:ilvl w:val="1"/>
          <w:numId w:val="37"/>
        </w:numPr>
        <w:spacing w:line="500" w:lineRule="exact"/>
        <w:ind w:left="0" w:firstLine="0"/>
        <w:outlineLvl w:val="2"/>
        <w:rPr>
          <w:b/>
        </w:rPr>
      </w:pPr>
      <w:bookmarkStart w:id="375" w:name="_Toc104677331"/>
      <w:bookmarkStart w:id="376" w:name="_Toc58596486"/>
      <w:bookmarkStart w:id="377" w:name="_Toc87124286"/>
      <w:bookmarkStart w:id="378" w:name="_Toc88674808"/>
      <w:bookmarkStart w:id="379" w:name="_Toc57715646"/>
      <w:bookmarkStart w:id="380" w:name="_Toc67921899"/>
      <w:r>
        <w:rPr>
          <w:b/>
        </w:rPr>
        <w:t>噪声污染防治措施</w:t>
      </w:r>
      <w:bookmarkEnd w:id="375"/>
      <w:bookmarkEnd w:id="376"/>
      <w:bookmarkEnd w:id="377"/>
      <w:bookmarkEnd w:id="378"/>
      <w:bookmarkEnd w:id="379"/>
      <w:bookmarkEnd w:id="380"/>
    </w:p>
    <w:p>
      <w:pPr>
        <w:pStyle w:val="5"/>
        <w:spacing w:line="500" w:lineRule="exact"/>
        <w:ind w:firstLine="490" w:firstLineChars="200"/>
      </w:pPr>
      <w:r>
        <w:t>项目对周围环境可能造成影响的主要噪声源来自各种风机、各种水泵及运输车辆的噪声。</w:t>
      </w:r>
    </w:p>
    <w:p>
      <w:pPr>
        <w:pStyle w:val="5"/>
        <w:spacing w:line="500" w:lineRule="exact"/>
        <w:ind w:firstLine="490" w:firstLineChars="200"/>
      </w:pPr>
      <w:r>
        <w:t>噪声污染防治首先应在设计、采购阶段选择低噪声设备，其次是对主要噪声源采取隔声、消声、吸声、减震等措施，以确保厂界噪声达标。</w:t>
      </w:r>
    </w:p>
    <w:p>
      <w:pPr>
        <w:pStyle w:val="5"/>
        <w:spacing w:line="500" w:lineRule="exact"/>
        <w:ind w:firstLine="490" w:firstLineChars="200"/>
      </w:pPr>
      <w:r>
        <w:t>项目拟采取的降噪措施包括：</w:t>
      </w:r>
    </w:p>
    <w:p>
      <w:pPr>
        <w:pStyle w:val="5"/>
        <w:spacing w:line="500" w:lineRule="exact"/>
        <w:ind w:firstLine="490" w:firstLineChars="200"/>
      </w:pPr>
      <w:r>
        <w:t>1、生产车间建筑隔声；</w:t>
      </w:r>
    </w:p>
    <w:p>
      <w:pPr>
        <w:pStyle w:val="5"/>
        <w:spacing w:line="500" w:lineRule="exact"/>
        <w:ind w:firstLine="490" w:firstLineChars="200"/>
      </w:pPr>
      <w:r>
        <w:t>2、风机进出口设置消声器；</w:t>
      </w:r>
    </w:p>
    <w:p>
      <w:pPr>
        <w:pStyle w:val="5"/>
        <w:spacing w:line="500" w:lineRule="exact"/>
        <w:ind w:firstLine="490" w:firstLineChars="200"/>
      </w:pPr>
      <w:r>
        <w:t>3、动力设备采用钢砼隔振基础，管道、阀门接口采取缓动及减震的柔性接头（口），泵机设备采取减震措施。</w:t>
      </w:r>
    </w:p>
    <w:p>
      <w:pPr>
        <w:pStyle w:val="5"/>
        <w:numPr>
          <w:ilvl w:val="1"/>
          <w:numId w:val="37"/>
        </w:numPr>
        <w:spacing w:line="500" w:lineRule="exact"/>
        <w:ind w:left="0" w:firstLine="0"/>
        <w:outlineLvl w:val="2"/>
        <w:rPr>
          <w:b/>
        </w:rPr>
      </w:pPr>
      <w:bookmarkStart w:id="381" w:name="_Toc58596487"/>
      <w:bookmarkStart w:id="382" w:name="_Toc104677332"/>
      <w:bookmarkStart w:id="383" w:name="_Toc67921900"/>
      <w:bookmarkStart w:id="384" w:name="_Toc57715647"/>
      <w:bookmarkStart w:id="385" w:name="_Toc88674809"/>
      <w:bookmarkStart w:id="386" w:name="_Toc87124287"/>
      <w:r>
        <w:rPr>
          <w:b/>
        </w:rPr>
        <w:t>固体废物污染防治措施</w:t>
      </w:r>
      <w:bookmarkEnd w:id="381"/>
      <w:bookmarkEnd w:id="382"/>
      <w:bookmarkEnd w:id="383"/>
      <w:bookmarkEnd w:id="384"/>
      <w:bookmarkEnd w:id="385"/>
      <w:bookmarkEnd w:id="386"/>
    </w:p>
    <w:p>
      <w:pPr>
        <w:pStyle w:val="5"/>
        <w:spacing w:line="500" w:lineRule="exact"/>
        <w:ind w:firstLine="490" w:firstLineChars="200"/>
        <w:rPr>
          <w:szCs w:val="24"/>
        </w:rPr>
      </w:pPr>
      <w:r>
        <w:rPr>
          <w:rFonts w:hint="eastAsia"/>
          <w:szCs w:val="24"/>
        </w:rPr>
        <w:t>1</w:t>
      </w:r>
      <w:r>
        <w:rPr>
          <w:szCs w:val="24"/>
        </w:rPr>
        <w:t>、危险废物</w:t>
      </w:r>
    </w:p>
    <w:p>
      <w:pPr>
        <w:pStyle w:val="5"/>
        <w:spacing w:line="500" w:lineRule="exact"/>
        <w:ind w:firstLine="490" w:firstLineChars="200"/>
        <w:rPr>
          <w:szCs w:val="24"/>
        </w:rPr>
      </w:pPr>
      <w:r>
        <w:rPr>
          <w:szCs w:val="24"/>
        </w:rPr>
        <w:t>本项目产生的危废主要</w:t>
      </w:r>
      <w:r>
        <w:rPr>
          <w:rFonts w:hint="eastAsia"/>
          <w:szCs w:val="24"/>
        </w:rPr>
        <w:t>为</w:t>
      </w:r>
      <w:r>
        <w:rPr>
          <w:szCs w:val="24"/>
        </w:rPr>
        <w:t>机械维修废润滑油（900-214-08）</w:t>
      </w:r>
      <w:r>
        <w:rPr>
          <w:rFonts w:hint="eastAsia"/>
        </w:rPr>
        <w:t>，产生量约0.5t/a</w:t>
      </w:r>
      <w:r>
        <w:rPr>
          <w:szCs w:val="24"/>
        </w:rPr>
        <w:t>。危险废物暂存于厂区二号地块西面的危废暂存间内，定期委托具有相应资质单位上门回收处置。</w:t>
      </w:r>
    </w:p>
    <w:p>
      <w:pPr>
        <w:pStyle w:val="5"/>
        <w:spacing w:line="500" w:lineRule="exact"/>
        <w:ind w:firstLine="490" w:firstLineChars="200"/>
        <w:rPr>
          <w:szCs w:val="24"/>
        </w:rPr>
      </w:pPr>
      <w:r>
        <w:rPr>
          <w:rFonts w:hint="eastAsia"/>
          <w:szCs w:val="24"/>
        </w:rPr>
        <w:t>2、一般工业固体废物</w:t>
      </w:r>
    </w:p>
    <w:p>
      <w:pPr>
        <w:pStyle w:val="5"/>
        <w:spacing w:line="500" w:lineRule="exact"/>
        <w:ind w:firstLine="490" w:firstLineChars="200"/>
        <w:rPr>
          <w:szCs w:val="24"/>
          <w:u w:val="single"/>
        </w:rPr>
      </w:pPr>
      <w:r>
        <w:rPr>
          <w:szCs w:val="24"/>
          <w:u w:val="single"/>
        </w:rPr>
        <w:t>本项目产生的</w:t>
      </w:r>
      <w:r>
        <w:rPr>
          <w:rFonts w:hint="eastAsia"/>
          <w:szCs w:val="24"/>
          <w:u w:val="single"/>
        </w:rPr>
        <w:t>一般工业固体废物主要为</w:t>
      </w:r>
      <w:r>
        <w:rPr>
          <w:rFonts w:hint="eastAsia"/>
          <w:u w:val="single"/>
        </w:rPr>
        <w:t>精密过滤器通过设备上的微孔过滤膜、废包装袋和沉降粉尘。微孔过滤膜（废物代码</w:t>
      </w:r>
      <w:r>
        <w:rPr>
          <w:u w:val="single"/>
        </w:rPr>
        <w:t>900-009-S59</w:t>
      </w:r>
      <w:r>
        <w:rPr>
          <w:rFonts w:hint="eastAsia"/>
          <w:u w:val="single"/>
        </w:rPr>
        <w:t>）约每年更换一次，产生量约为0.05t/a，委托一般工业固体废物单位</w:t>
      </w:r>
      <w:r>
        <w:rPr>
          <w:bCs/>
          <w:u w:val="single"/>
        </w:rPr>
        <w:t>综合处理</w:t>
      </w:r>
      <w:r>
        <w:rPr>
          <w:rFonts w:hint="eastAsia"/>
          <w:bCs/>
          <w:u w:val="single"/>
        </w:rPr>
        <w:t>；</w:t>
      </w:r>
      <w:r>
        <w:rPr>
          <w:bCs/>
          <w:u w:val="single"/>
        </w:rPr>
        <w:t>废包装袋（</w:t>
      </w:r>
      <w:r>
        <w:rPr>
          <w:rFonts w:hint="eastAsia"/>
          <w:u w:val="single"/>
        </w:rPr>
        <w:t>废物代码</w:t>
      </w:r>
      <w:r>
        <w:rPr>
          <w:u w:val="single"/>
        </w:rPr>
        <w:t>900-003-S17</w:t>
      </w:r>
      <w:r>
        <w:rPr>
          <w:bCs/>
          <w:u w:val="single"/>
        </w:rPr>
        <w:t>）产生量为</w:t>
      </w:r>
      <w:r>
        <w:rPr>
          <w:rFonts w:hint="eastAsia"/>
          <w:bCs/>
          <w:u w:val="single"/>
        </w:rPr>
        <w:t>29.57t/a（约147843个/a），</w:t>
      </w:r>
      <w:r>
        <w:rPr>
          <w:rFonts w:hint="eastAsia"/>
          <w:u w:val="single"/>
        </w:rPr>
        <w:t>经收集后定期送入位于地块三废包装袋生产线回用；车间沉降粉尘（废物代码</w:t>
      </w:r>
      <w:r>
        <w:rPr>
          <w:u w:val="single"/>
        </w:rPr>
        <w:t>900-002-S17</w:t>
      </w:r>
      <w:r>
        <w:rPr>
          <w:rFonts w:hint="eastAsia"/>
          <w:u w:val="single"/>
        </w:rPr>
        <w:t>）产生量为0.12t/a，经车间吸尘器收集后定期送入溶解车间回用。</w:t>
      </w:r>
    </w:p>
    <w:p>
      <w:pPr>
        <w:pStyle w:val="5"/>
        <w:spacing w:line="500" w:lineRule="exact"/>
        <w:ind w:firstLine="490" w:firstLineChars="200"/>
        <w:rPr>
          <w:szCs w:val="24"/>
        </w:rPr>
      </w:pPr>
      <w:r>
        <w:rPr>
          <w:rFonts w:hint="eastAsia"/>
          <w:szCs w:val="24"/>
        </w:rPr>
        <w:t>3</w:t>
      </w:r>
      <w:r>
        <w:rPr>
          <w:szCs w:val="24"/>
        </w:rPr>
        <w:t>、生活垃圾</w:t>
      </w:r>
    </w:p>
    <w:p>
      <w:pPr>
        <w:pStyle w:val="5"/>
        <w:tabs>
          <w:tab w:val="left" w:pos="5387"/>
        </w:tabs>
        <w:spacing w:line="500" w:lineRule="exact"/>
        <w:ind w:firstLine="490" w:firstLineChars="200"/>
        <w:rPr>
          <w:szCs w:val="24"/>
        </w:rPr>
      </w:pPr>
      <w:r>
        <w:rPr>
          <w:szCs w:val="24"/>
        </w:rPr>
        <w:t>厂区内分散布置有生活垃圾收集桶，项目产生的生活垃圾收集实行分类化，纸质包装、金属包装、塑料包装和玻璃包装等通过分类收集（可利用、不可回收利用）减少垃圾的处理量，提高资源的利用率。实行生活垃圾袋装化，同时做好分类收集、防风、防雨、防渗漏措施，垃圾堆放点进行消毒，消灭害虫，避免散发恶臭，孽生蚊蝇。不可利用的生活垃圾委托环卫部门上门清理。</w:t>
      </w:r>
    </w:p>
    <w:p>
      <w:pPr>
        <w:pStyle w:val="5"/>
        <w:numPr>
          <w:ilvl w:val="1"/>
          <w:numId w:val="37"/>
        </w:numPr>
        <w:spacing w:line="500" w:lineRule="exact"/>
        <w:ind w:left="0" w:firstLine="0"/>
        <w:outlineLvl w:val="2"/>
        <w:rPr>
          <w:b/>
        </w:rPr>
      </w:pPr>
      <w:bookmarkStart w:id="387" w:name="_Toc57715648"/>
      <w:bookmarkStart w:id="388" w:name="_Toc87124288"/>
      <w:bookmarkStart w:id="389" w:name="_Toc58596488"/>
      <w:bookmarkStart w:id="390" w:name="_Toc104677333"/>
      <w:bookmarkStart w:id="391" w:name="_Toc67921901"/>
      <w:bookmarkStart w:id="392" w:name="_Toc88674810"/>
      <w:r>
        <w:rPr>
          <w:b/>
        </w:rPr>
        <w:t>土壤污染防治措施</w:t>
      </w:r>
      <w:bookmarkEnd w:id="387"/>
      <w:bookmarkEnd w:id="388"/>
      <w:bookmarkEnd w:id="389"/>
      <w:bookmarkEnd w:id="390"/>
      <w:bookmarkEnd w:id="391"/>
      <w:bookmarkEnd w:id="392"/>
    </w:p>
    <w:p>
      <w:pPr>
        <w:pStyle w:val="5"/>
        <w:tabs>
          <w:tab w:val="left" w:pos="1080"/>
        </w:tabs>
        <w:spacing w:line="500" w:lineRule="exact"/>
        <w:rPr>
          <w:szCs w:val="24"/>
        </w:rPr>
      </w:pPr>
      <w:r>
        <w:rPr>
          <w:szCs w:val="24"/>
        </w:rPr>
        <w:t>1、源头控制：加强管理，确保各污染源废气稳定达标排放，从源头减少大气污染沉降量。</w:t>
      </w:r>
    </w:p>
    <w:p>
      <w:pPr>
        <w:pStyle w:val="5"/>
        <w:tabs>
          <w:tab w:val="left" w:pos="1080"/>
        </w:tabs>
        <w:spacing w:line="500" w:lineRule="exact"/>
        <w:rPr>
          <w:szCs w:val="24"/>
        </w:rPr>
      </w:pPr>
      <w:r>
        <w:rPr>
          <w:szCs w:val="24"/>
        </w:rPr>
        <w:t>2、过程控制：按照分区防渗要求设置防渗措施，以防止土壤环境污染。</w:t>
      </w:r>
    </w:p>
    <w:p>
      <w:pPr>
        <w:pStyle w:val="5"/>
        <w:tabs>
          <w:tab w:val="left" w:pos="1080"/>
        </w:tabs>
        <w:spacing w:line="500" w:lineRule="exact"/>
        <w:rPr>
          <w:szCs w:val="24"/>
        </w:rPr>
      </w:pPr>
      <w:r>
        <w:rPr>
          <w:szCs w:val="24"/>
        </w:rPr>
        <w:t>3、跟踪监测：将土壤监测纳入企业环境监测计划。</w:t>
      </w:r>
    </w:p>
    <w:p>
      <w:pPr>
        <w:pStyle w:val="5"/>
        <w:tabs>
          <w:tab w:val="left" w:pos="1080"/>
        </w:tabs>
        <w:spacing w:line="500" w:lineRule="exact"/>
        <w:rPr>
          <w:szCs w:val="24"/>
        </w:rPr>
      </w:pPr>
      <w:r>
        <w:rPr>
          <w:szCs w:val="24"/>
        </w:rPr>
        <w:t>根据上文&amp;4.2.6章节可知，在完善大气污染防治措施的情况下，大气沉降对区域土壤环境影响较小。因此，通过完善大气污染防治措施及分区防渗措施以防治土壤污染是可行的。</w:t>
      </w:r>
    </w:p>
    <w:p>
      <w:pPr>
        <w:pStyle w:val="4"/>
        <w:numPr>
          <w:ilvl w:val="1"/>
          <w:numId w:val="11"/>
        </w:numPr>
        <w:tabs>
          <w:tab w:val="left" w:pos="3217"/>
        </w:tabs>
        <w:spacing w:before="214" w:beforeLines="50" w:after="214" w:afterLines="50" w:line="500" w:lineRule="exact"/>
        <w:ind w:left="567"/>
        <w:rPr>
          <w:rFonts w:ascii="Arial" w:eastAsia="宋体" w:cs="Arial"/>
          <w:b/>
        </w:rPr>
      </w:pPr>
      <w:bookmarkStart w:id="393" w:name="_Toc104677336"/>
      <w:bookmarkStart w:id="394" w:name="_Toc185950234"/>
      <w:bookmarkStart w:id="395" w:name="_Toc1742967"/>
      <w:r>
        <w:rPr>
          <w:rFonts w:ascii="Arial" w:eastAsia="宋体" w:cs="Arial"/>
          <w:b/>
        </w:rPr>
        <w:t>环保投入分析</w:t>
      </w:r>
      <w:bookmarkEnd w:id="393"/>
      <w:bookmarkEnd w:id="394"/>
      <w:bookmarkEnd w:id="395"/>
    </w:p>
    <w:p>
      <w:pPr>
        <w:pStyle w:val="5"/>
        <w:spacing w:line="500" w:lineRule="exact"/>
        <w:ind w:firstLine="490" w:firstLineChars="200"/>
      </w:pPr>
      <w:r>
        <w:t>根据“三同时”原则，建设项目防治污染和</w:t>
      </w:r>
      <w:r>
        <w:rPr>
          <w:rFonts w:hint="eastAsia"/>
          <w:lang w:eastAsia="zh-CN"/>
        </w:rPr>
        <w:t>其他</w:t>
      </w:r>
      <w:r>
        <w:t>环保设施，必须与项目的主体工程同时设计、同时施工、同时投产使用。一期二阶段总投资</w:t>
      </w:r>
      <w:r>
        <w:rPr>
          <w:rFonts w:hint="eastAsia"/>
        </w:rPr>
        <w:t>260800万元，其中本</w:t>
      </w:r>
      <w:r>
        <w:t>项目（羟基钴生产线）总投资</w:t>
      </w:r>
      <w:r>
        <w:rPr>
          <w:rFonts w:hint="eastAsia"/>
        </w:rPr>
        <w:t>1</w:t>
      </w:r>
      <w:r>
        <w:t>000</w:t>
      </w:r>
      <w:r>
        <w:rPr>
          <w:szCs w:val="24"/>
        </w:rPr>
        <w:t>万</w:t>
      </w:r>
      <w:r>
        <w:t>元，环保投资</w:t>
      </w:r>
      <w:r>
        <w:rPr>
          <w:rFonts w:hint="eastAsia"/>
        </w:rPr>
        <w:t>20</w:t>
      </w:r>
      <w:r>
        <w:t>0万元，占项目总投资的</w:t>
      </w:r>
      <w:r>
        <w:rPr>
          <w:rFonts w:hint="eastAsia"/>
        </w:rPr>
        <w:t>20</w:t>
      </w:r>
      <w:r>
        <w:t>%。环保设施投入费用见表5-</w:t>
      </w:r>
      <w:r>
        <w:rPr>
          <w:rFonts w:hint="eastAsia"/>
        </w:rPr>
        <w:t>5</w:t>
      </w:r>
      <w:r>
        <w:t>。</w:t>
      </w:r>
    </w:p>
    <w:p>
      <w:pPr>
        <w:keepNext/>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项目环保设施投入费用  单位：万元</w:t>
      </w:r>
    </w:p>
    <w:tbl>
      <w:tblPr>
        <w:tblStyle w:val="88"/>
        <w:tblW w:w="8833"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816"/>
        <w:gridCol w:w="1219"/>
        <w:gridCol w:w="4372"/>
        <w:gridCol w:w="708"/>
        <w:gridCol w:w="17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时段</w:t>
            </w:r>
          </w:p>
        </w:tc>
        <w:tc>
          <w:tcPr>
            <w:tcW w:w="12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项目名称</w:t>
            </w:r>
          </w:p>
        </w:tc>
        <w:tc>
          <w:tcPr>
            <w:tcW w:w="4372"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内容</w:t>
            </w:r>
          </w:p>
        </w:tc>
        <w:tc>
          <w:tcPr>
            <w:tcW w:w="708" w:type="dxa"/>
            <w:tcMar>
              <w:top w:w="57" w:type="dxa"/>
              <w:bottom w:w="57"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投资</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restart"/>
            <w:vAlign w:val="center"/>
          </w:tcPr>
          <w:p>
            <w:pPr>
              <w:adjustRightInd w:val="0"/>
              <w:snapToGrid w:val="0"/>
              <w:jc w:val="center"/>
              <w:rPr>
                <w:rFonts w:ascii="Arial" w:hAnsi="Arial" w:eastAsia="宋体" w:cs="Arial"/>
                <w:sz w:val="21"/>
                <w:szCs w:val="21"/>
              </w:rPr>
            </w:pPr>
            <w:bookmarkStart w:id="396" w:name="_Hlk453693715"/>
            <w:bookmarkStart w:id="397" w:name="OLE_LINK15" w:colFirst="3" w:colLast="3"/>
            <w:bookmarkStart w:id="398" w:name="_Hlk137535758"/>
            <w:bookmarkStart w:id="399" w:name="_Hlk435428872"/>
            <w:bookmarkStart w:id="400" w:name="OLE_LINK20" w:colFirst="3" w:colLast="3"/>
            <w:bookmarkStart w:id="401" w:name="OLE_LINK16" w:colFirst="3" w:colLast="3"/>
            <w:bookmarkStart w:id="402" w:name="OLE_LINK2"/>
            <w:bookmarkStart w:id="403" w:name="OLE_LINK18" w:colFirst="3" w:colLast="3"/>
            <w:bookmarkStart w:id="404" w:name="OLE_LINK21" w:colFirst="3" w:colLast="3"/>
            <w:bookmarkStart w:id="405" w:name="_Hlk471372157"/>
            <w:r>
              <w:rPr>
                <w:rFonts w:ascii="Arial" w:hAnsi="Arial" w:eastAsia="宋体" w:cs="Arial"/>
                <w:sz w:val="21"/>
                <w:szCs w:val="21"/>
              </w:rPr>
              <w:t>运营期</w:t>
            </w:r>
          </w:p>
        </w:tc>
        <w:tc>
          <w:tcPr>
            <w:tcW w:w="1219"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r>
              <w:rPr>
                <w:rFonts w:ascii="Arial" w:hAnsi="Arial" w:eastAsia="宋体" w:cs="Arial"/>
                <w:sz w:val="21"/>
                <w:szCs w:val="21"/>
              </w:rPr>
              <w:t>+</w:t>
            </w:r>
            <w:r>
              <w:rPr>
                <w:rFonts w:hint="eastAsia" w:ascii="Arial" w:hAnsi="Arial" w:eastAsia="宋体" w:cs="Arial"/>
                <w:sz w:val="21"/>
                <w:szCs w:val="21"/>
              </w:rPr>
              <w:t>1</w:t>
            </w:r>
            <w:r>
              <w:rPr>
                <w:rFonts w:ascii="Arial" w:hAnsi="Arial" w:eastAsia="宋体" w:cs="Arial"/>
                <w:sz w:val="21"/>
                <w:szCs w:val="21"/>
              </w:rPr>
              <w:t>根</w:t>
            </w:r>
            <w:r>
              <w:rPr>
                <w:rFonts w:hint="eastAsia" w:ascii="Arial" w:hAnsi="Arial" w:eastAsia="宋体" w:cs="Arial"/>
                <w:sz w:val="21"/>
                <w:szCs w:val="21"/>
              </w:rPr>
              <w:t>20</w:t>
            </w:r>
            <w:r>
              <w:rPr>
                <w:rFonts w:ascii="Arial" w:hAnsi="Arial" w:eastAsia="宋体" w:cs="Arial"/>
                <w:sz w:val="21"/>
                <w:szCs w:val="21"/>
              </w:rPr>
              <w:t>m高排气筒</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30</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排气筒依托变更前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脉冲布袋除尘器+吸收塔</w:t>
            </w:r>
            <w:r>
              <w:rPr>
                <w:rFonts w:ascii="Arial" w:hAnsi="Arial" w:eastAsia="宋体" w:cs="Arial"/>
                <w:sz w:val="21"/>
                <w:szCs w:val="21"/>
              </w:rPr>
              <w:t>+1根</w:t>
            </w:r>
            <w:r>
              <w:rPr>
                <w:rFonts w:hint="eastAsia" w:ascii="Arial" w:hAnsi="Arial" w:eastAsia="宋体" w:cs="Arial"/>
                <w:sz w:val="21"/>
                <w:szCs w:val="21"/>
              </w:rPr>
              <w:t>20</w:t>
            </w:r>
            <w:r>
              <w:rPr>
                <w:rFonts w:ascii="Arial" w:hAnsi="Arial" w:eastAsia="宋体" w:cs="Arial"/>
                <w:sz w:val="21"/>
                <w:szCs w:val="21"/>
              </w:rPr>
              <w:t>m高排气筒</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40</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排气筒依托变更前</w:t>
            </w:r>
          </w:p>
        </w:tc>
      </w:tr>
      <w:bookmarkEnd w:id="396"/>
      <w:bookmarkEnd w:id="397"/>
      <w:bookmarkEnd w:id="398"/>
      <w:bookmarkEnd w:id="399"/>
      <w:bookmarkEnd w:id="400"/>
      <w:bookmarkEnd w:id="401"/>
      <w:bookmarkEnd w:id="402"/>
      <w:bookmarkEnd w:id="403"/>
      <w:bookmarkEnd w:id="404"/>
      <w:bookmarkEnd w:id="405"/>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废水</w:t>
            </w: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X19车间板框过滤</w:t>
            </w:r>
            <w:r>
              <w:rPr>
                <w:rFonts w:ascii="Arial" w:hAnsi="Arial" w:eastAsia="宋体" w:cs="Arial"/>
                <w:spacing w:val="10"/>
                <w:sz w:val="21"/>
                <w:szCs w:val="21"/>
              </w:rPr>
              <w:t>废水预处理系统</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w:t>
            </w:r>
            <w:r>
              <w:rPr>
                <w:rFonts w:ascii="Arial" w:hAnsi="Arial" w:eastAsia="宋体" w:cs="Arial"/>
                <w:sz w:val="21"/>
                <w:szCs w:val="21"/>
              </w:rPr>
              <w:t>0</w:t>
            </w:r>
          </w:p>
        </w:tc>
        <w:tc>
          <w:tcPr>
            <w:tcW w:w="1718" w:type="dxa"/>
            <w:vAlign w:val="center"/>
          </w:tcPr>
          <w:p>
            <w:pPr>
              <w:adjustRightInd w:val="0"/>
              <w:snapToGrid w:val="0"/>
              <w:jc w:val="center"/>
              <w:rPr>
                <w:rFonts w:ascii="Arial" w:hAnsi="Arial" w:eastAsia="宋体" w:cs="Arial"/>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w:t>
            </w:r>
            <w:r>
              <w:rPr>
                <w:rFonts w:hint="eastAsia" w:ascii="Arial" w:hAnsi="Arial" w:eastAsia="宋体" w:cs="Arial"/>
                <w:spacing w:val="10"/>
                <w:sz w:val="21"/>
                <w:szCs w:val="21"/>
              </w:rPr>
              <w:t>7脱氨</w:t>
            </w:r>
            <w:r>
              <w:rPr>
                <w:rFonts w:ascii="Arial" w:hAnsi="Arial" w:eastAsia="宋体" w:cs="Arial"/>
                <w:spacing w:val="10"/>
                <w:sz w:val="21"/>
                <w:szCs w:val="21"/>
              </w:rPr>
              <w:t>陶瓷膜过滤污水处理系统</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S8、S9MVR污水处理系统</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综合污水处理站</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三级化粪池</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初期雨水池</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事故应急池</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噪声控制</w:t>
            </w: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设备消声、减震</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718" w:type="dxa"/>
            <w:vAlign w:val="center"/>
          </w:tcPr>
          <w:p>
            <w:pPr>
              <w:adjustRightInd w:val="0"/>
              <w:snapToGrid w:val="0"/>
              <w:jc w:val="center"/>
              <w:rPr>
                <w:rFonts w:ascii="Arial" w:hAnsi="Arial" w:eastAsia="宋体" w:cs="Arial"/>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固体废物</w:t>
            </w: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危险废物暂存间</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生活垃圾临时储存点</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分区防渗处理</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50</w:t>
            </w:r>
          </w:p>
        </w:tc>
        <w:tc>
          <w:tcPr>
            <w:tcW w:w="1718" w:type="dxa"/>
            <w:vAlign w:val="center"/>
          </w:tcPr>
          <w:p>
            <w:pPr>
              <w:adjustRightInd w:val="0"/>
              <w:snapToGrid w:val="0"/>
              <w:jc w:val="center"/>
              <w:rPr>
                <w:rFonts w:ascii="Arial" w:hAnsi="Arial" w:eastAsia="宋体" w:cs="Arial"/>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1219" w:type="dxa"/>
            <w:vMerge w:val="continue"/>
            <w:vAlign w:val="center"/>
          </w:tcPr>
          <w:p>
            <w:pPr>
              <w:adjustRightInd w:val="0"/>
              <w:snapToGrid w:val="0"/>
              <w:jc w:val="center"/>
              <w:rPr>
                <w:rFonts w:ascii="Arial" w:hAnsi="Arial" w:eastAsia="宋体" w:cs="Arial"/>
                <w:sz w:val="21"/>
                <w:szCs w:val="21"/>
              </w:rPr>
            </w:pPr>
          </w:p>
        </w:tc>
        <w:tc>
          <w:tcPr>
            <w:tcW w:w="4372" w:type="dxa"/>
            <w:tcBorders>
              <w:left w:val="single" w:color="auto" w:sz="4" w:space="0"/>
            </w:tcBorders>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地下水监控井</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1718"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cantSplit/>
          <w:trHeight w:val="340" w:hRule="atLeast"/>
          <w:jc w:val="center"/>
        </w:trPr>
        <w:tc>
          <w:tcPr>
            <w:tcW w:w="816" w:type="dxa"/>
            <w:vMerge w:val="continue"/>
            <w:vAlign w:val="center"/>
          </w:tcPr>
          <w:p>
            <w:pPr>
              <w:adjustRightInd w:val="0"/>
              <w:snapToGrid w:val="0"/>
              <w:jc w:val="center"/>
              <w:rPr>
                <w:rFonts w:ascii="Arial" w:hAnsi="Arial" w:eastAsia="宋体" w:cs="Arial"/>
                <w:sz w:val="21"/>
                <w:szCs w:val="21"/>
                <w:highlight w:val="yellow"/>
              </w:rPr>
            </w:pPr>
          </w:p>
        </w:tc>
        <w:tc>
          <w:tcPr>
            <w:tcW w:w="5591" w:type="dxa"/>
            <w:gridSpan w:val="2"/>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小计</w:t>
            </w:r>
          </w:p>
        </w:tc>
        <w:tc>
          <w:tcPr>
            <w:tcW w:w="708" w:type="dxa"/>
            <w:tcMar>
              <w:top w:w="28" w:type="dxa"/>
              <w:bottom w:w="28" w:type="dxa"/>
            </w:tcMar>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200</w:t>
            </w:r>
          </w:p>
        </w:tc>
        <w:tc>
          <w:tcPr>
            <w:tcW w:w="1718" w:type="dxa"/>
            <w:vAlign w:val="center"/>
          </w:tcPr>
          <w:p>
            <w:pPr>
              <w:adjustRightInd w:val="0"/>
              <w:snapToGrid w:val="0"/>
              <w:jc w:val="center"/>
              <w:rPr>
                <w:rFonts w:ascii="Arial" w:hAnsi="Arial" w:eastAsia="宋体" w:cs="Arial"/>
                <w:sz w:val="21"/>
                <w:szCs w:val="21"/>
              </w:rPr>
            </w:pPr>
          </w:p>
        </w:tc>
      </w:tr>
    </w:tbl>
    <w:p>
      <w:pPr>
        <w:pStyle w:val="5"/>
        <w:spacing w:line="500" w:lineRule="exact"/>
        <w:ind w:firstLine="490" w:firstLineChars="200"/>
      </w:pPr>
      <w:r>
        <w:t>本项目的环保运行费用主要包括四部分，即设备折旧费、环保设施运行费用、检修维护费和人工费。</w:t>
      </w:r>
    </w:p>
    <w:p>
      <w:pPr>
        <w:pStyle w:val="5"/>
        <w:spacing w:line="500" w:lineRule="exact"/>
        <w:ind w:firstLine="490" w:firstLineChars="200"/>
        <w:rPr>
          <w:szCs w:val="24"/>
          <w:vertAlign w:val="subscript"/>
        </w:rPr>
      </w:pPr>
      <w:r>
        <w:t>1、环保设备折旧费</w:t>
      </w:r>
      <w:r>
        <w:rPr>
          <w:szCs w:val="24"/>
        </w:rPr>
        <w:t>C</w:t>
      </w:r>
      <w:r>
        <w:rPr>
          <w:szCs w:val="24"/>
          <w:vertAlign w:val="subscript"/>
        </w:rPr>
        <w:t>1</w:t>
      </w:r>
    </w:p>
    <w:p>
      <w:pPr>
        <w:spacing w:line="360" w:lineRule="auto"/>
        <w:jc w:val="center"/>
        <w:rPr>
          <w:rFonts w:ascii="Arial" w:hAnsi="Arial" w:eastAsia="宋体" w:cs="Arial"/>
          <w:sz w:val="24"/>
          <w:szCs w:val="24"/>
        </w:rPr>
      </w:pPr>
      <w:bookmarkStart w:id="406" w:name="_Toc8848432"/>
      <w:r>
        <w:rPr>
          <w:rFonts w:ascii="Arial" w:hAnsi="Arial" w:eastAsia="宋体" w:cs="Arial"/>
          <w:sz w:val="24"/>
          <w:szCs w:val="24"/>
        </w:rPr>
        <w:t>C</w:t>
      </w:r>
      <w:r>
        <w:rPr>
          <w:rFonts w:ascii="Arial" w:hAnsi="Arial" w:eastAsia="宋体" w:cs="Arial"/>
          <w:sz w:val="24"/>
          <w:szCs w:val="24"/>
          <w:vertAlign w:val="subscript"/>
        </w:rPr>
        <w:t>1</w:t>
      </w:r>
      <w:r>
        <w:rPr>
          <w:rFonts w:ascii="Arial" w:hAnsi="Arial" w:eastAsia="宋体" w:cs="Arial"/>
          <w:sz w:val="24"/>
          <w:szCs w:val="24"/>
        </w:rPr>
        <w:t>=a×C</w:t>
      </w:r>
      <w:r>
        <w:rPr>
          <w:rFonts w:ascii="Arial" w:hAnsi="Arial" w:eastAsia="宋体" w:cs="Arial"/>
          <w:sz w:val="24"/>
          <w:szCs w:val="24"/>
          <w:vertAlign w:val="subscript"/>
        </w:rPr>
        <w:t>0</w:t>
      </w:r>
      <w:r>
        <w:rPr>
          <w:rFonts w:ascii="Arial" w:hAnsi="Arial" w:eastAsia="宋体" w:cs="Arial"/>
          <w:sz w:val="24"/>
          <w:szCs w:val="24"/>
        </w:rPr>
        <w:t>/n</w:t>
      </w:r>
      <w:bookmarkEnd w:id="406"/>
    </w:p>
    <w:p>
      <w:pPr>
        <w:adjustRightInd w:val="0"/>
        <w:snapToGrid w:val="0"/>
        <w:spacing w:line="500" w:lineRule="exact"/>
        <w:ind w:firstLine="490" w:firstLineChars="200"/>
        <w:textAlignment w:val="baseline"/>
        <w:rPr>
          <w:rFonts w:ascii="Arial" w:hAnsi="Arial" w:eastAsia="宋体" w:cs="Arial"/>
          <w:spacing w:val="10"/>
          <w:kern w:val="0"/>
          <w:sz w:val="24"/>
          <w:szCs w:val="24"/>
        </w:rPr>
      </w:pPr>
      <w:r>
        <w:rPr>
          <w:rFonts w:ascii="Arial" w:hAnsi="Arial" w:eastAsia="宋体" w:cs="Arial"/>
          <w:spacing w:val="10"/>
          <w:kern w:val="0"/>
          <w:sz w:val="24"/>
          <w:szCs w:val="24"/>
        </w:rPr>
        <w:t>式中：a——固定资产形成率，取95%；</w:t>
      </w:r>
    </w:p>
    <w:p>
      <w:pPr>
        <w:adjustRightInd w:val="0"/>
        <w:snapToGrid w:val="0"/>
        <w:spacing w:line="500" w:lineRule="exact"/>
        <w:ind w:firstLine="1208" w:firstLineChars="493"/>
        <w:textAlignment w:val="baseline"/>
        <w:rPr>
          <w:rFonts w:ascii="Arial" w:hAnsi="Arial" w:eastAsia="宋体" w:cs="Arial"/>
          <w:spacing w:val="10"/>
          <w:kern w:val="0"/>
          <w:sz w:val="24"/>
          <w:szCs w:val="24"/>
        </w:rPr>
      </w:pPr>
      <w:r>
        <w:rPr>
          <w:rFonts w:ascii="Arial" w:hAnsi="Arial" w:eastAsia="宋体" w:cs="Arial"/>
          <w:spacing w:val="10"/>
          <w:kern w:val="0"/>
          <w:sz w:val="24"/>
          <w:szCs w:val="24"/>
        </w:rPr>
        <w:t>C</w:t>
      </w:r>
      <w:r>
        <w:rPr>
          <w:rFonts w:ascii="Arial" w:hAnsi="Arial" w:eastAsia="宋体" w:cs="Arial"/>
          <w:spacing w:val="10"/>
          <w:kern w:val="0"/>
          <w:sz w:val="24"/>
          <w:szCs w:val="24"/>
          <w:vertAlign w:val="subscript"/>
        </w:rPr>
        <w:t>0</w:t>
      </w:r>
      <w:r>
        <w:rPr>
          <w:rFonts w:ascii="Arial" w:hAnsi="Arial" w:eastAsia="宋体" w:cs="Arial"/>
          <w:spacing w:val="10"/>
          <w:kern w:val="0"/>
          <w:sz w:val="24"/>
          <w:szCs w:val="24"/>
        </w:rPr>
        <w:t>——环保总投资（万元）；</w:t>
      </w:r>
    </w:p>
    <w:p>
      <w:pPr>
        <w:adjustRightInd w:val="0"/>
        <w:snapToGrid w:val="0"/>
        <w:spacing w:line="500" w:lineRule="exact"/>
        <w:ind w:firstLine="490" w:firstLineChars="200"/>
        <w:textAlignment w:val="baseline"/>
        <w:rPr>
          <w:rFonts w:ascii="Arial" w:hAnsi="Arial" w:cs="Arial"/>
        </w:rPr>
      </w:pPr>
      <w:r>
        <w:rPr>
          <w:rFonts w:ascii="Arial" w:hAnsi="Arial" w:eastAsia="宋体" w:cs="Arial"/>
          <w:spacing w:val="10"/>
          <w:kern w:val="0"/>
          <w:sz w:val="24"/>
          <w:szCs w:val="24"/>
        </w:rPr>
        <w:t>n——折旧年限。</w:t>
      </w:r>
    </w:p>
    <w:p>
      <w:pPr>
        <w:pStyle w:val="5"/>
        <w:spacing w:line="500" w:lineRule="exact"/>
        <w:ind w:firstLine="490" w:firstLineChars="200"/>
      </w:pPr>
      <w:r>
        <w:t>设备折旧以15年计，则设备折旧费约每年</w:t>
      </w:r>
      <w:r>
        <w:rPr>
          <w:rFonts w:hint="eastAsia"/>
        </w:rPr>
        <w:t>12.67</w:t>
      </w:r>
      <w:r>
        <w:t>万元。</w:t>
      </w:r>
    </w:p>
    <w:p>
      <w:pPr>
        <w:pStyle w:val="5"/>
        <w:spacing w:line="500" w:lineRule="exact"/>
        <w:ind w:firstLine="490" w:firstLineChars="200"/>
      </w:pPr>
      <w:r>
        <w:t>2、环保设施运行费</w:t>
      </w:r>
      <w:r>
        <w:rPr>
          <w:spacing w:val="0"/>
          <w:szCs w:val="24"/>
        </w:rPr>
        <w:t>C</w:t>
      </w:r>
      <w:r>
        <w:rPr>
          <w:spacing w:val="0"/>
          <w:szCs w:val="24"/>
          <w:vertAlign w:val="subscript"/>
        </w:rPr>
        <w:t>2</w:t>
      </w:r>
    </w:p>
    <w:p>
      <w:pPr>
        <w:adjustRightInd w:val="0"/>
        <w:snapToGrid w:val="0"/>
        <w:spacing w:line="500" w:lineRule="exact"/>
        <w:ind w:firstLine="490" w:firstLineChars="200"/>
        <w:textAlignment w:val="baseline"/>
        <w:rPr>
          <w:rFonts w:ascii="Arial" w:hAnsi="Arial" w:cs="Arial"/>
          <w:sz w:val="24"/>
          <w:szCs w:val="24"/>
        </w:rPr>
      </w:pPr>
      <w:r>
        <w:rPr>
          <w:rFonts w:ascii="Arial" w:hAnsi="Arial" w:eastAsia="宋体" w:cs="Arial"/>
          <w:spacing w:val="10"/>
          <w:kern w:val="0"/>
          <w:sz w:val="24"/>
          <w:szCs w:val="24"/>
        </w:rPr>
        <w:t>参照</w:t>
      </w:r>
      <w:r>
        <w:rPr>
          <w:rFonts w:hint="eastAsia" w:ascii="Arial" w:hAnsi="Arial" w:eastAsia="宋体" w:cs="Arial"/>
          <w:spacing w:val="10"/>
          <w:kern w:val="0"/>
          <w:sz w:val="24"/>
          <w:szCs w:val="24"/>
          <w:lang w:eastAsia="zh-CN"/>
        </w:rPr>
        <w:t>国内其他企业</w:t>
      </w:r>
      <w:r>
        <w:rPr>
          <w:rFonts w:ascii="Arial" w:hAnsi="Arial" w:eastAsia="宋体" w:cs="Arial"/>
          <w:spacing w:val="10"/>
          <w:kern w:val="0"/>
          <w:sz w:val="24"/>
          <w:szCs w:val="24"/>
        </w:rPr>
        <w:t>的有关资料，环保及综合利用设施的年运行费可按环保总投资的5%计算：</w:t>
      </w:r>
      <w:bookmarkStart w:id="407" w:name="_Toc8848433"/>
      <w:r>
        <w:rPr>
          <w:rFonts w:ascii="Arial" w:hAnsi="Arial" w:cs="Arial"/>
          <w:sz w:val="24"/>
          <w:szCs w:val="24"/>
        </w:rPr>
        <w:t>C</w:t>
      </w:r>
      <w:r>
        <w:rPr>
          <w:rFonts w:ascii="Arial" w:hAnsi="Arial" w:cs="Arial"/>
          <w:sz w:val="24"/>
          <w:szCs w:val="24"/>
          <w:vertAlign w:val="subscript"/>
        </w:rPr>
        <w:t>2</w:t>
      </w:r>
      <w:r>
        <w:rPr>
          <w:rFonts w:ascii="Arial" w:hAnsi="Arial" w:cs="Arial"/>
          <w:sz w:val="24"/>
          <w:szCs w:val="24"/>
        </w:rPr>
        <w:t>=C</w:t>
      </w:r>
      <w:r>
        <w:rPr>
          <w:rFonts w:ascii="Arial" w:hAnsi="Arial" w:cs="Arial"/>
          <w:sz w:val="24"/>
          <w:szCs w:val="24"/>
          <w:vertAlign w:val="subscript"/>
        </w:rPr>
        <w:t>0</w:t>
      </w:r>
      <w:r>
        <w:rPr>
          <w:rFonts w:ascii="Arial" w:hAnsi="Arial" w:cs="Arial"/>
          <w:sz w:val="24"/>
          <w:szCs w:val="24"/>
        </w:rPr>
        <w:t>×5%</w:t>
      </w:r>
      <w:bookmarkEnd w:id="407"/>
    </w:p>
    <w:p>
      <w:pPr>
        <w:pStyle w:val="5"/>
        <w:spacing w:line="500" w:lineRule="exact"/>
        <w:ind w:firstLine="490" w:firstLineChars="200"/>
      </w:pPr>
      <w:r>
        <w:t>环保设施运行费</w:t>
      </w:r>
      <w:r>
        <w:rPr>
          <w:spacing w:val="0"/>
          <w:szCs w:val="24"/>
        </w:rPr>
        <w:t>约每年</w:t>
      </w:r>
      <w:r>
        <w:rPr>
          <w:rFonts w:hint="eastAsia"/>
          <w:spacing w:val="0"/>
          <w:szCs w:val="24"/>
        </w:rPr>
        <w:t>10</w:t>
      </w:r>
      <w:r>
        <w:rPr>
          <w:spacing w:val="0"/>
          <w:szCs w:val="24"/>
        </w:rPr>
        <w:t>万元。</w:t>
      </w:r>
    </w:p>
    <w:p>
      <w:pPr>
        <w:pStyle w:val="5"/>
        <w:spacing w:line="500" w:lineRule="exact"/>
        <w:ind w:firstLine="490" w:firstLineChars="200"/>
      </w:pPr>
      <w:r>
        <w:t>3、检修维护费C</w:t>
      </w:r>
      <w:r>
        <w:rPr>
          <w:vertAlign w:val="subscript"/>
        </w:rPr>
        <w:t>3</w:t>
      </w:r>
    </w:p>
    <w:p>
      <w:pPr>
        <w:pStyle w:val="5"/>
        <w:spacing w:line="500" w:lineRule="exact"/>
        <w:ind w:firstLine="490" w:firstLineChars="200"/>
      </w:pPr>
      <w:r>
        <w:t>检修维护费主要是指零件更换及环保设施的</w:t>
      </w:r>
      <w:r>
        <w:rPr>
          <w:rFonts w:hint="eastAsia"/>
          <w:lang w:eastAsia="zh-CN"/>
        </w:rPr>
        <w:t>其他</w:t>
      </w:r>
      <w:r>
        <w:t>易损件的更换所发生的费用。检修维护费以设备投资的3%计算。</w:t>
      </w:r>
    </w:p>
    <w:p>
      <w:pPr>
        <w:pStyle w:val="5"/>
        <w:spacing w:line="500" w:lineRule="exact"/>
        <w:ind w:firstLine="0"/>
        <w:jc w:val="center"/>
      </w:pPr>
      <w:r>
        <w:rPr>
          <w:spacing w:val="0"/>
          <w:szCs w:val="24"/>
        </w:rPr>
        <w:t>C</w:t>
      </w:r>
      <w:r>
        <w:rPr>
          <w:spacing w:val="0"/>
          <w:szCs w:val="24"/>
          <w:vertAlign w:val="subscript"/>
        </w:rPr>
        <w:t>3</w:t>
      </w:r>
      <w:r>
        <w:rPr>
          <w:spacing w:val="0"/>
          <w:szCs w:val="24"/>
        </w:rPr>
        <w:t>=C</w:t>
      </w:r>
      <w:r>
        <w:rPr>
          <w:spacing w:val="0"/>
          <w:szCs w:val="24"/>
          <w:vertAlign w:val="subscript"/>
        </w:rPr>
        <w:t>0</w:t>
      </w:r>
      <w:r>
        <w:rPr>
          <w:spacing w:val="0"/>
          <w:szCs w:val="24"/>
        </w:rPr>
        <w:t>×3%</w:t>
      </w:r>
    </w:p>
    <w:p>
      <w:pPr>
        <w:pStyle w:val="5"/>
        <w:spacing w:line="500" w:lineRule="exact"/>
        <w:ind w:firstLine="490" w:firstLineChars="200"/>
      </w:pPr>
      <w:r>
        <w:t>检修维护费约每年</w:t>
      </w:r>
      <w:r>
        <w:rPr>
          <w:rFonts w:hint="eastAsia"/>
        </w:rPr>
        <w:t>6</w:t>
      </w:r>
      <w:r>
        <w:t>万元。</w:t>
      </w:r>
    </w:p>
    <w:p>
      <w:pPr>
        <w:pStyle w:val="5"/>
        <w:spacing w:line="500" w:lineRule="exact"/>
        <w:ind w:firstLine="490" w:firstLineChars="200"/>
      </w:pPr>
      <w:r>
        <w:t>4、人工费C</w:t>
      </w:r>
      <w:r>
        <w:rPr>
          <w:vertAlign w:val="subscript"/>
        </w:rPr>
        <w:t>4</w:t>
      </w:r>
    </w:p>
    <w:p>
      <w:pPr>
        <w:pStyle w:val="5"/>
        <w:spacing w:line="500" w:lineRule="exact"/>
        <w:ind w:firstLine="490" w:firstLineChars="200"/>
      </w:pPr>
      <w:r>
        <w:t>不新增环保管理人员。</w:t>
      </w:r>
    </w:p>
    <w:p>
      <w:pPr>
        <w:pStyle w:val="5"/>
        <w:spacing w:line="500" w:lineRule="exact"/>
        <w:ind w:firstLine="490" w:firstLineChars="200"/>
      </w:pPr>
      <w:r>
        <w:t>因此，项目的年环保运行费用总计</w:t>
      </w:r>
      <w:r>
        <w:rPr>
          <w:rFonts w:hint="eastAsia"/>
        </w:rPr>
        <w:t>28.67</w:t>
      </w:r>
      <w:r>
        <w:t>万元。</w:t>
      </w:r>
    </w:p>
    <w:p>
      <w:pPr>
        <w:spacing w:line="500" w:lineRule="exact"/>
        <w:rPr>
          <w:rFonts w:ascii="Arial" w:hAnsi="Arial" w:eastAsia="宋体" w:cs="Arial"/>
          <w:spacing w:val="10"/>
          <w:sz w:val="24"/>
          <w:highlight w:val="yellow"/>
        </w:rPr>
        <w:sectPr>
          <w:footerReference r:id="rId19" w:type="default"/>
          <w:pgSz w:w="11907" w:h="16840"/>
          <w:pgMar w:top="1678" w:right="1408" w:bottom="1901" w:left="1155" w:header="1174" w:footer="1029" w:gutter="567"/>
          <w:cols w:space="720" w:num="1"/>
          <w:docGrid w:type="linesAndChars" w:linePitch="428" w:charSpace="-3161"/>
        </w:sectPr>
      </w:pPr>
    </w:p>
    <w:p>
      <w:pPr>
        <w:pStyle w:val="3"/>
        <w:numPr>
          <w:ilvl w:val="0"/>
          <w:numId w:val="1"/>
        </w:numPr>
        <w:tabs>
          <w:tab w:val="left" w:pos="1931"/>
          <w:tab w:val="clear" w:pos="3065"/>
        </w:tabs>
        <w:ind w:left="1276"/>
        <w:rPr>
          <w:rFonts w:ascii="Arial" w:hAnsi="Arial" w:cs="Arial"/>
          <w:spacing w:val="10"/>
        </w:rPr>
      </w:pPr>
      <w:bookmarkStart w:id="408" w:name="_Toc104677337"/>
      <w:bookmarkStart w:id="409" w:name="_Toc185950235"/>
      <w:bookmarkStart w:id="410" w:name="_Toc1742968"/>
      <w:r>
        <w:rPr>
          <w:rFonts w:ascii="Arial" w:hAnsi="Arial" w:cs="Arial"/>
          <w:spacing w:val="10"/>
        </w:rPr>
        <w:t>环境影响经济损益分析</w:t>
      </w:r>
      <w:bookmarkEnd w:id="408"/>
      <w:bookmarkEnd w:id="409"/>
      <w:bookmarkEnd w:id="410"/>
    </w:p>
    <w:p>
      <w:pPr>
        <w:pStyle w:val="5"/>
        <w:spacing w:line="500" w:lineRule="exact"/>
        <w:ind w:firstLine="490" w:firstLineChars="200"/>
      </w:pPr>
      <w:r>
        <w:t>环境经济损益分析是建设项目环境影响评价中的一个重要组成部分。与工程经济分析不同，在环境经济损益分析中，除了需计算用于环境保护所需的投资费用外，还要核算环境保护投资可能收到的环境经济效益、社会环境效益。通过对建设项目环境的损益分析，综合反映项目投资的环境经济效益和社会环境效益。</w:t>
      </w:r>
    </w:p>
    <w:p>
      <w:pPr>
        <w:pStyle w:val="4"/>
        <w:numPr>
          <w:ilvl w:val="0"/>
          <w:numId w:val="41"/>
        </w:numPr>
        <w:spacing w:before="214" w:beforeLines="50" w:after="214" w:afterLines="50" w:line="500" w:lineRule="exact"/>
        <w:rPr>
          <w:rFonts w:ascii="Arial" w:eastAsia="宋体" w:cs="Arial"/>
          <w:b/>
        </w:rPr>
      </w:pPr>
      <w:bookmarkStart w:id="411" w:name="_Toc1742969"/>
      <w:bookmarkStart w:id="412" w:name="_Toc185950236"/>
      <w:bookmarkStart w:id="413" w:name="_Toc104677338"/>
      <w:bookmarkStart w:id="414" w:name="_Toc341856716"/>
      <w:r>
        <w:rPr>
          <w:rFonts w:ascii="Arial" w:eastAsia="宋体" w:cs="Arial"/>
          <w:b/>
        </w:rPr>
        <w:t>社会效益、经济效益分析</w:t>
      </w:r>
      <w:bookmarkEnd w:id="411"/>
      <w:bookmarkEnd w:id="412"/>
      <w:bookmarkEnd w:id="413"/>
      <w:bookmarkEnd w:id="414"/>
    </w:p>
    <w:p>
      <w:pPr>
        <w:pStyle w:val="6"/>
        <w:numPr>
          <w:ilvl w:val="0"/>
          <w:numId w:val="42"/>
        </w:numPr>
        <w:tabs>
          <w:tab w:val="left" w:pos="0"/>
          <w:tab w:val="clear" w:pos="1789"/>
        </w:tabs>
        <w:spacing w:line="400" w:lineRule="exact"/>
        <w:ind w:left="0" w:firstLine="0"/>
        <w:rPr>
          <w:rFonts w:ascii="Arial" w:hAnsi="Arial" w:eastAsia="宋体" w:cs="Arial"/>
        </w:rPr>
      </w:pPr>
      <w:bookmarkStart w:id="415" w:name="_Toc67921908"/>
      <w:bookmarkStart w:id="416" w:name="_Toc57715655"/>
      <w:bookmarkStart w:id="417" w:name="_Toc88674815"/>
      <w:bookmarkStart w:id="418" w:name="_Toc58596495"/>
      <w:bookmarkStart w:id="419" w:name="_Toc104677339"/>
      <w:bookmarkStart w:id="420" w:name="_Toc87124293"/>
      <w:r>
        <w:rPr>
          <w:rFonts w:ascii="Arial" w:hAnsi="Arial" w:eastAsia="宋体" w:cs="Arial"/>
        </w:rPr>
        <w:t>社会环境效益分析</w:t>
      </w:r>
      <w:bookmarkEnd w:id="415"/>
      <w:bookmarkEnd w:id="416"/>
      <w:bookmarkEnd w:id="417"/>
      <w:bookmarkEnd w:id="418"/>
      <w:bookmarkEnd w:id="419"/>
      <w:bookmarkEnd w:id="420"/>
    </w:p>
    <w:p>
      <w:pPr>
        <w:pStyle w:val="5"/>
        <w:spacing w:line="500" w:lineRule="exact"/>
        <w:ind w:firstLine="490" w:firstLineChars="200"/>
      </w:pPr>
      <w:r>
        <w:t>建设项目的开发将有利于经济的发展，但同时也会产生相应的环境问题，只有解决好环境问题，保持环境与经济的协调发展，走可持续发展的道路，才能形成良性循环，该项目本着既要发展经济，又要保护环境，走可持续发展战略为宗旨，进行工程建设，使工程投产后具有一定的环境效益，经济效益和社会效益，努力做到环境与经济协调发展。</w:t>
      </w:r>
    </w:p>
    <w:p>
      <w:pPr>
        <w:pStyle w:val="5"/>
        <w:spacing w:line="500" w:lineRule="exact"/>
        <w:ind w:firstLine="490" w:firstLineChars="200"/>
      </w:pPr>
      <w:r>
        <w:t>与项目相关的物流、储运等也会在一定程度繁荣当地经济，同时也将间接地促进厂区及周边地区的工业、服务业、运输业等相关产业的发展，提高居民的整体收入水平。</w:t>
      </w:r>
    </w:p>
    <w:p>
      <w:pPr>
        <w:pStyle w:val="6"/>
        <w:numPr>
          <w:ilvl w:val="0"/>
          <w:numId w:val="42"/>
        </w:numPr>
        <w:tabs>
          <w:tab w:val="left" w:pos="0"/>
          <w:tab w:val="clear" w:pos="1789"/>
        </w:tabs>
        <w:spacing w:line="400" w:lineRule="exact"/>
        <w:ind w:left="0" w:firstLine="0"/>
        <w:rPr>
          <w:rFonts w:ascii="Arial" w:hAnsi="Arial" w:eastAsia="宋体" w:cs="Arial"/>
        </w:rPr>
      </w:pPr>
      <w:bookmarkStart w:id="421" w:name="_Toc87124294"/>
      <w:bookmarkStart w:id="422" w:name="_Toc67921909"/>
      <w:bookmarkStart w:id="423" w:name="_Toc57715656"/>
      <w:bookmarkStart w:id="424" w:name="_Toc104677340"/>
      <w:bookmarkStart w:id="425" w:name="_Toc58596496"/>
      <w:bookmarkStart w:id="426" w:name="_Toc88674816"/>
      <w:r>
        <w:rPr>
          <w:rFonts w:ascii="Arial" w:hAnsi="Arial" w:eastAsia="宋体" w:cs="Arial"/>
        </w:rPr>
        <w:t>经济效益分析</w:t>
      </w:r>
      <w:bookmarkEnd w:id="421"/>
      <w:bookmarkEnd w:id="422"/>
      <w:bookmarkEnd w:id="423"/>
      <w:bookmarkEnd w:id="424"/>
      <w:bookmarkEnd w:id="425"/>
      <w:bookmarkEnd w:id="426"/>
    </w:p>
    <w:p>
      <w:pPr>
        <w:pStyle w:val="5"/>
        <w:spacing w:line="500" w:lineRule="exact"/>
        <w:ind w:firstLine="490" w:firstLineChars="200"/>
      </w:pPr>
      <w:r>
        <w:t>本项目总投资</w:t>
      </w:r>
      <w:r>
        <w:rPr>
          <w:rFonts w:hint="eastAsia"/>
        </w:rPr>
        <w:t>1</w:t>
      </w:r>
      <w:r>
        <w:t>000万元，根据建设单位估算，项目建成后年均利润总额</w:t>
      </w:r>
      <w:r>
        <w:rPr>
          <w:rFonts w:hint="eastAsia"/>
        </w:rPr>
        <w:t>5940</w:t>
      </w:r>
      <w:r>
        <w:t>万元，经济效益显著。</w:t>
      </w:r>
    </w:p>
    <w:p>
      <w:pPr>
        <w:pStyle w:val="4"/>
        <w:numPr>
          <w:ilvl w:val="0"/>
          <w:numId w:val="41"/>
        </w:numPr>
        <w:spacing w:before="214" w:beforeLines="50" w:after="214" w:afterLines="50" w:line="500" w:lineRule="exact"/>
        <w:rPr>
          <w:rFonts w:ascii="Arial" w:eastAsia="宋体" w:cs="Arial"/>
          <w:b/>
        </w:rPr>
      </w:pPr>
      <w:bookmarkStart w:id="427" w:name="_Toc1742970"/>
      <w:bookmarkStart w:id="428" w:name="_Toc185950237"/>
      <w:bookmarkStart w:id="429" w:name="_Toc104677341"/>
      <w:r>
        <w:rPr>
          <w:rFonts w:ascii="Arial" w:eastAsia="宋体" w:cs="Arial"/>
          <w:b/>
        </w:rPr>
        <w:t>环境效益分析</w:t>
      </w:r>
      <w:bookmarkEnd w:id="427"/>
      <w:bookmarkEnd w:id="428"/>
      <w:bookmarkEnd w:id="429"/>
    </w:p>
    <w:p>
      <w:pPr>
        <w:pStyle w:val="6"/>
        <w:numPr>
          <w:ilvl w:val="0"/>
          <w:numId w:val="43"/>
        </w:numPr>
        <w:tabs>
          <w:tab w:val="clear" w:pos="1789"/>
        </w:tabs>
        <w:spacing w:line="400" w:lineRule="exact"/>
        <w:ind w:left="0" w:firstLine="0"/>
        <w:rPr>
          <w:rFonts w:ascii="Arial" w:hAnsi="Arial" w:eastAsia="宋体" w:cs="Arial"/>
        </w:rPr>
      </w:pPr>
      <w:bookmarkStart w:id="430" w:name="_Toc67921911"/>
      <w:bookmarkStart w:id="431" w:name="_Toc87124296"/>
      <w:bookmarkStart w:id="432" w:name="_Toc58596498"/>
      <w:bookmarkStart w:id="433" w:name="_Toc88674818"/>
      <w:bookmarkStart w:id="434" w:name="_Toc104677342"/>
      <w:bookmarkStart w:id="435" w:name="_Toc57715658"/>
      <w:r>
        <w:rPr>
          <w:rFonts w:ascii="Arial" w:hAnsi="Arial" w:eastAsia="宋体" w:cs="Arial"/>
        </w:rPr>
        <w:t>环保投资估算</w:t>
      </w:r>
      <w:bookmarkEnd w:id="430"/>
      <w:bookmarkEnd w:id="431"/>
      <w:bookmarkEnd w:id="432"/>
      <w:bookmarkEnd w:id="433"/>
      <w:bookmarkEnd w:id="434"/>
      <w:bookmarkEnd w:id="435"/>
    </w:p>
    <w:p>
      <w:pPr>
        <w:pStyle w:val="5"/>
        <w:spacing w:line="500" w:lineRule="exact"/>
        <w:ind w:firstLine="490" w:firstLineChars="200"/>
      </w:pPr>
      <w:r>
        <w:t>1、环保投资</w:t>
      </w:r>
    </w:p>
    <w:p>
      <w:pPr>
        <w:pStyle w:val="5"/>
        <w:spacing w:line="500" w:lineRule="exact"/>
        <w:ind w:firstLine="490" w:firstLineChars="200"/>
      </w:pPr>
      <w:r>
        <w:t>项目一次性环保投入</w:t>
      </w:r>
      <w:r>
        <w:rPr>
          <w:rFonts w:hint="eastAsia"/>
        </w:rPr>
        <w:t>200</w:t>
      </w:r>
      <w:r>
        <w:t>万元，占项目总投资的</w:t>
      </w:r>
      <w:r>
        <w:rPr>
          <w:rFonts w:hint="eastAsia"/>
        </w:rPr>
        <w:t>20</w:t>
      </w:r>
      <w:r>
        <w:t>%。</w:t>
      </w:r>
    </w:p>
    <w:p>
      <w:pPr>
        <w:pStyle w:val="5"/>
        <w:spacing w:line="500" w:lineRule="exact"/>
        <w:ind w:firstLine="490" w:firstLineChars="200"/>
      </w:pPr>
      <w:r>
        <w:t>2、运行费用</w:t>
      </w:r>
    </w:p>
    <w:p>
      <w:pPr>
        <w:pStyle w:val="5"/>
        <w:spacing w:line="500" w:lineRule="exact"/>
        <w:ind w:firstLine="490" w:firstLineChars="200"/>
      </w:pPr>
      <w:r>
        <w:t>本项目的年环保运行费用总计</w:t>
      </w:r>
      <w:r>
        <w:rPr>
          <w:rFonts w:hint="eastAsia"/>
        </w:rPr>
        <w:t>28.67</w:t>
      </w:r>
      <w:r>
        <w:t>万元，年环保运行费用占年均利润的0.</w:t>
      </w:r>
      <w:r>
        <w:rPr>
          <w:rFonts w:hint="eastAsia"/>
        </w:rPr>
        <w:t>48</w:t>
      </w:r>
      <w:r>
        <w:t>%，处于可承受范围内，“三废”处理措施经济可行。</w:t>
      </w:r>
    </w:p>
    <w:p>
      <w:pPr>
        <w:pStyle w:val="6"/>
        <w:numPr>
          <w:ilvl w:val="0"/>
          <w:numId w:val="43"/>
        </w:numPr>
        <w:tabs>
          <w:tab w:val="clear" w:pos="1789"/>
        </w:tabs>
        <w:spacing w:line="400" w:lineRule="exact"/>
        <w:ind w:left="0" w:firstLine="0"/>
        <w:rPr>
          <w:rFonts w:ascii="Arial" w:hAnsi="Arial" w:eastAsia="宋体" w:cs="Arial"/>
        </w:rPr>
      </w:pPr>
      <w:bookmarkStart w:id="436" w:name="_Toc58596499"/>
      <w:bookmarkStart w:id="437" w:name="_Toc88674819"/>
      <w:bookmarkStart w:id="438" w:name="_Toc57715659"/>
      <w:bookmarkStart w:id="439" w:name="_Toc104677343"/>
      <w:bookmarkStart w:id="440" w:name="_Toc87124297"/>
      <w:bookmarkStart w:id="441" w:name="_Toc67921912"/>
      <w:r>
        <w:rPr>
          <w:rFonts w:ascii="Arial" w:hAnsi="Arial" w:eastAsia="宋体" w:cs="Arial"/>
        </w:rPr>
        <w:t>环保投资经济损益</w:t>
      </w:r>
      <w:bookmarkEnd w:id="436"/>
      <w:bookmarkEnd w:id="437"/>
      <w:bookmarkEnd w:id="438"/>
      <w:bookmarkEnd w:id="439"/>
      <w:bookmarkEnd w:id="440"/>
      <w:bookmarkEnd w:id="441"/>
    </w:p>
    <w:p>
      <w:pPr>
        <w:pStyle w:val="5"/>
        <w:spacing w:line="500" w:lineRule="exact"/>
        <w:ind w:firstLine="490" w:firstLineChars="200"/>
      </w:pPr>
      <w:r>
        <w:t>根据《中华人民共和国环境保护税法》（2016年12月25日第十二届全国人民代表大会常务委员会第二十五次会议通过，2018年1月1日起施行），第四条“企业事业单位和其他生产经营者向依法设立的污水集中处理、生活垃圾集中处理场所排放应税污染物的；”不属于直接向环境排放污染物，不缴纳相应污染物的环境保护税。应税大气污染物、水污染物的污染当量数，以该污染物的排放量除以该污染物的污染当量值计算。每种应税大气污染物、水污染物的具体污染当量值，依照本法所附《应税污染物和当量值表》执行。</w:t>
      </w:r>
    </w:p>
    <w:p>
      <w:pPr>
        <w:pStyle w:val="5"/>
        <w:spacing w:line="500" w:lineRule="exact"/>
        <w:ind w:firstLine="490" w:firstLineChars="200"/>
      </w:pPr>
      <w:r>
        <w:t xml:space="preserve">每一排放口或者没有排放口的应税大气污染物，按照污染当量数从大到小排序,对前三项污染物征收环境保护税。每一排放口的应税水污染物，按照本法所附《应税污染物和当量值表》，区分第一类水污染物和其他类水污染物，按照污染当量数从大到小排序，对第一类水污染物按照前五项征收环境保护税，对其他类水污染物按照前三项征收环境保护税。环境保护税应纳税额按照下列方法计算：（一）应税大气污染物的应纳税额为污染当量数乘以具体适用税额；（二）应税水污染物的应纳税额为污染当量数乘以具体适用税额； </w:t>
      </w:r>
    </w:p>
    <w:p>
      <w:pPr>
        <w:pStyle w:val="5"/>
        <w:spacing w:line="500" w:lineRule="exact"/>
        <w:ind w:firstLine="490" w:firstLineChars="200"/>
      </w:pPr>
      <w:r>
        <w:t>2017年12月1日，经广西壮族自治区第十二届人大常委会第三十二次会议表决通过，广西壮族自治区大气污染物环境保护税适用税额为每污染当量1.8元，水污染物环境保护税适用税额为每污染当量2.8元，自2018年1月1日起施行。</w:t>
      </w:r>
    </w:p>
    <w:p>
      <w:pPr>
        <w:pStyle w:val="5"/>
        <w:spacing w:line="500" w:lineRule="exact"/>
        <w:ind w:firstLine="490" w:firstLineChars="200"/>
      </w:pPr>
      <w:r>
        <w:t>结合项目污染物消减排放情况，计算项目采取环保措施所获得的经济效益见表6-1。</w:t>
      </w:r>
    </w:p>
    <w:p>
      <w:pPr>
        <w:pStyle w:val="5"/>
        <w:numPr>
          <w:ilvl w:val="0"/>
          <w:numId w:val="44"/>
        </w:numPr>
        <w:spacing w:line="500" w:lineRule="exact"/>
        <w:jc w:val="center"/>
        <w:outlineLvl w:val="4"/>
        <w:rPr>
          <w:b/>
        </w:rPr>
      </w:pPr>
      <w:r>
        <w:rPr>
          <w:b/>
        </w:rPr>
        <w:t>项目环境经济损益分析一览表</w:t>
      </w:r>
    </w:p>
    <w:tbl>
      <w:tblPr>
        <w:tblStyle w:val="88"/>
        <w:tblW w:w="868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48"/>
        <w:gridCol w:w="1417"/>
        <w:gridCol w:w="1276"/>
        <w:gridCol w:w="1134"/>
        <w:gridCol w:w="1276"/>
        <w:gridCol w:w="2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74" w:type="dxa"/>
            <w:gridSpan w:val="2"/>
            <w:vAlign w:val="center"/>
          </w:tcPr>
          <w:p>
            <w:pPr>
              <w:spacing w:line="0" w:lineRule="atLeast"/>
              <w:jc w:val="center"/>
              <w:rPr>
                <w:rFonts w:ascii="Arial" w:hAnsi="Arial" w:eastAsia="宋体" w:cs="Arial"/>
                <w:sz w:val="21"/>
                <w:szCs w:val="21"/>
              </w:rPr>
            </w:pPr>
            <w:r>
              <w:rPr>
                <w:rFonts w:ascii="Arial" w:hAnsi="Arial" w:eastAsia="宋体" w:cs="Arial"/>
                <w:sz w:val="21"/>
                <w:szCs w:val="21"/>
              </w:rPr>
              <w:t>类别</w:t>
            </w:r>
          </w:p>
        </w:tc>
        <w:tc>
          <w:tcPr>
            <w:tcW w:w="14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污染物</w:t>
            </w:r>
          </w:p>
        </w:tc>
        <w:tc>
          <w:tcPr>
            <w:tcW w:w="1276"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削减量（t/a）</w:t>
            </w:r>
          </w:p>
        </w:tc>
        <w:tc>
          <w:tcPr>
            <w:tcW w:w="1134"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污染当量值（kg）</w:t>
            </w:r>
          </w:p>
        </w:tc>
        <w:tc>
          <w:tcPr>
            <w:tcW w:w="1276"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收费标准（元/当量）</w:t>
            </w:r>
          </w:p>
        </w:tc>
        <w:tc>
          <w:tcPr>
            <w:tcW w:w="2212"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产生的环境效益（折合环保税）（万元/年）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74" w:type="dxa"/>
            <w:gridSpan w:val="2"/>
            <w:vMerge w:val="restart"/>
            <w:vAlign w:val="center"/>
          </w:tcPr>
          <w:p>
            <w:pPr>
              <w:spacing w:line="0" w:lineRule="atLeast"/>
              <w:jc w:val="center"/>
              <w:rPr>
                <w:rFonts w:ascii="Arial" w:hAnsi="Arial" w:eastAsia="宋体" w:cs="Arial"/>
                <w:sz w:val="21"/>
                <w:szCs w:val="21"/>
              </w:rPr>
            </w:pPr>
            <w:r>
              <w:rPr>
                <w:rFonts w:ascii="Arial" w:hAnsi="Arial" w:eastAsia="宋体" w:cs="Arial"/>
                <w:sz w:val="21"/>
                <w:szCs w:val="21"/>
              </w:rPr>
              <w:t>废气</w:t>
            </w:r>
          </w:p>
        </w:tc>
        <w:tc>
          <w:tcPr>
            <w:tcW w:w="14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氨气</w:t>
            </w:r>
          </w:p>
        </w:tc>
        <w:tc>
          <w:tcPr>
            <w:tcW w:w="1276"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33.3351</w:t>
            </w:r>
          </w:p>
        </w:tc>
        <w:tc>
          <w:tcPr>
            <w:tcW w:w="1134"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9.09</w:t>
            </w:r>
          </w:p>
        </w:tc>
        <w:tc>
          <w:tcPr>
            <w:tcW w:w="1276" w:type="dxa"/>
            <w:vMerge w:val="restart"/>
            <w:vAlign w:val="center"/>
          </w:tcPr>
          <w:p>
            <w:pPr>
              <w:spacing w:line="0" w:lineRule="atLeast"/>
              <w:jc w:val="center"/>
              <w:rPr>
                <w:rFonts w:ascii="Arial" w:hAnsi="Arial" w:eastAsia="宋体" w:cs="Arial"/>
                <w:sz w:val="21"/>
                <w:szCs w:val="21"/>
              </w:rPr>
            </w:pPr>
            <w:r>
              <w:rPr>
                <w:rFonts w:ascii="Arial" w:hAnsi="Arial" w:eastAsia="宋体" w:cs="Arial"/>
                <w:sz w:val="21"/>
                <w:szCs w:val="21"/>
              </w:rPr>
              <w:t>1.8</w:t>
            </w:r>
          </w:p>
        </w:tc>
        <w:tc>
          <w:tcPr>
            <w:tcW w:w="221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74" w:type="dxa"/>
            <w:gridSpan w:val="2"/>
            <w:vMerge w:val="continue"/>
            <w:vAlign w:val="center"/>
          </w:tcPr>
          <w:p>
            <w:pPr>
              <w:spacing w:line="0" w:lineRule="atLeast"/>
              <w:jc w:val="center"/>
              <w:rPr>
                <w:rFonts w:ascii="Arial" w:hAnsi="Arial" w:eastAsia="宋体" w:cs="Arial"/>
                <w:sz w:val="21"/>
                <w:szCs w:val="21"/>
              </w:rPr>
            </w:pPr>
          </w:p>
        </w:tc>
        <w:tc>
          <w:tcPr>
            <w:tcW w:w="14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颗粒物</w:t>
            </w:r>
          </w:p>
        </w:tc>
        <w:tc>
          <w:tcPr>
            <w:tcW w:w="1276"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15.8963</w:t>
            </w:r>
          </w:p>
        </w:tc>
        <w:tc>
          <w:tcPr>
            <w:tcW w:w="1134"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4</w:t>
            </w:r>
          </w:p>
        </w:tc>
        <w:tc>
          <w:tcPr>
            <w:tcW w:w="1276" w:type="dxa"/>
            <w:vMerge w:val="continue"/>
            <w:vAlign w:val="center"/>
          </w:tcPr>
          <w:p>
            <w:pPr>
              <w:spacing w:line="0" w:lineRule="atLeast"/>
              <w:jc w:val="center"/>
              <w:rPr>
                <w:rFonts w:ascii="Arial" w:hAnsi="Arial" w:eastAsia="宋体" w:cs="Arial"/>
                <w:sz w:val="21"/>
                <w:szCs w:val="21"/>
              </w:rPr>
            </w:pPr>
          </w:p>
        </w:tc>
        <w:tc>
          <w:tcPr>
            <w:tcW w:w="221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 w:type="dxa"/>
            <w:vMerge w:val="restart"/>
            <w:vAlign w:val="center"/>
          </w:tcPr>
          <w:p>
            <w:pPr>
              <w:spacing w:line="0" w:lineRule="atLeast"/>
              <w:jc w:val="center"/>
              <w:rPr>
                <w:rFonts w:ascii="Arial" w:hAnsi="Arial" w:eastAsia="宋体" w:cs="Arial"/>
                <w:sz w:val="21"/>
                <w:szCs w:val="21"/>
              </w:rPr>
            </w:pPr>
            <w:r>
              <w:rPr>
                <w:rFonts w:ascii="Arial" w:hAnsi="Arial" w:eastAsia="宋体" w:cs="Arial"/>
                <w:sz w:val="21"/>
                <w:szCs w:val="21"/>
              </w:rPr>
              <w:t>废水</w:t>
            </w:r>
          </w:p>
        </w:tc>
        <w:tc>
          <w:tcPr>
            <w:tcW w:w="948" w:type="dxa"/>
            <w:vMerge w:val="restart"/>
            <w:vAlign w:val="center"/>
          </w:tcPr>
          <w:p>
            <w:pPr>
              <w:spacing w:line="0" w:lineRule="atLeast"/>
              <w:jc w:val="center"/>
              <w:rPr>
                <w:rFonts w:ascii="Arial" w:hAnsi="Arial" w:eastAsia="宋体" w:cs="Arial"/>
                <w:sz w:val="21"/>
                <w:szCs w:val="21"/>
              </w:rPr>
            </w:pPr>
            <w:r>
              <w:rPr>
                <w:rFonts w:ascii="Arial" w:hAnsi="Arial" w:eastAsia="宋体" w:cs="Arial"/>
                <w:sz w:val="21"/>
                <w:szCs w:val="21"/>
              </w:rPr>
              <w:t>第二类</w:t>
            </w:r>
          </w:p>
        </w:tc>
        <w:tc>
          <w:tcPr>
            <w:tcW w:w="14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COD</w:t>
            </w:r>
          </w:p>
        </w:tc>
        <w:tc>
          <w:tcPr>
            <w:tcW w:w="1276"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8.2614</w:t>
            </w:r>
          </w:p>
        </w:tc>
        <w:tc>
          <w:tcPr>
            <w:tcW w:w="1134"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1</w:t>
            </w:r>
          </w:p>
        </w:tc>
        <w:tc>
          <w:tcPr>
            <w:tcW w:w="1276" w:type="dxa"/>
            <w:vMerge w:val="restart"/>
            <w:vAlign w:val="center"/>
          </w:tcPr>
          <w:p>
            <w:pPr>
              <w:spacing w:line="0" w:lineRule="atLeast"/>
              <w:jc w:val="center"/>
              <w:rPr>
                <w:rFonts w:ascii="Arial" w:hAnsi="Arial" w:eastAsia="宋体" w:cs="Arial"/>
                <w:sz w:val="21"/>
                <w:szCs w:val="21"/>
              </w:rPr>
            </w:pPr>
            <w:r>
              <w:rPr>
                <w:rFonts w:ascii="Arial" w:hAnsi="Arial" w:eastAsia="宋体" w:cs="Arial"/>
                <w:sz w:val="21"/>
                <w:szCs w:val="21"/>
              </w:rPr>
              <w:t>2.8</w:t>
            </w:r>
          </w:p>
        </w:tc>
        <w:tc>
          <w:tcPr>
            <w:tcW w:w="221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 w:type="dxa"/>
            <w:vMerge w:val="continue"/>
            <w:vAlign w:val="center"/>
          </w:tcPr>
          <w:p>
            <w:pPr>
              <w:spacing w:line="0" w:lineRule="atLeast"/>
              <w:jc w:val="center"/>
              <w:rPr>
                <w:rFonts w:ascii="Arial" w:hAnsi="Arial" w:eastAsia="宋体" w:cs="Arial"/>
                <w:sz w:val="21"/>
                <w:szCs w:val="21"/>
              </w:rPr>
            </w:pPr>
          </w:p>
        </w:tc>
        <w:tc>
          <w:tcPr>
            <w:tcW w:w="948" w:type="dxa"/>
            <w:vMerge w:val="continue"/>
            <w:vAlign w:val="center"/>
          </w:tcPr>
          <w:p>
            <w:pPr>
              <w:spacing w:line="0" w:lineRule="atLeast"/>
              <w:jc w:val="center"/>
              <w:rPr>
                <w:rFonts w:ascii="Arial" w:hAnsi="Arial" w:eastAsia="宋体" w:cs="Arial"/>
                <w:sz w:val="21"/>
                <w:szCs w:val="21"/>
              </w:rPr>
            </w:pPr>
          </w:p>
        </w:tc>
        <w:tc>
          <w:tcPr>
            <w:tcW w:w="1417"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氨氮</w:t>
            </w:r>
          </w:p>
        </w:tc>
        <w:tc>
          <w:tcPr>
            <w:tcW w:w="1276"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42.1851</w:t>
            </w:r>
          </w:p>
        </w:tc>
        <w:tc>
          <w:tcPr>
            <w:tcW w:w="1134"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0.8</w:t>
            </w:r>
          </w:p>
        </w:tc>
        <w:tc>
          <w:tcPr>
            <w:tcW w:w="1276" w:type="dxa"/>
            <w:vMerge w:val="continue"/>
            <w:vAlign w:val="center"/>
          </w:tcPr>
          <w:p>
            <w:pPr>
              <w:spacing w:line="0" w:lineRule="atLeast"/>
              <w:jc w:val="center"/>
              <w:rPr>
                <w:rFonts w:ascii="Arial" w:hAnsi="Arial" w:eastAsia="宋体" w:cs="Arial"/>
                <w:sz w:val="21"/>
                <w:szCs w:val="21"/>
              </w:rPr>
            </w:pPr>
          </w:p>
        </w:tc>
        <w:tc>
          <w:tcPr>
            <w:tcW w:w="221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477" w:type="dxa"/>
            <w:gridSpan w:val="6"/>
            <w:vAlign w:val="center"/>
          </w:tcPr>
          <w:p>
            <w:pPr>
              <w:spacing w:line="0" w:lineRule="atLeast"/>
              <w:jc w:val="center"/>
              <w:rPr>
                <w:rFonts w:ascii="Arial" w:hAnsi="Arial" w:eastAsia="宋体" w:cs="Arial"/>
                <w:sz w:val="21"/>
                <w:szCs w:val="21"/>
              </w:rPr>
            </w:pPr>
            <w:r>
              <w:rPr>
                <w:rFonts w:ascii="Arial" w:hAnsi="Arial" w:eastAsia="宋体" w:cs="Arial"/>
                <w:sz w:val="21"/>
                <w:szCs w:val="21"/>
              </w:rPr>
              <w:t>合计</w:t>
            </w:r>
          </w:p>
        </w:tc>
        <w:tc>
          <w:tcPr>
            <w:tcW w:w="2212" w:type="dxa"/>
            <w:vAlign w:val="center"/>
          </w:tcPr>
          <w:p>
            <w:pPr>
              <w:spacing w:line="0" w:lineRule="atLeast"/>
              <w:jc w:val="center"/>
              <w:rPr>
                <w:rFonts w:ascii="Arial" w:hAnsi="Arial" w:eastAsia="宋体" w:cs="Arial"/>
                <w:sz w:val="21"/>
                <w:szCs w:val="21"/>
              </w:rPr>
            </w:pPr>
            <w:r>
              <w:rPr>
                <w:rFonts w:hint="eastAsia" w:ascii="Arial" w:hAnsi="Arial" w:eastAsia="宋体" w:cs="Arial"/>
                <w:sz w:val="21"/>
                <w:szCs w:val="21"/>
              </w:rPr>
              <w:t>18.45</w:t>
            </w:r>
          </w:p>
        </w:tc>
      </w:tr>
    </w:tbl>
    <w:p>
      <w:pPr>
        <w:pStyle w:val="5"/>
        <w:spacing w:line="240" w:lineRule="exact"/>
        <w:ind w:firstLine="430" w:firstLineChars="200"/>
        <w:rPr>
          <w:b/>
          <w:sz w:val="21"/>
          <w:szCs w:val="21"/>
        </w:rPr>
      </w:pPr>
      <w:r>
        <w:rPr>
          <w:b/>
          <w:sz w:val="21"/>
          <w:szCs w:val="21"/>
        </w:rPr>
        <w:t>注：同一排放口COD、BOD</w:t>
      </w:r>
      <w:r>
        <w:rPr>
          <w:b/>
          <w:sz w:val="21"/>
          <w:szCs w:val="21"/>
          <w:vertAlign w:val="subscript"/>
        </w:rPr>
        <w:t>5</w:t>
      </w:r>
      <w:r>
        <w:rPr>
          <w:b/>
          <w:sz w:val="21"/>
          <w:szCs w:val="21"/>
        </w:rPr>
        <w:t>只征收一项。</w:t>
      </w:r>
    </w:p>
    <w:p>
      <w:pPr>
        <w:pStyle w:val="5"/>
        <w:spacing w:line="500" w:lineRule="exact"/>
        <w:ind w:firstLine="490" w:firstLineChars="200"/>
      </w:pPr>
      <w:r>
        <w:t>由上表可知，项目采取污染防治措施后，环境经济净收益为污水污染物及废气污染物削减产生的效益为</w:t>
      </w:r>
      <w:r>
        <w:rPr>
          <w:rFonts w:hint="eastAsia"/>
        </w:rPr>
        <w:t>18.45</w:t>
      </w:r>
      <w:r>
        <w:t>万元/年，表明通过污染治理，项目不但减少了污染物的排放量，同时减少了环保税支出，而且使周围环境得到保护，获得较好的环境经济效益。</w:t>
      </w:r>
    </w:p>
    <w:p>
      <w:pPr>
        <w:pStyle w:val="6"/>
        <w:numPr>
          <w:ilvl w:val="0"/>
          <w:numId w:val="43"/>
        </w:numPr>
        <w:tabs>
          <w:tab w:val="clear" w:pos="1789"/>
        </w:tabs>
        <w:spacing w:line="400" w:lineRule="exact"/>
        <w:ind w:left="0" w:firstLine="0"/>
        <w:rPr>
          <w:rFonts w:ascii="Arial" w:hAnsi="Arial" w:eastAsia="宋体" w:cs="Arial"/>
        </w:rPr>
      </w:pPr>
      <w:bookmarkStart w:id="442" w:name="_Toc67921913"/>
      <w:bookmarkStart w:id="443" w:name="_Toc104677344"/>
      <w:bookmarkStart w:id="444" w:name="_Toc58596500"/>
      <w:bookmarkStart w:id="445" w:name="_Toc87124298"/>
      <w:bookmarkStart w:id="446" w:name="_Toc88674820"/>
      <w:bookmarkStart w:id="447" w:name="_Toc57715660"/>
      <w:r>
        <w:rPr>
          <w:rFonts w:ascii="Arial" w:hAnsi="Arial" w:eastAsia="宋体" w:cs="Arial"/>
        </w:rPr>
        <w:t>环保投资的效益分析</w:t>
      </w:r>
      <w:bookmarkEnd w:id="442"/>
      <w:bookmarkEnd w:id="443"/>
      <w:bookmarkEnd w:id="444"/>
      <w:bookmarkEnd w:id="445"/>
      <w:bookmarkEnd w:id="446"/>
      <w:bookmarkEnd w:id="447"/>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环境经济损益一般用环境经济损益系数表示</w:t>
      </w:r>
    </w:p>
    <w:p>
      <w:pPr>
        <w:spacing w:line="500" w:lineRule="exact"/>
        <w:ind w:firstLine="2607" w:firstLineChars="1064"/>
        <w:rPr>
          <w:rFonts w:ascii="Arial" w:hAnsi="Arial" w:eastAsia="宋体" w:cs="Arial"/>
          <w:spacing w:val="10"/>
          <w:sz w:val="24"/>
        </w:rPr>
      </w:pPr>
      <w:r>
        <w:rPr>
          <w:rFonts w:ascii="Arial" w:hAnsi="Arial" w:eastAsia="宋体" w:cs="Arial"/>
          <w:spacing w:val="10"/>
          <w:sz w:val="24"/>
        </w:rPr>
        <w:t>R=R</w:t>
      </w:r>
      <w:r>
        <w:rPr>
          <w:rFonts w:ascii="Arial" w:hAnsi="Arial" w:eastAsia="宋体" w:cs="Arial"/>
          <w:spacing w:val="10"/>
          <w:sz w:val="24"/>
          <w:vertAlign w:val="subscript"/>
        </w:rPr>
        <w:t>1</w:t>
      </w:r>
      <w:r>
        <w:rPr>
          <w:rFonts w:ascii="Arial" w:hAnsi="Arial" w:eastAsia="宋体" w:cs="Arial"/>
          <w:spacing w:val="10"/>
          <w:sz w:val="24"/>
        </w:rPr>
        <w:t>/R</w:t>
      </w:r>
      <w:r>
        <w:rPr>
          <w:rFonts w:ascii="Arial" w:hAnsi="Arial" w:eastAsia="宋体" w:cs="Arial"/>
          <w:spacing w:val="10"/>
          <w:sz w:val="24"/>
          <w:vertAlign w:val="subscript"/>
        </w:rPr>
        <w:t>2</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式中：R——损益系数；</w:t>
      </w:r>
    </w:p>
    <w:p>
      <w:pPr>
        <w:spacing w:line="500" w:lineRule="exact"/>
        <w:ind w:firstLine="1208" w:firstLineChars="493"/>
        <w:rPr>
          <w:rFonts w:ascii="Arial" w:hAnsi="Arial" w:eastAsia="宋体" w:cs="Arial"/>
          <w:spacing w:val="10"/>
          <w:sz w:val="24"/>
        </w:rPr>
      </w:pPr>
      <w:r>
        <w:rPr>
          <w:rFonts w:ascii="Arial" w:hAnsi="Arial" w:eastAsia="宋体" w:cs="Arial"/>
          <w:spacing w:val="10"/>
          <w:sz w:val="24"/>
        </w:rPr>
        <w:t>R</w:t>
      </w:r>
      <w:r>
        <w:rPr>
          <w:rFonts w:ascii="Arial" w:hAnsi="Arial" w:eastAsia="宋体" w:cs="Arial"/>
          <w:spacing w:val="10"/>
          <w:sz w:val="24"/>
          <w:vertAlign w:val="subscript"/>
        </w:rPr>
        <w:t>1</w:t>
      </w:r>
      <w:r>
        <w:rPr>
          <w:rFonts w:ascii="Arial" w:hAnsi="Arial" w:eastAsia="宋体" w:cs="Arial"/>
          <w:spacing w:val="10"/>
          <w:sz w:val="24"/>
        </w:rPr>
        <w:t>——经济收益，以15年纯利润</w:t>
      </w:r>
      <w:r>
        <w:rPr>
          <w:rFonts w:hint="eastAsia" w:ascii="Arial" w:hAnsi="Arial" w:eastAsia="宋体" w:cs="Arial"/>
          <w:spacing w:val="10"/>
          <w:sz w:val="24"/>
        </w:rPr>
        <w:t>89100</w:t>
      </w:r>
      <w:r>
        <w:rPr>
          <w:rFonts w:ascii="Arial" w:hAnsi="Arial" w:eastAsia="宋体" w:cs="Arial"/>
          <w:spacing w:val="10"/>
          <w:sz w:val="24"/>
        </w:rPr>
        <w:t>万元计；</w:t>
      </w:r>
    </w:p>
    <w:p>
      <w:pPr>
        <w:spacing w:line="500" w:lineRule="exact"/>
        <w:ind w:firstLine="1208" w:firstLineChars="493"/>
        <w:rPr>
          <w:rFonts w:ascii="Arial" w:hAnsi="Arial" w:eastAsia="宋体" w:cs="Arial"/>
          <w:spacing w:val="10"/>
          <w:sz w:val="24"/>
        </w:rPr>
      </w:pPr>
      <w:r>
        <w:rPr>
          <w:rFonts w:ascii="Arial" w:hAnsi="Arial" w:eastAsia="宋体" w:cs="Arial"/>
          <w:spacing w:val="10"/>
          <w:sz w:val="24"/>
        </w:rPr>
        <w:t>R</w:t>
      </w:r>
      <w:r>
        <w:rPr>
          <w:rFonts w:ascii="Arial" w:hAnsi="Arial" w:eastAsia="宋体" w:cs="Arial"/>
          <w:spacing w:val="10"/>
          <w:sz w:val="24"/>
          <w:vertAlign w:val="subscript"/>
        </w:rPr>
        <w:t>2</w:t>
      </w:r>
      <w:r>
        <w:rPr>
          <w:rFonts w:ascii="Arial" w:hAnsi="Arial" w:eastAsia="宋体" w:cs="Arial"/>
          <w:spacing w:val="10"/>
          <w:sz w:val="24"/>
        </w:rPr>
        <w:t>——环保投资，以一次性环保投资和15年污染治理费用之合计，共计</w:t>
      </w:r>
      <w:r>
        <w:rPr>
          <w:rFonts w:hint="eastAsia" w:ascii="Arial" w:hAnsi="Arial" w:eastAsia="宋体" w:cs="Arial"/>
          <w:spacing w:val="10"/>
          <w:sz w:val="24"/>
        </w:rPr>
        <w:t>630.05</w:t>
      </w:r>
      <w:r>
        <w:rPr>
          <w:rFonts w:ascii="Arial" w:hAnsi="Arial" w:eastAsia="宋体" w:cs="Arial"/>
          <w:spacing w:val="10"/>
          <w:sz w:val="24"/>
        </w:rPr>
        <w:t>万元。</w:t>
      </w:r>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计算结果：R=</w:t>
      </w:r>
      <w:r>
        <w:rPr>
          <w:rFonts w:hint="eastAsia" w:ascii="Arial" w:hAnsi="Arial" w:eastAsia="宋体" w:cs="Arial"/>
          <w:spacing w:val="10"/>
          <w:sz w:val="24"/>
        </w:rPr>
        <w:t>141</w:t>
      </w:r>
      <w:r>
        <w:rPr>
          <w:rFonts w:ascii="Arial" w:hAnsi="Arial" w:eastAsia="宋体" w:cs="Arial"/>
          <w:spacing w:val="10"/>
          <w:sz w:val="24"/>
        </w:rPr>
        <w:t>，说明拟建项目经济收益超过环保投资及运行费用，表明项目建设取得的环境效益为正效益。</w:t>
      </w:r>
    </w:p>
    <w:p>
      <w:pPr>
        <w:pStyle w:val="5"/>
        <w:spacing w:line="500" w:lineRule="exact"/>
        <w:ind w:firstLine="490" w:firstLineChars="200"/>
      </w:pPr>
      <w:r>
        <w:t>环境保护是我国的一项基本国策，近年来，国家在环保方面的投入也在逐年加大，目的就是为了不再走以牺牲环境来获取经济利益的老路。就拟建项目而言，其在生产过程中存在“三废”污染物产生及排放问题，特别是废气排放问题，项目投产后若“三废”不经处理直接排入环境，将给周围环境造成严重的影响，给环境质量造成一定的损害，从而导致种种负面影响（包括社会、经济、人文景观等）。</w:t>
      </w:r>
    </w:p>
    <w:p>
      <w:pPr>
        <w:pStyle w:val="5"/>
        <w:spacing w:line="500" w:lineRule="exact"/>
        <w:ind w:firstLine="490" w:firstLineChars="200"/>
      </w:pPr>
      <w:r>
        <w:t>通过采取污染防治措施，项目废水处理后达标排放；各类废气经处理后能够达标排放；各类固废均能落实妥善的处置途径；厂界噪声能够做到达标排放。</w:t>
      </w:r>
    </w:p>
    <w:p>
      <w:pPr>
        <w:pStyle w:val="5"/>
        <w:spacing w:line="500" w:lineRule="exact"/>
        <w:ind w:firstLine="490" w:firstLineChars="200"/>
      </w:pPr>
      <w:r>
        <w:t>从表面上看，虽然环境保护的一次性投入影响了企业的经济收入，但从长远利益看，环保的投入可以维持企业周边较好的环境质量，有助于创建良好的生活空间，使周边居民均能安居乐业，有利于吸引优秀人才来周边工作、生活，有助于促进整个区域经济的发展，反过来区域经济的发展也有利于企业自身长期的、健康的发展，做到经济效益的可持续增长。</w:t>
      </w:r>
    </w:p>
    <w:p>
      <w:pPr>
        <w:pStyle w:val="5"/>
        <w:spacing w:line="500" w:lineRule="exact"/>
        <w:ind w:firstLine="490" w:firstLineChars="200"/>
      </w:pPr>
      <w:r>
        <w:t>因此，环保投资的投入也具有良好的经济效益和社会效益。</w:t>
      </w:r>
    </w:p>
    <w:p>
      <w:pPr>
        <w:pStyle w:val="4"/>
        <w:numPr>
          <w:ilvl w:val="0"/>
          <w:numId w:val="41"/>
        </w:numPr>
        <w:spacing w:before="214" w:beforeLines="50" w:after="214" w:afterLines="50" w:line="500" w:lineRule="exact"/>
        <w:rPr>
          <w:rFonts w:ascii="Arial" w:eastAsia="宋体" w:cs="Arial"/>
          <w:b/>
        </w:rPr>
      </w:pPr>
      <w:bookmarkStart w:id="448" w:name="_Toc1742971"/>
      <w:bookmarkStart w:id="449" w:name="_Toc104677345"/>
      <w:bookmarkStart w:id="450" w:name="_Toc185950238"/>
      <w:bookmarkStart w:id="451" w:name="_Toc341856717"/>
      <w:r>
        <w:rPr>
          <w:rFonts w:ascii="Arial" w:eastAsia="宋体" w:cs="Arial"/>
          <w:b/>
        </w:rPr>
        <w:t>环境经济损益分析结论</w:t>
      </w:r>
      <w:bookmarkEnd w:id="448"/>
      <w:bookmarkEnd w:id="449"/>
      <w:bookmarkEnd w:id="450"/>
      <w:bookmarkEnd w:id="451"/>
    </w:p>
    <w:p>
      <w:pPr>
        <w:pStyle w:val="5"/>
        <w:spacing w:line="500" w:lineRule="exact"/>
        <w:ind w:firstLine="490" w:firstLineChars="200"/>
      </w:pPr>
      <w:r>
        <w:t>项目建设能促进区域经济发展，各污染物达标排放，未造成区域环境质量降级，项目具有显著的环境效益和社会效益。因此，项目环保投入经济合理，所采取的环保措施在经济上是合理可行的，各项环保措施不仅较大程度的减缓项目对环境产生的不利影响，还可以产生较大的经济效益，其环境效益显著。从环境经济观点的角度看，项目是合理可行的。</w:t>
      </w:r>
    </w:p>
    <w:p>
      <w:pPr>
        <w:pStyle w:val="5"/>
        <w:rPr>
          <w:highlight w:val="yellow"/>
        </w:rPr>
        <w:sectPr>
          <w:pgSz w:w="11907" w:h="16840"/>
          <w:pgMar w:top="1678" w:right="1408" w:bottom="1901" w:left="1155" w:header="1174" w:footer="1029" w:gutter="567"/>
          <w:cols w:space="720" w:num="1"/>
          <w:docGrid w:type="linesAndChars" w:linePitch="428" w:charSpace="-3161"/>
        </w:sectPr>
      </w:pPr>
    </w:p>
    <w:p>
      <w:pPr>
        <w:pStyle w:val="3"/>
        <w:numPr>
          <w:ilvl w:val="0"/>
          <w:numId w:val="1"/>
        </w:numPr>
        <w:tabs>
          <w:tab w:val="left" w:pos="1931"/>
          <w:tab w:val="clear" w:pos="3065"/>
        </w:tabs>
        <w:ind w:left="1276"/>
        <w:rPr>
          <w:rFonts w:ascii="Arial" w:hAnsi="Arial" w:cs="Arial"/>
          <w:spacing w:val="10"/>
        </w:rPr>
      </w:pPr>
      <w:bookmarkStart w:id="452" w:name="_Toc160446448"/>
      <w:bookmarkStart w:id="453" w:name="_Toc272305655"/>
      <w:bookmarkStart w:id="454" w:name="_Toc91399164"/>
      <w:bookmarkStart w:id="455" w:name="_Toc104677346"/>
      <w:bookmarkStart w:id="456" w:name="_Toc185950239"/>
      <w:bookmarkStart w:id="457" w:name="_Toc1742972"/>
      <w:r>
        <w:rPr>
          <w:rFonts w:ascii="Arial" w:hAnsi="Arial" w:cs="Arial"/>
          <w:spacing w:val="10"/>
        </w:rPr>
        <w:t>环境管理与</w:t>
      </w:r>
      <w:bookmarkEnd w:id="452"/>
      <w:bookmarkEnd w:id="453"/>
      <w:bookmarkEnd w:id="454"/>
      <w:r>
        <w:rPr>
          <w:rFonts w:ascii="Arial" w:hAnsi="Arial" w:cs="Arial"/>
          <w:spacing w:val="10"/>
        </w:rPr>
        <w:t>监测计划</w:t>
      </w:r>
      <w:bookmarkEnd w:id="455"/>
      <w:bookmarkEnd w:id="456"/>
      <w:bookmarkEnd w:id="457"/>
    </w:p>
    <w:p>
      <w:pPr>
        <w:pStyle w:val="4"/>
        <w:numPr>
          <w:ilvl w:val="0"/>
          <w:numId w:val="45"/>
        </w:numPr>
        <w:spacing w:before="214" w:beforeLines="50" w:after="214" w:afterLines="50" w:line="500" w:lineRule="exact"/>
        <w:rPr>
          <w:rFonts w:ascii="Arial" w:eastAsia="宋体" w:cs="Arial"/>
          <w:b/>
        </w:rPr>
      </w:pPr>
      <w:bookmarkStart w:id="458" w:name="_Toc258555232"/>
      <w:bookmarkStart w:id="459" w:name="_Toc186184602"/>
      <w:bookmarkStart w:id="460" w:name="_Toc327541966"/>
      <w:bookmarkStart w:id="461" w:name="_Toc224697730"/>
      <w:bookmarkStart w:id="462" w:name="_Toc136320451"/>
      <w:bookmarkStart w:id="463" w:name="_Toc363076766"/>
      <w:bookmarkStart w:id="464" w:name="_Toc185950240"/>
      <w:bookmarkStart w:id="465" w:name="_Toc104677347"/>
      <w:bookmarkStart w:id="466" w:name="_Toc1742973"/>
      <w:r>
        <w:rPr>
          <w:rFonts w:ascii="Arial" w:eastAsia="宋体" w:cs="Arial"/>
          <w:b/>
        </w:rPr>
        <w:t>环境监督管理</w:t>
      </w:r>
      <w:bookmarkEnd w:id="458"/>
      <w:bookmarkEnd w:id="459"/>
      <w:bookmarkEnd w:id="460"/>
      <w:bookmarkEnd w:id="461"/>
      <w:bookmarkEnd w:id="462"/>
      <w:bookmarkEnd w:id="463"/>
      <w:bookmarkEnd w:id="464"/>
      <w:bookmarkEnd w:id="465"/>
      <w:bookmarkEnd w:id="466"/>
    </w:p>
    <w:p>
      <w:pPr>
        <w:pStyle w:val="5"/>
        <w:spacing w:line="500" w:lineRule="exact"/>
        <w:ind w:firstLine="490" w:firstLineChars="200"/>
      </w:pPr>
      <w:r>
        <w:t>为了对拟建项目的环保措施的实施进行及时、有效的监督管理，必须明确项目的环境保护各相关机构的具体职责和分工。</w:t>
      </w:r>
    </w:p>
    <w:p>
      <w:pPr>
        <w:pStyle w:val="6"/>
        <w:numPr>
          <w:ilvl w:val="0"/>
          <w:numId w:val="46"/>
        </w:numPr>
        <w:tabs>
          <w:tab w:val="clear" w:pos="1789"/>
        </w:tabs>
        <w:spacing w:line="400" w:lineRule="exact"/>
        <w:ind w:left="0" w:firstLine="0"/>
        <w:rPr>
          <w:rFonts w:ascii="Arial" w:hAnsi="Arial" w:eastAsia="宋体" w:cs="Arial"/>
        </w:rPr>
      </w:pPr>
      <w:bookmarkStart w:id="467" w:name="_Toc104677348"/>
      <w:bookmarkStart w:id="468" w:name="_Toc58596504"/>
      <w:bookmarkStart w:id="469" w:name="_Toc87124302"/>
      <w:bookmarkStart w:id="470" w:name="_Toc57715664"/>
      <w:bookmarkStart w:id="471" w:name="_Toc88674824"/>
      <w:bookmarkStart w:id="472" w:name="_Toc67921917"/>
      <w:r>
        <w:rPr>
          <w:rFonts w:ascii="Arial" w:hAnsi="Arial" w:eastAsia="宋体" w:cs="Arial"/>
        </w:rPr>
        <w:t>环境管理监督计划</w:t>
      </w:r>
      <w:bookmarkEnd w:id="467"/>
      <w:bookmarkEnd w:id="468"/>
      <w:bookmarkEnd w:id="469"/>
      <w:bookmarkEnd w:id="470"/>
      <w:bookmarkEnd w:id="471"/>
      <w:bookmarkEnd w:id="472"/>
    </w:p>
    <w:p>
      <w:pPr>
        <w:pStyle w:val="5"/>
        <w:numPr>
          <w:ilvl w:val="0"/>
          <w:numId w:val="47"/>
        </w:numPr>
        <w:spacing w:line="500" w:lineRule="exact"/>
        <w:ind w:left="0" w:firstLine="0"/>
        <w:jc w:val="center"/>
        <w:outlineLvl w:val="4"/>
        <w:rPr>
          <w:b/>
        </w:rPr>
      </w:pPr>
      <w:r>
        <w:rPr>
          <w:b/>
        </w:rPr>
        <w:t>环境管理监督计划</w:t>
      </w:r>
    </w:p>
    <w:tbl>
      <w:tblPr>
        <w:tblStyle w:val="88"/>
        <w:tblW w:w="8993"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5"/>
        <w:gridCol w:w="1136"/>
        <w:gridCol w:w="3526"/>
        <w:gridCol w:w="351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15" w:type="dxa"/>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阶段</w:t>
            </w:r>
          </w:p>
        </w:tc>
        <w:tc>
          <w:tcPr>
            <w:tcW w:w="1136" w:type="dxa"/>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机构</w:t>
            </w:r>
          </w:p>
        </w:tc>
        <w:tc>
          <w:tcPr>
            <w:tcW w:w="3526" w:type="dxa"/>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监督内容</w:t>
            </w:r>
          </w:p>
        </w:tc>
        <w:tc>
          <w:tcPr>
            <w:tcW w:w="3516" w:type="dxa"/>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监督目的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15" w:type="dxa"/>
            <w:vMerge w:val="restart"/>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建</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设</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阶</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段</w:t>
            </w:r>
          </w:p>
        </w:tc>
        <w:tc>
          <w:tcPr>
            <w:tcW w:w="1136" w:type="dxa"/>
            <w:vMerge w:val="restart"/>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钦州市生态环境局、建设方</w:t>
            </w: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1、审核环保初步设计</w:t>
            </w:r>
          </w:p>
        </w:tc>
        <w:tc>
          <w:tcPr>
            <w:tcW w:w="3516" w:type="dxa"/>
            <w:vAlign w:val="center"/>
          </w:tcPr>
          <w:p>
            <w:pPr>
              <w:topLinePunct/>
              <w:spacing w:line="240" w:lineRule="exact"/>
              <w:rPr>
                <w:rFonts w:ascii="Arial" w:hAnsi="Arial" w:eastAsia="宋体" w:cs="Arial"/>
                <w:sz w:val="21"/>
                <w:szCs w:val="21"/>
              </w:rPr>
            </w:pPr>
            <w:r>
              <w:rPr>
                <w:rFonts w:ascii="Arial" w:hAnsi="Arial" w:eastAsia="宋体" w:cs="Arial"/>
                <w:sz w:val="21"/>
                <w:szCs w:val="21"/>
              </w:rPr>
              <w:t>1、严格执行“三同时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15" w:type="dxa"/>
            <w:vMerge w:val="continue"/>
            <w:vAlign w:val="center"/>
          </w:tcPr>
          <w:p>
            <w:pPr>
              <w:widowControl/>
              <w:topLinePunct/>
              <w:spacing w:line="240" w:lineRule="exact"/>
              <w:jc w:val="center"/>
              <w:rPr>
                <w:rFonts w:ascii="Arial" w:hAnsi="Arial" w:eastAsia="宋体" w:cs="Arial"/>
                <w:sz w:val="21"/>
                <w:szCs w:val="21"/>
              </w:rPr>
            </w:pPr>
          </w:p>
        </w:tc>
        <w:tc>
          <w:tcPr>
            <w:tcW w:w="1136" w:type="dxa"/>
            <w:vMerge w:val="continue"/>
            <w:vAlign w:val="center"/>
          </w:tcPr>
          <w:p>
            <w:pPr>
              <w:widowControl/>
              <w:topLinePunct/>
              <w:spacing w:line="240" w:lineRule="exact"/>
              <w:jc w:val="center"/>
              <w:rPr>
                <w:rFonts w:ascii="Arial" w:hAnsi="Arial" w:eastAsia="宋体" w:cs="Arial"/>
                <w:sz w:val="21"/>
                <w:szCs w:val="21"/>
              </w:rPr>
            </w:pPr>
          </w:p>
        </w:tc>
        <w:tc>
          <w:tcPr>
            <w:tcW w:w="3526" w:type="dxa"/>
            <w:vAlign w:val="center"/>
          </w:tcPr>
          <w:p>
            <w:pPr>
              <w:topLinePunct/>
              <w:spacing w:line="240" w:lineRule="exact"/>
              <w:rPr>
                <w:rFonts w:ascii="Arial" w:hAnsi="Arial" w:eastAsia="宋体" w:cs="Arial"/>
                <w:sz w:val="21"/>
                <w:szCs w:val="21"/>
              </w:rPr>
            </w:pPr>
            <w:r>
              <w:rPr>
                <w:rFonts w:ascii="Arial" w:hAnsi="Arial" w:eastAsia="宋体" w:cs="Arial"/>
                <w:sz w:val="21"/>
                <w:szCs w:val="21"/>
              </w:rPr>
              <w:t>2、检查环保投资是否落</w:t>
            </w:r>
          </w:p>
        </w:tc>
        <w:tc>
          <w:tcPr>
            <w:tcW w:w="351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2、确保环保投资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15" w:type="dxa"/>
            <w:vMerge w:val="continue"/>
            <w:vAlign w:val="center"/>
          </w:tcPr>
          <w:p>
            <w:pPr>
              <w:widowControl/>
              <w:topLinePunct/>
              <w:spacing w:line="240" w:lineRule="exact"/>
              <w:jc w:val="center"/>
              <w:rPr>
                <w:rFonts w:ascii="Arial" w:hAnsi="Arial" w:eastAsia="宋体" w:cs="Arial"/>
                <w:sz w:val="21"/>
                <w:szCs w:val="21"/>
              </w:rPr>
            </w:pPr>
          </w:p>
        </w:tc>
        <w:tc>
          <w:tcPr>
            <w:tcW w:w="1136" w:type="dxa"/>
            <w:vMerge w:val="continue"/>
            <w:vAlign w:val="center"/>
          </w:tcPr>
          <w:p>
            <w:pPr>
              <w:widowControl/>
              <w:topLinePunct/>
              <w:spacing w:line="240" w:lineRule="exact"/>
              <w:jc w:val="center"/>
              <w:rPr>
                <w:rFonts w:ascii="Arial" w:hAnsi="Arial" w:eastAsia="宋体" w:cs="Arial"/>
                <w:sz w:val="21"/>
                <w:szCs w:val="21"/>
              </w:rPr>
            </w:pP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3、检查环保设施“三同时”情况</w:t>
            </w:r>
          </w:p>
        </w:tc>
        <w:tc>
          <w:tcPr>
            <w:tcW w:w="3516" w:type="dxa"/>
            <w:vAlign w:val="center"/>
          </w:tcPr>
          <w:p>
            <w:pPr>
              <w:widowControl/>
              <w:spacing w:line="240" w:lineRule="exact"/>
              <w:rPr>
                <w:rFonts w:ascii="Arial" w:hAnsi="Arial" w:eastAsia="宋体" w:cs="Arial"/>
                <w:sz w:val="21"/>
                <w:szCs w:val="21"/>
              </w:rPr>
            </w:pPr>
            <w:r>
              <w:rPr>
                <w:rFonts w:ascii="Arial" w:hAnsi="Arial" w:eastAsia="宋体" w:cs="Arial"/>
                <w:sz w:val="21"/>
                <w:szCs w:val="21"/>
              </w:rPr>
              <w:t>3、确保“三同时”落实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15" w:type="dxa"/>
            <w:vMerge w:val="continue"/>
            <w:vAlign w:val="center"/>
          </w:tcPr>
          <w:p>
            <w:pPr>
              <w:widowControl/>
              <w:topLinePunct/>
              <w:spacing w:line="240" w:lineRule="exact"/>
              <w:jc w:val="center"/>
              <w:rPr>
                <w:rFonts w:ascii="Arial" w:hAnsi="Arial" w:eastAsia="宋体" w:cs="Arial"/>
                <w:sz w:val="21"/>
                <w:szCs w:val="21"/>
              </w:rPr>
            </w:pPr>
          </w:p>
        </w:tc>
        <w:tc>
          <w:tcPr>
            <w:tcW w:w="1136" w:type="dxa"/>
            <w:vMerge w:val="continue"/>
            <w:vAlign w:val="center"/>
          </w:tcPr>
          <w:p>
            <w:pPr>
              <w:widowControl/>
              <w:topLinePunct/>
              <w:spacing w:line="240" w:lineRule="exact"/>
              <w:jc w:val="center"/>
              <w:rPr>
                <w:rFonts w:ascii="Arial" w:hAnsi="Arial" w:eastAsia="宋体" w:cs="Arial"/>
                <w:sz w:val="21"/>
                <w:szCs w:val="21"/>
              </w:rPr>
            </w:pP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4、检查环保设施是否达到标准要求</w:t>
            </w:r>
          </w:p>
        </w:tc>
        <w:tc>
          <w:tcPr>
            <w:tcW w:w="351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4、验收环保设施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trPr>
        <w:tc>
          <w:tcPr>
            <w:tcW w:w="815" w:type="dxa"/>
            <w:vMerge w:val="restart"/>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营</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运</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阶</w:t>
            </w:r>
          </w:p>
          <w:p>
            <w:pPr>
              <w:widowControl/>
              <w:topLinePunct/>
              <w:spacing w:line="240" w:lineRule="exact"/>
              <w:jc w:val="center"/>
              <w:rPr>
                <w:rFonts w:ascii="Arial" w:hAnsi="Arial" w:eastAsia="宋体" w:cs="Arial"/>
                <w:sz w:val="21"/>
                <w:szCs w:val="21"/>
              </w:rPr>
            </w:pPr>
            <w:r>
              <w:rPr>
                <w:rFonts w:ascii="Arial" w:hAnsi="Arial" w:eastAsia="宋体" w:cs="Arial"/>
                <w:sz w:val="21"/>
                <w:szCs w:val="21"/>
              </w:rPr>
              <w:t>段</w:t>
            </w:r>
          </w:p>
        </w:tc>
        <w:tc>
          <w:tcPr>
            <w:tcW w:w="1136" w:type="dxa"/>
            <w:vMerge w:val="restart"/>
            <w:vAlign w:val="center"/>
          </w:tcPr>
          <w:p>
            <w:pPr>
              <w:widowControl/>
              <w:topLinePunct/>
              <w:spacing w:line="240" w:lineRule="exact"/>
              <w:jc w:val="center"/>
              <w:rPr>
                <w:rFonts w:ascii="Arial" w:hAnsi="Arial" w:eastAsia="宋体" w:cs="Arial"/>
                <w:sz w:val="21"/>
                <w:szCs w:val="21"/>
              </w:rPr>
            </w:pPr>
            <w:r>
              <w:rPr>
                <w:rFonts w:ascii="Arial" w:hAnsi="Arial" w:eastAsia="宋体" w:cs="Arial"/>
                <w:sz w:val="21"/>
                <w:szCs w:val="21"/>
              </w:rPr>
              <w:t>钦州市生态环境局、建设方</w:t>
            </w: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1、检查营运期环保措施</w:t>
            </w:r>
          </w:p>
        </w:tc>
        <w:tc>
          <w:tcPr>
            <w:tcW w:w="351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1、落实环保措施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trPr>
        <w:tc>
          <w:tcPr>
            <w:tcW w:w="815" w:type="dxa"/>
            <w:vMerge w:val="continue"/>
            <w:vAlign w:val="center"/>
          </w:tcPr>
          <w:p>
            <w:pPr>
              <w:widowControl/>
              <w:topLinePunct/>
              <w:spacing w:line="240" w:lineRule="exact"/>
              <w:jc w:val="center"/>
              <w:rPr>
                <w:rFonts w:ascii="Arial" w:hAnsi="Arial" w:eastAsia="宋体" w:cs="Arial"/>
                <w:sz w:val="21"/>
                <w:szCs w:val="21"/>
              </w:rPr>
            </w:pPr>
          </w:p>
        </w:tc>
        <w:tc>
          <w:tcPr>
            <w:tcW w:w="1136" w:type="dxa"/>
            <w:vMerge w:val="continue"/>
            <w:vAlign w:val="center"/>
          </w:tcPr>
          <w:p>
            <w:pPr>
              <w:widowControl/>
              <w:topLinePunct/>
              <w:spacing w:line="240" w:lineRule="exact"/>
              <w:jc w:val="center"/>
              <w:rPr>
                <w:rFonts w:ascii="Arial" w:hAnsi="Arial" w:eastAsia="宋体" w:cs="Arial"/>
                <w:sz w:val="21"/>
                <w:szCs w:val="21"/>
              </w:rPr>
            </w:pP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2、检查环境监测计划的实施</w:t>
            </w:r>
          </w:p>
        </w:tc>
        <w:tc>
          <w:tcPr>
            <w:tcW w:w="351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2、落实监测计划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trPr>
        <w:tc>
          <w:tcPr>
            <w:tcW w:w="815" w:type="dxa"/>
            <w:vMerge w:val="continue"/>
            <w:vAlign w:val="center"/>
          </w:tcPr>
          <w:p>
            <w:pPr>
              <w:widowControl/>
              <w:topLinePunct/>
              <w:spacing w:line="240" w:lineRule="exact"/>
              <w:jc w:val="center"/>
              <w:rPr>
                <w:rFonts w:ascii="Arial" w:hAnsi="Arial" w:eastAsia="宋体" w:cs="Arial"/>
                <w:sz w:val="21"/>
                <w:szCs w:val="21"/>
              </w:rPr>
            </w:pPr>
          </w:p>
        </w:tc>
        <w:tc>
          <w:tcPr>
            <w:tcW w:w="1136" w:type="dxa"/>
            <w:vMerge w:val="continue"/>
            <w:vAlign w:val="center"/>
          </w:tcPr>
          <w:p>
            <w:pPr>
              <w:widowControl/>
              <w:topLinePunct/>
              <w:spacing w:line="240" w:lineRule="exact"/>
              <w:jc w:val="center"/>
              <w:rPr>
                <w:rFonts w:ascii="Arial" w:hAnsi="Arial" w:eastAsia="宋体" w:cs="Arial"/>
                <w:sz w:val="21"/>
                <w:szCs w:val="21"/>
              </w:rPr>
            </w:pPr>
          </w:p>
        </w:tc>
        <w:tc>
          <w:tcPr>
            <w:tcW w:w="352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3、检查环境敏感区的环境质量是否满足其相应质量标准要求</w:t>
            </w:r>
          </w:p>
        </w:tc>
        <w:tc>
          <w:tcPr>
            <w:tcW w:w="3516" w:type="dxa"/>
            <w:vAlign w:val="center"/>
          </w:tcPr>
          <w:p>
            <w:pPr>
              <w:widowControl/>
              <w:topLinePunct/>
              <w:spacing w:line="240" w:lineRule="exact"/>
              <w:rPr>
                <w:rFonts w:ascii="Arial" w:hAnsi="Arial" w:eastAsia="宋体" w:cs="Arial"/>
                <w:sz w:val="21"/>
                <w:szCs w:val="21"/>
              </w:rPr>
            </w:pPr>
            <w:r>
              <w:rPr>
                <w:rFonts w:ascii="Arial" w:hAnsi="Arial" w:eastAsia="宋体" w:cs="Arial"/>
                <w:sz w:val="21"/>
                <w:szCs w:val="21"/>
              </w:rPr>
              <w:t>3、保障人群身体健康</w:t>
            </w:r>
          </w:p>
        </w:tc>
      </w:tr>
    </w:tbl>
    <w:p>
      <w:pPr>
        <w:pStyle w:val="6"/>
        <w:numPr>
          <w:ilvl w:val="0"/>
          <w:numId w:val="46"/>
        </w:numPr>
        <w:tabs>
          <w:tab w:val="clear" w:pos="1789"/>
        </w:tabs>
        <w:spacing w:line="400" w:lineRule="exact"/>
        <w:ind w:left="0" w:firstLine="0"/>
        <w:rPr>
          <w:rFonts w:ascii="Arial" w:hAnsi="Arial" w:eastAsia="宋体" w:cs="Arial"/>
        </w:rPr>
      </w:pPr>
      <w:bookmarkStart w:id="473" w:name="_Toc88674825"/>
      <w:bookmarkStart w:id="474" w:name="_Toc363076767"/>
      <w:bookmarkStart w:id="475" w:name="_Toc258555233"/>
      <w:bookmarkStart w:id="476" w:name="_Toc57715665"/>
      <w:bookmarkStart w:id="477" w:name="_Toc104677349"/>
      <w:bookmarkStart w:id="478" w:name="_Toc58596505"/>
      <w:bookmarkStart w:id="479" w:name="_Toc327541967"/>
      <w:bookmarkStart w:id="480" w:name="_Toc136320452"/>
      <w:bookmarkStart w:id="481" w:name="_Toc224697731"/>
      <w:bookmarkStart w:id="482" w:name="_Toc186184603"/>
      <w:bookmarkStart w:id="483" w:name="_Toc67921918"/>
      <w:bookmarkStart w:id="484" w:name="_Toc87124303"/>
      <w:r>
        <w:rPr>
          <w:rFonts w:ascii="Arial" w:hAnsi="Arial" w:eastAsia="宋体" w:cs="Arial"/>
        </w:rPr>
        <w:t>企业污染防治对策及实施计划</w:t>
      </w:r>
      <w:bookmarkEnd w:id="473"/>
      <w:bookmarkEnd w:id="474"/>
      <w:bookmarkEnd w:id="475"/>
      <w:bookmarkEnd w:id="476"/>
      <w:bookmarkEnd w:id="477"/>
      <w:bookmarkEnd w:id="478"/>
      <w:bookmarkEnd w:id="479"/>
      <w:bookmarkEnd w:id="480"/>
      <w:bookmarkEnd w:id="481"/>
      <w:bookmarkEnd w:id="482"/>
      <w:bookmarkEnd w:id="483"/>
      <w:bookmarkEnd w:id="484"/>
    </w:p>
    <w:p>
      <w:pPr>
        <w:pStyle w:val="5"/>
        <w:spacing w:line="500" w:lineRule="exact"/>
        <w:ind w:firstLine="490" w:firstLineChars="200"/>
      </w:pPr>
      <w:r>
        <w:t>根据环保措施应与建设项目同时设计、同时施工、同时使用的“三同时”要求，拟建项目污染治理措施及本报告提出的改进措施应在项目初步设计阶段落实，以利于切实实施。此外，在设计实施的同时建设单位应考虑环保设施的自身建设特点，如建设周期、工程整体性等基本要求，进行统筹安排。建设单位防治对策实施计划见表7-2。</w:t>
      </w:r>
    </w:p>
    <w:p>
      <w:pPr>
        <w:pStyle w:val="5"/>
        <w:spacing w:line="500" w:lineRule="exact"/>
        <w:ind w:firstLine="490" w:firstLineChars="200"/>
      </w:pPr>
    </w:p>
    <w:p>
      <w:pPr>
        <w:pStyle w:val="5"/>
        <w:spacing w:line="500" w:lineRule="exact"/>
        <w:ind w:firstLine="490" w:firstLineChars="200"/>
      </w:pPr>
    </w:p>
    <w:p>
      <w:pPr>
        <w:pStyle w:val="5"/>
        <w:spacing w:line="500" w:lineRule="exact"/>
        <w:ind w:firstLine="490" w:firstLineChars="200"/>
      </w:pPr>
    </w:p>
    <w:p>
      <w:pPr>
        <w:pStyle w:val="5"/>
        <w:spacing w:line="500" w:lineRule="exact"/>
        <w:ind w:firstLine="490" w:firstLineChars="200"/>
      </w:pPr>
    </w:p>
    <w:p>
      <w:pPr>
        <w:pStyle w:val="5"/>
        <w:numPr>
          <w:ilvl w:val="0"/>
          <w:numId w:val="47"/>
        </w:numPr>
        <w:spacing w:line="500" w:lineRule="exact"/>
        <w:ind w:left="0" w:firstLine="0"/>
        <w:jc w:val="center"/>
        <w:outlineLvl w:val="4"/>
        <w:rPr>
          <w:b/>
        </w:rPr>
      </w:pPr>
      <w:r>
        <w:rPr>
          <w:b/>
        </w:rPr>
        <w:t>企业防治对策实施计划</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6254"/>
        <w:gridCol w:w="844"/>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100"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类别</w:t>
            </w:r>
          </w:p>
        </w:tc>
        <w:tc>
          <w:tcPr>
            <w:tcW w:w="6254"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减缓措施</w:t>
            </w:r>
          </w:p>
        </w:tc>
        <w:tc>
          <w:tcPr>
            <w:tcW w:w="844"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设计、实施机构</w:t>
            </w:r>
          </w:p>
        </w:tc>
        <w:tc>
          <w:tcPr>
            <w:tcW w:w="795"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负责机构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废气</w:t>
            </w:r>
          </w:p>
        </w:tc>
        <w:tc>
          <w:tcPr>
            <w:tcW w:w="6254" w:type="dxa"/>
            <w:vAlign w:val="center"/>
          </w:tcPr>
          <w:p>
            <w:pPr>
              <w:adjustRightInd w:val="0"/>
              <w:snapToGrid w:val="0"/>
              <w:jc w:val="left"/>
              <w:rPr>
                <w:rFonts w:ascii="Arial" w:hAnsi="Arial" w:eastAsia="宋体" w:cs="Arial"/>
                <w:sz w:val="21"/>
                <w:szCs w:val="21"/>
              </w:rPr>
            </w:pPr>
            <w:r>
              <w:rPr>
                <w:rFonts w:ascii="Arial" w:hAnsi="Arial" w:eastAsia="宋体" w:cs="Arial"/>
                <w:sz w:val="21"/>
                <w:szCs w:val="21"/>
              </w:rPr>
              <w:t>1、</w:t>
            </w:r>
            <w:r>
              <w:rPr>
                <w:rFonts w:hint="eastAsia" w:ascii="Arial" w:hAnsi="Arial" w:eastAsia="宋体" w:cs="Arial"/>
                <w:sz w:val="21"/>
                <w:szCs w:val="21"/>
              </w:rPr>
              <w:t>合成反应废气、压滤废气一同经吸收塔处理，经1根20m高排气筒（DA145）排放</w:t>
            </w:r>
            <w:r>
              <w:rPr>
                <w:rFonts w:ascii="Arial" w:hAnsi="Arial" w:eastAsia="宋体" w:cs="Arial"/>
                <w:sz w:val="21"/>
                <w:szCs w:val="21"/>
              </w:rPr>
              <w:t>；</w:t>
            </w:r>
          </w:p>
          <w:p>
            <w:pPr>
              <w:adjustRightInd w:val="0"/>
              <w:snapToGrid w:val="0"/>
              <w:jc w:val="left"/>
              <w:rPr>
                <w:rFonts w:ascii="Arial" w:hAnsi="Arial" w:eastAsia="宋体" w:cs="Arial"/>
                <w:sz w:val="21"/>
                <w:szCs w:val="21"/>
              </w:rPr>
            </w:pPr>
            <w:r>
              <w:rPr>
                <w:rFonts w:ascii="Arial" w:hAnsi="Arial" w:eastAsia="宋体" w:cs="Arial"/>
                <w:sz w:val="21"/>
                <w:szCs w:val="21"/>
              </w:rPr>
              <w:t>2、</w:t>
            </w:r>
            <w:r>
              <w:rPr>
                <w:rFonts w:hint="eastAsia" w:ascii="Arial" w:hAnsi="Arial" w:eastAsia="宋体" w:cs="Arial"/>
                <w:sz w:val="21"/>
                <w:szCs w:val="21"/>
              </w:rPr>
              <w:t>烘干粉尘、破碎粉尘、包装粉尘一同经布袋除尘器、吸收塔处理后通过1根20m高排气筒（DA146）排放。</w:t>
            </w:r>
          </w:p>
        </w:tc>
        <w:tc>
          <w:tcPr>
            <w:tcW w:w="844" w:type="dxa"/>
            <w:vMerge w:val="restart"/>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企业环保部门</w:t>
            </w:r>
          </w:p>
        </w:tc>
        <w:tc>
          <w:tcPr>
            <w:tcW w:w="795" w:type="dxa"/>
            <w:vMerge w:val="restart"/>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广西中伟新能源科技有限公司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废水</w:t>
            </w:r>
          </w:p>
        </w:tc>
        <w:tc>
          <w:tcPr>
            <w:tcW w:w="6254" w:type="dxa"/>
            <w:vAlign w:val="center"/>
          </w:tcPr>
          <w:p>
            <w:pPr>
              <w:adjustRightInd w:val="0"/>
              <w:snapToGrid w:val="0"/>
              <w:jc w:val="left"/>
              <w:rPr>
                <w:rFonts w:ascii="Arial" w:hAnsi="Arial" w:eastAsia="宋体" w:cs="Arial"/>
                <w:sz w:val="21"/>
                <w:szCs w:val="21"/>
              </w:rPr>
            </w:pPr>
            <w:r>
              <w:rPr>
                <w:rFonts w:hint="eastAsia" w:ascii="Arial" w:hAnsi="Arial" w:eastAsia="宋体" w:cs="Arial"/>
                <w:sz w:val="21"/>
                <w:szCs w:val="21"/>
              </w:rPr>
              <w:t>生产废水在X19车间经板框压滤预处理后，通过管道泵入S7污水处理车间，经脱氨、陶瓷膜过滤处理后，通过管道泵入S8、S9污水处理车间，经4#~12#MVR处理，MVR处理后的开路母液通过管道泵入厂区综合污水处理站，经臭氧催化氧化处理后，</w:t>
            </w:r>
            <w:r>
              <w:rPr>
                <w:rFonts w:ascii="Arial" w:hAnsi="Arial" w:eastAsia="宋体" w:cs="Arial"/>
                <w:sz w:val="21"/>
                <w:szCs w:val="21"/>
              </w:rPr>
              <w:t>与纯水站浓水一同排入厂区总排口，近期依托大榄坪污水处理厂排海管道排入A2排污区，远期待大榄坪污水处理厂升级改造完成后排入大榄坪污水处理厂处理。</w:t>
            </w:r>
          </w:p>
        </w:tc>
        <w:tc>
          <w:tcPr>
            <w:tcW w:w="844" w:type="dxa"/>
            <w:vMerge w:val="continue"/>
            <w:vAlign w:val="center"/>
          </w:tcPr>
          <w:p>
            <w:pPr>
              <w:topLinePunct/>
              <w:adjustRightInd w:val="0"/>
              <w:snapToGrid w:val="0"/>
              <w:jc w:val="center"/>
              <w:rPr>
                <w:rFonts w:ascii="Arial" w:hAnsi="Arial" w:eastAsia="宋体" w:cs="Arial"/>
                <w:sz w:val="21"/>
                <w:szCs w:val="21"/>
                <w:highlight w:val="yellow"/>
              </w:rPr>
            </w:pPr>
          </w:p>
        </w:tc>
        <w:tc>
          <w:tcPr>
            <w:tcW w:w="795" w:type="dxa"/>
            <w:vMerge w:val="continue"/>
            <w:vAlign w:val="center"/>
          </w:tcPr>
          <w:p>
            <w:pPr>
              <w:adjustRightInd w:val="0"/>
              <w:snapToGrid w:val="0"/>
              <w:jc w:val="center"/>
              <w:rPr>
                <w:rFonts w:ascii="Arial" w:hAnsi="Arial" w:eastAsia="宋体" w:cs="Arial"/>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adjustRightInd w:val="0"/>
              <w:snapToGrid w:val="0"/>
              <w:jc w:val="center"/>
              <w:rPr>
                <w:rFonts w:ascii="Arial" w:hAnsi="Arial" w:eastAsia="宋体" w:cs="Arial"/>
                <w:kern w:val="0"/>
                <w:sz w:val="21"/>
                <w:szCs w:val="21"/>
              </w:rPr>
            </w:pPr>
            <w:r>
              <w:rPr>
                <w:rFonts w:ascii="Arial" w:hAnsi="Arial" w:eastAsia="宋体" w:cs="Arial"/>
                <w:kern w:val="0"/>
                <w:sz w:val="21"/>
                <w:szCs w:val="21"/>
              </w:rPr>
              <w:t>固废</w:t>
            </w:r>
          </w:p>
        </w:tc>
        <w:tc>
          <w:tcPr>
            <w:tcW w:w="6254" w:type="dxa"/>
            <w:vAlign w:val="center"/>
          </w:tcPr>
          <w:p>
            <w:pPr>
              <w:adjustRightInd w:val="0"/>
              <w:snapToGrid w:val="0"/>
              <w:jc w:val="left"/>
              <w:rPr>
                <w:rFonts w:ascii="Arial" w:hAnsi="Arial" w:eastAsia="宋体" w:cs="Arial"/>
                <w:sz w:val="21"/>
                <w:szCs w:val="21"/>
              </w:rPr>
            </w:pPr>
            <w:r>
              <w:rPr>
                <w:rFonts w:ascii="Arial" w:hAnsi="Arial" w:eastAsia="宋体" w:cs="Arial"/>
                <w:sz w:val="21"/>
                <w:szCs w:val="21"/>
              </w:rPr>
              <w:t>废润滑油按危废委托具有相应处置资质的单位处理。</w:t>
            </w:r>
          </w:p>
        </w:tc>
        <w:tc>
          <w:tcPr>
            <w:tcW w:w="844" w:type="dxa"/>
            <w:vMerge w:val="continue"/>
            <w:vAlign w:val="center"/>
          </w:tcPr>
          <w:p>
            <w:pPr>
              <w:topLinePunct/>
              <w:adjustRightInd w:val="0"/>
              <w:snapToGrid w:val="0"/>
              <w:jc w:val="center"/>
              <w:rPr>
                <w:rFonts w:ascii="Arial" w:hAnsi="Arial" w:eastAsia="宋体" w:cs="Arial"/>
                <w:sz w:val="21"/>
                <w:szCs w:val="21"/>
                <w:highlight w:val="yellow"/>
              </w:rPr>
            </w:pPr>
          </w:p>
        </w:tc>
        <w:tc>
          <w:tcPr>
            <w:tcW w:w="795" w:type="dxa"/>
            <w:vMerge w:val="continue"/>
            <w:vAlign w:val="center"/>
          </w:tcPr>
          <w:p>
            <w:pPr>
              <w:adjustRightInd w:val="0"/>
              <w:snapToGrid w:val="0"/>
              <w:jc w:val="center"/>
              <w:rPr>
                <w:rFonts w:ascii="Arial" w:hAnsi="Arial" w:eastAsia="宋体" w:cs="Arial"/>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噪声</w:t>
            </w:r>
          </w:p>
        </w:tc>
        <w:tc>
          <w:tcPr>
            <w:tcW w:w="6254" w:type="dxa"/>
            <w:vAlign w:val="center"/>
          </w:tcPr>
          <w:p>
            <w:pPr>
              <w:topLinePunct/>
              <w:adjustRightInd w:val="0"/>
              <w:snapToGrid w:val="0"/>
              <w:rPr>
                <w:rFonts w:ascii="Arial" w:hAnsi="Arial" w:eastAsia="宋体" w:cs="Arial"/>
                <w:sz w:val="21"/>
                <w:szCs w:val="21"/>
              </w:rPr>
            </w:pPr>
            <w:r>
              <w:rPr>
                <w:rFonts w:ascii="Arial" w:hAnsi="Arial" w:eastAsia="宋体" w:cs="Arial"/>
                <w:spacing w:val="10"/>
                <w:sz w:val="21"/>
                <w:szCs w:val="21"/>
              </w:rPr>
              <w:t>减震、建筑隔声</w:t>
            </w:r>
          </w:p>
        </w:tc>
        <w:tc>
          <w:tcPr>
            <w:tcW w:w="844" w:type="dxa"/>
            <w:vMerge w:val="continue"/>
            <w:vAlign w:val="center"/>
          </w:tcPr>
          <w:p>
            <w:pPr>
              <w:topLinePunct/>
              <w:adjustRightInd w:val="0"/>
              <w:snapToGrid w:val="0"/>
              <w:jc w:val="center"/>
              <w:rPr>
                <w:rFonts w:ascii="Arial" w:hAnsi="Arial" w:eastAsia="宋体" w:cs="Arial"/>
                <w:sz w:val="21"/>
                <w:szCs w:val="21"/>
                <w:highlight w:val="yellow"/>
              </w:rPr>
            </w:pPr>
          </w:p>
        </w:tc>
        <w:tc>
          <w:tcPr>
            <w:tcW w:w="795" w:type="dxa"/>
            <w:vMerge w:val="continue"/>
            <w:vAlign w:val="center"/>
          </w:tcPr>
          <w:p>
            <w:pPr>
              <w:adjustRightInd w:val="0"/>
              <w:snapToGrid w:val="0"/>
              <w:jc w:val="center"/>
              <w:rPr>
                <w:rFonts w:ascii="Arial" w:hAnsi="Arial" w:eastAsia="宋体" w:cs="Arial"/>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6254" w:type="dxa"/>
            <w:vAlign w:val="center"/>
          </w:tcPr>
          <w:p>
            <w:pPr>
              <w:topLinePunct/>
              <w:adjustRightInd w:val="0"/>
              <w:snapToGrid w:val="0"/>
              <w:rPr>
                <w:rFonts w:ascii="Arial" w:hAnsi="Arial" w:eastAsia="宋体" w:cs="Arial"/>
                <w:sz w:val="21"/>
                <w:szCs w:val="21"/>
              </w:rPr>
            </w:pPr>
            <w:r>
              <w:rPr>
                <w:rFonts w:ascii="Arial" w:hAnsi="Arial" w:eastAsia="宋体" w:cs="Arial"/>
                <w:sz w:val="21"/>
                <w:szCs w:val="21"/>
              </w:rPr>
              <w:t>设置分区防渗措施，</w:t>
            </w:r>
            <w:r>
              <w:rPr>
                <w:rFonts w:ascii="Arial" w:hAnsi="Arial" w:eastAsia="宋体" w:cs="Arial"/>
                <w:spacing w:val="10"/>
                <w:sz w:val="21"/>
                <w:szCs w:val="21"/>
              </w:rPr>
              <w:t>设置永久监测井。</w:t>
            </w:r>
          </w:p>
        </w:tc>
        <w:tc>
          <w:tcPr>
            <w:tcW w:w="844" w:type="dxa"/>
            <w:vMerge w:val="continue"/>
            <w:vAlign w:val="center"/>
          </w:tcPr>
          <w:p>
            <w:pPr>
              <w:topLinePunct/>
              <w:adjustRightInd w:val="0"/>
              <w:snapToGrid w:val="0"/>
              <w:jc w:val="center"/>
              <w:rPr>
                <w:rFonts w:ascii="Arial" w:hAnsi="Arial" w:eastAsia="宋体" w:cs="Arial"/>
                <w:sz w:val="21"/>
                <w:szCs w:val="21"/>
                <w:highlight w:val="yellow"/>
              </w:rPr>
            </w:pPr>
          </w:p>
        </w:tc>
        <w:tc>
          <w:tcPr>
            <w:tcW w:w="795" w:type="dxa"/>
            <w:vMerge w:val="continue"/>
            <w:vAlign w:val="center"/>
          </w:tcPr>
          <w:p>
            <w:pPr>
              <w:adjustRightInd w:val="0"/>
              <w:snapToGrid w:val="0"/>
              <w:jc w:val="center"/>
              <w:rPr>
                <w:rFonts w:ascii="Arial" w:hAnsi="Arial" w:eastAsia="宋体" w:cs="Arial"/>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00" w:type="dxa"/>
            <w:vAlign w:val="center"/>
          </w:tcPr>
          <w:p>
            <w:pPr>
              <w:topLinePunct/>
              <w:adjustRightInd w:val="0"/>
              <w:snapToGrid w:val="0"/>
              <w:jc w:val="center"/>
              <w:rPr>
                <w:rFonts w:ascii="Arial" w:hAnsi="Arial" w:eastAsia="宋体" w:cs="Arial"/>
                <w:sz w:val="21"/>
                <w:szCs w:val="21"/>
              </w:rPr>
            </w:pPr>
            <w:r>
              <w:rPr>
                <w:rFonts w:ascii="Arial" w:hAnsi="Arial" w:eastAsia="宋体" w:cs="Arial"/>
                <w:sz w:val="21"/>
                <w:szCs w:val="21"/>
              </w:rPr>
              <w:t>环境监测</w:t>
            </w:r>
          </w:p>
        </w:tc>
        <w:tc>
          <w:tcPr>
            <w:tcW w:w="6254" w:type="dxa"/>
            <w:vAlign w:val="center"/>
          </w:tcPr>
          <w:p>
            <w:pPr>
              <w:topLinePunct/>
              <w:adjustRightInd w:val="0"/>
              <w:snapToGrid w:val="0"/>
              <w:rPr>
                <w:rFonts w:ascii="Arial" w:hAnsi="Arial" w:eastAsia="宋体" w:cs="Arial"/>
                <w:sz w:val="21"/>
                <w:szCs w:val="21"/>
              </w:rPr>
            </w:pPr>
            <w:r>
              <w:rPr>
                <w:rFonts w:ascii="Arial" w:hAnsi="Arial" w:eastAsia="宋体" w:cs="Arial"/>
                <w:sz w:val="21"/>
                <w:szCs w:val="21"/>
              </w:rPr>
              <w:t>按照环境监测技术规范和国家环保部颁布的监测标准、方法执行</w:t>
            </w:r>
          </w:p>
        </w:tc>
        <w:tc>
          <w:tcPr>
            <w:tcW w:w="844" w:type="dxa"/>
            <w:vMerge w:val="continue"/>
            <w:vAlign w:val="center"/>
          </w:tcPr>
          <w:p>
            <w:pPr>
              <w:topLinePunct/>
              <w:adjustRightInd w:val="0"/>
              <w:snapToGrid w:val="0"/>
              <w:jc w:val="center"/>
              <w:rPr>
                <w:rFonts w:ascii="Arial" w:hAnsi="Arial" w:eastAsia="宋体" w:cs="Arial"/>
                <w:sz w:val="21"/>
                <w:szCs w:val="21"/>
                <w:highlight w:val="yellow"/>
              </w:rPr>
            </w:pPr>
          </w:p>
        </w:tc>
        <w:tc>
          <w:tcPr>
            <w:tcW w:w="795" w:type="dxa"/>
            <w:vMerge w:val="continue"/>
            <w:vAlign w:val="center"/>
          </w:tcPr>
          <w:p>
            <w:pPr>
              <w:adjustRightInd w:val="0"/>
              <w:snapToGrid w:val="0"/>
              <w:jc w:val="center"/>
              <w:rPr>
                <w:rFonts w:ascii="Arial" w:hAnsi="Arial" w:eastAsia="宋体" w:cs="Arial"/>
                <w:sz w:val="21"/>
                <w:szCs w:val="21"/>
                <w:highlight w:val="yellow"/>
              </w:rPr>
            </w:pPr>
          </w:p>
        </w:tc>
      </w:tr>
    </w:tbl>
    <w:p>
      <w:pPr>
        <w:pStyle w:val="4"/>
        <w:numPr>
          <w:ilvl w:val="0"/>
          <w:numId w:val="45"/>
        </w:numPr>
        <w:spacing w:before="214" w:beforeLines="50" w:after="214" w:afterLines="50" w:line="500" w:lineRule="exact"/>
        <w:rPr>
          <w:rFonts w:ascii="Arial" w:eastAsia="宋体" w:cs="Arial"/>
          <w:b/>
        </w:rPr>
      </w:pPr>
      <w:bookmarkStart w:id="485" w:name="_Toc186184604"/>
      <w:bookmarkStart w:id="486" w:name="_Toc1742974"/>
      <w:bookmarkStart w:id="487" w:name="_Toc363076768"/>
      <w:bookmarkStart w:id="488" w:name="_Toc327541968"/>
      <w:bookmarkStart w:id="489" w:name="_Toc104677350"/>
      <w:bookmarkStart w:id="490" w:name="_Toc224697732"/>
      <w:bookmarkStart w:id="491" w:name="_Toc185950241"/>
      <w:bookmarkStart w:id="492" w:name="_Toc258555234"/>
      <w:r>
        <w:rPr>
          <w:rFonts w:ascii="Arial" w:eastAsia="宋体" w:cs="Arial"/>
          <w:b/>
        </w:rPr>
        <w:t>环境监测计划</w:t>
      </w:r>
      <w:bookmarkEnd w:id="485"/>
      <w:bookmarkEnd w:id="486"/>
      <w:bookmarkEnd w:id="487"/>
      <w:bookmarkEnd w:id="488"/>
      <w:bookmarkEnd w:id="489"/>
      <w:bookmarkEnd w:id="490"/>
      <w:bookmarkEnd w:id="491"/>
      <w:bookmarkEnd w:id="492"/>
    </w:p>
    <w:p>
      <w:pPr>
        <w:pStyle w:val="5"/>
        <w:spacing w:line="500" w:lineRule="exact"/>
        <w:ind w:firstLine="490" w:firstLineChars="200"/>
      </w:pPr>
      <w:r>
        <w:t>制定环境监测计划的目的是为了监督各项措施的落实，根据监测结果适时调整环境保护行动计划，为环保措施的实施时间和实施方案提供依据。制定的原则是根据预期的、各个时期（施工期或营运期）的主要环境影响。</w:t>
      </w:r>
    </w:p>
    <w:p>
      <w:pPr>
        <w:pStyle w:val="6"/>
        <w:numPr>
          <w:ilvl w:val="0"/>
          <w:numId w:val="48"/>
        </w:numPr>
        <w:tabs>
          <w:tab w:val="clear" w:pos="1789"/>
        </w:tabs>
        <w:spacing w:line="400" w:lineRule="exact"/>
        <w:ind w:left="0" w:firstLine="0"/>
        <w:rPr>
          <w:rFonts w:ascii="Arial" w:hAnsi="Arial" w:eastAsia="宋体" w:cs="Arial"/>
        </w:rPr>
      </w:pPr>
      <w:bookmarkStart w:id="493" w:name="_Toc67921920"/>
      <w:bookmarkStart w:id="494" w:name="_Toc88674827"/>
      <w:bookmarkStart w:id="495" w:name="_Toc104677351"/>
      <w:bookmarkStart w:id="496" w:name="_Toc87124305"/>
      <w:r>
        <w:rPr>
          <w:rFonts w:ascii="Arial" w:hAnsi="Arial" w:eastAsia="宋体" w:cs="Arial"/>
        </w:rPr>
        <w:t>排污口的设置</w:t>
      </w:r>
      <w:bookmarkEnd w:id="493"/>
      <w:bookmarkEnd w:id="494"/>
      <w:bookmarkEnd w:id="495"/>
      <w:bookmarkEnd w:id="496"/>
    </w:p>
    <w:p>
      <w:pPr>
        <w:pStyle w:val="5"/>
        <w:spacing w:line="500" w:lineRule="exact"/>
        <w:ind w:firstLine="490" w:firstLineChars="200"/>
      </w:pPr>
      <w:r>
        <w:t>按照《排污口规范化整治技术要求（试行）》（国家环保局环监〔1996〕470号）规范化设置厂区排污口。</w:t>
      </w:r>
    </w:p>
    <w:p>
      <w:pPr>
        <w:pStyle w:val="5"/>
        <w:spacing w:line="500" w:lineRule="exact"/>
        <w:ind w:firstLine="490" w:firstLineChars="200"/>
      </w:pPr>
      <w:r>
        <w:t>1、废水排污口设置</w:t>
      </w:r>
    </w:p>
    <w:p>
      <w:pPr>
        <w:pStyle w:val="5"/>
        <w:spacing w:line="500" w:lineRule="exact"/>
        <w:ind w:firstLine="490" w:firstLineChars="200"/>
      </w:pPr>
      <w:r>
        <w:t>由于目前园区配套的大榄坪污水处理厂不具备接收处理广西中伟新能源科技有限公司高盐废水的能力，大榄坪污水处理厂正在制定升级改造方案，升级改造期间为过渡期。过渡期企业的生产废水依托大榄坪污水处理厂深海排放管道排入A2排污区；待大榄坪污水处理厂升级改造完成后，生产废水排入大榄坪污水处理厂处理后排海。</w:t>
      </w:r>
    </w:p>
    <w:p>
      <w:pPr>
        <w:pStyle w:val="5"/>
        <w:spacing w:line="500" w:lineRule="exact"/>
        <w:ind w:firstLine="490" w:firstLineChars="200"/>
      </w:pPr>
      <w:r>
        <w:t>厂区已设置1个废水排放口，经处理后的生产废水通过依托大榄坪污水处理厂深海排放管道排至钦州港大榄坪污水深海排放区（GX070D</w:t>
      </w:r>
      <w:r>
        <w:rPr>
          <w:rFonts w:hint="eastAsia" w:ascii="宋体" w:hAnsi="宋体" w:cs="宋体"/>
        </w:rPr>
        <w:t>Ⅳ</w:t>
      </w:r>
      <w:r>
        <w:t>），排放区位置是以E108°39′12.0″、N21°39′15.0″为中心，半径1km的海域，周围设0.5km水质过渡带。</w:t>
      </w:r>
    </w:p>
    <w:p>
      <w:pPr>
        <w:pStyle w:val="5"/>
        <w:spacing w:line="500" w:lineRule="exact"/>
        <w:ind w:firstLine="490" w:firstLineChars="200"/>
      </w:pPr>
      <w:r>
        <w:t>2、废气排污口设置</w:t>
      </w:r>
    </w:p>
    <w:p>
      <w:pPr>
        <w:pStyle w:val="5"/>
        <w:spacing w:line="500" w:lineRule="exact"/>
        <w:ind w:firstLine="490" w:firstLineChars="200"/>
      </w:pPr>
      <w:r>
        <w:t>排气筒应设置便于采样、监测的采样口；采样口的设置应符合《污染源监测技术规范》要求。采样平台应有足够的工作面积，使工作人员安全、方便地操作；环境保护图形标志牌设在排气筒附近地面醒目处。</w:t>
      </w:r>
    </w:p>
    <w:p>
      <w:pPr>
        <w:pStyle w:val="5"/>
        <w:spacing w:line="500" w:lineRule="exact"/>
        <w:ind w:firstLine="490" w:firstLineChars="200"/>
      </w:pPr>
      <w:r>
        <w:t>3、固体废物暂存场所</w:t>
      </w:r>
    </w:p>
    <w:p>
      <w:pPr>
        <w:pStyle w:val="5"/>
        <w:spacing w:line="500" w:lineRule="exact"/>
        <w:ind w:firstLine="490" w:firstLineChars="200"/>
      </w:pPr>
      <w:r>
        <w:t>一般工业固废和危险废物分别设置专用暂存场所，并设置标志牌；危险废物依托现有工程危废暂存间。</w:t>
      </w:r>
    </w:p>
    <w:p>
      <w:pPr>
        <w:pStyle w:val="5"/>
        <w:spacing w:line="500" w:lineRule="exact"/>
        <w:ind w:firstLine="490" w:firstLineChars="200"/>
      </w:pPr>
      <w:r>
        <w:t>4、标志牌要求</w:t>
      </w:r>
    </w:p>
    <w:p>
      <w:pPr>
        <w:pStyle w:val="5"/>
        <w:spacing w:line="500" w:lineRule="exact"/>
        <w:ind w:firstLine="490" w:firstLineChars="200"/>
      </w:pPr>
      <w:r>
        <w:t>排污口(源)和固体废物贮存、处置场所，须按照国家标准《环境保护图形标志》(GB15562.1-1995、GB15562.2-1995)的规定，设置与之相适应的环境保护图形标志牌。环境保护图形标志牌应设置在距排污口(源)及固体废物贮存(处置)场所或采样点较近且醒目处，并能长久保留。</w:t>
      </w:r>
    </w:p>
    <w:p>
      <w:pPr>
        <w:pStyle w:val="6"/>
        <w:numPr>
          <w:ilvl w:val="0"/>
          <w:numId w:val="48"/>
        </w:numPr>
        <w:tabs>
          <w:tab w:val="clear" w:pos="1789"/>
        </w:tabs>
        <w:spacing w:line="400" w:lineRule="exact"/>
        <w:ind w:left="0" w:firstLine="0"/>
        <w:rPr>
          <w:rFonts w:ascii="Arial" w:hAnsi="Arial" w:eastAsia="宋体" w:cs="Arial"/>
        </w:rPr>
      </w:pPr>
      <w:bookmarkStart w:id="497" w:name="_Toc88674828"/>
      <w:bookmarkStart w:id="498" w:name="_Toc104677352"/>
      <w:bookmarkStart w:id="499" w:name="_Toc67921921"/>
      <w:bookmarkStart w:id="500" w:name="_Toc58596507"/>
      <w:bookmarkStart w:id="501" w:name="_Toc87124306"/>
      <w:bookmarkStart w:id="502" w:name="_Toc57715667"/>
      <w:r>
        <w:rPr>
          <w:rFonts w:ascii="Arial" w:hAnsi="Arial" w:eastAsia="宋体" w:cs="Arial"/>
        </w:rPr>
        <w:t>环境监测计划</w:t>
      </w:r>
      <w:bookmarkEnd w:id="497"/>
      <w:bookmarkEnd w:id="498"/>
      <w:bookmarkEnd w:id="499"/>
      <w:bookmarkEnd w:id="500"/>
      <w:bookmarkEnd w:id="501"/>
      <w:bookmarkEnd w:id="502"/>
    </w:p>
    <w:p>
      <w:pPr>
        <w:pStyle w:val="5"/>
        <w:numPr>
          <w:ilvl w:val="0"/>
          <w:numId w:val="49"/>
        </w:numPr>
        <w:spacing w:line="500" w:lineRule="exact"/>
        <w:ind w:left="0" w:firstLine="0"/>
        <w:outlineLvl w:val="3"/>
        <w:rPr>
          <w:b/>
        </w:rPr>
      </w:pPr>
      <w:r>
        <w:rPr>
          <w:b/>
        </w:rPr>
        <w:t>大气自行监测计划</w:t>
      </w:r>
    </w:p>
    <w:p>
      <w:pPr>
        <w:pStyle w:val="5"/>
        <w:spacing w:line="500" w:lineRule="exact"/>
        <w:ind w:firstLine="490" w:firstLineChars="200"/>
      </w:pPr>
      <w:r>
        <w:t>1、有组织废气监测计划</w:t>
      </w:r>
    </w:p>
    <w:p>
      <w:pPr>
        <w:pStyle w:val="5"/>
        <w:spacing w:line="500" w:lineRule="exact"/>
        <w:ind w:firstLine="490" w:firstLineChars="200"/>
      </w:pPr>
      <w:r>
        <w:t>根据《排污单位自行监测技术指南 无机化学工业》（HJ 1138-2020），项目变更后新增的</w:t>
      </w:r>
      <w:r>
        <w:rPr>
          <w:rFonts w:hint="eastAsia"/>
        </w:rPr>
        <w:t>有组织</w:t>
      </w:r>
      <w:r>
        <w:t>废气监测计划见表7-3。</w:t>
      </w:r>
    </w:p>
    <w:p>
      <w:pPr>
        <w:pStyle w:val="5"/>
        <w:numPr>
          <w:ilvl w:val="0"/>
          <w:numId w:val="47"/>
        </w:numPr>
        <w:spacing w:line="500" w:lineRule="exact"/>
        <w:ind w:left="0" w:firstLine="0"/>
        <w:jc w:val="center"/>
        <w:outlineLvl w:val="4"/>
        <w:rPr>
          <w:b/>
        </w:rPr>
      </w:pPr>
      <w:r>
        <w:rPr>
          <w:b/>
        </w:rPr>
        <w:t>新增有组织废气监测计划表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
        <w:gridCol w:w="1538"/>
        <w:gridCol w:w="1086"/>
        <w:gridCol w:w="969"/>
        <w:gridCol w:w="746"/>
        <w:gridCol w:w="1725"/>
        <w:gridCol w:w="2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83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工序</w:t>
            </w:r>
          </w:p>
        </w:tc>
        <w:tc>
          <w:tcPr>
            <w:tcW w:w="153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监测点位</w:t>
            </w:r>
          </w:p>
        </w:tc>
        <w:tc>
          <w:tcPr>
            <w:tcW w:w="10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监测因子</w:t>
            </w:r>
          </w:p>
        </w:tc>
        <w:tc>
          <w:tcPr>
            <w:tcW w:w="96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监测频次</w:t>
            </w:r>
          </w:p>
        </w:tc>
        <w:tc>
          <w:tcPr>
            <w:tcW w:w="74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在线监测要求</w:t>
            </w:r>
          </w:p>
        </w:tc>
        <w:tc>
          <w:tcPr>
            <w:tcW w:w="172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排放口类型</w:t>
            </w:r>
          </w:p>
        </w:tc>
        <w:tc>
          <w:tcPr>
            <w:tcW w:w="209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1"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反应釜、压滤</w:t>
            </w:r>
          </w:p>
        </w:tc>
        <w:tc>
          <w:tcPr>
            <w:tcW w:w="153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DA145反应、洗涤废气排气筒</w:t>
            </w:r>
          </w:p>
        </w:tc>
        <w:tc>
          <w:tcPr>
            <w:tcW w:w="1086" w:type="dxa"/>
            <w:shd w:val="clear" w:color="auto" w:fill="auto"/>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96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1次/</w:t>
            </w:r>
            <w:r>
              <w:rPr>
                <w:rFonts w:hint="eastAsia" w:ascii="Arial" w:hAnsi="Arial" w:eastAsia="宋体" w:cs="Arial"/>
                <w:spacing w:val="10"/>
                <w:sz w:val="21"/>
                <w:szCs w:val="21"/>
              </w:rPr>
              <w:t>季度</w:t>
            </w:r>
          </w:p>
        </w:tc>
        <w:tc>
          <w:tcPr>
            <w:tcW w:w="74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172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一般排放口</w:t>
            </w:r>
          </w:p>
        </w:tc>
        <w:tc>
          <w:tcPr>
            <w:tcW w:w="2098"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《无机化学工业污染物排放标准》（GB31573-2015）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31"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干燥、破碎、包装</w:t>
            </w:r>
          </w:p>
        </w:tc>
        <w:tc>
          <w:tcPr>
            <w:tcW w:w="1538"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DA146干燥、破碎、包装粉尘排气筒</w:t>
            </w:r>
          </w:p>
        </w:tc>
        <w:tc>
          <w:tcPr>
            <w:tcW w:w="108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颗粒物、钴及其化合物</w:t>
            </w:r>
          </w:p>
        </w:tc>
        <w:tc>
          <w:tcPr>
            <w:tcW w:w="969"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1次/半年</w:t>
            </w:r>
          </w:p>
        </w:tc>
        <w:tc>
          <w:tcPr>
            <w:tcW w:w="746" w:type="dxa"/>
            <w:shd w:val="clear" w:color="auto" w:fill="auto"/>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1725" w:type="dxa"/>
            <w:vAlign w:val="center"/>
          </w:tcPr>
          <w:p>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一般排放口</w:t>
            </w:r>
          </w:p>
        </w:tc>
        <w:tc>
          <w:tcPr>
            <w:tcW w:w="2098" w:type="dxa"/>
            <w:vMerge w:val="continue"/>
            <w:vAlign w:val="center"/>
          </w:tcPr>
          <w:p>
            <w:pPr>
              <w:adjustRightInd w:val="0"/>
              <w:snapToGrid w:val="0"/>
              <w:jc w:val="center"/>
              <w:rPr>
                <w:rFonts w:ascii="Arial" w:hAnsi="Arial" w:eastAsia="宋体" w:cs="Arial"/>
                <w:spacing w:val="10"/>
                <w:sz w:val="21"/>
                <w:szCs w:val="21"/>
              </w:rPr>
            </w:pPr>
          </w:p>
        </w:tc>
      </w:tr>
    </w:tbl>
    <w:p>
      <w:pPr>
        <w:pStyle w:val="5"/>
        <w:spacing w:line="500" w:lineRule="exact"/>
        <w:ind w:firstLine="490" w:firstLineChars="200"/>
        <w:rPr>
          <w:u w:val="single"/>
        </w:rPr>
      </w:pPr>
      <w:r>
        <w:rPr>
          <w:u w:val="single"/>
        </w:rPr>
        <w:t>2、无组织废气监测计划</w:t>
      </w:r>
    </w:p>
    <w:p>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1138-2020）制定无组织废气</w:t>
      </w:r>
      <w:r>
        <w:rPr>
          <w:rFonts w:hint="eastAsia"/>
          <w:u w:val="single"/>
        </w:rPr>
        <w:t>监测计划，现有厂界监测计划满足本项目要求，因此</w:t>
      </w:r>
      <w:r>
        <w:rPr>
          <w:u w:val="single"/>
        </w:rPr>
        <w:t>本次评价无需新增无组织废气监测计划</w:t>
      </w:r>
      <w:r>
        <w:rPr>
          <w:rFonts w:hint="eastAsia"/>
          <w:u w:val="single"/>
        </w:rPr>
        <w:t>。</w:t>
      </w:r>
    </w:p>
    <w:p>
      <w:pPr>
        <w:pStyle w:val="5"/>
        <w:numPr>
          <w:ilvl w:val="0"/>
          <w:numId w:val="49"/>
        </w:numPr>
        <w:spacing w:line="500" w:lineRule="exact"/>
        <w:ind w:left="0" w:firstLine="0"/>
        <w:outlineLvl w:val="3"/>
        <w:rPr>
          <w:b/>
        </w:rPr>
      </w:pPr>
      <w:r>
        <w:rPr>
          <w:b/>
        </w:rPr>
        <w:t>废水自行监测计划</w:t>
      </w:r>
    </w:p>
    <w:p>
      <w:pPr>
        <w:pStyle w:val="5"/>
        <w:spacing w:line="500" w:lineRule="exact"/>
        <w:ind w:firstLine="490" w:firstLineChars="200"/>
        <w:rPr>
          <w:u w:val="single"/>
        </w:rPr>
      </w:pPr>
      <w:r>
        <w:rPr>
          <w:rFonts w:hint="eastAsia"/>
          <w:u w:val="single"/>
        </w:rPr>
        <w:t>厂区</w:t>
      </w:r>
      <w:r>
        <w:rPr>
          <w:u w:val="single"/>
        </w:rPr>
        <w:t>废水总排口、生活污水排放口、雨水排放口已依据《排污单位自行监测技术指南 无机化学工业》（HJ 1138-2020）制定废水监测计划，现有</w:t>
      </w:r>
      <w:r>
        <w:rPr>
          <w:rFonts w:hint="eastAsia"/>
          <w:u w:val="single"/>
        </w:rPr>
        <w:t>厂区</w:t>
      </w:r>
      <w:r>
        <w:rPr>
          <w:u w:val="single"/>
        </w:rPr>
        <w:t>废水总排口、生活污水排放口、雨水排放口的</w:t>
      </w:r>
      <w:r>
        <w:rPr>
          <w:rFonts w:hint="eastAsia"/>
          <w:u w:val="single"/>
        </w:rPr>
        <w:t>监测计划满足本项目要求，因此</w:t>
      </w:r>
      <w:r>
        <w:rPr>
          <w:u w:val="single"/>
        </w:rPr>
        <w:t>本次评价无需新增总排口、生活污水排放口、雨水排放口监测计划</w:t>
      </w:r>
      <w:r>
        <w:rPr>
          <w:rFonts w:hint="eastAsia"/>
          <w:u w:val="single"/>
        </w:rPr>
        <w:t>；本项目新增车间排放口废水监测计划，</w:t>
      </w:r>
      <w:r>
        <w:rPr>
          <w:u w:val="single"/>
        </w:rPr>
        <w:t>见表7-</w:t>
      </w:r>
      <w:r>
        <w:rPr>
          <w:rFonts w:hint="eastAsia"/>
          <w:u w:val="single"/>
        </w:rPr>
        <w:t>4</w:t>
      </w:r>
      <w:r>
        <w:rPr>
          <w:u w:val="single"/>
        </w:rPr>
        <w:t>。</w:t>
      </w:r>
    </w:p>
    <w:p>
      <w:pPr>
        <w:pStyle w:val="5"/>
        <w:numPr>
          <w:ilvl w:val="0"/>
          <w:numId w:val="47"/>
        </w:numPr>
        <w:spacing w:line="500" w:lineRule="exact"/>
        <w:ind w:left="0" w:firstLine="0"/>
        <w:jc w:val="center"/>
        <w:outlineLvl w:val="4"/>
        <w:rPr>
          <w:b/>
          <w:u w:val="single"/>
        </w:rPr>
      </w:pPr>
      <w:r>
        <w:rPr>
          <w:b/>
          <w:u w:val="single"/>
        </w:rPr>
        <w:t>新增废水监测计划表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3"/>
        <w:gridCol w:w="1374"/>
        <w:gridCol w:w="1559"/>
        <w:gridCol w:w="3403"/>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853"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监测点位</w:t>
            </w:r>
          </w:p>
        </w:tc>
        <w:tc>
          <w:tcPr>
            <w:tcW w:w="1374" w:type="dxa"/>
            <w:vAlign w:val="center"/>
          </w:tcPr>
          <w:p>
            <w:pPr>
              <w:topLinePunct/>
              <w:autoSpaceDE w:val="0"/>
              <w:autoSpaceDN w:val="0"/>
              <w:adjustRightInd w:val="0"/>
              <w:snapToGrid w:val="0"/>
              <w:jc w:val="center"/>
              <w:rPr>
                <w:rFonts w:ascii="Arial" w:hAnsi="Arial" w:eastAsia="宋体" w:cs="Arial"/>
                <w:sz w:val="21"/>
                <w:szCs w:val="21"/>
                <w:u w:val="single"/>
                <w:lang w:val="zh-CN"/>
              </w:rPr>
            </w:pPr>
            <w:r>
              <w:rPr>
                <w:rFonts w:ascii="Arial" w:hAnsi="Arial" w:eastAsia="宋体" w:cs="Arial"/>
                <w:sz w:val="21"/>
                <w:szCs w:val="21"/>
                <w:u w:val="single"/>
                <w:lang w:val="zh-CN"/>
              </w:rPr>
              <w:t>监测因子</w:t>
            </w:r>
          </w:p>
        </w:tc>
        <w:tc>
          <w:tcPr>
            <w:tcW w:w="1559"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监测频率</w:t>
            </w:r>
          </w:p>
        </w:tc>
        <w:tc>
          <w:tcPr>
            <w:tcW w:w="3403"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执行标准</w:t>
            </w:r>
          </w:p>
        </w:tc>
        <w:tc>
          <w:tcPr>
            <w:tcW w:w="804" w:type="dxa"/>
            <w:vAlign w:val="center"/>
          </w:tcPr>
          <w:p>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853" w:type="dxa"/>
            <w:vAlign w:val="center"/>
          </w:tcPr>
          <w:p>
            <w:pPr>
              <w:topLinePunct/>
              <w:autoSpaceDE w:val="0"/>
              <w:autoSpaceDN w:val="0"/>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羟基钴</w:t>
            </w:r>
            <w:r>
              <w:rPr>
                <w:rFonts w:ascii="Arial" w:hAnsi="Arial" w:eastAsia="宋体" w:cs="Arial"/>
                <w:sz w:val="21"/>
                <w:szCs w:val="21"/>
                <w:u w:val="single"/>
              </w:rPr>
              <w:t>车间处理设施废水排放口</w:t>
            </w:r>
          </w:p>
        </w:tc>
        <w:tc>
          <w:tcPr>
            <w:tcW w:w="1374" w:type="dxa"/>
            <w:tcBorders>
              <w:bottom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lang w:val="zh-CN"/>
              </w:rPr>
            </w:pPr>
            <w:r>
              <w:rPr>
                <w:rFonts w:ascii="Arial" w:hAnsi="Arial" w:eastAsia="宋体" w:cs="Arial"/>
                <w:sz w:val="21"/>
                <w:szCs w:val="21"/>
                <w:u w:val="single"/>
                <w:lang w:val="zh-CN"/>
              </w:rPr>
              <w:t>总钴</w:t>
            </w:r>
          </w:p>
        </w:tc>
        <w:tc>
          <w:tcPr>
            <w:tcW w:w="1559" w:type="dxa"/>
            <w:tcBorders>
              <w:bottom w:val="single" w:color="auto" w:sz="4" w:space="0"/>
            </w:tcBorders>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1次/</w:t>
            </w:r>
            <w:r>
              <w:rPr>
                <w:rFonts w:hint="eastAsia" w:ascii="Arial" w:hAnsi="Arial" w:eastAsia="宋体" w:cs="Arial"/>
                <w:sz w:val="21"/>
                <w:szCs w:val="21"/>
                <w:u w:val="single"/>
              </w:rPr>
              <w:t>半年</w:t>
            </w:r>
          </w:p>
        </w:tc>
        <w:tc>
          <w:tcPr>
            <w:tcW w:w="3403" w:type="dxa"/>
            <w:vAlign w:val="center"/>
          </w:tcPr>
          <w:p>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《无机化学工业污染物排放标准》（GB31573-2015）</w:t>
            </w:r>
          </w:p>
        </w:tc>
        <w:tc>
          <w:tcPr>
            <w:tcW w:w="804" w:type="dxa"/>
            <w:vAlign w:val="center"/>
          </w:tcPr>
          <w:p>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z w:val="21"/>
                <w:szCs w:val="21"/>
                <w:u w:val="single"/>
              </w:rPr>
              <w:t>新增</w:t>
            </w:r>
          </w:p>
        </w:tc>
      </w:tr>
    </w:tbl>
    <w:p>
      <w:pPr>
        <w:pStyle w:val="5"/>
        <w:numPr>
          <w:ilvl w:val="0"/>
          <w:numId w:val="49"/>
        </w:numPr>
        <w:spacing w:line="500" w:lineRule="exact"/>
        <w:ind w:left="0" w:firstLine="0"/>
        <w:outlineLvl w:val="3"/>
        <w:rPr>
          <w:b/>
        </w:rPr>
      </w:pPr>
      <w:r>
        <w:rPr>
          <w:b/>
        </w:rPr>
        <w:t>噪声</w:t>
      </w:r>
    </w:p>
    <w:p>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1138-2020）制定噪声监测计划，现有厂区噪声监测计划满足本项目要求，因此本次评价无需新增噪声监测计划。</w:t>
      </w:r>
    </w:p>
    <w:p>
      <w:pPr>
        <w:pStyle w:val="5"/>
        <w:numPr>
          <w:ilvl w:val="0"/>
          <w:numId w:val="49"/>
        </w:numPr>
        <w:spacing w:line="500" w:lineRule="exact"/>
        <w:ind w:left="0" w:firstLine="0"/>
        <w:outlineLvl w:val="3"/>
        <w:rPr>
          <w:b/>
        </w:rPr>
      </w:pPr>
      <w:r>
        <w:rPr>
          <w:b/>
        </w:rPr>
        <w:t>土壤</w:t>
      </w:r>
    </w:p>
    <w:p>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1138-2020）、《工业企业土壤和地下水自行监测技术指南（试行）》（HJ1209-2021）制定土壤监测计划，现有厂区土壤监测计划</w:t>
      </w:r>
      <w:r>
        <w:rPr>
          <w:rFonts w:hint="eastAsia"/>
          <w:u w:val="single"/>
        </w:rPr>
        <w:t>满足</w:t>
      </w:r>
      <w:r>
        <w:rPr>
          <w:u w:val="single"/>
        </w:rPr>
        <w:t>本项目要求，因此本次评价无需新增土壤监测计划。</w:t>
      </w:r>
    </w:p>
    <w:p>
      <w:pPr>
        <w:pStyle w:val="5"/>
        <w:numPr>
          <w:ilvl w:val="0"/>
          <w:numId w:val="49"/>
        </w:numPr>
        <w:spacing w:line="500" w:lineRule="exact"/>
        <w:ind w:left="0" w:firstLine="0"/>
        <w:outlineLvl w:val="3"/>
        <w:rPr>
          <w:b/>
        </w:rPr>
      </w:pPr>
      <w:r>
        <w:rPr>
          <w:b/>
        </w:rPr>
        <w:t>地下水环境监测计划</w:t>
      </w:r>
    </w:p>
    <w:p>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1138-2020）、《工业企业土壤和地下水自行监测技术指南（试行）》（HJ1209-2021）制定地下水监测计划，现有厂区地下水监测计划已满足本项目要求，因此本次评价无需新增地下水监测计划。</w:t>
      </w:r>
    </w:p>
    <w:p>
      <w:pPr>
        <w:pStyle w:val="5"/>
        <w:numPr>
          <w:ilvl w:val="0"/>
          <w:numId w:val="49"/>
        </w:numPr>
        <w:spacing w:line="500" w:lineRule="exact"/>
        <w:ind w:left="0" w:firstLine="0"/>
        <w:outlineLvl w:val="3"/>
        <w:rPr>
          <w:b/>
        </w:rPr>
      </w:pPr>
      <w:r>
        <w:rPr>
          <w:b/>
        </w:rPr>
        <w:t>海洋质量监测计划</w:t>
      </w:r>
    </w:p>
    <w:p>
      <w:pPr>
        <w:pStyle w:val="5"/>
        <w:spacing w:line="500" w:lineRule="exact"/>
        <w:ind w:firstLine="490" w:firstLineChars="200"/>
        <w:rPr>
          <w:b/>
          <w:u w:val="single"/>
        </w:rPr>
      </w:pPr>
      <w:bookmarkStart w:id="503" w:name="_Toc228613733"/>
      <w:bookmarkStart w:id="504" w:name="_Toc67921922"/>
      <w:bookmarkStart w:id="505" w:name="_Toc183011881"/>
      <w:bookmarkStart w:id="506" w:name="_Toc87124307"/>
      <w:bookmarkStart w:id="507" w:name="_Toc57715668"/>
      <w:bookmarkStart w:id="508" w:name="_Toc58596508"/>
      <w:bookmarkStart w:id="509" w:name="_Toc88674829"/>
      <w:bookmarkStart w:id="510" w:name="_Toc104677353"/>
      <w:bookmarkStart w:id="511" w:name="_Toc157479215"/>
      <w:r>
        <w:rPr>
          <w:rFonts w:hint="eastAsia"/>
          <w:u w:val="single"/>
        </w:rPr>
        <w:t>厂区</w:t>
      </w:r>
      <w:r>
        <w:rPr>
          <w:u w:val="single"/>
        </w:rPr>
        <w:t>已依据《排污单位自行监测技术指南 无机化学工业》（HJ 1138-2020）制定海洋质量监测计划，现有厂区海洋质量监测计划满足本项目要求，因此本次评价无需新增海洋质量监测计划。</w:t>
      </w:r>
    </w:p>
    <w:p>
      <w:pPr>
        <w:pStyle w:val="6"/>
        <w:numPr>
          <w:ilvl w:val="0"/>
          <w:numId w:val="48"/>
        </w:numPr>
        <w:tabs>
          <w:tab w:val="clear" w:pos="1789"/>
        </w:tabs>
        <w:spacing w:line="400" w:lineRule="exact"/>
        <w:ind w:left="0" w:firstLine="0"/>
        <w:rPr>
          <w:rFonts w:ascii="Arial" w:hAnsi="Arial" w:eastAsia="宋体" w:cs="Arial"/>
        </w:rPr>
      </w:pPr>
      <w:r>
        <w:rPr>
          <w:rFonts w:ascii="Arial" w:hAnsi="Arial" w:eastAsia="宋体" w:cs="Arial"/>
        </w:rPr>
        <w:t>环境监控程序</w:t>
      </w:r>
      <w:bookmarkEnd w:id="503"/>
      <w:bookmarkEnd w:id="504"/>
      <w:bookmarkEnd w:id="505"/>
      <w:bookmarkEnd w:id="506"/>
      <w:bookmarkEnd w:id="507"/>
      <w:bookmarkEnd w:id="508"/>
      <w:bookmarkEnd w:id="509"/>
      <w:bookmarkEnd w:id="510"/>
      <w:bookmarkEnd w:id="511"/>
    </w:p>
    <w:p>
      <w:pPr>
        <w:pStyle w:val="5"/>
        <w:spacing w:line="500" w:lineRule="exact"/>
        <w:ind w:firstLine="490" w:firstLineChars="200"/>
      </w:pPr>
      <w:r>
        <w:t>根据项目特征，结合同类项目的运行管理经验及环境管理体系的要求，建设单位应拟订工程在建设期、运营期的环境监控程序。环境监控程序的内容应包括如下方面：</w:t>
      </w:r>
    </w:p>
    <w:p>
      <w:pPr>
        <w:pStyle w:val="5"/>
        <w:spacing w:line="500" w:lineRule="exact"/>
        <w:ind w:firstLine="490" w:firstLineChars="200"/>
      </w:pPr>
      <w:r>
        <w:t>1、设立专门的环境管理机构，资金和人员的保证。</w:t>
      </w:r>
    </w:p>
    <w:p>
      <w:pPr>
        <w:pStyle w:val="5"/>
        <w:spacing w:line="500" w:lineRule="exact"/>
        <w:ind w:firstLine="490" w:firstLineChars="200"/>
      </w:pPr>
      <w:r>
        <w:t>2、根据施工计划和本环评中的具体内容，制定针对拟建工程的环境管理制度、环境监测方案、培训计划、污染防治措施。</w:t>
      </w:r>
    </w:p>
    <w:p>
      <w:pPr>
        <w:pStyle w:val="5"/>
        <w:spacing w:line="500" w:lineRule="exact"/>
        <w:ind w:firstLine="490" w:firstLineChars="200"/>
      </w:pPr>
      <w:r>
        <w:t>3、按要求组织培训，确保全体人员环境意识、操作能力的要求，包括采用上述污染防治措施的技能培训。</w:t>
      </w:r>
    </w:p>
    <w:p>
      <w:pPr>
        <w:pStyle w:val="5"/>
        <w:spacing w:line="500" w:lineRule="exact"/>
        <w:ind w:firstLine="490" w:firstLineChars="200"/>
      </w:pPr>
      <w:r>
        <w:t>4、明确分工，责任落实到人，按计划进行日常管理（包括现场监督检查），对拟建工程的环境影响实施监控。</w:t>
      </w:r>
    </w:p>
    <w:p>
      <w:pPr>
        <w:pStyle w:val="5"/>
        <w:spacing w:line="500" w:lineRule="exact"/>
        <w:ind w:firstLine="490" w:firstLineChars="200"/>
      </w:pPr>
      <w:r>
        <w:t>5、建立良好的信息交流渠道，尤其对可能产生的居民投诉应建立有效的响应途径。</w:t>
      </w:r>
    </w:p>
    <w:p>
      <w:pPr>
        <w:pStyle w:val="5"/>
        <w:spacing w:line="500" w:lineRule="exact"/>
        <w:ind w:firstLine="490" w:firstLineChars="200"/>
      </w:pPr>
      <w:r>
        <w:t>6、组织各相关监测单位按监测计划实施定期监测，并将监测结果及时上报有关部门。</w:t>
      </w:r>
    </w:p>
    <w:p>
      <w:pPr>
        <w:pStyle w:val="5"/>
        <w:spacing w:line="500" w:lineRule="exact"/>
        <w:ind w:firstLine="490" w:firstLineChars="200"/>
      </w:pPr>
      <w:r>
        <w:t>7、对建设期和运营期出现的环境违法和或扰民问题及时予以纠正，制定预防措施，必要时修改相关管理办法，适应具体情况的需要。</w:t>
      </w:r>
    </w:p>
    <w:p>
      <w:pPr>
        <w:pStyle w:val="5"/>
        <w:spacing w:line="500" w:lineRule="exact"/>
        <w:ind w:firstLine="490" w:firstLineChars="200"/>
      </w:pPr>
      <w:r>
        <w:t>8、作好环境管理过程中重要记录的管理，如监测报告、居民投诉、限期治理整改单等等。</w:t>
      </w:r>
    </w:p>
    <w:p>
      <w:pPr>
        <w:pStyle w:val="5"/>
        <w:spacing w:line="500" w:lineRule="exact"/>
        <w:ind w:firstLine="490" w:firstLineChars="200"/>
      </w:pPr>
      <w:r>
        <w:t>9、环境管理机构定期对工作的实施予以审查，编制拟建工程环境监控报告上报有关部门。根据环境行政主管部门对拟建工程环境监控报告的审查意见和可能存在的有关环境问题的投诉，对环境管理监控程序的相关部分进行持续改进，以更好地完成环境管理工作。</w:t>
      </w:r>
    </w:p>
    <w:p>
      <w:pPr>
        <w:pStyle w:val="6"/>
        <w:numPr>
          <w:ilvl w:val="0"/>
          <w:numId w:val="48"/>
        </w:numPr>
        <w:tabs>
          <w:tab w:val="clear" w:pos="1789"/>
        </w:tabs>
        <w:spacing w:line="400" w:lineRule="exact"/>
        <w:ind w:left="0" w:firstLine="0"/>
        <w:rPr>
          <w:rFonts w:ascii="Arial" w:hAnsi="Arial" w:eastAsia="宋体" w:cs="Arial"/>
        </w:rPr>
      </w:pPr>
      <w:bookmarkStart w:id="512" w:name="_Toc183011882"/>
      <w:bookmarkStart w:id="513" w:name="_Toc58596509"/>
      <w:bookmarkStart w:id="514" w:name="_Toc88674830"/>
      <w:bookmarkStart w:id="515" w:name="_Toc67921923"/>
      <w:bookmarkStart w:id="516" w:name="_Toc228613734"/>
      <w:bookmarkStart w:id="517" w:name="_Toc87124308"/>
      <w:bookmarkStart w:id="518" w:name="_Toc57715669"/>
      <w:bookmarkStart w:id="519" w:name="_Toc104677354"/>
      <w:bookmarkStart w:id="520" w:name="_Toc157479216"/>
      <w:r>
        <w:rPr>
          <w:rFonts w:ascii="Arial" w:hAnsi="Arial" w:eastAsia="宋体" w:cs="Arial"/>
        </w:rPr>
        <w:t>环境监控报告</w:t>
      </w:r>
      <w:bookmarkEnd w:id="512"/>
      <w:bookmarkEnd w:id="513"/>
      <w:bookmarkEnd w:id="514"/>
      <w:bookmarkEnd w:id="515"/>
      <w:bookmarkEnd w:id="516"/>
      <w:bookmarkEnd w:id="517"/>
      <w:bookmarkEnd w:id="518"/>
      <w:bookmarkEnd w:id="519"/>
      <w:bookmarkEnd w:id="520"/>
    </w:p>
    <w:p>
      <w:pPr>
        <w:pStyle w:val="5"/>
        <w:spacing w:line="500" w:lineRule="exact"/>
        <w:ind w:firstLine="490" w:firstLineChars="200"/>
      </w:pPr>
      <w:r>
        <w:t>项目投入运营后，由环境监测单位定期编制环境监控报告（一般每年1次），主要内容应包括：环境管理机构的设置和变化情况、对环保部门关于前期报告的审查意见的落实情况、监测制度等。</w:t>
      </w:r>
    </w:p>
    <w:p>
      <w:pPr>
        <w:pStyle w:val="4"/>
        <w:numPr>
          <w:ilvl w:val="0"/>
          <w:numId w:val="45"/>
        </w:numPr>
        <w:spacing w:before="214" w:beforeLines="50" w:after="214" w:afterLines="50" w:line="500" w:lineRule="exact"/>
        <w:rPr>
          <w:rFonts w:ascii="Arial" w:eastAsia="宋体" w:cs="Arial"/>
          <w:b/>
        </w:rPr>
      </w:pPr>
      <w:bookmarkStart w:id="521" w:name="_Toc185950242"/>
      <w:bookmarkStart w:id="522" w:name="_Toc363076769"/>
      <w:bookmarkStart w:id="523" w:name="_Toc1742975"/>
      <w:bookmarkStart w:id="524" w:name="_Toc442188286"/>
      <w:bookmarkStart w:id="525" w:name="_Toc104677355"/>
      <w:r>
        <w:rPr>
          <w:rFonts w:ascii="Arial" w:eastAsia="宋体" w:cs="Arial"/>
          <w:b/>
        </w:rPr>
        <w:t>环境监理</w:t>
      </w:r>
      <w:bookmarkEnd w:id="521"/>
      <w:bookmarkEnd w:id="522"/>
      <w:bookmarkEnd w:id="523"/>
      <w:bookmarkEnd w:id="524"/>
      <w:bookmarkEnd w:id="525"/>
    </w:p>
    <w:p>
      <w:pPr>
        <w:pStyle w:val="5"/>
        <w:spacing w:line="500" w:lineRule="exact"/>
        <w:ind w:firstLine="490" w:firstLineChars="200"/>
      </w:pPr>
      <w:r>
        <w:t>本项目已建成完毕，本次评价不再对环境监理提出要求。</w:t>
      </w:r>
    </w:p>
    <w:p>
      <w:pPr>
        <w:pStyle w:val="4"/>
        <w:numPr>
          <w:ilvl w:val="0"/>
          <w:numId w:val="45"/>
        </w:numPr>
        <w:spacing w:before="214" w:beforeLines="50" w:after="214" w:afterLines="50" w:line="500" w:lineRule="exact"/>
        <w:rPr>
          <w:rFonts w:ascii="Arial" w:eastAsia="宋体" w:cs="Arial"/>
          <w:b/>
        </w:rPr>
      </w:pPr>
      <w:bookmarkStart w:id="526" w:name="_Toc185950243"/>
      <w:bookmarkStart w:id="527" w:name="_Toc104677356"/>
      <w:r>
        <w:rPr>
          <w:rFonts w:ascii="Arial" w:eastAsia="宋体" w:cs="Arial"/>
          <w:b/>
        </w:rPr>
        <w:t>运营期环境管理</w:t>
      </w:r>
      <w:bookmarkEnd w:id="526"/>
      <w:bookmarkEnd w:id="527"/>
    </w:p>
    <w:p>
      <w:pPr>
        <w:pStyle w:val="6"/>
        <w:numPr>
          <w:ilvl w:val="0"/>
          <w:numId w:val="50"/>
        </w:numPr>
        <w:tabs>
          <w:tab w:val="clear" w:pos="1789"/>
        </w:tabs>
        <w:spacing w:line="400" w:lineRule="exact"/>
        <w:rPr>
          <w:rFonts w:ascii="Arial" w:hAnsi="Arial" w:eastAsia="宋体" w:cs="Arial"/>
        </w:rPr>
      </w:pPr>
      <w:bookmarkStart w:id="528" w:name="_Toc87124311"/>
      <w:bookmarkStart w:id="529" w:name="_Toc67921926"/>
      <w:bookmarkStart w:id="530" w:name="_Toc104677357"/>
      <w:bookmarkStart w:id="531" w:name="_Toc88674833"/>
      <w:r>
        <w:rPr>
          <w:rFonts w:ascii="Arial" w:hAnsi="Arial" w:eastAsia="宋体" w:cs="Arial"/>
        </w:rPr>
        <w:t>环境管理机构设置</w:t>
      </w:r>
      <w:bookmarkEnd w:id="528"/>
      <w:bookmarkEnd w:id="529"/>
      <w:bookmarkEnd w:id="530"/>
      <w:bookmarkEnd w:id="531"/>
    </w:p>
    <w:p>
      <w:pPr>
        <w:pStyle w:val="5"/>
        <w:spacing w:line="500" w:lineRule="exact"/>
        <w:ind w:firstLine="490" w:firstLineChars="200"/>
      </w:pPr>
      <w:r>
        <w:t>为确保项目建设与当地环境保护的协调发展，必须建立专门的环境管理机构，配备专职人员，负责企业内日常的环境管理、执法监督工作。</w:t>
      </w:r>
    </w:p>
    <w:p>
      <w:pPr>
        <w:pStyle w:val="5"/>
        <w:spacing w:line="500" w:lineRule="exact"/>
        <w:ind w:firstLine="490" w:firstLineChars="200"/>
      </w:pPr>
      <w:r>
        <w:t>根据环境保护要求，制定年度环保计划和指标，把环保指标以责任书的形式层层分解到各责任部门，推动企业把环保指标列入承包合同和岗位责任制中，建立起监控机制。</w:t>
      </w:r>
    </w:p>
    <w:p>
      <w:pPr>
        <w:pStyle w:val="6"/>
        <w:numPr>
          <w:ilvl w:val="0"/>
          <w:numId w:val="50"/>
        </w:numPr>
        <w:tabs>
          <w:tab w:val="clear" w:pos="1789"/>
        </w:tabs>
        <w:spacing w:line="400" w:lineRule="exact"/>
        <w:rPr>
          <w:rFonts w:ascii="Arial" w:hAnsi="Arial" w:eastAsia="宋体" w:cs="Arial"/>
        </w:rPr>
      </w:pPr>
      <w:bookmarkStart w:id="532" w:name="_Toc88674834"/>
      <w:bookmarkStart w:id="533" w:name="_Toc87124312"/>
      <w:bookmarkStart w:id="534" w:name="_Toc67921927"/>
      <w:bookmarkStart w:id="535" w:name="_Toc104677358"/>
      <w:r>
        <w:rPr>
          <w:rFonts w:ascii="Arial" w:hAnsi="Arial" w:eastAsia="宋体" w:cs="Arial"/>
        </w:rPr>
        <w:t>环保制度建设</w:t>
      </w:r>
      <w:bookmarkEnd w:id="532"/>
      <w:bookmarkEnd w:id="533"/>
      <w:bookmarkEnd w:id="534"/>
      <w:bookmarkEnd w:id="535"/>
    </w:p>
    <w:p>
      <w:pPr>
        <w:pStyle w:val="5"/>
        <w:spacing w:line="500" w:lineRule="exact"/>
        <w:ind w:firstLine="490" w:firstLineChars="200"/>
      </w:pPr>
      <w:r>
        <w:rPr>
          <w:rFonts w:hint="eastAsia"/>
        </w:rPr>
        <w:t>1、报告制度</w:t>
      </w:r>
    </w:p>
    <w:p>
      <w:pPr>
        <w:pStyle w:val="5"/>
        <w:spacing w:line="500" w:lineRule="exact"/>
        <w:ind w:firstLine="490" w:firstLineChars="200"/>
      </w:pPr>
      <w:r>
        <w:t>凡实施排污许可证制度的排污单位，应执行月报制度。月报内容主要为污染治理设施的运行情况、污染物排放情况以及污染事故或污染纠纷等，具体要求应按省环保厅制定的重要企业月报表实施。</w:t>
      </w:r>
    </w:p>
    <w:p>
      <w:pPr>
        <w:pStyle w:val="5"/>
        <w:spacing w:line="500" w:lineRule="exact"/>
        <w:ind w:firstLine="490" w:firstLineChars="200"/>
      </w:pPr>
      <w:r>
        <w:t>企业排污发生重大变化、污染治理设施改变或企业改、扩建等都必须报请有审批权限的生态环境部门审批。</w:t>
      </w:r>
    </w:p>
    <w:p>
      <w:pPr>
        <w:pStyle w:val="5"/>
        <w:spacing w:line="500" w:lineRule="exact"/>
        <w:ind w:firstLine="490" w:firstLineChars="200"/>
      </w:pPr>
      <w:r>
        <w:rPr>
          <w:rFonts w:hint="eastAsia"/>
        </w:rPr>
        <w:t>2</w:t>
      </w:r>
      <w:r>
        <w:t>、环保台账制度</w:t>
      </w:r>
    </w:p>
    <w:p>
      <w:pPr>
        <w:pStyle w:val="5"/>
        <w:spacing w:line="500" w:lineRule="exact"/>
        <w:ind w:firstLine="490" w:firstLineChars="200"/>
      </w:pPr>
      <w:r>
        <w:t>厂内需完善记录制度和档案保存制度，有利于环境管理质量的追踪和持续改进；记录和台帐包括设施运行和维护记录，危险废物进出台帐，废水、废气污染物监测台帐，所有化学品使用台帐，突发性事件的处理，调查记录等，妥善保存所有记录、台帐及污染物排放监测资料、环境管理档案资料等。</w:t>
      </w:r>
    </w:p>
    <w:p>
      <w:pPr>
        <w:pStyle w:val="5"/>
        <w:spacing w:line="500" w:lineRule="exact"/>
        <w:ind w:firstLine="490" w:firstLineChars="200"/>
      </w:pPr>
      <w:r>
        <w:rPr>
          <w:rFonts w:hint="eastAsia"/>
        </w:rPr>
        <w:t>3</w:t>
      </w:r>
      <w:r>
        <w:t>、污染治理设施的管理、监控制度</w:t>
      </w:r>
    </w:p>
    <w:p>
      <w:pPr>
        <w:pStyle w:val="5"/>
        <w:spacing w:line="500" w:lineRule="exact"/>
        <w:ind w:firstLine="490" w:firstLineChars="200"/>
      </w:pPr>
      <w:r>
        <w:t>项目建成后，必须确保污染处理设施长期、稳定、有效地运行，不得擅自拆除或者闲置污染处理设施，不得故意不正常使用污染处理设施。污染处理设施的管理必须与生产经营活动一起纳入公司日常管理工作的范畴，落实责任人、操作人员、维修人员、运行经费、设备的备品备件、化学药品和其他原辅材料。同时要建立岗位责任制、制定操作规程、建立管理台帐，对危险废物进厂、存放、处理以及设备运行情况进行日常记录。</w:t>
      </w:r>
    </w:p>
    <w:p>
      <w:pPr>
        <w:pStyle w:val="5"/>
        <w:spacing w:line="500" w:lineRule="exact"/>
        <w:ind w:firstLine="490" w:firstLineChars="200"/>
      </w:pPr>
      <w:r>
        <w:rPr>
          <w:rFonts w:hint="eastAsia"/>
        </w:rPr>
        <w:t>4</w:t>
      </w:r>
      <w:r>
        <w:t>、环保奖惩条例</w:t>
      </w:r>
    </w:p>
    <w:p>
      <w:pPr>
        <w:pStyle w:val="5"/>
        <w:spacing w:line="500" w:lineRule="exact"/>
        <w:ind w:firstLine="490" w:firstLineChars="200"/>
      </w:pPr>
      <w:r>
        <w:t>本项目建设期以及建成后，各级管理人员都应树立保护环境的思想，公司设置环境保护奖惩条例。对爱护环保设施、节能降耗、改善环境者实行奖励；对环保观念淡薄，不按环保要求管理，造成环境设施损坏、环境污染及资源和能源浪费者一律予以重罚。</w:t>
      </w:r>
    </w:p>
    <w:p>
      <w:pPr>
        <w:pStyle w:val="6"/>
        <w:numPr>
          <w:ilvl w:val="0"/>
          <w:numId w:val="50"/>
        </w:numPr>
        <w:tabs>
          <w:tab w:val="clear" w:pos="1789"/>
        </w:tabs>
        <w:spacing w:line="400" w:lineRule="exact"/>
        <w:rPr>
          <w:rFonts w:ascii="Arial" w:hAnsi="Arial" w:eastAsia="宋体" w:cs="Arial"/>
          <w:u w:val="single"/>
        </w:rPr>
      </w:pPr>
      <w:r>
        <w:rPr>
          <w:rFonts w:ascii="Arial" w:hAnsi="Arial" w:eastAsia="宋体" w:cs="Arial"/>
          <w:u w:val="single"/>
        </w:rPr>
        <w:t>排污许可证制度</w:t>
      </w:r>
    </w:p>
    <w:p>
      <w:pPr>
        <w:pStyle w:val="5"/>
        <w:spacing w:line="500" w:lineRule="exact"/>
        <w:ind w:firstLine="490" w:firstLineChars="200"/>
        <w:rPr>
          <w:u w:val="single"/>
        </w:rPr>
      </w:pPr>
      <w:r>
        <w:rPr>
          <w:u w:val="single"/>
        </w:rPr>
        <w:t>1、建设单位应当在项目投入生产或使用并产生实际排污行为之前申请领取排污许可证。</w:t>
      </w:r>
    </w:p>
    <w:p>
      <w:pPr>
        <w:pStyle w:val="5"/>
        <w:spacing w:line="500" w:lineRule="exact"/>
        <w:ind w:firstLine="490" w:firstLineChars="200"/>
        <w:rPr>
          <w:u w:val="single"/>
        </w:rPr>
      </w:pPr>
      <w:r>
        <w:rPr>
          <w:u w:val="single"/>
        </w:rPr>
        <w:t>2、排污单位依法按照排污许可证申请与核发技术规范提交排污许可申请，申报排放污染物种类、排放浓度等，测算并申报污染物排放量。</w:t>
      </w:r>
    </w:p>
    <w:p>
      <w:pPr>
        <w:pStyle w:val="5"/>
        <w:spacing w:line="500" w:lineRule="exact"/>
        <w:ind w:firstLine="490" w:firstLineChars="200"/>
        <w:rPr>
          <w:u w:val="single"/>
        </w:rPr>
      </w:pPr>
      <w:r>
        <w:rPr>
          <w:u w:val="single"/>
        </w:rPr>
        <w:t>3、排污单位应当在国家排污许可证管理信息平台上填报并提交排污许可证申请，同时向有核发权限的生态环境部门提交通过平台印制的书面申请材料。排污单位对申请材料的真实性、合法性、完整性负法律责任。申请材料应当包括：</w:t>
      </w:r>
    </w:p>
    <w:p>
      <w:pPr>
        <w:pStyle w:val="5"/>
        <w:spacing w:line="500" w:lineRule="exact"/>
        <w:ind w:firstLine="490" w:firstLineChars="200"/>
        <w:rPr>
          <w:u w:val="single"/>
        </w:rPr>
      </w:pPr>
      <w:r>
        <w:rPr>
          <w:u w:val="single"/>
        </w:rPr>
        <w:t>（1）排污单位基本信息，主要生产设施、主要产品及产能、主要原辅材料，废气、废水等产排污环节和污染防治设施，申请的排放口位置和数量、排放方式、排放去向，按照排放口和生产设施或者车间申请的排放污染物种类、排放浓度和排放量，执行的排放标准；</w:t>
      </w:r>
    </w:p>
    <w:p>
      <w:pPr>
        <w:pStyle w:val="5"/>
        <w:spacing w:line="500" w:lineRule="exact"/>
        <w:ind w:firstLine="490" w:firstLineChars="200"/>
        <w:rPr>
          <w:u w:val="single"/>
        </w:rPr>
      </w:pPr>
      <w:r>
        <w:rPr>
          <w:u w:val="single"/>
        </w:rPr>
        <w:t>（2）自行监测方案；</w:t>
      </w:r>
    </w:p>
    <w:p>
      <w:pPr>
        <w:pStyle w:val="5"/>
        <w:spacing w:line="500" w:lineRule="exact"/>
        <w:ind w:firstLine="490" w:firstLineChars="200"/>
        <w:rPr>
          <w:u w:val="single"/>
        </w:rPr>
      </w:pPr>
      <w:r>
        <w:rPr>
          <w:u w:val="single"/>
        </w:rPr>
        <w:t>（3）由排污单位法定代表人或者主要负责人签字或者盖章的承诺书；</w:t>
      </w:r>
    </w:p>
    <w:p>
      <w:pPr>
        <w:pStyle w:val="5"/>
        <w:spacing w:line="500" w:lineRule="exact"/>
        <w:ind w:firstLine="490" w:firstLineChars="200"/>
        <w:rPr>
          <w:u w:val="single"/>
        </w:rPr>
      </w:pPr>
      <w:r>
        <w:rPr>
          <w:u w:val="single"/>
        </w:rPr>
        <w:t>（4）排污单位有关排污口规范化的情况说明；</w:t>
      </w:r>
    </w:p>
    <w:p>
      <w:pPr>
        <w:pStyle w:val="5"/>
        <w:spacing w:line="500" w:lineRule="exact"/>
        <w:ind w:firstLine="490" w:firstLineChars="200"/>
        <w:rPr>
          <w:u w:val="single"/>
        </w:rPr>
      </w:pPr>
      <w:r>
        <w:rPr>
          <w:u w:val="single"/>
        </w:rPr>
        <w:t>（5）建设项目环境影响评价文件审批文号，或者按照有关国家规定经地方人民政府依法处理、整顿规范并符合要求的相关证明材料；</w:t>
      </w:r>
    </w:p>
    <w:p>
      <w:pPr>
        <w:pStyle w:val="5"/>
        <w:spacing w:line="500" w:lineRule="exact"/>
        <w:ind w:firstLine="490" w:firstLineChars="200"/>
        <w:rPr>
          <w:u w:val="single"/>
        </w:rPr>
      </w:pPr>
      <w:r>
        <w:rPr>
          <w:u w:val="single"/>
        </w:rPr>
        <w:t>（6）排污许可证申请前信息公开情况说明表；</w:t>
      </w:r>
    </w:p>
    <w:p>
      <w:pPr>
        <w:pStyle w:val="5"/>
        <w:spacing w:line="500" w:lineRule="exact"/>
        <w:ind w:firstLine="490" w:firstLineChars="200"/>
        <w:rPr>
          <w:u w:val="single"/>
        </w:rPr>
      </w:pPr>
      <w:r>
        <w:rPr>
          <w:u w:val="single"/>
        </w:rPr>
        <w:t>（7）污水集中处理设施的经营管理单位还应当提供纳污范围、纳污排污单位名单、管网布置、最终排放去向等材料；</w:t>
      </w:r>
    </w:p>
    <w:p>
      <w:pPr>
        <w:pStyle w:val="5"/>
        <w:spacing w:line="500" w:lineRule="exact"/>
        <w:ind w:firstLine="490" w:firstLineChars="200"/>
        <w:rPr>
          <w:u w:val="single"/>
        </w:rPr>
      </w:pPr>
      <w:r>
        <w:rPr>
          <w:u w:val="single"/>
        </w:rPr>
        <w:t>（8）新建、改建、扩建项目排污单位存在通过污染物排放等量或者减量替代削减获得重点污染物排放总量控制指标情况的，且出让重点污染物排放总量控制指标的排污单位已经取得排污许可证的，应当提供出让重点污染物排放总量控制指标的排污单位的排污许可证完成变更的相关材料。</w:t>
      </w:r>
    </w:p>
    <w:p>
      <w:pPr>
        <w:pStyle w:val="5"/>
        <w:spacing w:line="500" w:lineRule="exact"/>
        <w:ind w:firstLine="490" w:firstLineChars="200"/>
        <w:rPr>
          <w:u w:val="single"/>
        </w:rPr>
      </w:pPr>
      <w:r>
        <w:rPr>
          <w:u w:val="single"/>
        </w:rPr>
        <w:t>建设单位应当严格执行排污许可证的规定，禁止无证排污或不按证排污。2022年1月14日，钦州市生态环境局为中伟公司核发了排污许可证，编号91450706MA5QABFE4T001V。近两年，企业根据相关规定对排污许可证办理了变更申请，2024年8月，钦州市生态环境局核发了最新的排污许可证。</w:t>
      </w:r>
    </w:p>
    <w:p>
      <w:pPr>
        <w:pStyle w:val="5"/>
        <w:spacing w:line="500" w:lineRule="exact"/>
        <w:ind w:firstLine="490" w:firstLineChars="200"/>
        <w:rPr>
          <w:u w:val="single"/>
        </w:rPr>
      </w:pPr>
      <w:r>
        <w:rPr>
          <w:u w:val="single"/>
        </w:rPr>
        <w:t>目前的排污许可证载明的工程内容包括一阶段及二阶段项目（含变更前的MSP生产线）、一体化项目、燃气锅炉项目、氢氧化钴技改项目；尚未填报排污许可的有</w:t>
      </w:r>
      <w:r>
        <w:rPr>
          <w:rFonts w:hint="eastAsia"/>
          <w:u w:val="single"/>
        </w:rPr>
        <w:t>广西中伟新能源项目一期新能源材料一体化项目（即变更火法生产线、MSP生产线）、广西中伟新能源项目一期G21#氨水制备、XII-1#柴油加油站项目（即新增氨水制备生产线、加油站）和本项目（二阶段镍豆镍粉生产线变更为羟基钴生产线）</w:t>
      </w:r>
      <w:r>
        <w:rPr>
          <w:u w:val="single"/>
        </w:rPr>
        <w:t>。本项目批复后，建设单位应及时变更排污许可证，即新增</w:t>
      </w:r>
      <w:r>
        <w:rPr>
          <w:rFonts w:hint="eastAsia"/>
          <w:u w:val="single"/>
        </w:rPr>
        <w:t>氨水制备生产线、加油站，将原来的火法生产线、MSP生产线进行变更，将二阶段镍豆镍粉生产线变更为羟基钴生产线</w:t>
      </w:r>
      <w:r>
        <w:rPr>
          <w:u w:val="single"/>
        </w:rPr>
        <w:t>。同时企业按照排污许可证要求落实管理台账，按时上传执行报告，按排污许可要求开展自行监测并上传系统。</w:t>
      </w:r>
    </w:p>
    <w:p>
      <w:pPr>
        <w:pStyle w:val="6"/>
        <w:numPr>
          <w:ilvl w:val="0"/>
          <w:numId w:val="50"/>
        </w:numPr>
        <w:tabs>
          <w:tab w:val="clear" w:pos="1789"/>
        </w:tabs>
        <w:spacing w:line="400" w:lineRule="exact"/>
        <w:ind w:left="0" w:firstLine="0"/>
        <w:rPr>
          <w:rFonts w:ascii="Arial" w:hAnsi="Arial" w:eastAsia="宋体" w:cs="Arial"/>
        </w:rPr>
      </w:pPr>
      <w:bookmarkStart w:id="536" w:name="_Toc104677359"/>
      <w:r>
        <w:rPr>
          <w:rFonts w:ascii="Arial" w:hAnsi="Arial" w:eastAsia="宋体" w:cs="Arial"/>
        </w:rPr>
        <w:t>污染物总量控制指标</w:t>
      </w:r>
      <w:bookmarkEnd w:id="536"/>
    </w:p>
    <w:p>
      <w:pPr>
        <w:pStyle w:val="5"/>
        <w:adjustRightInd w:val="0"/>
        <w:snapToGrid w:val="0"/>
        <w:spacing w:line="500" w:lineRule="exact"/>
        <w:ind w:firstLine="490" w:firstLineChars="200"/>
      </w:pPr>
      <w:r>
        <w:t>本项目外排废水新增COD</w:t>
      </w:r>
      <w:r>
        <w:rPr>
          <w:rFonts w:hint="eastAsia"/>
        </w:rPr>
        <w:t xml:space="preserve"> 0.1806</w:t>
      </w:r>
      <w:r>
        <w:t>t/a</w:t>
      </w:r>
      <w:r>
        <w:rPr>
          <w:rFonts w:hint="eastAsia"/>
        </w:rPr>
        <w:t>、</w:t>
      </w:r>
      <w:r>
        <w:t>氨氮0.</w:t>
      </w:r>
      <w:r>
        <w:rPr>
          <w:rFonts w:hint="eastAsia"/>
        </w:rPr>
        <w:t>0249</w:t>
      </w:r>
      <w:r>
        <w:t>t/a</w:t>
      </w:r>
      <w:r>
        <w:rPr>
          <w:rFonts w:hint="eastAsia"/>
        </w:rPr>
        <w:t>；</w:t>
      </w:r>
      <w:r>
        <w:t>外排废气不含有机废气、氮氧化物。</w:t>
      </w:r>
    </w:p>
    <w:p>
      <w:pPr>
        <w:pStyle w:val="6"/>
        <w:numPr>
          <w:ilvl w:val="0"/>
          <w:numId w:val="50"/>
        </w:numPr>
        <w:tabs>
          <w:tab w:val="clear" w:pos="1789"/>
        </w:tabs>
        <w:spacing w:line="400" w:lineRule="exact"/>
        <w:ind w:left="0" w:firstLine="0"/>
        <w:rPr>
          <w:rFonts w:ascii="Arial" w:hAnsi="Arial" w:eastAsia="宋体" w:cs="Arial"/>
        </w:rPr>
      </w:pPr>
      <w:bookmarkStart w:id="537" w:name="_Toc67921928"/>
      <w:bookmarkStart w:id="538" w:name="_Toc58596512"/>
      <w:bookmarkStart w:id="539" w:name="_Toc104677360"/>
      <w:bookmarkStart w:id="540" w:name="_Toc87124313"/>
      <w:bookmarkStart w:id="541" w:name="_Toc88674835"/>
      <w:bookmarkStart w:id="542" w:name="_Toc57715672"/>
      <w:r>
        <w:rPr>
          <w:rFonts w:ascii="Arial" w:hAnsi="Arial" w:eastAsia="宋体" w:cs="Arial"/>
        </w:rPr>
        <w:t>项目排放清单以及管理要求</w:t>
      </w:r>
      <w:bookmarkEnd w:id="537"/>
      <w:bookmarkEnd w:id="538"/>
      <w:bookmarkEnd w:id="539"/>
      <w:bookmarkEnd w:id="540"/>
      <w:bookmarkEnd w:id="541"/>
      <w:bookmarkEnd w:id="542"/>
    </w:p>
    <w:p>
      <w:pPr>
        <w:pStyle w:val="5"/>
        <w:spacing w:line="500" w:lineRule="exact"/>
        <w:ind w:firstLine="490" w:firstLineChars="200"/>
      </w:pPr>
      <w:r>
        <w:t>项目主要污染物排放清单以及管理要求见表7-13。</w:t>
      </w:r>
    </w:p>
    <w:p>
      <w:pPr>
        <w:spacing w:line="500" w:lineRule="exact"/>
        <w:ind w:firstLine="450" w:firstLineChars="200"/>
        <w:rPr>
          <w:rFonts w:ascii="Arial" w:hAnsi="Arial" w:eastAsia="宋体" w:cs="Arial"/>
          <w:sz w:val="24"/>
          <w:highlight w:val="yellow"/>
        </w:rPr>
        <w:sectPr>
          <w:pgSz w:w="11907" w:h="16840"/>
          <w:pgMar w:top="1678" w:right="1408" w:bottom="1901" w:left="1155" w:header="1174" w:footer="1029" w:gutter="567"/>
          <w:cols w:space="720" w:num="1"/>
          <w:docGrid w:type="linesAndChars" w:linePitch="428" w:charSpace="-3161"/>
        </w:sectPr>
      </w:pPr>
    </w:p>
    <w:p>
      <w:pPr>
        <w:pStyle w:val="5"/>
        <w:numPr>
          <w:ilvl w:val="0"/>
          <w:numId w:val="47"/>
        </w:numPr>
        <w:spacing w:line="500" w:lineRule="exact"/>
        <w:ind w:left="0" w:firstLine="0"/>
        <w:jc w:val="center"/>
        <w:outlineLvl w:val="4"/>
        <w:rPr>
          <w:b/>
        </w:rPr>
      </w:pPr>
      <w:r>
        <w:rPr>
          <w:b/>
        </w:rPr>
        <w:t>项目主要污染物排放清单及其管理要求</w:t>
      </w:r>
    </w:p>
    <w:tbl>
      <w:tblPr>
        <w:tblStyle w:val="88"/>
        <w:tblW w:w="13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
        <w:gridCol w:w="1527"/>
        <w:gridCol w:w="2092"/>
        <w:gridCol w:w="1418"/>
        <w:gridCol w:w="1844"/>
        <w:gridCol w:w="1418"/>
        <w:gridCol w:w="1130"/>
        <w:gridCol w:w="1135"/>
        <w:gridCol w:w="2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项目</w:t>
            </w:r>
          </w:p>
        </w:tc>
        <w:tc>
          <w:tcPr>
            <w:tcW w:w="1527"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污染源</w:t>
            </w:r>
          </w:p>
        </w:tc>
        <w:tc>
          <w:tcPr>
            <w:tcW w:w="2092"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环保措施</w:t>
            </w:r>
          </w:p>
        </w:tc>
        <w:tc>
          <w:tcPr>
            <w:tcW w:w="4680" w:type="dxa"/>
            <w:gridSpan w:val="3"/>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主要污染物</w:t>
            </w:r>
          </w:p>
        </w:tc>
        <w:tc>
          <w:tcPr>
            <w:tcW w:w="1130"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排放方式</w:t>
            </w:r>
          </w:p>
        </w:tc>
        <w:tc>
          <w:tcPr>
            <w:tcW w:w="1135"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排污口信息</w:t>
            </w:r>
          </w:p>
        </w:tc>
        <w:tc>
          <w:tcPr>
            <w:tcW w:w="2456"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pacing w:val="10"/>
                <w:kern w:val="0"/>
                <w:sz w:val="21"/>
                <w:szCs w:val="21"/>
              </w:rPr>
            </w:pPr>
          </w:p>
        </w:tc>
        <w:tc>
          <w:tcPr>
            <w:tcW w:w="2092" w:type="dxa"/>
            <w:vMerge w:val="continue"/>
            <w:vAlign w:val="center"/>
          </w:tcPr>
          <w:p>
            <w:pPr>
              <w:spacing w:line="240" w:lineRule="exact"/>
              <w:jc w:val="center"/>
              <w:rPr>
                <w:rFonts w:ascii="Arial" w:hAnsi="Arial" w:eastAsia="宋体" w:cs="Arial"/>
                <w:spacing w:val="10"/>
                <w:kern w:val="0"/>
                <w:sz w:val="21"/>
                <w:szCs w:val="21"/>
              </w:rPr>
            </w:pPr>
          </w:p>
        </w:tc>
        <w:tc>
          <w:tcPr>
            <w:tcW w:w="1418"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污染物</w:t>
            </w:r>
          </w:p>
        </w:tc>
        <w:tc>
          <w:tcPr>
            <w:tcW w:w="1844"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排放浓度（废气单位mg/m</w:t>
            </w:r>
            <w:r>
              <w:rPr>
                <w:rFonts w:ascii="Arial" w:hAnsi="Arial" w:eastAsia="宋体" w:cs="Arial"/>
                <w:spacing w:val="10"/>
                <w:kern w:val="0"/>
                <w:sz w:val="21"/>
                <w:szCs w:val="21"/>
                <w:vertAlign w:val="superscript"/>
              </w:rPr>
              <w:t>3</w:t>
            </w:r>
            <w:r>
              <w:rPr>
                <w:rFonts w:ascii="Arial" w:hAnsi="Arial" w:eastAsia="宋体" w:cs="Arial"/>
                <w:spacing w:val="10"/>
                <w:kern w:val="0"/>
                <w:sz w:val="21"/>
                <w:szCs w:val="21"/>
              </w:rPr>
              <w:t>，废水单位mg/L）</w:t>
            </w:r>
          </w:p>
        </w:tc>
        <w:tc>
          <w:tcPr>
            <w:tcW w:w="1418"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排放量（t/a）</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spacing w:val="10"/>
                <w:kern w:val="0"/>
                <w:sz w:val="21"/>
                <w:szCs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废气</w:t>
            </w:r>
          </w:p>
        </w:tc>
        <w:tc>
          <w:tcPr>
            <w:tcW w:w="1527" w:type="dxa"/>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2092"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1418" w:type="dxa"/>
            <w:vAlign w:val="center"/>
          </w:tcPr>
          <w:p>
            <w:pPr>
              <w:pStyle w:val="470"/>
              <w:rPr>
                <w:rFonts w:ascii="Arial" w:hAnsi="Arial" w:cs="Arial"/>
                <w:sz w:val="21"/>
                <w:szCs w:val="21"/>
              </w:rPr>
            </w:pPr>
            <w:r>
              <w:rPr>
                <w:rFonts w:ascii="Arial" w:hAnsi="Arial" w:cs="Arial"/>
                <w:sz w:val="21"/>
                <w:szCs w:val="21"/>
              </w:rPr>
              <w:t>氨气</w:t>
            </w:r>
          </w:p>
        </w:tc>
        <w:tc>
          <w:tcPr>
            <w:tcW w:w="1844"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1418" w:type="dxa"/>
            <w:vAlign w:val="center"/>
          </w:tcPr>
          <w:p>
            <w:pPr>
              <w:pStyle w:val="5"/>
              <w:adjustRightInd w:val="0"/>
              <w:snapToGrid w:val="0"/>
              <w:spacing w:line="240" w:lineRule="auto"/>
              <w:ind w:firstLine="0"/>
              <w:jc w:val="center"/>
              <w:rPr>
                <w:sz w:val="21"/>
                <w:szCs w:val="21"/>
              </w:rPr>
            </w:pPr>
            <w:r>
              <w:rPr>
                <w:rFonts w:hint="eastAsia"/>
                <w:sz w:val="21"/>
                <w:szCs w:val="21"/>
              </w:rPr>
              <w:t>2.1239</w:t>
            </w:r>
          </w:p>
        </w:tc>
        <w:tc>
          <w:tcPr>
            <w:tcW w:w="1130"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1135"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2456"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restart"/>
            <w:vAlign w:val="center"/>
          </w:tcPr>
          <w:p>
            <w:pPr>
              <w:adjustRightInd w:val="0"/>
              <w:snapToGrid w:val="0"/>
              <w:jc w:val="center"/>
              <w:rPr>
                <w:rFonts w:ascii="Arial" w:hAnsi="Arial" w:eastAsia="宋体" w:cs="Arial"/>
                <w:sz w:val="21"/>
                <w:szCs w:val="24"/>
              </w:rPr>
            </w:pPr>
            <w:r>
              <w:rPr>
                <w:rFonts w:hint="eastAsia" w:ascii="Arial" w:hAnsi="Arial" w:eastAsia="宋体" w:cs="Arial"/>
                <w:sz w:val="21"/>
                <w:szCs w:val="24"/>
              </w:rPr>
              <w:t>烘干粉尘、破碎粉尘、包装粉尘</w:t>
            </w:r>
          </w:p>
        </w:tc>
        <w:tc>
          <w:tcPr>
            <w:tcW w:w="2092" w:type="dxa"/>
            <w:vMerge w:val="restart"/>
            <w:vAlign w:val="center"/>
          </w:tcPr>
          <w:p>
            <w:pPr>
              <w:adjustRightInd w:val="0"/>
              <w:snapToGrid w:val="0"/>
              <w:jc w:val="center"/>
              <w:rPr>
                <w:rFonts w:ascii="Arial" w:hAnsi="Arial" w:eastAsia="宋体" w:cs="Arial"/>
                <w:spacing w:val="10"/>
                <w:sz w:val="21"/>
                <w:szCs w:val="21"/>
              </w:rPr>
            </w:pPr>
            <w:r>
              <w:rPr>
                <w:rFonts w:ascii="Arial" w:hAnsi="Arial" w:eastAsia="宋体" w:cs="Arial"/>
                <w:kern w:val="0"/>
                <w:sz w:val="21"/>
              </w:rPr>
              <w:t>布袋除尘器</w:t>
            </w:r>
            <w:r>
              <w:rPr>
                <w:rFonts w:hint="eastAsia" w:ascii="Arial" w:hAnsi="Arial" w:eastAsia="宋体" w:cs="Arial"/>
                <w:kern w:val="0"/>
                <w:sz w:val="21"/>
              </w:rPr>
              <w:t>+</w:t>
            </w:r>
            <w:r>
              <w:rPr>
                <w:rFonts w:ascii="Arial" w:hAnsi="Arial" w:eastAsia="宋体" w:cs="Arial"/>
                <w:kern w:val="0"/>
                <w:sz w:val="21"/>
              </w:rPr>
              <w:t>吸收塔</w:t>
            </w:r>
          </w:p>
        </w:tc>
        <w:tc>
          <w:tcPr>
            <w:tcW w:w="1418" w:type="dxa"/>
            <w:vAlign w:val="center"/>
          </w:tcPr>
          <w:p>
            <w:pPr>
              <w:pStyle w:val="470"/>
              <w:rPr>
                <w:rFonts w:ascii="Arial" w:hAnsi="Arial" w:cs="Arial"/>
                <w:sz w:val="21"/>
                <w:szCs w:val="21"/>
              </w:rPr>
            </w:pPr>
            <w:r>
              <w:rPr>
                <w:rFonts w:hint="eastAsia" w:ascii="Arial" w:hAnsi="Arial" w:cs="Arial"/>
                <w:sz w:val="21"/>
                <w:szCs w:val="21"/>
              </w:rPr>
              <w:t>颗粒物</w:t>
            </w:r>
          </w:p>
        </w:tc>
        <w:tc>
          <w:tcPr>
            <w:tcW w:w="1844"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1418"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130"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1135" w:type="dxa"/>
            <w:vMerge w:val="restart"/>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pacing w:val="10"/>
                <w:kern w:val="0"/>
                <w:sz w:val="21"/>
                <w:szCs w:val="21"/>
              </w:rPr>
            </w:pPr>
          </w:p>
        </w:tc>
        <w:tc>
          <w:tcPr>
            <w:tcW w:w="2092" w:type="dxa"/>
            <w:vMerge w:val="continue"/>
            <w:vAlign w:val="center"/>
          </w:tcPr>
          <w:p>
            <w:pPr>
              <w:spacing w:line="240" w:lineRule="exact"/>
              <w:jc w:val="center"/>
              <w:rPr>
                <w:rFonts w:ascii="Arial" w:hAnsi="Arial" w:eastAsia="宋体" w:cs="Arial"/>
                <w:spacing w:val="10"/>
                <w:kern w:val="0"/>
                <w:sz w:val="21"/>
                <w:szCs w:val="21"/>
              </w:rPr>
            </w:pPr>
          </w:p>
        </w:tc>
        <w:tc>
          <w:tcPr>
            <w:tcW w:w="1418" w:type="dxa"/>
            <w:vAlign w:val="center"/>
          </w:tcPr>
          <w:p>
            <w:pPr>
              <w:pStyle w:val="470"/>
              <w:rPr>
                <w:rFonts w:ascii="Arial" w:hAnsi="Arial" w:cs="Arial"/>
                <w:sz w:val="21"/>
                <w:szCs w:val="21"/>
              </w:rPr>
            </w:pPr>
            <w:r>
              <w:rPr>
                <w:rFonts w:hint="eastAsia" w:ascii="Arial" w:hAnsi="Arial" w:cs="Arial"/>
                <w:sz w:val="21"/>
                <w:szCs w:val="21"/>
              </w:rPr>
              <w:t>钴</w:t>
            </w:r>
          </w:p>
        </w:tc>
        <w:tc>
          <w:tcPr>
            <w:tcW w:w="1844" w:type="dxa"/>
            <w:vAlign w:val="center"/>
          </w:tcPr>
          <w:p>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1418" w:type="dxa"/>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spacing w:val="10"/>
                <w:kern w:val="0"/>
                <w:sz w:val="21"/>
                <w:szCs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污水处理废气</w:t>
            </w:r>
          </w:p>
        </w:tc>
        <w:tc>
          <w:tcPr>
            <w:tcW w:w="2092" w:type="dxa"/>
            <w:vAlign w:val="center"/>
          </w:tcPr>
          <w:p>
            <w:pPr>
              <w:adjustRightInd w:val="0"/>
              <w:snapToGrid w:val="0"/>
              <w:jc w:val="center"/>
              <w:rPr>
                <w:rFonts w:ascii="Arial" w:hAnsi="Arial" w:eastAsia="宋体" w:cs="Arial"/>
                <w:kern w:val="0"/>
                <w:sz w:val="21"/>
              </w:rPr>
            </w:pPr>
            <w:r>
              <w:rPr>
                <w:rFonts w:ascii="Arial" w:hAnsi="Arial" w:eastAsia="宋体" w:cs="Arial"/>
                <w:kern w:val="0"/>
                <w:sz w:val="21"/>
              </w:rPr>
              <w:t>吸收塔</w:t>
            </w:r>
          </w:p>
        </w:tc>
        <w:tc>
          <w:tcPr>
            <w:tcW w:w="1418" w:type="dxa"/>
            <w:vAlign w:val="center"/>
          </w:tcPr>
          <w:p>
            <w:pPr>
              <w:pStyle w:val="470"/>
              <w:rPr>
                <w:rFonts w:ascii="Arial" w:hAnsi="Arial" w:cs="Arial"/>
                <w:sz w:val="21"/>
                <w:szCs w:val="21"/>
              </w:rPr>
            </w:pPr>
            <w:r>
              <w:rPr>
                <w:rFonts w:ascii="Arial" w:hAnsi="Arial" w:cs="Arial"/>
                <w:sz w:val="21"/>
                <w:szCs w:val="21"/>
              </w:rPr>
              <w:t>氨气</w:t>
            </w:r>
          </w:p>
        </w:tc>
        <w:tc>
          <w:tcPr>
            <w:tcW w:w="1844" w:type="dxa"/>
            <w:vAlign w:val="center"/>
          </w:tcPr>
          <w:p>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1418" w:type="dxa"/>
            <w:vAlign w:val="center"/>
          </w:tcPr>
          <w:p>
            <w:pPr>
              <w:pStyle w:val="5"/>
              <w:adjustRightInd w:val="0"/>
              <w:snapToGrid w:val="0"/>
              <w:spacing w:line="240" w:lineRule="auto"/>
              <w:ind w:firstLine="0"/>
              <w:jc w:val="center"/>
              <w:rPr>
                <w:sz w:val="21"/>
                <w:szCs w:val="21"/>
              </w:rPr>
            </w:pPr>
            <w:r>
              <w:rPr>
                <w:rFonts w:hint="eastAsia"/>
                <w:sz w:val="21"/>
                <w:szCs w:val="21"/>
              </w:rPr>
              <w:t>0.0369</w:t>
            </w:r>
          </w:p>
        </w:tc>
        <w:tc>
          <w:tcPr>
            <w:tcW w:w="1130"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1135" w:type="dxa"/>
            <w:vAlign w:val="center"/>
          </w:tcPr>
          <w:p>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废水</w:t>
            </w:r>
          </w:p>
        </w:tc>
        <w:tc>
          <w:tcPr>
            <w:tcW w:w="1527" w:type="dxa"/>
            <w:vMerge w:val="restart"/>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生产</w:t>
            </w:r>
            <w:r>
              <w:rPr>
                <w:rFonts w:ascii="Arial" w:hAnsi="Arial" w:eastAsia="宋体" w:cs="Arial"/>
                <w:sz w:val="21"/>
                <w:szCs w:val="21"/>
              </w:rPr>
              <w:t>废水</w:t>
            </w:r>
          </w:p>
        </w:tc>
        <w:tc>
          <w:tcPr>
            <w:tcW w:w="2092" w:type="dxa"/>
            <w:vMerge w:val="restart"/>
            <w:vAlign w:val="center"/>
          </w:tcPr>
          <w:p>
            <w:pPr>
              <w:spacing w:line="240" w:lineRule="exact"/>
              <w:jc w:val="center"/>
              <w:rPr>
                <w:rFonts w:ascii="Arial" w:hAnsi="Arial" w:eastAsia="宋体" w:cs="Arial"/>
                <w:kern w:val="0"/>
                <w:sz w:val="21"/>
              </w:rPr>
            </w:pPr>
            <w:r>
              <w:rPr>
                <w:rFonts w:ascii="Arial" w:hAnsi="Arial" w:eastAsia="宋体" w:cs="Arial"/>
                <w:kern w:val="0"/>
                <w:sz w:val="21"/>
              </w:rPr>
              <w:t>板框压滤+</w:t>
            </w:r>
            <w:r>
              <w:rPr>
                <w:rFonts w:hint="eastAsia" w:ascii="Arial" w:hAnsi="Arial" w:eastAsia="宋体" w:cs="Arial"/>
                <w:kern w:val="0"/>
                <w:sz w:val="21"/>
              </w:rPr>
              <w:t>汽提脱氨+陶瓷膜过滤</w:t>
            </w:r>
            <w:r>
              <w:rPr>
                <w:rFonts w:ascii="Arial" w:hAnsi="Arial" w:eastAsia="宋体" w:cs="Arial"/>
                <w:kern w:val="0"/>
                <w:sz w:val="21"/>
              </w:rPr>
              <w:t>+MVR+树脂除重+臭氧催化氧化</w:t>
            </w:r>
          </w:p>
        </w:tc>
        <w:tc>
          <w:tcPr>
            <w:tcW w:w="141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1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38.5</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1130"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1135" w:type="dxa"/>
            <w:vMerge w:val="restart"/>
            <w:vAlign w:val="center"/>
          </w:tcPr>
          <w:p>
            <w:pPr>
              <w:spacing w:line="240" w:lineRule="exact"/>
              <w:jc w:val="center"/>
              <w:rPr>
                <w:rFonts w:ascii="Arial" w:hAnsi="Arial" w:eastAsia="宋体" w:cs="Arial"/>
                <w:kern w:val="0"/>
                <w:sz w:val="21"/>
              </w:rPr>
            </w:pPr>
            <w:r>
              <w:rPr>
                <w:rFonts w:ascii="Arial" w:hAnsi="Arial" w:eastAsia="宋体" w:cs="Arial"/>
                <w:kern w:val="0"/>
                <w:sz w:val="21"/>
              </w:rPr>
              <w:t>总排口</w:t>
            </w:r>
          </w:p>
        </w:tc>
        <w:tc>
          <w:tcPr>
            <w:tcW w:w="2456"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z w:val="21"/>
                <w:szCs w:val="21"/>
              </w:rPr>
            </w:pPr>
          </w:p>
        </w:tc>
        <w:tc>
          <w:tcPr>
            <w:tcW w:w="2092" w:type="dxa"/>
            <w:vMerge w:val="continue"/>
            <w:vAlign w:val="center"/>
          </w:tcPr>
          <w:p>
            <w:pPr>
              <w:spacing w:line="240" w:lineRule="exact"/>
              <w:jc w:val="center"/>
              <w:rPr>
                <w:rFonts w:ascii="Arial" w:hAnsi="Arial" w:eastAsia="宋体" w:cs="Arial"/>
                <w:kern w:val="0"/>
                <w:sz w:val="21"/>
              </w:rPr>
            </w:pPr>
          </w:p>
        </w:tc>
        <w:tc>
          <w:tcPr>
            <w:tcW w:w="141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1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5.3</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kern w:val="0"/>
                <w:sz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z w:val="21"/>
                <w:szCs w:val="21"/>
              </w:rPr>
            </w:pPr>
          </w:p>
        </w:tc>
        <w:tc>
          <w:tcPr>
            <w:tcW w:w="2092" w:type="dxa"/>
            <w:vMerge w:val="continue"/>
            <w:vAlign w:val="center"/>
          </w:tcPr>
          <w:p>
            <w:pPr>
              <w:spacing w:line="240" w:lineRule="exact"/>
              <w:jc w:val="center"/>
              <w:rPr>
                <w:rFonts w:ascii="Arial" w:hAnsi="Arial" w:eastAsia="宋体" w:cs="Arial"/>
                <w:kern w:val="0"/>
                <w:sz w:val="21"/>
              </w:rPr>
            </w:pPr>
          </w:p>
        </w:tc>
        <w:tc>
          <w:tcPr>
            <w:tcW w:w="141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1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18360</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86.1084</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kern w:val="0"/>
                <w:sz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z w:val="21"/>
                <w:szCs w:val="21"/>
              </w:rPr>
            </w:pPr>
          </w:p>
        </w:tc>
        <w:tc>
          <w:tcPr>
            <w:tcW w:w="2092" w:type="dxa"/>
            <w:vMerge w:val="continue"/>
            <w:vAlign w:val="center"/>
          </w:tcPr>
          <w:p>
            <w:pPr>
              <w:spacing w:line="240" w:lineRule="exact"/>
              <w:jc w:val="center"/>
              <w:rPr>
                <w:rFonts w:ascii="Arial" w:hAnsi="Arial" w:eastAsia="宋体" w:cs="Arial"/>
                <w:kern w:val="0"/>
                <w:sz w:val="21"/>
              </w:rPr>
            </w:pPr>
          </w:p>
        </w:tc>
        <w:tc>
          <w:tcPr>
            <w:tcW w:w="1418"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1844"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0.13</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kern w:val="0"/>
                <w:sz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restart"/>
            <w:vAlign w:val="center"/>
          </w:tcPr>
          <w:p>
            <w:pPr>
              <w:spacing w:line="240" w:lineRule="exact"/>
              <w:jc w:val="center"/>
              <w:rPr>
                <w:rFonts w:ascii="Arial" w:hAnsi="Arial" w:eastAsia="宋体" w:cs="Arial"/>
                <w:sz w:val="21"/>
                <w:szCs w:val="21"/>
              </w:rPr>
            </w:pPr>
            <w:r>
              <w:rPr>
                <w:rFonts w:hint="eastAsia" w:ascii="Arial" w:hAnsi="Arial" w:eastAsia="宋体" w:cs="Arial"/>
                <w:sz w:val="21"/>
                <w:szCs w:val="21"/>
              </w:rPr>
              <w:t>纯水站</w:t>
            </w:r>
            <w:r>
              <w:rPr>
                <w:rFonts w:ascii="Arial" w:hAnsi="Arial" w:eastAsia="宋体" w:cs="Arial"/>
                <w:sz w:val="21"/>
                <w:szCs w:val="21"/>
              </w:rPr>
              <w:t>浓水</w:t>
            </w:r>
          </w:p>
        </w:tc>
        <w:tc>
          <w:tcPr>
            <w:tcW w:w="2092" w:type="dxa"/>
            <w:vMerge w:val="restart"/>
            <w:vAlign w:val="center"/>
          </w:tcPr>
          <w:p>
            <w:pPr>
              <w:spacing w:line="240" w:lineRule="exact"/>
              <w:jc w:val="center"/>
              <w:rPr>
                <w:rFonts w:ascii="Arial" w:hAnsi="Arial" w:eastAsia="宋体" w:cs="Arial"/>
                <w:kern w:val="0"/>
                <w:sz w:val="21"/>
              </w:rPr>
            </w:pPr>
            <w:r>
              <w:rPr>
                <w:rFonts w:hint="eastAsia" w:ascii="Arial" w:hAnsi="Arial" w:eastAsia="宋体" w:cs="Arial"/>
                <w:kern w:val="0"/>
                <w:sz w:val="21"/>
              </w:rPr>
              <w:t>无</w:t>
            </w:r>
          </w:p>
        </w:tc>
        <w:tc>
          <w:tcPr>
            <w:tcW w:w="1418"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1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4.2728</w:t>
            </w:r>
          </w:p>
        </w:tc>
        <w:tc>
          <w:tcPr>
            <w:tcW w:w="1130"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1135" w:type="dxa"/>
            <w:vMerge w:val="restart"/>
            <w:vAlign w:val="center"/>
          </w:tcPr>
          <w:p>
            <w:pPr>
              <w:spacing w:line="240" w:lineRule="exact"/>
              <w:jc w:val="center"/>
              <w:rPr>
                <w:rFonts w:ascii="Arial" w:hAnsi="Arial" w:eastAsia="宋体" w:cs="Arial"/>
                <w:kern w:val="0"/>
                <w:sz w:val="21"/>
              </w:rPr>
            </w:pPr>
            <w:r>
              <w:rPr>
                <w:rFonts w:ascii="Arial" w:hAnsi="Arial" w:eastAsia="宋体" w:cs="Arial"/>
                <w:kern w:val="0"/>
                <w:sz w:val="21"/>
              </w:rPr>
              <w:t>总排口</w:t>
            </w:r>
          </w:p>
        </w:tc>
        <w:tc>
          <w:tcPr>
            <w:tcW w:w="2456"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z w:val="21"/>
                <w:szCs w:val="21"/>
              </w:rPr>
            </w:pPr>
          </w:p>
        </w:tc>
        <w:tc>
          <w:tcPr>
            <w:tcW w:w="2092" w:type="dxa"/>
            <w:vMerge w:val="continue"/>
            <w:vAlign w:val="center"/>
          </w:tcPr>
          <w:p>
            <w:pPr>
              <w:spacing w:line="240" w:lineRule="exact"/>
              <w:jc w:val="center"/>
              <w:rPr>
                <w:rFonts w:ascii="Arial" w:hAnsi="Arial" w:eastAsia="宋体" w:cs="Arial"/>
                <w:kern w:val="0"/>
                <w:sz w:val="21"/>
              </w:rPr>
            </w:pPr>
          </w:p>
        </w:tc>
        <w:tc>
          <w:tcPr>
            <w:tcW w:w="1418"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1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1418" w:type="dxa"/>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kern w:val="0"/>
                <w:sz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Merge w:val="continue"/>
            <w:vAlign w:val="center"/>
          </w:tcPr>
          <w:p>
            <w:pPr>
              <w:spacing w:line="240" w:lineRule="exact"/>
              <w:jc w:val="center"/>
              <w:rPr>
                <w:rFonts w:ascii="Arial" w:hAnsi="Arial" w:eastAsia="宋体" w:cs="Arial"/>
                <w:sz w:val="21"/>
                <w:szCs w:val="21"/>
              </w:rPr>
            </w:pPr>
          </w:p>
        </w:tc>
        <w:tc>
          <w:tcPr>
            <w:tcW w:w="2092" w:type="dxa"/>
            <w:vMerge w:val="continue"/>
            <w:vAlign w:val="center"/>
          </w:tcPr>
          <w:p>
            <w:pPr>
              <w:spacing w:line="240" w:lineRule="exact"/>
              <w:jc w:val="center"/>
              <w:rPr>
                <w:rFonts w:ascii="Arial" w:hAnsi="Arial" w:eastAsia="宋体" w:cs="Arial"/>
                <w:kern w:val="0"/>
                <w:sz w:val="21"/>
              </w:rPr>
            </w:pPr>
          </w:p>
        </w:tc>
        <w:tc>
          <w:tcPr>
            <w:tcW w:w="1418" w:type="dxa"/>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844" w:type="dxa"/>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1418" w:type="dxa"/>
            <w:vAlign w:val="center"/>
          </w:tcPr>
          <w:p>
            <w:pPr>
              <w:adjustRightInd w:val="0"/>
              <w:snapToGrid w:val="0"/>
              <w:jc w:val="center"/>
              <w:rPr>
                <w:rFonts w:ascii="Arial" w:hAnsi="Arial" w:cs="Arial"/>
                <w:sz w:val="21"/>
                <w:szCs w:val="21"/>
              </w:rPr>
            </w:pPr>
            <w:r>
              <w:rPr>
                <w:rFonts w:hint="eastAsia" w:ascii="Arial" w:hAnsi="Arial" w:cs="Arial"/>
                <w:sz w:val="21"/>
                <w:szCs w:val="21"/>
              </w:rPr>
              <w:t>5.5547</w:t>
            </w:r>
          </w:p>
        </w:tc>
        <w:tc>
          <w:tcPr>
            <w:tcW w:w="1130" w:type="dxa"/>
            <w:vMerge w:val="continue"/>
            <w:vAlign w:val="center"/>
          </w:tcPr>
          <w:p>
            <w:pPr>
              <w:spacing w:line="240" w:lineRule="exact"/>
              <w:jc w:val="center"/>
              <w:rPr>
                <w:rFonts w:ascii="Arial" w:hAnsi="Arial" w:eastAsia="宋体" w:cs="Arial"/>
                <w:spacing w:val="10"/>
                <w:kern w:val="0"/>
                <w:sz w:val="21"/>
                <w:szCs w:val="21"/>
              </w:rPr>
            </w:pPr>
          </w:p>
        </w:tc>
        <w:tc>
          <w:tcPr>
            <w:tcW w:w="1135" w:type="dxa"/>
            <w:vMerge w:val="continue"/>
            <w:vAlign w:val="center"/>
          </w:tcPr>
          <w:p>
            <w:pPr>
              <w:spacing w:line="240" w:lineRule="exact"/>
              <w:jc w:val="center"/>
              <w:rPr>
                <w:rFonts w:ascii="Arial" w:hAnsi="Arial" w:eastAsia="宋体" w:cs="Arial"/>
                <w:kern w:val="0"/>
                <w:sz w:val="21"/>
              </w:rPr>
            </w:pPr>
          </w:p>
        </w:tc>
        <w:tc>
          <w:tcPr>
            <w:tcW w:w="2456" w:type="dxa"/>
            <w:vMerge w:val="continue"/>
            <w:vAlign w:val="center"/>
          </w:tcPr>
          <w:p>
            <w:pPr>
              <w:spacing w:line="240" w:lineRule="exact"/>
              <w:jc w:val="center"/>
              <w:rPr>
                <w:rFonts w:ascii="Arial" w:hAnsi="Arial" w:eastAsia="宋体" w:cs="Arial"/>
                <w:spacing w:val="1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restart"/>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固体废物</w:t>
            </w:r>
          </w:p>
        </w:tc>
        <w:tc>
          <w:tcPr>
            <w:tcW w:w="1527" w:type="dxa"/>
            <w:vAlign w:val="center"/>
          </w:tcPr>
          <w:p>
            <w:pPr>
              <w:spacing w:line="0" w:lineRule="atLeast"/>
              <w:jc w:val="center"/>
              <w:rPr>
                <w:rFonts w:ascii="Arial" w:hAnsi="Arial" w:eastAsia="宋体" w:cs="Arial"/>
                <w:sz w:val="21"/>
                <w:szCs w:val="21"/>
              </w:rPr>
            </w:pPr>
            <w:r>
              <w:rPr>
                <w:rFonts w:ascii="Arial" w:hAnsi="Arial" w:eastAsia="宋体" w:cs="Arial"/>
                <w:kern w:val="0"/>
                <w:sz w:val="21"/>
                <w:szCs w:val="21"/>
              </w:rPr>
              <w:t>废润滑油</w:t>
            </w:r>
          </w:p>
        </w:tc>
        <w:tc>
          <w:tcPr>
            <w:tcW w:w="2092"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委托处理</w:t>
            </w:r>
          </w:p>
        </w:tc>
        <w:tc>
          <w:tcPr>
            <w:tcW w:w="1418"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1844"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1418" w:type="dxa"/>
            <w:vAlign w:val="center"/>
          </w:tcPr>
          <w:p>
            <w:pPr>
              <w:spacing w:line="0" w:lineRule="atLeast"/>
              <w:jc w:val="center"/>
              <w:rPr>
                <w:rFonts w:ascii="Arial" w:hAnsi="Arial" w:eastAsia="宋体" w:cs="Arial"/>
                <w:sz w:val="21"/>
                <w:szCs w:val="21"/>
              </w:rPr>
            </w:pPr>
            <w:r>
              <w:rPr>
                <w:rFonts w:hint="eastAsia" w:ascii="Arial" w:hAnsi="Arial" w:eastAsia="宋体" w:cs="Arial"/>
                <w:kern w:val="0"/>
                <w:sz w:val="21"/>
                <w:szCs w:val="21"/>
              </w:rPr>
              <w:t>0.5</w:t>
            </w:r>
          </w:p>
        </w:tc>
        <w:tc>
          <w:tcPr>
            <w:tcW w:w="1130"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1135"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2456" w:type="dxa"/>
            <w:vAlign w:val="center"/>
          </w:tcPr>
          <w:p>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《危险废物贮存污染控制标准》（GB18597-2023）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Align w:val="center"/>
          </w:tcPr>
          <w:p>
            <w:pPr>
              <w:spacing w:line="0" w:lineRule="atLeast"/>
              <w:jc w:val="center"/>
              <w:rPr>
                <w:rFonts w:ascii="Arial" w:hAnsi="Arial" w:eastAsia="宋体" w:cs="Arial"/>
                <w:kern w:val="0"/>
                <w:sz w:val="21"/>
                <w:szCs w:val="21"/>
              </w:rPr>
            </w:pPr>
            <w:r>
              <w:rPr>
                <w:rFonts w:hint="eastAsia" w:ascii="Arial" w:hAnsi="Arial" w:eastAsia="宋体" w:cs="Arial"/>
                <w:sz w:val="21"/>
                <w:szCs w:val="21"/>
              </w:rPr>
              <w:t>过滤膜</w:t>
            </w:r>
          </w:p>
        </w:tc>
        <w:tc>
          <w:tcPr>
            <w:tcW w:w="2092" w:type="dxa"/>
            <w:vAlign w:val="center"/>
          </w:tcPr>
          <w:p>
            <w:pPr>
              <w:spacing w:line="0" w:lineRule="atLeast"/>
              <w:jc w:val="center"/>
              <w:rPr>
                <w:rFonts w:ascii="Arial" w:hAnsi="Arial" w:eastAsia="宋体" w:cs="Arial"/>
                <w:sz w:val="21"/>
                <w:szCs w:val="21"/>
              </w:rPr>
            </w:pPr>
            <w:r>
              <w:rPr>
                <w:rFonts w:ascii="Arial" w:hAnsi="Arial" w:eastAsia="宋体" w:cs="Arial"/>
                <w:sz w:val="21"/>
                <w:szCs w:val="21"/>
              </w:rPr>
              <w:t>委托处理</w:t>
            </w:r>
          </w:p>
        </w:tc>
        <w:tc>
          <w:tcPr>
            <w:tcW w:w="1418"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1844"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1418" w:type="dxa"/>
            <w:vAlign w:val="center"/>
          </w:tcPr>
          <w:p>
            <w:pPr>
              <w:spacing w:line="0" w:lineRule="atLeast"/>
              <w:jc w:val="center"/>
              <w:rPr>
                <w:rFonts w:ascii="Arial" w:hAnsi="Arial" w:eastAsia="宋体" w:cs="Arial"/>
                <w:kern w:val="0"/>
                <w:sz w:val="21"/>
                <w:szCs w:val="21"/>
              </w:rPr>
            </w:pPr>
            <w:r>
              <w:rPr>
                <w:rFonts w:hint="eastAsia" w:ascii="Arial" w:hAnsi="Arial" w:eastAsia="宋体" w:cs="Arial"/>
                <w:kern w:val="0"/>
                <w:sz w:val="21"/>
                <w:szCs w:val="21"/>
              </w:rPr>
              <w:t>0.05</w:t>
            </w:r>
          </w:p>
        </w:tc>
        <w:tc>
          <w:tcPr>
            <w:tcW w:w="1130"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1135"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2456"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w:t>
            </w:r>
          </w:p>
        </w:tc>
        <w:tc>
          <w:tcPr>
            <w:tcW w:w="2092" w:type="dxa"/>
            <w:vAlign w:val="center"/>
          </w:tcPr>
          <w:p>
            <w:pPr>
              <w:spacing w:line="0" w:lineRule="atLeast"/>
              <w:jc w:val="center"/>
              <w:rPr>
                <w:rFonts w:ascii="Arial" w:hAnsi="Arial" w:eastAsia="宋体" w:cs="Arial"/>
                <w:sz w:val="21"/>
                <w:szCs w:val="21"/>
                <w:u w:val="single"/>
              </w:rPr>
            </w:pPr>
            <w:r>
              <w:rPr>
                <w:rFonts w:ascii="Arial" w:hAnsi="Arial" w:eastAsia="宋体" w:cs="Arial"/>
                <w:sz w:val="21"/>
                <w:szCs w:val="21"/>
                <w:u w:val="single"/>
              </w:rPr>
              <w:t>废包装袋生产线回用</w:t>
            </w:r>
          </w:p>
        </w:tc>
        <w:tc>
          <w:tcPr>
            <w:tcW w:w="1418" w:type="dxa"/>
            <w:vAlign w:val="center"/>
          </w:tcPr>
          <w:p>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1844" w:type="dxa"/>
            <w:vAlign w:val="center"/>
          </w:tcPr>
          <w:p>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1418" w:type="dxa"/>
            <w:vAlign w:val="center"/>
          </w:tcPr>
          <w:p>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29.57</w:t>
            </w:r>
          </w:p>
        </w:tc>
        <w:tc>
          <w:tcPr>
            <w:tcW w:w="1130"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1135"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2456"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spacing w:line="240" w:lineRule="exact"/>
              <w:jc w:val="center"/>
              <w:rPr>
                <w:rFonts w:ascii="Arial" w:hAnsi="Arial" w:eastAsia="宋体" w:cs="Arial"/>
                <w:spacing w:val="10"/>
                <w:kern w:val="0"/>
                <w:sz w:val="21"/>
                <w:szCs w:val="21"/>
              </w:rPr>
            </w:pPr>
          </w:p>
        </w:tc>
        <w:tc>
          <w:tcPr>
            <w:tcW w:w="1527" w:type="dxa"/>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w:t>
            </w:r>
          </w:p>
        </w:tc>
        <w:tc>
          <w:tcPr>
            <w:tcW w:w="2092" w:type="dxa"/>
            <w:vAlign w:val="center"/>
          </w:tcPr>
          <w:p>
            <w:pPr>
              <w:spacing w:line="0" w:lineRule="atLeast"/>
              <w:jc w:val="center"/>
              <w:rPr>
                <w:rFonts w:ascii="Arial" w:hAnsi="Arial" w:eastAsia="宋体" w:cs="Arial"/>
                <w:sz w:val="21"/>
                <w:szCs w:val="21"/>
                <w:u w:val="single"/>
              </w:rPr>
            </w:pPr>
            <w:r>
              <w:rPr>
                <w:rFonts w:ascii="Arial" w:hAnsi="Arial" w:eastAsia="宋体" w:cs="Arial"/>
                <w:sz w:val="21"/>
                <w:szCs w:val="21"/>
                <w:u w:val="single"/>
              </w:rPr>
              <w:t>返回车间回用</w:t>
            </w:r>
          </w:p>
        </w:tc>
        <w:tc>
          <w:tcPr>
            <w:tcW w:w="1418" w:type="dxa"/>
            <w:vAlign w:val="center"/>
          </w:tcPr>
          <w:p>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1844" w:type="dxa"/>
            <w:vAlign w:val="center"/>
          </w:tcPr>
          <w:p>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1418" w:type="dxa"/>
            <w:vAlign w:val="center"/>
          </w:tcPr>
          <w:p>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0.12</w:t>
            </w:r>
          </w:p>
        </w:tc>
        <w:tc>
          <w:tcPr>
            <w:tcW w:w="1130"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1135"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2456" w:type="dxa"/>
            <w:vAlign w:val="center"/>
          </w:tcPr>
          <w:p>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bl>
    <w:p>
      <w:pPr>
        <w:spacing w:line="500" w:lineRule="exact"/>
        <w:rPr>
          <w:rFonts w:ascii="Arial" w:hAnsi="Arial" w:eastAsia="宋体" w:cs="Arial"/>
          <w:sz w:val="24"/>
          <w:highlight w:val="yellow"/>
        </w:rPr>
        <w:sectPr>
          <w:pgSz w:w="16840" w:h="11907" w:orient="landscape"/>
          <w:pgMar w:top="1157" w:right="1678" w:bottom="1406" w:left="1899" w:header="1174" w:footer="1026" w:gutter="567"/>
          <w:cols w:space="720" w:num="1"/>
          <w:docGrid w:type="linesAndChars" w:linePitch="428" w:charSpace="-3161"/>
        </w:sectPr>
      </w:pPr>
    </w:p>
    <w:p>
      <w:pPr>
        <w:pStyle w:val="6"/>
        <w:numPr>
          <w:ilvl w:val="0"/>
          <w:numId w:val="50"/>
        </w:numPr>
        <w:tabs>
          <w:tab w:val="clear" w:pos="1789"/>
        </w:tabs>
        <w:spacing w:line="400" w:lineRule="exact"/>
        <w:ind w:left="0" w:firstLine="0"/>
        <w:rPr>
          <w:rFonts w:ascii="Arial" w:hAnsi="Arial" w:eastAsia="宋体" w:cs="Arial"/>
        </w:rPr>
      </w:pPr>
      <w:bookmarkStart w:id="543" w:name="_Toc88674836"/>
      <w:bookmarkStart w:id="544" w:name="_Toc58596513"/>
      <w:bookmarkStart w:id="545" w:name="_Toc67921929"/>
      <w:bookmarkStart w:id="546" w:name="_Toc87124314"/>
      <w:bookmarkStart w:id="547" w:name="_Toc104677361"/>
      <w:bookmarkStart w:id="548" w:name="_Toc57715673"/>
      <w:r>
        <w:rPr>
          <w:rFonts w:ascii="Arial" w:hAnsi="Arial" w:eastAsia="宋体" w:cs="Arial"/>
        </w:rPr>
        <w:t>建设单位环评信息公开</w:t>
      </w:r>
      <w:bookmarkEnd w:id="543"/>
      <w:bookmarkEnd w:id="544"/>
      <w:bookmarkEnd w:id="545"/>
      <w:bookmarkEnd w:id="546"/>
      <w:bookmarkEnd w:id="547"/>
      <w:bookmarkEnd w:id="548"/>
    </w:p>
    <w:p>
      <w:pPr>
        <w:pStyle w:val="5"/>
        <w:spacing w:line="500" w:lineRule="exact"/>
        <w:ind w:firstLine="490" w:firstLineChars="200"/>
      </w:pPr>
      <w:r>
        <w:t>根据《关于印发&lt;建设项目环境影响评价信息公开机制方案&gt;的通知》，建设单位须向社会公开以下信息：</w:t>
      </w:r>
    </w:p>
    <w:p>
      <w:pPr>
        <w:pStyle w:val="5"/>
        <w:spacing w:line="500" w:lineRule="exact"/>
        <w:ind w:firstLine="490" w:firstLineChars="200"/>
      </w:pPr>
      <w:r>
        <w:t>1、公开环境影响报告书编制信息。根据建设项目环评公众参与相关规定，建设单位在建设项目环境影响报告书编制过程中，应当向社会公开建设项目的工程基本情况、拟定选址选线、周边主要保护目标的位置和距离、主要环境影响预测情况、拟采取的主要环境保护措施、公众参与的途经方式等。</w:t>
      </w:r>
    </w:p>
    <w:p>
      <w:pPr>
        <w:pStyle w:val="5"/>
        <w:spacing w:line="500" w:lineRule="exact"/>
        <w:ind w:firstLine="490" w:firstLineChars="200"/>
      </w:pPr>
      <w:r>
        <w:t>2、公开环境影响报告书全本。根据《大气污染防治法》，建设单位在建设项目环境影响报告书编制完成后，向生态环境部门报批前，应当向社会公开环境影响报告书全本，其中对于编制环境影响报告书的建设项目还应一并公开公众参与情况说明。报批过程中，如对环境影响报告书进一步修改，应及时公开最后版本。</w:t>
      </w:r>
    </w:p>
    <w:p>
      <w:pPr>
        <w:pStyle w:val="5"/>
        <w:spacing w:line="500" w:lineRule="exact"/>
        <w:ind w:firstLine="490" w:firstLineChars="200"/>
      </w:pPr>
      <w:r>
        <w:t>3、公开建设项目开工前的信息。建设项目开工建设前，建设单位应当向社会公开建设项目开工日期、设计单位、施工单位和环境监理单位、工程基本情况、实际选址、拟采取的环境保护措施清单和实施计划、由地方政府或相关部门负责配套的环境保护措施清单和实施计划等，并确保上述信息在整个施工期内均处于公开状态。</w:t>
      </w:r>
    </w:p>
    <w:p>
      <w:pPr>
        <w:pStyle w:val="5"/>
        <w:spacing w:line="500" w:lineRule="exact"/>
        <w:ind w:firstLine="490" w:firstLineChars="200"/>
      </w:pPr>
      <w:r>
        <w:t>4、公开建设项目施工过程中的信息。项目建设过程中，建设单位应当在施工中期向社会公开建设项目环境保护措施进展情况、施工期的环境保护措施落实情况、施工期环境监理情况、施工期环境监测结果等。</w:t>
      </w:r>
    </w:p>
    <w:p>
      <w:pPr>
        <w:pStyle w:val="5"/>
        <w:spacing w:line="500" w:lineRule="exact"/>
        <w:ind w:firstLine="490" w:firstLineChars="200"/>
      </w:pPr>
      <w:r>
        <w:t>5、公开建设项目建成后的信息。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p>
      <w:pPr>
        <w:pStyle w:val="4"/>
        <w:numPr>
          <w:ilvl w:val="0"/>
          <w:numId w:val="45"/>
        </w:numPr>
        <w:spacing w:before="214" w:beforeLines="50" w:after="214" w:afterLines="50" w:line="500" w:lineRule="exact"/>
        <w:rPr>
          <w:rFonts w:ascii="Arial" w:eastAsia="宋体" w:cs="Arial"/>
          <w:b/>
        </w:rPr>
      </w:pPr>
      <w:bookmarkStart w:id="549" w:name="_Toc1742977"/>
      <w:bookmarkStart w:id="550" w:name="_Toc104677362"/>
      <w:bookmarkStart w:id="551" w:name="_Toc185950244"/>
      <w:r>
        <w:rPr>
          <w:rFonts w:ascii="Arial" w:eastAsia="宋体" w:cs="Arial"/>
          <w:b/>
        </w:rPr>
        <w:t>环境保护竣工验收监测</w:t>
      </w:r>
      <w:bookmarkEnd w:id="549"/>
      <w:bookmarkEnd w:id="550"/>
      <w:bookmarkEnd w:id="551"/>
    </w:p>
    <w:p>
      <w:pPr>
        <w:pStyle w:val="5"/>
        <w:spacing w:line="500" w:lineRule="exact"/>
        <w:ind w:firstLine="490" w:firstLineChars="200"/>
      </w:pPr>
      <w:r>
        <w:t>《建设项目环境保护管理条例（2017年修正）》、《关于发布&lt;建设项目竣工环境保护验收暂行办法&gt;的公告》（国环规环评〔2017〕4号）等规范或文件已明确：建设单位是建设项目竣工环境保护验收的责任主体，应当按照相关办法规定的程序和标准，组织对环境保护设施进行验收。</w:t>
      </w:r>
    </w:p>
    <w:p>
      <w:pPr>
        <w:pStyle w:val="5"/>
        <w:spacing w:line="500" w:lineRule="exact"/>
        <w:ind w:firstLine="490" w:firstLineChars="200"/>
      </w:pPr>
      <w:r>
        <w:t>按相关文件要求，建设单位可自行编制验收报告，若不具备编制能力，可委托有能力技术机构编制，建设单位对验收报告结论负责。</w:t>
      </w:r>
    </w:p>
    <w:p>
      <w:pPr>
        <w:pStyle w:val="5"/>
        <w:spacing w:line="500" w:lineRule="exact"/>
        <w:ind w:firstLine="490" w:firstLineChars="200"/>
        <w:sectPr>
          <w:pgSz w:w="11907" w:h="16840"/>
          <w:pgMar w:top="1678" w:right="1408" w:bottom="1901" w:left="1155" w:header="1174" w:footer="1029" w:gutter="567"/>
          <w:cols w:space="720" w:num="1"/>
          <w:docGrid w:type="linesAndChars" w:linePitch="428" w:charSpace="-3161"/>
        </w:sectPr>
      </w:pPr>
      <w:r>
        <w:t>项目竣工后，建设单位应按照相关规定开展项目竣工环境保护验收工作。项目投入试运行后，“三同时”验收项目可参考表7-</w:t>
      </w:r>
      <w:r>
        <w:rPr>
          <w:rFonts w:hint="eastAsia"/>
        </w:rPr>
        <w:t>6</w:t>
      </w:r>
      <w:r>
        <w:t>。</w:t>
      </w:r>
    </w:p>
    <w:p>
      <w:pPr>
        <w:pStyle w:val="5"/>
        <w:numPr>
          <w:ilvl w:val="0"/>
          <w:numId w:val="47"/>
        </w:numPr>
        <w:spacing w:line="500" w:lineRule="exact"/>
        <w:ind w:left="0" w:firstLine="0"/>
        <w:jc w:val="center"/>
        <w:outlineLvl w:val="4"/>
        <w:rPr>
          <w:b/>
        </w:rPr>
      </w:pPr>
      <w:r>
        <w:rPr>
          <w:b/>
        </w:rPr>
        <w:t>“三同时”验收项目一览表</w:t>
      </w:r>
    </w:p>
    <w:tbl>
      <w:tblPr>
        <w:tblStyle w:val="88"/>
        <w:tblW w:w="14788"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59"/>
        <w:gridCol w:w="2662"/>
        <w:gridCol w:w="2724"/>
        <w:gridCol w:w="2271"/>
        <w:gridCol w:w="2410"/>
        <w:gridCol w:w="1538"/>
        <w:gridCol w:w="22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项目</w:t>
            </w:r>
          </w:p>
        </w:tc>
        <w:tc>
          <w:tcPr>
            <w:tcW w:w="2662"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监测点位</w:t>
            </w:r>
          </w:p>
        </w:tc>
        <w:tc>
          <w:tcPr>
            <w:tcW w:w="2724"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监测因子</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监测频次</w:t>
            </w:r>
          </w:p>
        </w:tc>
        <w:tc>
          <w:tcPr>
            <w:tcW w:w="2410" w:type="dxa"/>
          </w:tcPr>
          <w:p>
            <w:pPr>
              <w:pStyle w:val="46"/>
              <w:adjustRightInd w:val="0"/>
              <w:snapToGrid w:val="0"/>
              <w:spacing w:line="240" w:lineRule="exact"/>
              <w:jc w:val="center"/>
              <w:rPr>
                <w:rFonts w:ascii="Arial" w:hAnsi="Arial" w:cs="Arial"/>
                <w:szCs w:val="21"/>
              </w:rPr>
            </w:pPr>
            <w:r>
              <w:rPr>
                <w:rFonts w:ascii="Arial" w:hAnsi="Arial" w:cs="Arial"/>
                <w:szCs w:val="21"/>
              </w:rPr>
              <w:t>治理措施</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验收内容</w:t>
            </w:r>
          </w:p>
        </w:tc>
        <w:tc>
          <w:tcPr>
            <w:tcW w:w="2224"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达标要求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restart"/>
            <w:vAlign w:val="center"/>
          </w:tcPr>
          <w:p>
            <w:pPr>
              <w:pStyle w:val="46"/>
              <w:adjustRightInd w:val="0"/>
              <w:snapToGrid w:val="0"/>
              <w:spacing w:line="240" w:lineRule="exact"/>
              <w:jc w:val="center"/>
              <w:rPr>
                <w:rFonts w:ascii="Arial" w:hAnsi="Arial" w:cs="Arial"/>
                <w:szCs w:val="21"/>
              </w:rPr>
            </w:pPr>
            <w:r>
              <w:rPr>
                <w:rFonts w:ascii="Arial" w:hAnsi="Arial" w:cs="Arial"/>
                <w:szCs w:val="21"/>
              </w:rPr>
              <w:t>废气</w:t>
            </w:r>
          </w:p>
        </w:tc>
        <w:tc>
          <w:tcPr>
            <w:tcW w:w="2662" w:type="dxa"/>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145合成</w:t>
            </w:r>
            <w:r>
              <w:rPr>
                <w:rFonts w:ascii="Arial" w:hAnsi="Arial" w:eastAsia="宋体" w:cs="Arial"/>
                <w:sz w:val="21"/>
                <w:szCs w:val="21"/>
              </w:rPr>
              <w:t>反应废气、压滤废气排气筒</w:t>
            </w:r>
          </w:p>
        </w:tc>
        <w:tc>
          <w:tcPr>
            <w:tcW w:w="2724" w:type="dxa"/>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氨气</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2410"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吸收塔</w:t>
            </w:r>
            <w:r>
              <w:rPr>
                <w:rFonts w:ascii="Arial" w:hAnsi="Arial" w:eastAsia="宋体" w:cs="Arial"/>
                <w:spacing w:val="10"/>
                <w:sz w:val="21"/>
                <w:szCs w:val="21"/>
              </w:rPr>
              <w:t>+</w:t>
            </w:r>
            <w:r>
              <w:rPr>
                <w:rFonts w:hint="eastAsia" w:ascii="Arial" w:hAnsi="Arial" w:eastAsia="宋体" w:cs="Arial"/>
                <w:spacing w:val="10"/>
                <w:sz w:val="21"/>
                <w:szCs w:val="21"/>
              </w:rPr>
              <w:t>20</w:t>
            </w:r>
            <w:r>
              <w:rPr>
                <w:rFonts w:ascii="Arial" w:hAnsi="Arial" w:eastAsia="宋体" w:cs="Arial"/>
                <w:spacing w:val="10"/>
                <w:sz w:val="21"/>
                <w:szCs w:val="21"/>
              </w:rPr>
              <w:t>高排气筒</w:t>
            </w:r>
          </w:p>
        </w:tc>
        <w:tc>
          <w:tcPr>
            <w:tcW w:w="1538" w:type="dxa"/>
            <w:vMerge w:val="restart"/>
            <w:vAlign w:val="center"/>
          </w:tcPr>
          <w:p>
            <w:pPr>
              <w:pStyle w:val="46"/>
              <w:adjustRightInd w:val="0"/>
              <w:snapToGrid w:val="0"/>
              <w:spacing w:line="240" w:lineRule="exact"/>
              <w:jc w:val="center"/>
              <w:rPr>
                <w:rFonts w:ascii="Arial" w:hAnsi="Arial" w:cs="Arial"/>
                <w:szCs w:val="21"/>
              </w:rPr>
            </w:pPr>
            <w:r>
              <w:rPr>
                <w:rFonts w:ascii="Arial" w:hAnsi="Arial" w:cs="Arial"/>
                <w:kern w:val="0"/>
                <w:szCs w:val="21"/>
              </w:rPr>
              <w:t>环保措施按“三同时”要求建设，废气达标排放</w:t>
            </w:r>
          </w:p>
        </w:tc>
        <w:tc>
          <w:tcPr>
            <w:tcW w:w="2224" w:type="dxa"/>
            <w:vMerge w:val="restart"/>
            <w:vAlign w:val="center"/>
          </w:tcPr>
          <w:p>
            <w:pPr>
              <w:pStyle w:val="46"/>
              <w:adjustRightInd w:val="0"/>
              <w:snapToGrid w:val="0"/>
              <w:spacing w:line="240" w:lineRule="exact"/>
              <w:jc w:val="center"/>
              <w:rPr>
                <w:rFonts w:ascii="Arial" w:hAnsi="Arial" w:cs="Arial"/>
                <w:szCs w:val="21"/>
              </w:rPr>
            </w:pPr>
            <w:r>
              <w:rPr>
                <w:rFonts w:ascii="Arial" w:hAnsi="Arial" w:cs="Arial"/>
                <w:szCs w:val="21"/>
              </w:rPr>
              <w:t>《无机化学工业污染物排放标准》（GB31573-2015）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vAlign w:val="center"/>
          </w:tcPr>
          <w:p>
            <w:pPr>
              <w:pStyle w:val="46"/>
              <w:adjustRightInd w:val="0"/>
              <w:snapToGrid w:val="0"/>
              <w:spacing w:line="240" w:lineRule="exact"/>
              <w:jc w:val="center"/>
              <w:rPr>
                <w:rFonts w:ascii="Arial" w:hAnsi="Arial" w:cs="Arial"/>
                <w:szCs w:val="21"/>
              </w:rPr>
            </w:pPr>
          </w:p>
        </w:tc>
        <w:tc>
          <w:tcPr>
            <w:tcW w:w="2662" w:type="dxa"/>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146烘干粉尘、破碎粉尘、包装粉尘</w:t>
            </w:r>
            <w:r>
              <w:rPr>
                <w:rFonts w:ascii="Arial" w:hAnsi="Arial" w:eastAsia="宋体" w:cs="Arial"/>
                <w:sz w:val="21"/>
                <w:szCs w:val="21"/>
              </w:rPr>
              <w:t>排气筒</w:t>
            </w:r>
          </w:p>
        </w:tc>
        <w:tc>
          <w:tcPr>
            <w:tcW w:w="2724" w:type="dxa"/>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颗粒物、钴及其化合物</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241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脉冲袋式除尘</w:t>
            </w:r>
            <w:r>
              <w:rPr>
                <w:rFonts w:hint="eastAsia" w:ascii="Arial" w:hAnsi="Arial" w:eastAsia="宋体" w:cs="Arial"/>
                <w:spacing w:val="10"/>
                <w:sz w:val="21"/>
                <w:szCs w:val="21"/>
              </w:rPr>
              <w:t>+吸收塔</w:t>
            </w:r>
            <w:r>
              <w:rPr>
                <w:rFonts w:ascii="Arial" w:hAnsi="Arial" w:eastAsia="宋体" w:cs="Arial"/>
                <w:spacing w:val="10"/>
                <w:sz w:val="21"/>
                <w:szCs w:val="21"/>
              </w:rPr>
              <w:t>+20高排气筒</w:t>
            </w:r>
          </w:p>
        </w:tc>
        <w:tc>
          <w:tcPr>
            <w:tcW w:w="1538" w:type="dxa"/>
            <w:vMerge w:val="continue"/>
            <w:vAlign w:val="center"/>
          </w:tcPr>
          <w:p>
            <w:pPr>
              <w:pStyle w:val="46"/>
              <w:adjustRightInd w:val="0"/>
              <w:snapToGrid w:val="0"/>
              <w:spacing w:line="240" w:lineRule="exact"/>
              <w:jc w:val="center"/>
              <w:rPr>
                <w:rFonts w:ascii="Arial" w:hAnsi="Arial" w:cs="Arial"/>
                <w:kern w:val="0"/>
                <w:szCs w:val="21"/>
              </w:rPr>
            </w:pPr>
          </w:p>
        </w:tc>
        <w:tc>
          <w:tcPr>
            <w:tcW w:w="2224" w:type="dxa"/>
            <w:vMerge w:val="continue"/>
            <w:vAlign w:val="center"/>
          </w:tcPr>
          <w:p>
            <w:pPr>
              <w:pStyle w:val="46"/>
              <w:adjustRightInd w:val="0"/>
              <w:snapToGrid w:val="0"/>
              <w:spacing w:line="240" w:lineRule="exact"/>
              <w:jc w:val="center"/>
              <w:rPr>
                <w:rFonts w:ascii="Arial" w:hAnsi="Arial" w:cs="Arial"/>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vAlign w:val="center"/>
          </w:tcPr>
          <w:p>
            <w:pPr>
              <w:pStyle w:val="46"/>
              <w:adjustRightInd w:val="0"/>
              <w:snapToGrid w:val="0"/>
              <w:spacing w:line="240" w:lineRule="exact"/>
              <w:jc w:val="center"/>
              <w:rPr>
                <w:rFonts w:ascii="Arial" w:hAnsi="Arial" w:cs="Arial"/>
                <w:szCs w:val="21"/>
              </w:rPr>
            </w:pPr>
          </w:p>
        </w:tc>
        <w:tc>
          <w:tcPr>
            <w:tcW w:w="2662" w:type="dxa"/>
            <w:vAlign w:val="center"/>
          </w:tcPr>
          <w:p>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067</w:t>
            </w:r>
            <w:r>
              <w:rPr>
                <w:rFonts w:ascii="Arial" w:hAnsi="Arial" w:eastAsia="宋体" w:cs="Arial"/>
                <w:sz w:val="21"/>
                <w:szCs w:val="21"/>
              </w:rPr>
              <w:t>污水处理废气排气筒</w:t>
            </w:r>
          </w:p>
        </w:tc>
        <w:tc>
          <w:tcPr>
            <w:tcW w:w="2724"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氨气</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2410"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吸收塔</w:t>
            </w:r>
            <w:r>
              <w:rPr>
                <w:rFonts w:ascii="Arial" w:hAnsi="Arial" w:eastAsia="宋体" w:cs="Arial"/>
                <w:spacing w:val="10"/>
                <w:sz w:val="21"/>
                <w:szCs w:val="21"/>
              </w:rPr>
              <w:t>+</w:t>
            </w:r>
            <w:r>
              <w:rPr>
                <w:rFonts w:hint="eastAsia" w:ascii="Arial" w:hAnsi="Arial" w:eastAsia="宋体" w:cs="Arial"/>
                <w:spacing w:val="10"/>
                <w:sz w:val="21"/>
                <w:szCs w:val="21"/>
              </w:rPr>
              <w:t>20</w:t>
            </w:r>
            <w:r>
              <w:rPr>
                <w:rFonts w:ascii="Arial" w:hAnsi="Arial" w:eastAsia="宋体" w:cs="Arial"/>
                <w:spacing w:val="10"/>
                <w:sz w:val="21"/>
                <w:szCs w:val="21"/>
              </w:rPr>
              <w:t>高排气筒</w:t>
            </w:r>
          </w:p>
        </w:tc>
        <w:tc>
          <w:tcPr>
            <w:tcW w:w="1538" w:type="dxa"/>
            <w:vMerge w:val="continue"/>
            <w:vAlign w:val="center"/>
          </w:tcPr>
          <w:p>
            <w:pPr>
              <w:pStyle w:val="46"/>
              <w:adjustRightInd w:val="0"/>
              <w:snapToGrid w:val="0"/>
              <w:spacing w:line="240" w:lineRule="exact"/>
              <w:jc w:val="center"/>
              <w:rPr>
                <w:rFonts w:ascii="Arial" w:hAnsi="Arial" w:cs="Arial"/>
                <w:kern w:val="0"/>
                <w:szCs w:val="21"/>
              </w:rPr>
            </w:pPr>
          </w:p>
        </w:tc>
        <w:tc>
          <w:tcPr>
            <w:tcW w:w="2224" w:type="dxa"/>
            <w:vMerge w:val="continue"/>
            <w:vAlign w:val="center"/>
          </w:tcPr>
          <w:p>
            <w:pPr>
              <w:pStyle w:val="46"/>
              <w:adjustRightInd w:val="0"/>
              <w:snapToGrid w:val="0"/>
              <w:spacing w:line="240" w:lineRule="exact"/>
              <w:jc w:val="center"/>
              <w:rPr>
                <w:rFonts w:ascii="Arial" w:hAnsi="Arial" w:cs="Arial"/>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vAlign w:val="center"/>
          </w:tcPr>
          <w:p>
            <w:pPr>
              <w:pStyle w:val="46"/>
              <w:adjustRightInd w:val="0"/>
              <w:snapToGrid w:val="0"/>
              <w:spacing w:line="240" w:lineRule="exact"/>
              <w:jc w:val="center"/>
              <w:rPr>
                <w:rFonts w:ascii="Arial" w:hAnsi="Arial" w:cs="Arial"/>
                <w:szCs w:val="21"/>
              </w:rPr>
            </w:pPr>
          </w:p>
        </w:tc>
        <w:tc>
          <w:tcPr>
            <w:tcW w:w="2662"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厂界</w:t>
            </w:r>
          </w:p>
        </w:tc>
        <w:tc>
          <w:tcPr>
            <w:tcW w:w="2724"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颗粒物、</w:t>
            </w:r>
            <w:r>
              <w:rPr>
                <w:rFonts w:hint="eastAsia" w:ascii="Arial" w:hAnsi="Arial" w:cs="Arial"/>
                <w:szCs w:val="21"/>
              </w:rPr>
              <w:t>钴及其化合物</w:t>
            </w:r>
            <w:r>
              <w:rPr>
                <w:rFonts w:ascii="Arial" w:hAnsi="Arial" w:cs="Arial"/>
                <w:szCs w:val="21"/>
              </w:rPr>
              <w:t>、氨气</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pacing w:val="10"/>
                <w:kern w:val="0"/>
                <w:szCs w:val="21"/>
              </w:rPr>
              <w:t>4次/天，2天</w:t>
            </w:r>
          </w:p>
        </w:tc>
        <w:tc>
          <w:tcPr>
            <w:tcW w:w="241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2224" w:type="dxa"/>
            <w:vMerge w:val="continue"/>
            <w:vAlign w:val="center"/>
          </w:tcPr>
          <w:p>
            <w:pPr>
              <w:pStyle w:val="46"/>
              <w:adjustRightInd w:val="0"/>
              <w:snapToGrid w:val="0"/>
              <w:spacing w:line="240" w:lineRule="exact"/>
              <w:jc w:val="center"/>
              <w:rPr>
                <w:rFonts w:ascii="Arial" w:hAnsi="Arial" w:cs="Arial"/>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restart"/>
            <w:vAlign w:val="center"/>
          </w:tcPr>
          <w:p>
            <w:pPr>
              <w:pStyle w:val="46"/>
              <w:adjustRightInd w:val="0"/>
              <w:snapToGrid w:val="0"/>
              <w:spacing w:line="240" w:lineRule="exact"/>
              <w:jc w:val="center"/>
              <w:rPr>
                <w:rFonts w:ascii="Arial" w:hAnsi="Arial" w:cs="Arial"/>
                <w:szCs w:val="21"/>
              </w:rPr>
            </w:pPr>
            <w:r>
              <w:rPr>
                <w:rFonts w:ascii="Arial" w:hAnsi="Arial" w:cs="Arial"/>
                <w:szCs w:val="21"/>
              </w:rPr>
              <w:t>废水</w:t>
            </w:r>
          </w:p>
        </w:tc>
        <w:tc>
          <w:tcPr>
            <w:tcW w:w="2662" w:type="dxa"/>
            <w:vAlign w:val="center"/>
          </w:tcPr>
          <w:p>
            <w:pPr>
              <w:pStyle w:val="46"/>
              <w:adjustRightInd w:val="0"/>
              <w:snapToGrid w:val="0"/>
              <w:spacing w:line="240" w:lineRule="exact"/>
              <w:jc w:val="center"/>
              <w:rPr>
                <w:rFonts w:ascii="Arial" w:hAnsi="Arial" w:cs="Arial"/>
                <w:szCs w:val="21"/>
              </w:rPr>
            </w:pPr>
            <w:r>
              <w:rPr>
                <w:rFonts w:hint="eastAsia" w:ascii="Arial" w:hAnsi="Arial" w:cs="Arial"/>
                <w:szCs w:val="21"/>
              </w:rPr>
              <w:t>X19</w:t>
            </w:r>
            <w:r>
              <w:rPr>
                <w:rFonts w:ascii="Arial" w:hAnsi="Arial" w:cs="Arial"/>
                <w:szCs w:val="21"/>
              </w:rPr>
              <w:t>车间处理设施废水排放口</w:t>
            </w:r>
          </w:p>
        </w:tc>
        <w:tc>
          <w:tcPr>
            <w:tcW w:w="2724" w:type="dxa"/>
            <w:vAlign w:val="center"/>
          </w:tcPr>
          <w:p>
            <w:pPr>
              <w:pStyle w:val="46"/>
              <w:adjustRightInd w:val="0"/>
              <w:snapToGrid w:val="0"/>
              <w:spacing w:line="240" w:lineRule="exact"/>
              <w:jc w:val="center"/>
              <w:rPr>
                <w:rFonts w:ascii="Arial" w:hAnsi="Arial" w:cs="Arial"/>
                <w:spacing w:val="10"/>
                <w:szCs w:val="21"/>
              </w:rPr>
            </w:pPr>
            <w:r>
              <w:rPr>
                <w:rFonts w:ascii="Arial" w:hAnsi="Arial" w:cs="Arial"/>
                <w:spacing w:val="10"/>
                <w:szCs w:val="21"/>
              </w:rPr>
              <w:t>总钴</w:t>
            </w:r>
          </w:p>
        </w:tc>
        <w:tc>
          <w:tcPr>
            <w:tcW w:w="2271" w:type="dxa"/>
            <w:vAlign w:val="center"/>
          </w:tcPr>
          <w:p>
            <w:pPr>
              <w:pStyle w:val="46"/>
              <w:adjustRightInd w:val="0"/>
              <w:snapToGrid w:val="0"/>
              <w:spacing w:line="240" w:lineRule="exact"/>
              <w:jc w:val="center"/>
              <w:rPr>
                <w:rFonts w:ascii="Arial" w:hAnsi="Arial" w:cs="Arial"/>
                <w:spacing w:val="10"/>
                <w:kern w:val="0"/>
                <w:szCs w:val="21"/>
              </w:rPr>
            </w:pPr>
            <w:r>
              <w:rPr>
                <w:rFonts w:ascii="Arial" w:hAnsi="Arial" w:cs="Arial"/>
                <w:szCs w:val="21"/>
              </w:rPr>
              <w:t>3次/天，2天</w:t>
            </w:r>
          </w:p>
        </w:tc>
        <w:tc>
          <w:tcPr>
            <w:tcW w:w="2410" w:type="dxa"/>
            <w:vAlign w:val="center"/>
          </w:tcPr>
          <w:p>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板框压滤、精密过滤器</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2224" w:type="dxa"/>
            <w:vMerge w:val="continue"/>
            <w:vAlign w:val="center"/>
          </w:tcPr>
          <w:p>
            <w:pPr>
              <w:pStyle w:val="46"/>
              <w:adjustRightInd w:val="0"/>
              <w:snapToGrid w:val="0"/>
              <w:spacing w:line="240" w:lineRule="exact"/>
              <w:jc w:val="center"/>
              <w:rPr>
                <w:rFonts w:ascii="Arial" w:hAnsi="Arial" w:cs="Arial"/>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vAlign w:val="center"/>
          </w:tcPr>
          <w:p>
            <w:pPr>
              <w:pStyle w:val="46"/>
              <w:adjustRightInd w:val="0"/>
              <w:snapToGrid w:val="0"/>
              <w:spacing w:line="240" w:lineRule="exact"/>
              <w:jc w:val="center"/>
              <w:rPr>
                <w:rFonts w:ascii="Arial" w:hAnsi="Arial" w:cs="Arial"/>
                <w:szCs w:val="21"/>
              </w:rPr>
            </w:pPr>
          </w:p>
        </w:tc>
        <w:tc>
          <w:tcPr>
            <w:tcW w:w="2662"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厂区总排口</w:t>
            </w:r>
          </w:p>
        </w:tc>
        <w:tc>
          <w:tcPr>
            <w:tcW w:w="2724" w:type="dxa"/>
            <w:vAlign w:val="center"/>
          </w:tcPr>
          <w:p>
            <w:pPr>
              <w:pStyle w:val="46"/>
              <w:adjustRightInd w:val="0"/>
              <w:snapToGrid w:val="0"/>
              <w:spacing w:line="240" w:lineRule="exact"/>
              <w:jc w:val="center"/>
              <w:rPr>
                <w:rFonts w:ascii="Arial" w:hAnsi="Arial" w:cs="Arial"/>
                <w:spacing w:val="10"/>
                <w:szCs w:val="21"/>
              </w:rPr>
            </w:pPr>
            <w:r>
              <w:rPr>
                <w:rFonts w:ascii="Arial" w:hAnsi="Arial" w:cs="Arial"/>
                <w:spacing w:val="10"/>
                <w:szCs w:val="21"/>
              </w:rPr>
              <w:t>pH、COD、氨氮、总钴、硫酸盐、盐份</w:t>
            </w:r>
          </w:p>
        </w:tc>
        <w:tc>
          <w:tcPr>
            <w:tcW w:w="2271" w:type="dxa"/>
            <w:vAlign w:val="center"/>
          </w:tcPr>
          <w:p>
            <w:pPr>
              <w:pStyle w:val="46"/>
              <w:adjustRightInd w:val="0"/>
              <w:snapToGrid w:val="0"/>
              <w:spacing w:line="240" w:lineRule="exact"/>
              <w:jc w:val="center"/>
              <w:rPr>
                <w:rFonts w:ascii="Arial" w:hAnsi="Arial" w:cs="Arial"/>
                <w:spacing w:val="10"/>
                <w:kern w:val="0"/>
                <w:szCs w:val="21"/>
              </w:rPr>
            </w:pPr>
            <w:r>
              <w:rPr>
                <w:rFonts w:ascii="Arial" w:hAnsi="Arial" w:cs="Arial"/>
                <w:szCs w:val="21"/>
              </w:rPr>
              <w:t>3次/天，2天</w:t>
            </w:r>
          </w:p>
        </w:tc>
        <w:tc>
          <w:tcPr>
            <w:tcW w:w="2410" w:type="dxa"/>
            <w:vAlign w:val="center"/>
          </w:tcPr>
          <w:p>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2224" w:type="dxa"/>
            <w:vMerge w:val="continue"/>
            <w:vAlign w:val="center"/>
          </w:tcPr>
          <w:p>
            <w:pPr>
              <w:pStyle w:val="46"/>
              <w:adjustRightInd w:val="0"/>
              <w:snapToGrid w:val="0"/>
              <w:spacing w:line="240" w:lineRule="exact"/>
              <w:jc w:val="center"/>
              <w:rPr>
                <w:rFonts w:ascii="Arial" w:hAnsi="Arial" w:cs="Arial"/>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地下水</w:t>
            </w:r>
          </w:p>
        </w:tc>
        <w:tc>
          <w:tcPr>
            <w:tcW w:w="2662"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监控井</w:t>
            </w:r>
          </w:p>
        </w:tc>
        <w:tc>
          <w:tcPr>
            <w:tcW w:w="2724" w:type="dxa"/>
            <w:vAlign w:val="center"/>
          </w:tcPr>
          <w:p>
            <w:pPr>
              <w:pStyle w:val="46"/>
              <w:adjustRightInd w:val="0"/>
              <w:snapToGrid w:val="0"/>
              <w:spacing w:line="240" w:lineRule="exact"/>
              <w:jc w:val="center"/>
              <w:rPr>
                <w:rFonts w:ascii="Arial" w:hAnsi="Arial" w:cs="Arial"/>
                <w:szCs w:val="21"/>
              </w:rPr>
            </w:pPr>
            <w:r>
              <w:rPr>
                <w:rFonts w:ascii="Arial" w:hAnsi="Arial" w:cs="Arial"/>
                <w:spacing w:val="10"/>
                <w:szCs w:val="21"/>
              </w:rPr>
              <w:t>pH、COD、氨氮、钴、石油烃、硫酸盐</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1次/天，1天</w:t>
            </w:r>
          </w:p>
        </w:tc>
        <w:tc>
          <w:tcPr>
            <w:tcW w:w="2410"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分区防渗</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防渗措施落实情况</w:t>
            </w:r>
          </w:p>
        </w:tc>
        <w:tc>
          <w:tcPr>
            <w:tcW w:w="2224" w:type="dxa"/>
            <w:vAlign w:val="center"/>
          </w:tcPr>
          <w:p>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《地下水质量标准》（GB/T14848-2017）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噪声</w:t>
            </w:r>
          </w:p>
        </w:tc>
        <w:tc>
          <w:tcPr>
            <w:tcW w:w="2662"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四周厂界</w:t>
            </w:r>
          </w:p>
        </w:tc>
        <w:tc>
          <w:tcPr>
            <w:tcW w:w="2724"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等效声级dB(A)</w:t>
            </w:r>
          </w:p>
        </w:tc>
        <w:tc>
          <w:tcPr>
            <w:tcW w:w="2271" w:type="dxa"/>
            <w:vAlign w:val="center"/>
          </w:tcPr>
          <w:p>
            <w:pPr>
              <w:pStyle w:val="46"/>
              <w:adjustRightInd w:val="0"/>
              <w:snapToGrid w:val="0"/>
              <w:spacing w:line="240" w:lineRule="exact"/>
              <w:jc w:val="center"/>
              <w:rPr>
                <w:rFonts w:ascii="Arial" w:hAnsi="Arial" w:cs="Arial"/>
                <w:szCs w:val="21"/>
              </w:rPr>
            </w:pPr>
            <w:r>
              <w:rPr>
                <w:rFonts w:ascii="Arial" w:hAnsi="Arial" w:cs="Arial"/>
                <w:spacing w:val="10"/>
                <w:kern w:val="0"/>
                <w:szCs w:val="21"/>
              </w:rPr>
              <w:t>2天，每天昼夜各1次</w:t>
            </w:r>
          </w:p>
        </w:tc>
        <w:tc>
          <w:tcPr>
            <w:tcW w:w="2410"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1538"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是否达标排放</w:t>
            </w:r>
          </w:p>
        </w:tc>
        <w:tc>
          <w:tcPr>
            <w:tcW w:w="2224" w:type="dxa"/>
            <w:vAlign w:val="center"/>
          </w:tcPr>
          <w:p>
            <w:pPr>
              <w:pStyle w:val="46"/>
              <w:adjustRightInd w:val="0"/>
              <w:snapToGrid w:val="0"/>
              <w:spacing w:line="240" w:lineRule="exact"/>
              <w:jc w:val="center"/>
              <w:rPr>
                <w:rFonts w:ascii="Arial" w:hAnsi="Arial" w:cs="Arial"/>
                <w:szCs w:val="21"/>
              </w:rPr>
            </w:pPr>
            <w:r>
              <w:rPr>
                <w:rFonts w:ascii="Arial" w:hAnsi="Arial" w:cs="Arial"/>
                <w:szCs w:val="21"/>
              </w:rPr>
              <w:t>《工业企业厂界环境噪声排放标准》（GB12348-2008）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restart"/>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固体废物</w:t>
            </w:r>
          </w:p>
        </w:tc>
        <w:tc>
          <w:tcPr>
            <w:tcW w:w="2662"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危险废物</w:t>
            </w:r>
          </w:p>
        </w:tc>
        <w:tc>
          <w:tcPr>
            <w:tcW w:w="2724"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271"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410"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危废间暂存、委托处理</w:t>
            </w:r>
          </w:p>
        </w:tc>
        <w:tc>
          <w:tcPr>
            <w:tcW w:w="1538"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危废是否得以妥善处置</w:t>
            </w:r>
          </w:p>
        </w:tc>
        <w:tc>
          <w:tcPr>
            <w:tcW w:w="2224"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合理处置，建立固废处置台帐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shd w:val="clear" w:color="auto" w:fill="auto"/>
            <w:vAlign w:val="center"/>
          </w:tcPr>
          <w:p>
            <w:pPr>
              <w:pStyle w:val="46"/>
              <w:adjustRightInd w:val="0"/>
              <w:snapToGrid w:val="0"/>
              <w:spacing w:line="240" w:lineRule="exact"/>
              <w:jc w:val="center"/>
              <w:rPr>
                <w:rFonts w:ascii="Arial" w:hAnsi="Arial" w:cs="Arial"/>
                <w:szCs w:val="21"/>
              </w:rPr>
            </w:pPr>
          </w:p>
        </w:tc>
        <w:tc>
          <w:tcPr>
            <w:tcW w:w="2662"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一般工业固体废物</w:t>
            </w:r>
          </w:p>
        </w:tc>
        <w:tc>
          <w:tcPr>
            <w:tcW w:w="2724"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271"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410"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废过滤膜委托处理，废包装袋回废包装袋生产线</w:t>
            </w:r>
          </w:p>
        </w:tc>
        <w:tc>
          <w:tcPr>
            <w:tcW w:w="1538" w:type="dxa"/>
            <w:shd w:val="clear" w:color="auto" w:fill="auto"/>
            <w:vAlign w:val="center"/>
          </w:tcPr>
          <w:p>
            <w:pPr>
              <w:pStyle w:val="46"/>
              <w:adjustRightInd w:val="0"/>
              <w:snapToGrid w:val="0"/>
              <w:spacing w:line="240" w:lineRule="exact"/>
              <w:jc w:val="center"/>
              <w:rPr>
                <w:rFonts w:ascii="Arial" w:hAnsi="Arial" w:cs="Arial"/>
                <w:szCs w:val="21"/>
              </w:rPr>
            </w:pPr>
            <w:r>
              <w:rPr>
                <w:rFonts w:hint="eastAsia" w:ascii="Arial" w:hAnsi="Arial" w:cs="Arial"/>
                <w:szCs w:val="21"/>
              </w:rPr>
              <w:t>一般固废</w:t>
            </w:r>
            <w:r>
              <w:rPr>
                <w:rFonts w:ascii="Arial" w:hAnsi="Arial" w:cs="Arial"/>
                <w:szCs w:val="21"/>
              </w:rPr>
              <w:t>是否得以妥善处置</w:t>
            </w:r>
          </w:p>
        </w:tc>
        <w:tc>
          <w:tcPr>
            <w:tcW w:w="2224"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合理处置，建立固废处置台帐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59" w:type="dxa"/>
            <w:vMerge w:val="continue"/>
            <w:shd w:val="clear" w:color="auto" w:fill="auto"/>
            <w:vAlign w:val="center"/>
          </w:tcPr>
          <w:p>
            <w:pPr>
              <w:pStyle w:val="46"/>
              <w:adjustRightInd w:val="0"/>
              <w:snapToGrid w:val="0"/>
              <w:spacing w:line="240" w:lineRule="exact"/>
              <w:jc w:val="center"/>
              <w:rPr>
                <w:rFonts w:ascii="Arial" w:hAnsi="Arial" w:cs="Arial"/>
                <w:szCs w:val="21"/>
              </w:rPr>
            </w:pPr>
          </w:p>
        </w:tc>
        <w:tc>
          <w:tcPr>
            <w:tcW w:w="2662"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生活垃圾</w:t>
            </w:r>
          </w:p>
        </w:tc>
        <w:tc>
          <w:tcPr>
            <w:tcW w:w="2724"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271"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w:t>
            </w:r>
          </w:p>
        </w:tc>
        <w:tc>
          <w:tcPr>
            <w:tcW w:w="2410"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有效收集</w:t>
            </w:r>
          </w:p>
        </w:tc>
        <w:tc>
          <w:tcPr>
            <w:tcW w:w="1538" w:type="dxa"/>
            <w:shd w:val="clear" w:color="auto" w:fill="auto"/>
            <w:vAlign w:val="center"/>
          </w:tcPr>
          <w:p>
            <w:pPr>
              <w:pStyle w:val="46"/>
              <w:adjustRightInd w:val="0"/>
              <w:snapToGrid w:val="0"/>
              <w:spacing w:line="240" w:lineRule="exact"/>
              <w:jc w:val="center"/>
              <w:rPr>
                <w:rFonts w:ascii="Arial" w:hAnsi="Arial" w:cs="Arial"/>
                <w:szCs w:val="21"/>
              </w:rPr>
            </w:pPr>
            <w:r>
              <w:rPr>
                <w:rFonts w:ascii="Arial" w:hAnsi="Arial" w:cs="Arial"/>
                <w:szCs w:val="21"/>
              </w:rPr>
              <w:t>是否妥善处置</w:t>
            </w:r>
          </w:p>
        </w:tc>
        <w:tc>
          <w:tcPr>
            <w:tcW w:w="2224" w:type="dxa"/>
            <w:shd w:val="clear" w:color="auto" w:fill="auto"/>
            <w:vAlign w:val="center"/>
          </w:tcPr>
          <w:p>
            <w:pPr>
              <w:tabs>
                <w:tab w:val="left" w:pos="1260"/>
              </w:tabs>
              <w:adjustRightInd w:val="0"/>
              <w:snapToGrid w:val="0"/>
              <w:spacing w:line="240" w:lineRule="exact"/>
              <w:ind w:left="-32" w:leftChars="-50" w:right="-121" w:rightChars="-46" w:hanging="100" w:hangingChars="51"/>
              <w:jc w:val="center"/>
              <w:rPr>
                <w:rFonts w:ascii="Arial" w:hAnsi="Arial" w:eastAsia="宋体" w:cs="Arial"/>
                <w:sz w:val="21"/>
                <w:szCs w:val="21"/>
              </w:rPr>
            </w:pPr>
            <w:r>
              <w:rPr>
                <w:rFonts w:ascii="Arial" w:hAnsi="Arial" w:eastAsia="宋体" w:cs="Arial"/>
                <w:sz w:val="21"/>
                <w:szCs w:val="21"/>
              </w:rPr>
              <w:t>/</w:t>
            </w:r>
          </w:p>
        </w:tc>
      </w:tr>
    </w:tbl>
    <w:p>
      <w:pPr>
        <w:pStyle w:val="5"/>
        <w:ind w:firstLine="0"/>
        <w:sectPr>
          <w:pgSz w:w="16840" w:h="11907" w:orient="landscape"/>
          <w:pgMar w:top="1157" w:right="1134" w:bottom="1406" w:left="1134" w:header="1174" w:footer="1026" w:gutter="567"/>
          <w:cols w:space="720" w:num="1"/>
          <w:docGrid w:type="linesAndChars" w:linePitch="428" w:charSpace="-3161"/>
        </w:sectPr>
      </w:pPr>
    </w:p>
    <w:p>
      <w:pPr>
        <w:pStyle w:val="3"/>
        <w:numPr>
          <w:ilvl w:val="0"/>
          <w:numId w:val="1"/>
        </w:numPr>
        <w:tabs>
          <w:tab w:val="left" w:pos="1931"/>
          <w:tab w:val="clear" w:pos="3065"/>
        </w:tabs>
        <w:ind w:left="1276"/>
        <w:rPr>
          <w:rFonts w:ascii="Arial" w:hAnsi="Arial" w:cs="Arial"/>
          <w:spacing w:val="10"/>
        </w:rPr>
      </w:pPr>
      <w:bookmarkStart w:id="552" w:name="_Toc104677363"/>
      <w:bookmarkStart w:id="553" w:name="_Toc1742978"/>
      <w:bookmarkStart w:id="554" w:name="_Toc185950245"/>
      <w:r>
        <w:rPr>
          <w:rFonts w:ascii="Arial" w:hAnsi="Arial" w:cs="Arial"/>
          <w:spacing w:val="10"/>
        </w:rPr>
        <w:t>环境影响评价结论</w:t>
      </w:r>
      <w:bookmarkEnd w:id="552"/>
      <w:bookmarkEnd w:id="553"/>
      <w:bookmarkEnd w:id="554"/>
    </w:p>
    <w:p>
      <w:pPr>
        <w:pStyle w:val="4"/>
        <w:numPr>
          <w:ilvl w:val="0"/>
          <w:numId w:val="51"/>
        </w:numPr>
        <w:spacing w:before="214" w:beforeLines="50" w:after="214" w:afterLines="50" w:line="500" w:lineRule="exact"/>
        <w:rPr>
          <w:rFonts w:ascii="Arial" w:eastAsia="宋体" w:cs="Arial"/>
          <w:b/>
        </w:rPr>
      </w:pPr>
      <w:bookmarkStart w:id="555" w:name="_Toc1742979"/>
      <w:bookmarkStart w:id="556" w:name="_Toc185950246"/>
      <w:bookmarkStart w:id="557" w:name="_Toc104677364"/>
      <w:r>
        <w:rPr>
          <w:rFonts w:ascii="Arial" w:eastAsia="宋体" w:cs="Arial"/>
          <w:b/>
        </w:rPr>
        <w:t>项目概况</w:t>
      </w:r>
      <w:bookmarkEnd w:id="555"/>
      <w:bookmarkEnd w:id="556"/>
      <w:bookmarkEnd w:id="557"/>
    </w:p>
    <w:p>
      <w:pPr>
        <w:pStyle w:val="5"/>
        <w:spacing w:line="480" w:lineRule="exact"/>
        <w:ind w:firstLine="490" w:firstLineChars="200"/>
      </w:pPr>
      <w:r>
        <w:rPr>
          <w:rFonts w:hint="eastAsia"/>
        </w:rPr>
        <w:t>广西中伟新能源项目一期二阶段（重大变动）</w:t>
      </w:r>
      <w:r>
        <w:t>位于钦州市钦州港区陆海大道以东、淡水湾大街以北，中伟南部基地内，中心坐标东经108.671592，北纬21.704016。项目在现有中伟南部基地X</w:t>
      </w:r>
      <w:r>
        <w:rPr>
          <w:rFonts w:hint="eastAsia"/>
        </w:rPr>
        <w:t>19车间</w:t>
      </w:r>
      <w:r>
        <w:t>内建设，不新增用地，</w:t>
      </w:r>
      <w:r>
        <w:rPr>
          <w:rFonts w:hint="eastAsia"/>
        </w:rPr>
        <w:t>将现有广西中伟新能源项目一期二阶段1条2.5万吨/年镍豆镍粉处置线</w:t>
      </w:r>
      <w:r>
        <w:t>变更为</w:t>
      </w:r>
      <w:r>
        <w:rPr>
          <w:rFonts w:hint="eastAsia"/>
        </w:rPr>
        <w:t>1条1200吨/年</w:t>
      </w:r>
      <w:r>
        <w:t>羟基钴生产线。一期二阶段总投资</w:t>
      </w:r>
      <w:r>
        <w:rPr>
          <w:rFonts w:hint="eastAsia"/>
        </w:rPr>
        <w:t>260800万元，其中本</w:t>
      </w:r>
      <w:r>
        <w:t>项目（</w:t>
      </w:r>
      <w:r>
        <w:rPr>
          <w:rFonts w:hint="eastAsia"/>
        </w:rPr>
        <w:t>将镍豆镍粉处置线变更为羟基钴生产线</w:t>
      </w:r>
      <w:r>
        <w:t>）总投资</w:t>
      </w:r>
      <w:r>
        <w:rPr>
          <w:rFonts w:hint="eastAsia"/>
        </w:rPr>
        <w:t>1</w:t>
      </w:r>
      <w:r>
        <w:t>000</w:t>
      </w:r>
      <w:r>
        <w:rPr>
          <w:szCs w:val="24"/>
        </w:rPr>
        <w:t>万</w:t>
      </w:r>
      <w:r>
        <w:t>元，环保投资</w:t>
      </w:r>
      <w:r>
        <w:rPr>
          <w:rFonts w:hint="eastAsia"/>
        </w:rPr>
        <w:t>20</w:t>
      </w:r>
      <w:r>
        <w:t>0万元，占项目总投资的</w:t>
      </w:r>
      <w:r>
        <w:rPr>
          <w:rFonts w:hint="eastAsia"/>
        </w:rPr>
        <w:t>20</w:t>
      </w:r>
      <w:r>
        <w:t>%。</w:t>
      </w:r>
    </w:p>
    <w:p>
      <w:pPr>
        <w:pStyle w:val="4"/>
        <w:numPr>
          <w:ilvl w:val="0"/>
          <w:numId w:val="51"/>
        </w:numPr>
        <w:spacing w:before="214" w:beforeLines="50" w:after="214" w:afterLines="50" w:line="500" w:lineRule="exact"/>
        <w:rPr>
          <w:rFonts w:ascii="Arial" w:eastAsia="宋体" w:cs="Arial"/>
          <w:b/>
        </w:rPr>
      </w:pPr>
      <w:bookmarkStart w:id="558" w:name="_Toc1742980"/>
      <w:bookmarkStart w:id="559" w:name="_Toc185950247"/>
      <w:bookmarkStart w:id="560" w:name="_Toc104677365"/>
      <w:r>
        <w:rPr>
          <w:rFonts w:ascii="Arial" w:eastAsia="宋体" w:cs="Arial"/>
          <w:b/>
        </w:rPr>
        <w:t>污染物排放情况</w:t>
      </w:r>
      <w:bookmarkEnd w:id="558"/>
      <w:bookmarkEnd w:id="559"/>
      <w:bookmarkEnd w:id="560"/>
    </w:p>
    <w:p>
      <w:pPr>
        <w:pStyle w:val="523"/>
        <w:spacing w:line="500" w:lineRule="exact"/>
        <w:ind w:firstLine="489"/>
        <w:rPr>
          <w:rFonts w:ascii="Arial" w:hAnsi="Arial" w:eastAsia="宋体" w:cs="Arial"/>
          <w:spacing w:val="10"/>
        </w:rPr>
      </w:pPr>
      <w:r>
        <w:rPr>
          <w:rFonts w:ascii="Arial" w:hAnsi="Arial" w:eastAsia="宋体" w:cs="Arial"/>
          <w:spacing w:val="10"/>
        </w:rPr>
        <w:t>项目变更前后污染物排放见表8-1。</w:t>
      </w:r>
    </w:p>
    <w:p>
      <w:pPr>
        <w:pStyle w:val="5"/>
        <w:keepNext/>
        <w:spacing w:line="500" w:lineRule="exact"/>
        <w:ind w:firstLine="0"/>
        <w:jc w:val="center"/>
        <w:outlineLvl w:val="4"/>
      </w:pPr>
      <w:r>
        <w:rPr>
          <w:b/>
        </w:rPr>
        <w:t>表8-1  项目变更前后污染物排放情况（t</w:t>
      </w:r>
      <w:r>
        <w:rPr>
          <w:rFonts w:hint="eastAsia"/>
          <w:b/>
        </w:rPr>
        <w:t>/a</w:t>
      </w:r>
      <w:r>
        <w:rPr>
          <w:b/>
        </w:rPr>
        <w:t>）</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279"/>
        <w:gridCol w:w="1786"/>
        <w:gridCol w:w="1644"/>
        <w:gridCol w:w="1644"/>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shd w:val="clear" w:color="auto" w:fill="auto"/>
            <w:vAlign w:val="center"/>
          </w:tcPr>
          <w:p>
            <w:pPr>
              <w:pStyle w:val="5"/>
              <w:adjustRightInd w:val="0"/>
              <w:snapToGrid w:val="0"/>
              <w:spacing w:line="240" w:lineRule="auto"/>
              <w:ind w:firstLine="0"/>
              <w:jc w:val="center"/>
              <w:rPr>
                <w:sz w:val="21"/>
                <w:szCs w:val="21"/>
              </w:rPr>
            </w:pPr>
            <w:bookmarkStart w:id="561" w:name="_Toc1742981"/>
            <w:bookmarkStart w:id="562" w:name="_Toc104677366"/>
            <w:r>
              <w:rPr>
                <w:sz w:val="21"/>
                <w:szCs w:val="21"/>
              </w:rPr>
              <w:t>类别</w:t>
            </w:r>
          </w:p>
        </w:tc>
        <w:tc>
          <w:tcPr>
            <w:tcW w:w="1786" w:type="dxa"/>
            <w:shd w:val="clear" w:color="auto" w:fill="auto"/>
            <w:vAlign w:val="center"/>
          </w:tcPr>
          <w:p>
            <w:pPr>
              <w:pStyle w:val="5"/>
              <w:adjustRightInd w:val="0"/>
              <w:snapToGrid w:val="0"/>
              <w:spacing w:line="240" w:lineRule="auto"/>
              <w:ind w:firstLine="0"/>
              <w:jc w:val="center"/>
              <w:rPr>
                <w:sz w:val="21"/>
                <w:szCs w:val="21"/>
              </w:rPr>
            </w:pPr>
            <w:r>
              <w:rPr>
                <w:sz w:val="21"/>
                <w:szCs w:val="21"/>
              </w:rPr>
              <w:t>项目</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变更前排放量</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变更后排放量</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变更前后增减量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废气</w:t>
            </w:r>
          </w:p>
        </w:tc>
        <w:tc>
          <w:tcPr>
            <w:tcW w:w="1786"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644"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874"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644"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874" w:type="dxa"/>
            <w:shd w:val="clear" w:color="auto" w:fill="auto"/>
            <w:noWrap/>
            <w:vAlign w:val="center"/>
          </w:tcPr>
          <w:p>
            <w:pPr>
              <w:pStyle w:val="5"/>
              <w:adjustRightInd w:val="0"/>
              <w:snapToGrid w:val="0"/>
              <w:spacing w:line="240" w:lineRule="auto"/>
              <w:ind w:firstLine="0"/>
              <w:jc w:val="center"/>
              <w:rPr>
                <w:sz w:val="21"/>
                <w:szCs w:val="21"/>
                <w:u w:val="single"/>
              </w:rPr>
            </w:pPr>
            <w:r>
              <w:rPr>
                <w:rFonts w:hint="eastAsia"/>
                <w:sz w:val="21"/>
                <w:szCs w:val="21"/>
                <w:u w:val="single"/>
              </w:rPr>
              <w:t>+1.0292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644" w:type="dxa"/>
            <w:shd w:val="clear" w:color="auto" w:fill="auto"/>
            <w:noWrap/>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c>
          <w:tcPr>
            <w:tcW w:w="1874" w:type="dxa"/>
            <w:shd w:val="clear" w:color="auto" w:fill="auto"/>
            <w:noWrap/>
            <w:vAlign w:val="center"/>
          </w:tcPr>
          <w:p>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8.012</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-8.012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废水</w:t>
            </w:r>
          </w:p>
        </w:tc>
        <w:tc>
          <w:tcPr>
            <w:tcW w:w="127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生产废水</w:t>
            </w: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144767.7</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-118713.5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+61.4277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-7.4042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644" w:type="dxa"/>
            <w:shd w:val="clear" w:color="auto" w:fill="auto"/>
            <w:noWrap/>
            <w:vAlign w:val="center"/>
          </w:tcPr>
          <w:p>
            <w:pPr>
              <w:adjustRightInd w:val="0"/>
              <w:snapToGrid w:val="0"/>
              <w:jc w:val="center"/>
              <w:rPr>
                <w:rFonts w:ascii="Arial" w:hAnsi="Arial" w:cs="Arial"/>
                <w:sz w:val="21"/>
                <w:szCs w:val="21"/>
              </w:rPr>
            </w:pPr>
            <w:r>
              <w:rPr>
                <w:rFonts w:hint="eastAsia" w:ascii="Arial" w:hAnsi="Arial" w:cs="Arial"/>
                <w:sz w:val="21"/>
                <w:szCs w:val="21"/>
              </w:rPr>
              <w:t>37.6396</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+54.0235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生活污水</w:t>
            </w: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1584</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1584</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0.317</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0.317</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BOD</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0.127</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0.127</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66"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279" w:type="dxa"/>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-N</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0.045</w:t>
            </w:r>
          </w:p>
        </w:tc>
        <w:tc>
          <w:tcPr>
            <w:tcW w:w="1644" w:type="dxa"/>
            <w:shd w:val="clear" w:color="auto" w:fill="auto"/>
            <w:noWrap/>
            <w:vAlign w:val="center"/>
          </w:tcPr>
          <w:p>
            <w:pPr>
              <w:pStyle w:val="5"/>
              <w:adjustRightInd w:val="0"/>
              <w:snapToGrid w:val="0"/>
              <w:spacing w:line="240" w:lineRule="auto"/>
              <w:ind w:firstLine="0"/>
              <w:jc w:val="center"/>
              <w:rPr>
                <w:sz w:val="21"/>
              </w:rPr>
            </w:pPr>
            <w:r>
              <w:rPr>
                <w:rFonts w:hint="eastAsia"/>
                <w:sz w:val="21"/>
              </w:rPr>
              <w:t>0.045</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ascii="Arial" w:hAnsi="Arial" w:eastAsia="宋体" w:cs="Arial"/>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restart"/>
            <w:shd w:val="clear" w:color="auto" w:fill="auto"/>
            <w:vAlign w:val="center"/>
          </w:tcPr>
          <w:p>
            <w:pPr>
              <w:pStyle w:val="5"/>
              <w:adjustRightInd w:val="0"/>
              <w:snapToGrid w:val="0"/>
              <w:spacing w:line="240" w:lineRule="auto"/>
              <w:ind w:firstLine="0"/>
              <w:jc w:val="center"/>
              <w:rPr>
                <w:sz w:val="21"/>
                <w:szCs w:val="21"/>
              </w:rPr>
            </w:pPr>
            <w:r>
              <w:rPr>
                <w:sz w:val="21"/>
                <w:szCs w:val="21"/>
              </w:rPr>
              <w:t>固废</w:t>
            </w:r>
          </w:p>
        </w:tc>
        <w:tc>
          <w:tcPr>
            <w:tcW w:w="1786" w:type="dxa"/>
            <w:shd w:val="clear" w:color="auto" w:fill="auto"/>
            <w:vAlign w:val="center"/>
          </w:tcPr>
          <w:p>
            <w:pPr>
              <w:pStyle w:val="5"/>
              <w:adjustRightInd w:val="0"/>
              <w:snapToGrid w:val="0"/>
              <w:spacing w:line="240" w:lineRule="auto"/>
              <w:ind w:firstLine="0"/>
              <w:jc w:val="center"/>
              <w:rPr>
                <w:sz w:val="21"/>
                <w:szCs w:val="21"/>
              </w:rPr>
            </w:pPr>
            <w:r>
              <w:rPr>
                <w:sz w:val="21"/>
                <w:szCs w:val="21"/>
              </w:rPr>
              <w:t>一般工业固废</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644" w:type="dxa"/>
            <w:shd w:val="clear" w:color="auto" w:fill="auto"/>
            <w:noWrap/>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874" w:type="dxa"/>
            <w:shd w:val="clear" w:color="auto" w:fill="auto"/>
            <w:noWrap/>
            <w:vAlign w:val="center"/>
          </w:tcPr>
          <w:p>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pStyle w:val="5"/>
              <w:adjustRightInd w:val="0"/>
              <w:snapToGrid w:val="0"/>
              <w:spacing w:line="240" w:lineRule="auto"/>
              <w:ind w:firstLine="0"/>
              <w:jc w:val="center"/>
              <w:rPr>
                <w:sz w:val="21"/>
                <w:szCs w:val="21"/>
              </w:rPr>
            </w:pPr>
            <w:r>
              <w:rPr>
                <w:sz w:val="21"/>
                <w:szCs w:val="21"/>
              </w:rPr>
              <w:t>危险废物</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0.5</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45" w:type="dxa"/>
            <w:gridSpan w:val="2"/>
            <w:vMerge w:val="continue"/>
            <w:shd w:val="clear" w:color="auto" w:fill="auto"/>
            <w:vAlign w:val="center"/>
          </w:tcPr>
          <w:p>
            <w:pPr>
              <w:pStyle w:val="5"/>
              <w:adjustRightInd w:val="0"/>
              <w:snapToGrid w:val="0"/>
              <w:spacing w:line="240" w:lineRule="auto"/>
              <w:ind w:firstLine="0"/>
              <w:jc w:val="center"/>
              <w:rPr>
                <w:sz w:val="21"/>
                <w:szCs w:val="21"/>
              </w:rPr>
            </w:pPr>
          </w:p>
        </w:tc>
        <w:tc>
          <w:tcPr>
            <w:tcW w:w="1786" w:type="dxa"/>
            <w:shd w:val="clear" w:color="auto" w:fill="auto"/>
            <w:vAlign w:val="center"/>
          </w:tcPr>
          <w:p>
            <w:pPr>
              <w:pStyle w:val="5"/>
              <w:adjustRightInd w:val="0"/>
              <w:snapToGrid w:val="0"/>
              <w:spacing w:line="240" w:lineRule="auto"/>
              <w:ind w:firstLine="0"/>
              <w:jc w:val="center"/>
              <w:rPr>
                <w:sz w:val="21"/>
                <w:szCs w:val="21"/>
              </w:rPr>
            </w:pPr>
            <w:r>
              <w:rPr>
                <w:sz w:val="21"/>
                <w:szCs w:val="21"/>
              </w:rPr>
              <w:t>生活垃圾</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64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874" w:type="dxa"/>
            <w:shd w:val="clear" w:color="auto" w:fill="auto"/>
            <w:noWrap/>
            <w:vAlign w:val="center"/>
          </w:tcPr>
          <w:p>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r>
    </w:tbl>
    <w:p>
      <w:pPr>
        <w:pStyle w:val="4"/>
        <w:numPr>
          <w:ilvl w:val="0"/>
          <w:numId w:val="51"/>
        </w:numPr>
        <w:spacing w:before="214" w:beforeLines="50" w:after="214" w:afterLines="50" w:line="500" w:lineRule="exact"/>
        <w:rPr>
          <w:rFonts w:ascii="Arial" w:eastAsia="宋体" w:cs="Arial"/>
          <w:b/>
        </w:rPr>
      </w:pPr>
      <w:bookmarkStart w:id="563" w:name="_Toc185950248"/>
      <w:r>
        <w:rPr>
          <w:rFonts w:ascii="Arial" w:eastAsia="宋体" w:cs="Arial"/>
          <w:b/>
        </w:rPr>
        <w:t>环境质量现状评价结论</w:t>
      </w:r>
      <w:bookmarkEnd w:id="561"/>
      <w:bookmarkEnd w:id="562"/>
      <w:bookmarkEnd w:id="563"/>
    </w:p>
    <w:p>
      <w:pPr>
        <w:pStyle w:val="6"/>
        <w:numPr>
          <w:ilvl w:val="0"/>
          <w:numId w:val="52"/>
        </w:numPr>
        <w:tabs>
          <w:tab w:val="clear" w:pos="1789"/>
        </w:tabs>
        <w:spacing w:line="400" w:lineRule="exact"/>
        <w:ind w:left="0" w:firstLine="0"/>
        <w:rPr>
          <w:rFonts w:ascii="Arial" w:hAnsi="Arial" w:eastAsia="宋体" w:cs="Arial"/>
        </w:rPr>
      </w:pPr>
      <w:bookmarkStart w:id="564" w:name="_Toc87124320"/>
      <w:bookmarkStart w:id="565" w:name="_Toc57715680"/>
      <w:bookmarkStart w:id="566" w:name="_Toc67921936"/>
      <w:bookmarkStart w:id="567" w:name="_Toc88674842"/>
      <w:bookmarkStart w:id="568" w:name="_Toc58596520"/>
      <w:bookmarkStart w:id="569" w:name="_Toc104677367"/>
      <w:r>
        <w:rPr>
          <w:rFonts w:ascii="Arial" w:hAnsi="Arial" w:eastAsia="宋体" w:cs="Arial"/>
        </w:rPr>
        <w:t>地表水环境质量现状评价结论</w:t>
      </w:r>
      <w:bookmarkEnd w:id="564"/>
      <w:bookmarkEnd w:id="565"/>
      <w:bookmarkEnd w:id="566"/>
      <w:bookmarkEnd w:id="567"/>
      <w:bookmarkEnd w:id="568"/>
      <w:bookmarkEnd w:id="569"/>
    </w:p>
    <w:p>
      <w:pPr>
        <w:pStyle w:val="5"/>
        <w:spacing w:line="500" w:lineRule="exact"/>
        <w:ind w:firstLine="490" w:firstLineChars="200"/>
        <w:rPr>
          <w:highlight w:val="yellow"/>
        </w:rPr>
      </w:pPr>
      <w:r>
        <w:rPr>
          <w:rFonts w:hint="eastAsia"/>
        </w:rPr>
        <w:t>海水监测点位pH值和无机氮能满足《海水水质标准》（GB3097-1997）三类标准限值要求，BOD</w:t>
      </w:r>
      <w:r>
        <w:rPr>
          <w:rFonts w:hint="eastAsia"/>
          <w:vertAlign w:val="subscript"/>
        </w:rPr>
        <w:t>5</w:t>
      </w:r>
      <w:r>
        <w:rPr>
          <w:rFonts w:hint="eastAsia"/>
        </w:rPr>
        <w:t>能满足《海水水质标准》（GB3097-1997）二类标准限值要求，其余监测因子可满足《海水水质标准》（GB3097-1997）一类标准限值要求。</w:t>
      </w:r>
    </w:p>
    <w:p>
      <w:pPr>
        <w:pStyle w:val="6"/>
        <w:numPr>
          <w:ilvl w:val="0"/>
          <w:numId w:val="52"/>
        </w:numPr>
        <w:tabs>
          <w:tab w:val="clear" w:pos="1789"/>
        </w:tabs>
        <w:spacing w:line="400" w:lineRule="exact"/>
        <w:ind w:left="0" w:firstLine="0"/>
        <w:rPr>
          <w:rFonts w:ascii="Arial" w:hAnsi="Arial" w:eastAsia="宋体" w:cs="Arial"/>
        </w:rPr>
      </w:pPr>
      <w:bookmarkStart w:id="570" w:name="_Toc67921937"/>
      <w:bookmarkStart w:id="571" w:name="_Toc57715681"/>
      <w:bookmarkStart w:id="572" w:name="_Toc58596521"/>
      <w:bookmarkStart w:id="573" w:name="_Toc104677368"/>
      <w:bookmarkStart w:id="574" w:name="_Toc87124321"/>
      <w:bookmarkStart w:id="575" w:name="_Toc88674843"/>
      <w:r>
        <w:rPr>
          <w:rFonts w:ascii="Arial" w:hAnsi="Arial" w:eastAsia="宋体" w:cs="Arial"/>
        </w:rPr>
        <w:t>地下水环境质量现状评价结论</w:t>
      </w:r>
      <w:bookmarkEnd w:id="570"/>
      <w:bookmarkEnd w:id="571"/>
      <w:bookmarkEnd w:id="572"/>
      <w:bookmarkEnd w:id="573"/>
      <w:bookmarkEnd w:id="574"/>
      <w:bookmarkEnd w:id="575"/>
    </w:p>
    <w:p>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rPr>
        <w:t>厂区地下水由西北向东南径流，排泄至鹿耳环江；评价区域不涉及地下水开采，地下水敏感程度为不敏感；地下水水质监测结果显示，地下水中的Cl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类水质标准，其余监测因子达标。</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pPr>
        <w:pStyle w:val="6"/>
        <w:numPr>
          <w:ilvl w:val="0"/>
          <w:numId w:val="52"/>
        </w:numPr>
        <w:tabs>
          <w:tab w:val="clear" w:pos="1789"/>
        </w:tabs>
        <w:spacing w:line="400" w:lineRule="exact"/>
        <w:ind w:left="0" w:firstLine="0"/>
        <w:rPr>
          <w:rFonts w:ascii="Arial" w:hAnsi="Arial" w:eastAsia="宋体" w:cs="Arial"/>
        </w:rPr>
      </w:pPr>
      <w:bookmarkStart w:id="576" w:name="_Toc104677369"/>
      <w:bookmarkStart w:id="577" w:name="_Toc313269105"/>
      <w:bookmarkStart w:id="578" w:name="_Toc87124322"/>
      <w:bookmarkStart w:id="579" w:name="_Toc57715682"/>
      <w:bookmarkStart w:id="580" w:name="_Toc67921938"/>
      <w:bookmarkStart w:id="581" w:name="_Toc58596522"/>
      <w:bookmarkStart w:id="582" w:name="_Toc88674844"/>
      <w:r>
        <w:rPr>
          <w:rFonts w:ascii="Arial" w:hAnsi="Arial" w:eastAsia="宋体" w:cs="Arial"/>
        </w:rPr>
        <w:t>环境空气质量现状评价结论</w:t>
      </w:r>
      <w:bookmarkEnd w:id="576"/>
      <w:bookmarkEnd w:id="577"/>
      <w:bookmarkEnd w:id="578"/>
      <w:bookmarkEnd w:id="579"/>
      <w:bookmarkEnd w:id="580"/>
      <w:bookmarkEnd w:id="581"/>
      <w:bookmarkEnd w:id="582"/>
    </w:p>
    <w:p>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本次评价选取2022年作为评价基准年。根据桂环函〔2023〕13号，钦州市为达标区，各项基本污染物均能达到《环境空气质量标准》（GB3095-2012）中的二级标准要求。</w:t>
      </w:r>
    </w:p>
    <w:p>
      <w:pPr>
        <w:spacing w:line="500" w:lineRule="exact"/>
        <w:ind w:firstLine="490" w:firstLineChars="200"/>
        <w:rPr>
          <w:rFonts w:ascii="Arial" w:hAnsi="Arial" w:eastAsia="宋体" w:cs="Arial"/>
          <w:spacing w:val="10"/>
          <w:sz w:val="24"/>
          <w:szCs w:val="24"/>
          <w:highlight w:val="yellow"/>
        </w:rPr>
      </w:pPr>
      <w:r>
        <w:rPr>
          <w:rFonts w:ascii="Arial" w:hAnsi="Arial" w:eastAsia="宋体" w:cs="Arial"/>
          <w:spacing w:val="10"/>
          <w:sz w:val="24"/>
        </w:rPr>
        <w:t>根据补充监测因子的监测结果，</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pPr>
        <w:pStyle w:val="6"/>
        <w:numPr>
          <w:ilvl w:val="0"/>
          <w:numId w:val="52"/>
        </w:numPr>
        <w:tabs>
          <w:tab w:val="clear" w:pos="1789"/>
        </w:tabs>
        <w:spacing w:line="400" w:lineRule="exact"/>
        <w:ind w:left="0" w:firstLine="0"/>
        <w:rPr>
          <w:rFonts w:ascii="Arial" w:hAnsi="Arial" w:eastAsia="宋体" w:cs="Arial"/>
        </w:rPr>
      </w:pPr>
      <w:bookmarkStart w:id="583" w:name="_Toc57715683"/>
      <w:bookmarkStart w:id="584" w:name="_Toc67921939"/>
      <w:bookmarkStart w:id="585" w:name="_Toc104677370"/>
      <w:bookmarkStart w:id="586" w:name="_Toc87124323"/>
      <w:bookmarkStart w:id="587" w:name="_Toc58596523"/>
      <w:bookmarkStart w:id="588" w:name="_Toc88674845"/>
      <w:r>
        <w:rPr>
          <w:rFonts w:ascii="Arial" w:hAnsi="Arial" w:eastAsia="宋体" w:cs="Arial"/>
        </w:rPr>
        <w:t>声环境质量现状评价结论</w:t>
      </w:r>
      <w:bookmarkEnd w:id="583"/>
      <w:bookmarkEnd w:id="584"/>
      <w:bookmarkEnd w:id="585"/>
      <w:bookmarkEnd w:id="586"/>
      <w:bookmarkEnd w:id="587"/>
      <w:bookmarkEnd w:id="588"/>
    </w:p>
    <w:p>
      <w:pPr>
        <w:spacing w:line="500" w:lineRule="exact"/>
        <w:ind w:firstLine="490" w:firstLineChars="200"/>
        <w:rPr>
          <w:rFonts w:ascii="Arial" w:hAnsi="Arial" w:eastAsia="宋体" w:cs="Arial"/>
          <w:spacing w:val="10"/>
          <w:kern w:val="0"/>
          <w:sz w:val="24"/>
        </w:rPr>
      </w:pPr>
      <w:bookmarkStart w:id="589" w:name="_Toc10178"/>
      <w:bookmarkStart w:id="590" w:name="_Toc29284"/>
      <w:bookmarkStart w:id="591" w:name="_Toc238027881"/>
      <w:bookmarkStart w:id="592" w:name="_Toc157479224"/>
      <w:bookmarkStart w:id="593" w:name="_Toc9778"/>
      <w:bookmarkStart w:id="594" w:name="_Toc18951"/>
      <w:bookmarkStart w:id="595" w:name="_Toc280"/>
      <w:bookmarkStart w:id="596" w:name="_Toc7996"/>
      <w:bookmarkStart w:id="597" w:name="_Toc183011885"/>
      <w:r>
        <w:rPr>
          <w:rFonts w:ascii="Arial" w:hAnsi="Arial" w:eastAsia="宋体" w:cs="Arial"/>
          <w:spacing w:val="10"/>
          <w:kern w:val="0"/>
          <w:sz w:val="24"/>
        </w:rPr>
        <w:t>根据监测结果，监测期间项目东、南、北面厂界昼、夜间噪声满足《声环境质量标准》（GB3096-2008）3类区标准，西面厂界昼、夜间噪声满足4a类区标准；北面鸡墩头村昼、夜间噪声满足2类区标准。</w:t>
      </w:r>
    </w:p>
    <w:p>
      <w:pPr>
        <w:pStyle w:val="6"/>
        <w:numPr>
          <w:ilvl w:val="0"/>
          <w:numId w:val="52"/>
        </w:numPr>
        <w:tabs>
          <w:tab w:val="clear" w:pos="1789"/>
        </w:tabs>
        <w:spacing w:line="400" w:lineRule="exact"/>
        <w:ind w:left="0" w:firstLine="0"/>
        <w:rPr>
          <w:rFonts w:ascii="Arial" w:hAnsi="Arial" w:eastAsia="宋体" w:cs="Arial"/>
        </w:rPr>
      </w:pPr>
      <w:bookmarkStart w:id="598" w:name="_Toc58596524"/>
      <w:bookmarkStart w:id="599" w:name="_Toc57715684"/>
      <w:bookmarkStart w:id="600" w:name="_Toc67921940"/>
      <w:bookmarkStart w:id="601" w:name="_Toc87124324"/>
      <w:bookmarkStart w:id="602" w:name="_Toc104677371"/>
      <w:bookmarkStart w:id="603" w:name="_Toc88674846"/>
      <w:r>
        <w:rPr>
          <w:rFonts w:ascii="Arial" w:hAnsi="Arial" w:eastAsia="宋体" w:cs="Arial"/>
        </w:rPr>
        <w:t>土壤环境质量现状评价结论</w:t>
      </w:r>
      <w:bookmarkEnd w:id="598"/>
      <w:bookmarkEnd w:id="599"/>
      <w:bookmarkEnd w:id="600"/>
      <w:bookmarkEnd w:id="601"/>
      <w:bookmarkEnd w:id="602"/>
      <w:bookmarkEnd w:id="603"/>
    </w:p>
    <w:p>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根据监测结果，厂内7个土壤监测点（T1~T7）以及厂外T8、T9土壤监测点的锰监测值低于《建设用地土壤污染风险筛选值和管制值》（DB45/T2556-2022）中第二类用地筛选值标准</w:t>
      </w:r>
      <w:r>
        <w:rPr>
          <w:rFonts w:hint="eastAsia" w:ascii="Arial" w:hAnsi="Arial" w:eastAsia="宋体" w:cs="Arial"/>
          <w:spacing w:val="10"/>
          <w:kern w:val="0"/>
          <w:sz w:val="24"/>
        </w:rPr>
        <w:t>，其余</w:t>
      </w:r>
      <w:r>
        <w:rPr>
          <w:rFonts w:ascii="Arial" w:hAnsi="Arial" w:eastAsia="宋体" w:cs="Arial"/>
          <w:spacing w:val="10"/>
          <w:kern w:val="0"/>
          <w:sz w:val="24"/>
        </w:rPr>
        <w:t>各监测因子监测值均低于《土壤环境质量建设用地土壤污染风险管控标准（试行）》（GB36600-2018）中的第二类用地筛选值；T10、T11各监测因子监测值均低于《土壤环境质量 农用地土壤污染风险管控标准（试行）》（GB15618-2018）风险筛选值要求，其中</w:t>
      </w:r>
      <w:r>
        <w:rPr>
          <w:rFonts w:hint="eastAsia" w:ascii="Arial" w:hAnsi="Arial" w:eastAsia="宋体" w:cs="Arial"/>
          <w:spacing w:val="10"/>
          <w:kern w:val="0"/>
          <w:sz w:val="24"/>
        </w:rPr>
        <w:t>钴、锰、</w:t>
      </w:r>
      <w:r>
        <w:rPr>
          <w:rFonts w:ascii="Arial" w:hAnsi="Arial" w:eastAsia="宋体" w:cs="Arial"/>
          <w:spacing w:val="10"/>
          <w:kern w:val="0"/>
          <w:sz w:val="24"/>
        </w:rPr>
        <w:t>石油烃无质量标准，仅做背景调查。</w:t>
      </w:r>
    </w:p>
    <w:p>
      <w:pPr>
        <w:pStyle w:val="4"/>
        <w:numPr>
          <w:ilvl w:val="0"/>
          <w:numId w:val="51"/>
        </w:numPr>
        <w:spacing w:before="214" w:beforeLines="50" w:after="214" w:afterLines="50" w:line="500" w:lineRule="exact"/>
        <w:rPr>
          <w:rFonts w:ascii="Arial" w:eastAsia="宋体" w:cs="Arial"/>
          <w:b/>
        </w:rPr>
      </w:pPr>
      <w:bookmarkStart w:id="604" w:name="_Toc487"/>
      <w:bookmarkStart w:id="605" w:name="_Toc27197"/>
      <w:bookmarkStart w:id="606" w:name="_Toc1742982"/>
      <w:bookmarkStart w:id="607" w:name="_Toc157479229"/>
      <w:bookmarkStart w:id="608" w:name="_Toc183011890"/>
      <w:bookmarkStart w:id="609" w:name="_Toc238027882"/>
      <w:bookmarkStart w:id="610" w:name="_Toc104677372"/>
      <w:bookmarkStart w:id="611" w:name="_Toc32429"/>
      <w:bookmarkStart w:id="612" w:name="_Toc23670"/>
      <w:bookmarkStart w:id="613" w:name="_Toc185950249"/>
      <w:bookmarkStart w:id="614" w:name="_Toc26807"/>
      <w:bookmarkStart w:id="615" w:name="_Toc18646"/>
      <w:r>
        <w:rPr>
          <w:rFonts w:ascii="Arial" w:eastAsia="宋体" w:cs="Arial"/>
          <w:b/>
        </w:rPr>
        <w:t>污染防治措施</w:t>
      </w:r>
      <w:bookmarkEnd w:id="604"/>
      <w:bookmarkEnd w:id="605"/>
      <w:bookmarkEnd w:id="606"/>
      <w:bookmarkEnd w:id="607"/>
      <w:bookmarkEnd w:id="608"/>
      <w:bookmarkEnd w:id="609"/>
      <w:bookmarkEnd w:id="610"/>
      <w:bookmarkEnd w:id="611"/>
      <w:bookmarkEnd w:id="612"/>
      <w:bookmarkEnd w:id="613"/>
      <w:bookmarkEnd w:id="614"/>
      <w:bookmarkEnd w:id="615"/>
    </w:p>
    <w:p>
      <w:pPr>
        <w:pStyle w:val="6"/>
        <w:numPr>
          <w:ilvl w:val="0"/>
          <w:numId w:val="53"/>
        </w:numPr>
        <w:tabs>
          <w:tab w:val="clear" w:pos="1789"/>
        </w:tabs>
        <w:spacing w:line="400" w:lineRule="exact"/>
        <w:ind w:left="0" w:firstLine="0"/>
        <w:rPr>
          <w:rFonts w:ascii="Arial" w:hAnsi="Arial" w:eastAsia="宋体" w:cs="Arial"/>
        </w:rPr>
      </w:pPr>
      <w:bookmarkStart w:id="616" w:name="_Toc87124328"/>
      <w:bookmarkStart w:id="617" w:name="_Toc57715688"/>
      <w:bookmarkStart w:id="618" w:name="_Toc58596528"/>
      <w:bookmarkStart w:id="619" w:name="_Toc104677375"/>
      <w:bookmarkStart w:id="620" w:name="_Toc88674850"/>
      <w:bookmarkStart w:id="621" w:name="_Toc67921944"/>
      <w:bookmarkStart w:id="622" w:name="_Toc87124326"/>
      <w:bookmarkStart w:id="623" w:name="_Toc58596526"/>
      <w:bookmarkStart w:id="624" w:name="_Toc67921942"/>
      <w:bookmarkStart w:id="625" w:name="_Toc57715686"/>
      <w:bookmarkStart w:id="626" w:name="_Toc88674848"/>
      <w:bookmarkStart w:id="627" w:name="_Toc104677373"/>
      <w:r>
        <w:rPr>
          <w:rFonts w:ascii="Arial" w:hAnsi="Arial" w:eastAsia="宋体" w:cs="Arial"/>
        </w:rPr>
        <w:t>废气污染防治措施</w:t>
      </w:r>
      <w:bookmarkEnd w:id="616"/>
      <w:bookmarkEnd w:id="617"/>
      <w:bookmarkEnd w:id="618"/>
      <w:bookmarkEnd w:id="619"/>
      <w:bookmarkEnd w:id="620"/>
      <w:bookmarkEnd w:id="621"/>
    </w:p>
    <w:p>
      <w:pPr>
        <w:pStyle w:val="5"/>
        <w:adjustRightInd w:val="0"/>
        <w:snapToGrid w:val="0"/>
        <w:spacing w:line="500" w:lineRule="exact"/>
      </w:pPr>
      <w:r>
        <w:rPr>
          <w:rFonts w:hint="eastAsia"/>
        </w:rPr>
        <w:t>1、有组织废气污染防治措施</w:t>
      </w:r>
    </w:p>
    <w:p>
      <w:pPr>
        <w:pStyle w:val="5"/>
        <w:adjustRightInd w:val="0"/>
        <w:snapToGrid w:val="0"/>
        <w:spacing w:line="500" w:lineRule="exact"/>
      </w:pPr>
      <w:r>
        <w:rPr>
          <w:rFonts w:hint="eastAsia"/>
        </w:rPr>
        <w:t>（1）合成反应废气、压滤废气一同经吸收塔处理，经1根20m高排气筒（DA145）排放，废气排放</w:t>
      </w:r>
      <w:r>
        <w:rPr>
          <w:rFonts w:hint="eastAsia"/>
          <w:bCs/>
        </w:rPr>
        <w:t>满足《无机化学工业污染物排放标准》（GB31573-2015）要求。</w:t>
      </w:r>
    </w:p>
    <w:p>
      <w:pPr>
        <w:pStyle w:val="5"/>
        <w:adjustRightInd w:val="0"/>
        <w:snapToGrid w:val="0"/>
        <w:spacing w:line="500" w:lineRule="exact"/>
        <w:ind w:firstLine="490" w:firstLineChars="200"/>
      </w:pPr>
      <w:r>
        <w:rPr>
          <w:rFonts w:hint="eastAsia"/>
        </w:rPr>
        <w:t>（2）破碎粉尘、包装粉尘一同经布袋除尘器处理后，与烘干粉尘一同经吸收塔处理后通过DA146排气筒排放，废气排放</w:t>
      </w:r>
      <w:r>
        <w:rPr>
          <w:rFonts w:hint="eastAsia"/>
          <w:bCs/>
        </w:rPr>
        <w:t>满足《无机化学工业污染物排放标准》（GB31573-2015）要求</w:t>
      </w:r>
      <w:r>
        <w:rPr>
          <w:rFonts w:hint="eastAsia"/>
        </w:rPr>
        <w:t>。</w:t>
      </w:r>
    </w:p>
    <w:p>
      <w:pPr>
        <w:pStyle w:val="5"/>
        <w:adjustRightInd w:val="0"/>
        <w:snapToGrid w:val="0"/>
        <w:spacing w:line="500" w:lineRule="exact"/>
      </w:pPr>
      <w:r>
        <w:rPr>
          <w:rFonts w:hint="eastAsia"/>
        </w:rPr>
        <w:t>2、无组织废气污染防治措施</w:t>
      </w:r>
    </w:p>
    <w:p>
      <w:pPr>
        <w:pStyle w:val="5"/>
        <w:spacing w:line="500" w:lineRule="exact"/>
      </w:pPr>
      <w:r>
        <w:t>运输车辆采取封闭车厢或苫盖严密，厂区道路硬化、洒水、清洁等措施</w:t>
      </w:r>
      <w:r>
        <w:rPr>
          <w:rFonts w:hint="eastAsia"/>
        </w:rPr>
        <w:t>；</w:t>
      </w:r>
      <w:r>
        <w:t>各生产设备均在密闭反应釜、槽和管道内</w:t>
      </w:r>
      <w:r>
        <w:rPr>
          <w:rFonts w:hint="eastAsia"/>
        </w:rPr>
        <w:t>；</w:t>
      </w:r>
      <w:r>
        <w:t>破碎、包装、烘干等均设置单独密闭操作间；建设单位应加强日常管理，避免生产设备产生跑、冒、滴、漏等现象。</w:t>
      </w:r>
    </w:p>
    <w:p>
      <w:pPr>
        <w:pStyle w:val="6"/>
        <w:numPr>
          <w:ilvl w:val="0"/>
          <w:numId w:val="53"/>
        </w:numPr>
        <w:tabs>
          <w:tab w:val="clear" w:pos="1789"/>
        </w:tabs>
        <w:spacing w:line="400" w:lineRule="exact"/>
        <w:ind w:left="0" w:firstLine="0"/>
        <w:rPr>
          <w:rFonts w:ascii="Arial" w:hAnsi="Arial" w:eastAsia="宋体" w:cs="Arial"/>
        </w:rPr>
      </w:pPr>
      <w:r>
        <w:rPr>
          <w:rFonts w:ascii="Arial" w:hAnsi="Arial" w:eastAsia="宋体" w:cs="Arial"/>
        </w:rPr>
        <w:t>地表水污染防治措施</w:t>
      </w:r>
      <w:bookmarkEnd w:id="622"/>
      <w:bookmarkEnd w:id="623"/>
      <w:bookmarkEnd w:id="624"/>
      <w:bookmarkEnd w:id="625"/>
      <w:bookmarkEnd w:id="626"/>
      <w:bookmarkEnd w:id="627"/>
    </w:p>
    <w:p>
      <w:pPr>
        <w:pStyle w:val="5"/>
        <w:spacing w:line="500" w:lineRule="exact"/>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w:t>
      </w:r>
      <w:r>
        <w:t>近期依托大榄坪污水处理厂排海管道排入A2排污区，远期待大榄坪污水处理厂升级改造完成后排入大榄坪污水处理厂处理。</w:t>
      </w:r>
    </w:p>
    <w:p>
      <w:pPr>
        <w:pStyle w:val="5"/>
        <w:spacing w:line="500" w:lineRule="exact"/>
        <w:ind w:firstLine="490" w:firstLineChars="200"/>
      </w:pPr>
      <w:r>
        <w:t>员工生活污水经三级化粪池处理后，排入园区污水管网，排向大榄坪污水处理厂处理。</w:t>
      </w:r>
    </w:p>
    <w:p>
      <w:pPr>
        <w:pStyle w:val="6"/>
        <w:numPr>
          <w:ilvl w:val="0"/>
          <w:numId w:val="53"/>
        </w:numPr>
        <w:tabs>
          <w:tab w:val="clear" w:pos="1789"/>
        </w:tabs>
        <w:spacing w:line="400" w:lineRule="exact"/>
        <w:ind w:left="0" w:firstLine="0"/>
        <w:rPr>
          <w:rFonts w:ascii="Arial" w:hAnsi="Arial" w:eastAsia="宋体" w:cs="Arial"/>
        </w:rPr>
      </w:pPr>
      <w:bookmarkStart w:id="628" w:name="_Toc104677374"/>
      <w:bookmarkStart w:id="629" w:name="_Toc88674849"/>
      <w:bookmarkStart w:id="630" w:name="_Toc87124327"/>
      <w:bookmarkStart w:id="631" w:name="_Toc57715687"/>
      <w:bookmarkStart w:id="632" w:name="_Toc58596527"/>
      <w:bookmarkStart w:id="633" w:name="_Toc67921943"/>
      <w:r>
        <w:rPr>
          <w:rFonts w:ascii="Arial" w:hAnsi="Arial" w:eastAsia="宋体" w:cs="Arial"/>
        </w:rPr>
        <w:t>地下水污染防治措施</w:t>
      </w:r>
      <w:bookmarkEnd w:id="628"/>
      <w:bookmarkEnd w:id="629"/>
      <w:bookmarkEnd w:id="630"/>
      <w:bookmarkEnd w:id="631"/>
      <w:bookmarkEnd w:id="632"/>
      <w:bookmarkEnd w:id="633"/>
    </w:p>
    <w:p>
      <w:pPr>
        <w:pStyle w:val="5"/>
        <w:spacing w:line="500" w:lineRule="exact"/>
        <w:ind w:firstLine="490" w:firstLineChars="200"/>
      </w:pPr>
      <w:r>
        <w:t>1、源头控制，加强生产和设备运行管理，提高安全意识，从原料产品储存、生产、运输、</w:t>
      </w:r>
      <w:r>
        <w:rPr>
          <w:szCs w:val="24"/>
        </w:rPr>
        <w:t>污染处理设施等全过程控制废水</w:t>
      </w:r>
      <w:r>
        <w:rPr>
          <w:rFonts w:hint="eastAsia"/>
          <w:szCs w:val="24"/>
          <w:lang w:eastAsia="zh-CN"/>
        </w:rPr>
        <w:t>泄漏</w:t>
      </w:r>
      <w:r>
        <w:rPr>
          <w:szCs w:val="24"/>
        </w:rPr>
        <w:t>；建立经常性的检修制度，定期检查污染源项地下水保护设施</w:t>
      </w:r>
      <w:r>
        <w:t>。</w:t>
      </w:r>
    </w:p>
    <w:p>
      <w:pPr>
        <w:pStyle w:val="5"/>
        <w:spacing w:line="500" w:lineRule="exact"/>
        <w:ind w:firstLine="490" w:firstLineChars="200"/>
        <w:rPr>
          <w:szCs w:val="24"/>
        </w:rPr>
      </w:pPr>
      <w:r>
        <w:rPr>
          <w:szCs w:val="24"/>
        </w:rPr>
        <w:t>2、分区防渗，</w:t>
      </w:r>
      <w:r>
        <w:rPr>
          <w:rFonts w:hint="eastAsia"/>
          <w:szCs w:val="24"/>
        </w:rPr>
        <w:t>整个</w:t>
      </w:r>
      <w:r>
        <w:rPr>
          <w:szCs w:val="24"/>
        </w:rPr>
        <w:t>X</w:t>
      </w:r>
      <w:r>
        <w:rPr>
          <w:rFonts w:hint="eastAsia"/>
          <w:szCs w:val="24"/>
        </w:rPr>
        <w:t>19车间厂房</w:t>
      </w:r>
      <w:r>
        <w:rPr>
          <w:szCs w:val="24"/>
        </w:rPr>
        <w:t>为重点防渗区，渗透系数≤1×10</w:t>
      </w:r>
      <w:r>
        <w:rPr>
          <w:szCs w:val="24"/>
          <w:vertAlign w:val="superscript"/>
        </w:rPr>
        <w:t>-10</w:t>
      </w:r>
      <w:r>
        <w:rPr>
          <w:szCs w:val="24"/>
        </w:rPr>
        <w:t>cm/s。</w:t>
      </w:r>
    </w:p>
    <w:p>
      <w:pPr>
        <w:pStyle w:val="5"/>
        <w:tabs>
          <w:tab w:val="left" w:pos="1080"/>
        </w:tabs>
        <w:spacing w:line="480" w:lineRule="exact"/>
      </w:pPr>
      <w:r>
        <w:t>3、厂区内</w:t>
      </w:r>
      <w:r>
        <w:rPr>
          <w:szCs w:val="24"/>
        </w:rPr>
        <w:t>设4个跟踪监测井。</w:t>
      </w:r>
    </w:p>
    <w:p>
      <w:pPr>
        <w:pStyle w:val="6"/>
        <w:numPr>
          <w:ilvl w:val="0"/>
          <w:numId w:val="53"/>
        </w:numPr>
        <w:tabs>
          <w:tab w:val="clear" w:pos="1789"/>
        </w:tabs>
        <w:spacing w:line="400" w:lineRule="exact"/>
        <w:ind w:left="0" w:firstLine="0"/>
        <w:rPr>
          <w:rFonts w:ascii="Arial" w:hAnsi="Arial" w:eastAsia="宋体" w:cs="Arial"/>
        </w:rPr>
      </w:pPr>
      <w:bookmarkStart w:id="634" w:name="_Toc87124329"/>
      <w:bookmarkStart w:id="635" w:name="_Toc88674851"/>
      <w:bookmarkStart w:id="636" w:name="_Toc104677376"/>
      <w:bookmarkStart w:id="637" w:name="_Toc58596529"/>
      <w:bookmarkStart w:id="638" w:name="_Toc57715689"/>
      <w:bookmarkStart w:id="639" w:name="_Toc67921945"/>
      <w:r>
        <w:rPr>
          <w:rFonts w:ascii="Arial" w:hAnsi="Arial" w:eastAsia="宋体" w:cs="Arial"/>
        </w:rPr>
        <w:t>噪声污染防治措施</w:t>
      </w:r>
      <w:bookmarkEnd w:id="634"/>
      <w:bookmarkEnd w:id="635"/>
      <w:bookmarkEnd w:id="636"/>
      <w:bookmarkEnd w:id="637"/>
      <w:bookmarkEnd w:id="638"/>
      <w:bookmarkEnd w:id="639"/>
    </w:p>
    <w:p>
      <w:pPr>
        <w:pStyle w:val="5"/>
        <w:spacing w:line="500" w:lineRule="exact"/>
      </w:pPr>
      <w:r>
        <w:t>项目对周围环境可能造成影响的主要噪声源来自各种风机、各种水泵及运输车辆的噪声。噪声污染防治首先应在设计、采购阶段选择低噪声设备，其次是对主要噪声源采取隔声、消声、吸声、减震等措施，以确保厂界噪声达标。项目拟采取的降噪措施包括：生产车间建筑隔声；风机进出口设置消声器；动力设备采用钢砼隔振基础，管道、阀门接口采取缓动及减震的柔性接头（口），泵机设备采取减震措施。</w:t>
      </w:r>
    </w:p>
    <w:p>
      <w:pPr>
        <w:pStyle w:val="6"/>
        <w:numPr>
          <w:ilvl w:val="0"/>
          <w:numId w:val="53"/>
        </w:numPr>
        <w:tabs>
          <w:tab w:val="clear" w:pos="1789"/>
        </w:tabs>
        <w:spacing w:line="400" w:lineRule="exact"/>
        <w:ind w:left="0" w:firstLine="0"/>
        <w:rPr>
          <w:rFonts w:ascii="Arial" w:hAnsi="Arial" w:eastAsia="宋体" w:cs="Arial"/>
        </w:rPr>
      </w:pPr>
      <w:bookmarkStart w:id="640" w:name="_Toc104677377"/>
      <w:bookmarkStart w:id="641" w:name="_Toc67921946"/>
      <w:bookmarkStart w:id="642" w:name="_Toc57715690"/>
      <w:bookmarkStart w:id="643" w:name="_Toc87124330"/>
      <w:bookmarkStart w:id="644" w:name="_Toc88674852"/>
      <w:bookmarkStart w:id="645" w:name="_Toc58596530"/>
      <w:r>
        <w:rPr>
          <w:rFonts w:ascii="Arial" w:hAnsi="Arial" w:eastAsia="宋体" w:cs="Arial"/>
        </w:rPr>
        <w:t>固体废物治理措施</w:t>
      </w:r>
      <w:bookmarkEnd w:id="640"/>
      <w:bookmarkEnd w:id="641"/>
      <w:bookmarkEnd w:id="642"/>
      <w:bookmarkEnd w:id="643"/>
      <w:bookmarkEnd w:id="644"/>
      <w:bookmarkEnd w:id="645"/>
    </w:p>
    <w:p>
      <w:pPr>
        <w:pStyle w:val="5"/>
        <w:spacing w:line="500" w:lineRule="exact"/>
        <w:ind w:firstLine="490" w:firstLineChars="200"/>
        <w:rPr>
          <w:szCs w:val="24"/>
        </w:rPr>
      </w:pPr>
      <w:r>
        <w:rPr>
          <w:szCs w:val="24"/>
        </w:rPr>
        <w:t>项目产生的危废主要</w:t>
      </w:r>
      <w:r>
        <w:rPr>
          <w:rFonts w:hint="eastAsia"/>
          <w:szCs w:val="24"/>
        </w:rPr>
        <w:t>为</w:t>
      </w:r>
      <w:r>
        <w:rPr>
          <w:szCs w:val="24"/>
        </w:rPr>
        <w:t>机械维修废润滑油（900-214-08）</w:t>
      </w:r>
      <w:r>
        <w:rPr>
          <w:rFonts w:hint="eastAsia"/>
          <w:szCs w:val="24"/>
        </w:rPr>
        <w:t>，</w:t>
      </w:r>
      <w:r>
        <w:rPr>
          <w:szCs w:val="24"/>
        </w:rPr>
        <w:t>暂存于厂区二号地块西面的危废暂存间内，定期委托具有相应资质单位上门回收处置。</w:t>
      </w:r>
    </w:p>
    <w:p>
      <w:pPr>
        <w:pStyle w:val="5"/>
        <w:spacing w:line="500" w:lineRule="exact"/>
        <w:ind w:firstLine="490" w:firstLineChars="200"/>
        <w:rPr>
          <w:szCs w:val="24"/>
        </w:rPr>
      </w:pPr>
      <w:r>
        <w:rPr>
          <w:szCs w:val="24"/>
        </w:rPr>
        <w:t>厂区内分散布置有生活垃圾收集桶，项目产生的生活垃圾收集实行分类化，纸质包装、金属包装、塑料包装和玻璃包装等通过分类收集（可利用、不可回收利用）减少垃圾的处理量，提高资源的利用率。实行生活垃圾袋装化，同时做好分类收集、防风、防雨、防渗漏措施，垃圾堆放点进行消毒，消灭害虫，避免散发恶臭，孽生蚊蝇。不可利用的生活垃圾委托环卫部门上门清理。</w:t>
      </w:r>
    </w:p>
    <w:p>
      <w:pPr>
        <w:pStyle w:val="4"/>
        <w:numPr>
          <w:ilvl w:val="0"/>
          <w:numId w:val="51"/>
        </w:numPr>
        <w:spacing w:before="214" w:beforeLines="50" w:after="214" w:afterLines="50" w:line="500" w:lineRule="exact"/>
        <w:rPr>
          <w:rFonts w:ascii="Arial" w:eastAsia="宋体" w:cs="Arial"/>
          <w:b/>
        </w:rPr>
      </w:pPr>
      <w:bookmarkStart w:id="646" w:name="_Toc1742983"/>
      <w:bookmarkStart w:id="647" w:name="_Toc104677380"/>
      <w:bookmarkStart w:id="648" w:name="_Toc185950250"/>
      <w:r>
        <w:rPr>
          <w:rFonts w:ascii="Arial" w:eastAsia="宋体" w:cs="Arial"/>
          <w:b/>
        </w:rPr>
        <w:t>环境影响</w:t>
      </w:r>
      <w:bookmarkEnd w:id="589"/>
      <w:bookmarkEnd w:id="590"/>
      <w:bookmarkEnd w:id="591"/>
      <w:bookmarkEnd w:id="592"/>
      <w:bookmarkEnd w:id="593"/>
      <w:bookmarkEnd w:id="594"/>
      <w:bookmarkEnd w:id="595"/>
      <w:bookmarkEnd w:id="596"/>
      <w:bookmarkEnd w:id="597"/>
      <w:r>
        <w:rPr>
          <w:rFonts w:ascii="Arial" w:eastAsia="宋体" w:cs="Arial"/>
          <w:b/>
        </w:rPr>
        <w:t>评价结论</w:t>
      </w:r>
      <w:bookmarkEnd w:id="646"/>
      <w:bookmarkEnd w:id="647"/>
      <w:bookmarkEnd w:id="648"/>
    </w:p>
    <w:p>
      <w:pPr>
        <w:pStyle w:val="6"/>
        <w:numPr>
          <w:ilvl w:val="0"/>
          <w:numId w:val="54"/>
        </w:numPr>
        <w:tabs>
          <w:tab w:val="clear" w:pos="1789"/>
        </w:tabs>
        <w:spacing w:line="400" w:lineRule="exact"/>
        <w:ind w:left="0" w:firstLine="0"/>
        <w:rPr>
          <w:rFonts w:ascii="Arial" w:hAnsi="Arial" w:eastAsia="宋体" w:cs="Arial"/>
        </w:rPr>
      </w:pPr>
      <w:bookmarkStart w:id="649" w:name="_Toc87124333"/>
      <w:bookmarkStart w:id="650" w:name="_Toc88674855"/>
      <w:bookmarkStart w:id="651" w:name="_Toc57715694"/>
      <w:bookmarkStart w:id="652" w:name="_Toc104677381"/>
      <w:bookmarkStart w:id="653" w:name="_Toc67921950"/>
      <w:bookmarkStart w:id="654" w:name="_Toc58596534"/>
      <w:r>
        <w:rPr>
          <w:rFonts w:ascii="Arial" w:hAnsi="Arial" w:eastAsia="宋体" w:cs="Arial"/>
        </w:rPr>
        <w:t>施工期环境影响评价结论</w:t>
      </w:r>
      <w:bookmarkEnd w:id="649"/>
      <w:bookmarkEnd w:id="650"/>
      <w:bookmarkEnd w:id="651"/>
      <w:bookmarkEnd w:id="652"/>
      <w:bookmarkEnd w:id="653"/>
      <w:bookmarkEnd w:id="654"/>
    </w:p>
    <w:p>
      <w:pPr>
        <w:pStyle w:val="5"/>
        <w:spacing w:line="500" w:lineRule="exact"/>
        <w:rPr>
          <w:szCs w:val="24"/>
        </w:rPr>
      </w:pPr>
      <w:r>
        <w:rPr>
          <w:szCs w:val="24"/>
        </w:rPr>
        <w:t>施工期主要污染物为施工扬尘、施工机械设备废气、施工废水、施工噪声、建筑垃圾等。本项目施工已基本完毕，根据现场勘查，施工废气、施工废水带来的污染对周边环境影响较小，建筑垃圾等均已妥善处置。</w:t>
      </w:r>
    </w:p>
    <w:p>
      <w:pPr>
        <w:pStyle w:val="6"/>
        <w:numPr>
          <w:ilvl w:val="0"/>
          <w:numId w:val="54"/>
        </w:numPr>
        <w:tabs>
          <w:tab w:val="clear" w:pos="1789"/>
        </w:tabs>
        <w:spacing w:line="400" w:lineRule="exact"/>
        <w:ind w:left="0" w:firstLine="0"/>
        <w:rPr>
          <w:rFonts w:ascii="Arial" w:hAnsi="Arial" w:eastAsia="宋体" w:cs="Arial"/>
        </w:rPr>
      </w:pPr>
      <w:bookmarkStart w:id="655" w:name="_Toc88674858"/>
      <w:bookmarkStart w:id="656" w:name="_Toc67921953"/>
      <w:bookmarkStart w:id="657" w:name="_Toc104677384"/>
      <w:bookmarkStart w:id="658" w:name="_Toc87124336"/>
      <w:bookmarkStart w:id="659" w:name="_Toc58596537"/>
      <w:bookmarkStart w:id="660" w:name="_Toc57715697"/>
      <w:r>
        <w:rPr>
          <w:rFonts w:ascii="Arial" w:hAnsi="Arial" w:eastAsia="宋体" w:cs="Arial"/>
        </w:rPr>
        <w:t>运营期环境空气影响评价结论</w:t>
      </w:r>
      <w:bookmarkEnd w:id="655"/>
      <w:bookmarkEnd w:id="656"/>
      <w:bookmarkEnd w:id="657"/>
      <w:bookmarkEnd w:id="658"/>
      <w:bookmarkEnd w:id="659"/>
      <w:bookmarkEnd w:id="660"/>
    </w:p>
    <w:p>
      <w:pPr>
        <w:pStyle w:val="5"/>
        <w:adjustRightInd w:val="0"/>
        <w:snapToGrid w:val="0"/>
        <w:spacing w:line="500" w:lineRule="exact"/>
      </w:pPr>
      <w:r>
        <w:t>项目所在地属于达标区，根据AERMOD进一步预测结果可知：</w:t>
      </w:r>
    </w:p>
    <w:p>
      <w:pPr>
        <w:pStyle w:val="5"/>
        <w:adjustRightInd w:val="0"/>
        <w:snapToGrid w:val="0"/>
        <w:spacing w:line="500" w:lineRule="exact"/>
      </w:pPr>
      <w:r>
        <w:t>1、项目建成投产后，新增污染源正常排放情况下，短期浓度贡献值占标率均低于100%。</w:t>
      </w:r>
    </w:p>
    <w:p>
      <w:pPr>
        <w:pStyle w:val="5"/>
        <w:adjustRightInd w:val="0"/>
        <w:snapToGrid w:val="0"/>
        <w:spacing w:line="500" w:lineRule="exact"/>
      </w:pPr>
      <w:r>
        <w:t>2、项目排放的各污染源减区域削减源，叠加现状浓度、在建拟建同类污染源后， PM</w:t>
      </w:r>
      <w:r>
        <w:rPr>
          <w:vertAlign w:val="subscript"/>
        </w:rPr>
        <w:t>10</w:t>
      </w:r>
      <w:r>
        <w:t>的保证率日平均、年平均浓度均达到《环境空气质量标准》（GB3096-2012）二级标准要求，氨气的保证率小时值浓度满足《环境影响评价技术导则</w:t>
      </w:r>
      <w:r>
        <w:rPr>
          <w:rFonts w:hint="eastAsia"/>
        </w:rPr>
        <w:t xml:space="preserve"> 大气环境</w:t>
      </w:r>
      <w:r>
        <w:t>》（HJ2.2-2018）附录D的要求。</w:t>
      </w:r>
    </w:p>
    <w:p>
      <w:pPr>
        <w:pStyle w:val="5"/>
        <w:adjustRightInd w:val="0"/>
        <w:snapToGrid w:val="0"/>
        <w:spacing w:line="500" w:lineRule="exact"/>
      </w:pPr>
      <w:r>
        <w:t>3、项目大气污染物短期贡献浓度在厂界外无超标点，无需设置大气环境防护距离。</w:t>
      </w:r>
    </w:p>
    <w:p>
      <w:pPr>
        <w:pStyle w:val="5"/>
        <w:adjustRightInd w:val="0"/>
        <w:snapToGrid w:val="0"/>
        <w:spacing w:line="500" w:lineRule="exact"/>
      </w:pPr>
      <w:r>
        <w:t>4、项目四周厂界各污染物浓度符合《无机化学工业污染物排放标准》（GB31573-2015）及《大气污染物综合排放标准》（GB16297-1996）要求。</w:t>
      </w:r>
    </w:p>
    <w:p>
      <w:pPr>
        <w:pStyle w:val="5"/>
        <w:adjustRightInd w:val="0"/>
        <w:snapToGrid w:val="0"/>
        <w:spacing w:line="500" w:lineRule="exact"/>
        <w:ind w:firstLine="490" w:firstLineChars="200"/>
        <w:rPr>
          <w:szCs w:val="24"/>
        </w:rPr>
      </w:pPr>
      <w:r>
        <w:t>综上所述，项目建设对周边环境影响是可以接受的。</w:t>
      </w:r>
    </w:p>
    <w:p>
      <w:pPr>
        <w:pStyle w:val="6"/>
        <w:numPr>
          <w:ilvl w:val="0"/>
          <w:numId w:val="54"/>
        </w:numPr>
        <w:tabs>
          <w:tab w:val="clear" w:pos="1789"/>
        </w:tabs>
        <w:spacing w:line="400" w:lineRule="exact"/>
        <w:ind w:left="0" w:firstLine="0"/>
        <w:rPr>
          <w:rFonts w:ascii="Arial" w:hAnsi="Arial" w:eastAsia="宋体" w:cs="Arial"/>
        </w:rPr>
      </w:pPr>
      <w:bookmarkStart w:id="661" w:name="_Toc87124334"/>
      <w:bookmarkStart w:id="662" w:name="_Toc57715695"/>
      <w:bookmarkStart w:id="663" w:name="_Toc104677382"/>
      <w:bookmarkStart w:id="664" w:name="_Toc88674856"/>
      <w:bookmarkStart w:id="665" w:name="_Toc67921951"/>
      <w:bookmarkStart w:id="666" w:name="_Toc58596535"/>
      <w:r>
        <w:rPr>
          <w:rFonts w:ascii="Arial" w:hAnsi="Arial" w:eastAsia="宋体" w:cs="Arial"/>
        </w:rPr>
        <w:t>运营期地表水环境影响评价结论</w:t>
      </w:r>
      <w:bookmarkEnd w:id="661"/>
      <w:bookmarkEnd w:id="662"/>
      <w:bookmarkEnd w:id="663"/>
      <w:bookmarkEnd w:id="664"/>
      <w:bookmarkEnd w:id="665"/>
      <w:bookmarkEnd w:id="666"/>
    </w:p>
    <w:p>
      <w:pPr>
        <w:pStyle w:val="5"/>
        <w:spacing w:line="500" w:lineRule="exact"/>
        <w:ind w:firstLine="490" w:firstLineChars="200"/>
        <w:rPr>
          <w:szCs w:val="24"/>
        </w:rPr>
      </w:pPr>
      <w:r>
        <w:rPr>
          <w:szCs w:val="24"/>
        </w:rPr>
        <w:t>1、达标可行性分析</w:t>
      </w:r>
    </w:p>
    <w:p>
      <w:pPr>
        <w:pStyle w:val="5"/>
        <w:spacing w:line="500" w:lineRule="exact"/>
      </w:pPr>
      <w:r>
        <w:rPr>
          <w:rFonts w:hint="eastAsia"/>
          <w:szCs w:val="24"/>
          <w:u w:val="single"/>
        </w:rPr>
        <w:t>经管道收集后的生产废水和经地沟收集后的车间清洗废水一同经在X19车间经板框压滤、精密过滤器预处理满足《无机化学工业污染物排放标准》（GB31573-2015）车间排放口要求后</w:t>
      </w:r>
      <w:r>
        <w:rPr>
          <w:szCs w:val="24"/>
        </w:rPr>
        <w:t>，</w:t>
      </w:r>
      <w:r>
        <w:rPr>
          <w:rFonts w:hint="eastAsia"/>
        </w:rPr>
        <w:t>通过管道泵入S7污水处理车间。</w:t>
      </w:r>
    </w:p>
    <w:p>
      <w:pPr>
        <w:pStyle w:val="5"/>
        <w:spacing w:line="500" w:lineRule="exact"/>
        <w:rPr>
          <w:szCs w:val="24"/>
          <w:highlight w:val="yellow"/>
        </w:rPr>
      </w:pPr>
      <w:r>
        <w:rPr>
          <w:szCs w:val="24"/>
        </w:rPr>
        <w:t>项目实施后全厂废水总排口满足《无机化学工业污染物排放标准》（GB31573-2015）</w:t>
      </w:r>
      <w:r>
        <w:rPr>
          <w:kern w:val="0"/>
          <w:szCs w:val="24"/>
        </w:rPr>
        <w:t>表1直接排放限值</w:t>
      </w:r>
      <w:r>
        <w:rPr>
          <w:szCs w:val="24"/>
        </w:rPr>
        <w:t>要求。</w:t>
      </w:r>
    </w:p>
    <w:p>
      <w:pPr>
        <w:pStyle w:val="5"/>
        <w:spacing w:line="500" w:lineRule="exact"/>
        <w:ind w:firstLine="490" w:firstLineChars="200"/>
        <w:rPr>
          <w:szCs w:val="24"/>
        </w:rPr>
      </w:pPr>
      <w:r>
        <w:rPr>
          <w:szCs w:val="24"/>
        </w:rPr>
        <w:t>生活污水经三级化粪池处理可满足《无机化学工业污染物排放标准》（GB31573-2015）表1间接排放限值。</w:t>
      </w:r>
    </w:p>
    <w:p>
      <w:pPr>
        <w:pStyle w:val="5"/>
        <w:spacing w:line="500" w:lineRule="exact"/>
        <w:ind w:firstLine="490" w:firstLineChars="200"/>
        <w:rPr>
          <w:szCs w:val="24"/>
        </w:rPr>
      </w:pPr>
      <w:r>
        <w:rPr>
          <w:szCs w:val="24"/>
        </w:rPr>
        <w:t>2、外排废水可行性分析</w:t>
      </w:r>
    </w:p>
    <w:p>
      <w:pPr>
        <w:pStyle w:val="5"/>
        <w:spacing w:line="500" w:lineRule="exact"/>
        <w:rPr>
          <w:szCs w:val="24"/>
        </w:rPr>
      </w:pPr>
      <w:r>
        <w:rPr>
          <w:szCs w:val="24"/>
        </w:rPr>
        <w:t>近期生产废水经厂区污水处理站处理后直接排放；后期待大榄坪污水处理厂升级改造或二期扩建工程项目完成后，废水送至大榄坪污水处理厂处理达标后再进行深海排放。本次评价仅对近期废水直接排放进行分析。</w:t>
      </w:r>
    </w:p>
    <w:p>
      <w:pPr>
        <w:pStyle w:val="5"/>
        <w:spacing w:line="500" w:lineRule="exact"/>
        <w:rPr>
          <w:szCs w:val="24"/>
        </w:rPr>
      </w:pPr>
      <w:r>
        <w:rPr>
          <w:rFonts w:hint="eastAsia"/>
          <w:szCs w:val="24"/>
        </w:rPr>
        <w:t>本项目变更后，全厂废水总排口各污染物排放量与</w:t>
      </w:r>
      <w:r>
        <w:rPr>
          <w:szCs w:val="24"/>
        </w:rPr>
        <w:t>一期工程环评（即</w:t>
      </w:r>
      <w:r>
        <w:rPr>
          <w:rFonts w:hint="eastAsia"/>
          <w:szCs w:val="24"/>
        </w:rPr>
        <w:t>广西中伟新能源科技有限公司北部湾产业基地三元项目（一期一阶段）环境影响报告书</w:t>
      </w:r>
      <w:r>
        <w:rPr>
          <w:szCs w:val="24"/>
        </w:rPr>
        <w:t>）总排口排放量相比，废水排放量、各污染物总量均有所减少，因此本次评价引用一期工程环评预测结论进行评价。</w:t>
      </w:r>
    </w:p>
    <w:p>
      <w:pPr>
        <w:pStyle w:val="5"/>
        <w:spacing w:line="500" w:lineRule="exact"/>
        <w:ind w:firstLine="490" w:firstLineChars="200"/>
        <w:rPr>
          <w:szCs w:val="24"/>
        </w:rPr>
      </w:pPr>
      <w:r>
        <w:rPr>
          <w:szCs w:val="24"/>
        </w:rPr>
        <w:t>根据一期工程环评预测结果表明，一期正常排放和事故排放高盐废水中硫酸盐排放对相关海域带来的高盐环境未超出海洋生物的推测耐受上限。因此，一期正常排放和事故排放高盐废水对周边海域的海洋生态环境影响有限，但由于养殖区1和金鼓江红树林距离排污口最近，因此建议项目运营加强对养殖区1和金鼓江红树林相关海域环境持续监测，预警可能发生的牡蛎和红树林受高硫酸盐胁迫生长发生异常的情况。一期正常排放下，排污口所在A2排放区内有小面积COD和无机氮超四类水质标准，排放区内镍不超标；排放区范围外镍、COD、无机氮的预测值均达到《海水水质标准》的相应水质标准，满足近岸海域环境功能区划的水质保护要求。排污口附近和附近控制点Co、Mn和硫酸盐最大增量分别为0.0129mg/L、0.0196mg/L和1082.1mg/L，及1.06×10</w:t>
      </w:r>
      <w:r>
        <w:rPr>
          <w:szCs w:val="24"/>
          <w:vertAlign w:val="superscript"/>
        </w:rPr>
        <w:t xml:space="preserve">-4 </w:t>
      </w:r>
      <w:r>
        <w:rPr>
          <w:szCs w:val="24"/>
        </w:rPr>
        <w:t>mg/L、1.61×10</w:t>
      </w:r>
      <w:r>
        <w:rPr>
          <w:szCs w:val="24"/>
          <w:vertAlign w:val="superscript"/>
        </w:rPr>
        <w:t>-4</w:t>
      </w:r>
      <w:r>
        <w:rPr>
          <w:szCs w:val="24"/>
        </w:rPr>
        <w:t xml:space="preserve"> mg/L和8.9 mg/L，增量相比本底值有限，不会超出目前已有研究报道海洋生物对Co、Mn的耐受上限，排污口附近硫酸盐虽超出海洋生物推测耐受上限，但影响面积远小于3.1km</w:t>
      </w:r>
      <w:r>
        <w:rPr>
          <w:szCs w:val="24"/>
          <w:vertAlign w:val="superscript"/>
        </w:rPr>
        <w:t>2</w:t>
      </w:r>
      <w:r>
        <w:rPr>
          <w:szCs w:val="24"/>
        </w:rPr>
        <w:t>（排污区面积），故生态环境影响有限。一期事故排放污染物扩散计算表明，研究海域无机氮增量大且大面积超标，造成排污口附近海域水质恶化。COD、Ni满足相关水质标准。Co、Mn和硫酸盐增量也较明显，其中Co和硫酸盐在排污口附近超出了海洋生物推测耐受上限。根据《建设项目对海洋生物资源影响评价技术规程》的相关要求，一期正常排放下不会造成海洋生物资源损失，但在事故排放下COD和Ni污染指标会造成海洋生物资源损失。由于目前暂无Co、Mn和硫酸盐对海洋生物的详细影响研究，一期正常排放废水后Co、Mn和硫酸根离子虽未超出海洋生物推测耐受上限，但仍可能会对部分海洋生物产生影响，在项目运营中应密切监测排污口附近海域水质、沉积物、生物体、海洋生态及敏感目标如红树林的质量现状，同时开展典型海洋生物的Co、Mn和硫酸盐耐受实验研究，获取更多有关基础数据支撑相关因子的海洋生态影响评价。一期事故排放会造成排污口周边海域COD大面积超标，且Ni、Co、Mn和硫酸盐指标增量也比较明显，故应严禁事故排放。</w:t>
      </w:r>
    </w:p>
    <w:p>
      <w:pPr>
        <w:pStyle w:val="6"/>
        <w:numPr>
          <w:ilvl w:val="0"/>
          <w:numId w:val="54"/>
        </w:numPr>
        <w:tabs>
          <w:tab w:val="clear" w:pos="1789"/>
        </w:tabs>
        <w:spacing w:line="400" w:lineRule="exact"/>
        <w:ind w:left="0" w:firstLine="0"/>
        <w:rPr>
          <w:rFonts w:ascii="Arial" w:hAnsi="Arial" w:eastAsia="宋体" w:cs="Arial"/>
        </w:rPr>
      </w:pPr>
      <w:bookmarkStart w:id="667" w:name="_Toc104677383"/>
      <w:bookmarkStart w:id="668" w:name="_Toc88674857"/>
      <w:bookmarkStart w:id="669" w:name="_Toc67921952"/>
      <w:bookmarkStart w:id="670" w:name="_Toc58596536"/>
      <w:bookmarkStart w:id="671" w:name="_Toc87124335"/>
      <w:bookmarkStart w:id="672" w:name="_Toc57715696"/>
      <w:r>
        <w:rPr>
          <w:rFonts w:ascii="Arial" w:hAnsi="Arial" w:eastAsia="宋体" w:cs="Arial"/>
        </w:rPr>
        <w:t>运营期地下水环境影响评价结论</w:t>
      </w:r>
      <w:bookmarkEnd w:id="667"/>
      <w:bookmarkEnd w:id="668"/>
      <w:bookmarkEnd w:id="669"/>
      <w:bookmarkEnd w:id="670"/>
      <w:bookmarkEnd w:id="671"/>
      <w:bookmarkEnd w:id="672"/>
    </w:p>
    <w:p>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当</w:t>
      </w:r>
      <w:r>
        <w:rPr>
          <w:rFonts w:hint="eastAsia" w:ascii="Arial" w:hAnsi="Arial" w:eastAsia="宋体" w:cs="Arial"/>
          <w:spacing w:val="10"/>
          <w:sz w:val="24"/>
          <w:szCs w:val="24"/>
          <w:u w:val="single"/>
        </w:rPr>
        <w:t>洗水</w:t>
      </w:r>
      <w:r>
        <w:rPr>
          <w:rFonts w:ascii="Arial" w:hAnsi="Arial" w:eastAsia="宋体" w:cs="Arial"/>
          <w:spacing w:val="10"/>
          <w:sz w:val="24"/>
          <w:szCs w:val="24"/>
          <w:u w:val="single"/>
        </w:rPr>
        <w:t>外排槽泄漏后，区域地下水中的污染物逐渐增加，泄漏后100天，污水预处理设施下游100m将受到污染；泄漏后365天，下游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w:t>
      </w:r>
    </w:p>
    <w:p>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1、</w:t>
      </w:r>
      <w:r>
        <w:rPr>
          <w:rFonts w:ascii="Arial" w:hAnsi="Arial" w:eastAsia="宋体" w:cs="Arial"/>
          <w:spacing w:val="10"/>
          <w:sz w:val="24"/>
          <w:szCs w:val="24"/>
          <w:u w:val="single"/>
        </w:rPr>
        <w:t>耗氧量：由于区域地下水中耗氧量背景值已超标（5.37mg/L），渗漏将加剧污染，泄漏后100天，下游</w:t>
      </w:r>
      <w:r>
        <w:rPr>
          <w:rFonts w:hint="eastAsia" w:ascii="Arial" w:hAnsi="Arial" w:eastAsia="宋体" w:cs="Arial"/>
          <w:spacing w:val="10"/>
          <w:sz w:val="24"/>
          <w:szCs w:val="24"/>
          <w:u w:val="single"/>
        </w:rPr>
        <w:t>10</w:t>
      </w:r>
      <w:r>
        <w:rPr>
          <w:rFonts w:ascii="Arial" w:hAnsi="Arial" w:eastAsia="宋体" w:cs="Arial"/>
          <w:spacing w:val="10"/>
          <w:sz w:val="24"/>
          <w:szCs w:val="24"/>
          <w:u w:val="single"/>
        </w:rPr>
        <w:t>0m耗氧量浓度趋近于背景浓度；泄漏后365天，下游1</w:t>
      </w:r>
      <w:r>
        <w:rPr>
          <w:rFonts w:hint="eastAsia" w:ascii="Arial" w:hAnsi="Arial" w:eastAsia="宋体" w:cs="Arial"/>
          <w:spacing w:val="10"/>
          <w:sz w:val="24"/>
          <w:szCs w:val="24"/>
          <w:u w:val="single"/>
        </w:rPr>
        <w:t>8</w:t>
      </w:r>
      <w:r>
        <w:rPr>
          <w:rFonts w:ascii="Arial" w:hAnsi="Arial" w:eastAsia="宋体" w:cs="Arial"/>
          <w:spacing w:val="10"/>
          <w:sz w:val="24"/>
          <w:szCs w:val="24"/>
          <w:u w:val="single"/>
        </w:rPr>
        <w:t>0m耗氧量浓度趋近于背景浓度；泄漏后1000天，下游</w:t>
      </w:r>
      <w:r>
        <w:rPr>
          <w:rFonts w:hint="eastAsia" w:ascii="Arial" w:hAnsi="Arial" w:eastAsia="宋体" w:cs="Arial"/>
          <w:spacing w:val="10"/>
          <w:sz w:val="24"/>
          <w:szCs w:val="24"/>
          <w:u w:val="single"/>
        </w:rPr>
        <w:t>28</w:t>
      </w:r>
      <w:r>
        <w:rPr>
          <w:rFonts w:ascii="Arial" w:hAnsi="Arial" w:eastAsia="宋体" w:cs="Arial"/>
          <w:spacing w:val="10"/>
          <w:sz w:val="24"/>
          <w:szCs w:val="24"/>
          <w:u w:val="single"/>
        </w:rPr>
        <w:t>0m耗氧量浓度趋近于背景浓度。</w:t>
      </w:r>
    </w:p>
    <w:p>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2、</w:t>
      </w:r>
      <w:r>
        <w:rPr>
          <w:rFonts w:ascii="Arial" w:hAnsi="Arial" w:eastAsia="宋体" w:cs="Arial"/>
          <w:spacing w:val="10"/>
          <w:sz w:val="24"/>
          <w:szCs w:val="24"/>
          <w:u w:val="single"/>
        </w:rPr>
        <w:t>氨氮：由于区域地下水中氨氮背景值已超标（6.65mg/L），渗漏将加剧污染，泄漏后100天，下游</w:t>
      </w:r>
      <w:r>
        <w:rPr>
          <w:rFonts w:hint="eastAsia" w:ascii="Arial" w:hAnsi="Arial" w:eastAsia="宋体" w:cs="Arial"/>
          <w:spacing w:val="10"/>
          <w:sz w:val="24"/>
          <w:szCs w:val="24"/>
          <w:u w:val="single"/>
        </w:rPr>
        <w:t>12</w:t>
      </w:r>
      <w:r>
        <w:rPr>
          <w:rFonts w:ascii="Arial" w:hAnsi="Arial" w:eastAsia="宋体" w:cs="Arial"/>
          <w:spacing w:val="10"/>
          <w:sz w:val="24"/>
          <w:szCs w:val="24"/>
          <w:u w:val="single"/>
        </w:rPr>
        <w:t>0m氨氮浓度趋近于背景浓度；泄漏后365天，下游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0m氨氮浓度趋近于背景浓度；泄漏后1000天，下游</w:t>
      </w:r>
      <w:r>
        <w:rPr>
          <w:rFonts w:hint="eastAsia" w:ascii="Arial" w:hAnsi="Arial" w:eastAsia="宋体" w:cs="Arial"/>
          <w:spacing w:val="10"/>
          <w:sz w:val="24"/>
          <w:szCs w:val="24"/>
          <w:u w:val="single"/>
        </w:rPr>
        <w:t>35</w:t>
      </w:r>
      <w:r>
        <w:rPr>
          <w:rFonts w:ascii="Arial" w:hAnsi="Arial" w:eastAsia="宋体" w:cs="Arial"/>
          <w:spacing w:val="10"/>
          <w:sz w:val="24"/>
          <w:szCs w:val="24"/>
          <w:u w:val="single"/>
        </w:rPr>
        <w:t>0m氨氮浓度趋近于背景浓度。</w:t>
      </w:r>
    </w:p>
    <w:p>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3、</w:t>
      </w:r>
      <w:r>
        <w:rPr>
          <w:rFonts w:ascii="Arial" w:hAnsi="Arial" w:eastAsia="宋体" w:cs="Arial"/>
          <w:spacing w:val="10"/>
          <w:sz w:val="24"/>
          <w:szCs w:val="24"/>
          <w:u w:val="single"/>
        </w:rPr>
        <w:t>硫酸盐：由于区域地下水中硫酸盐背景值已超标（828mg/L），渗漏将加剧污染，泄漏后100天，下游1</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0m硫酸盐浓度趋近于背景浓度；泄漏后365天，下游2</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0m硫酸盐浓度趋近于背景浓度；泄漏后1000天，下游</w:t>
      </w:r>
      <w:r>
        <w:rPr>
          <w:rFonts w:hint="eastAsia" w:ascii="Arial" w:hAnsi="Arial" w:eastAsia="宋体" w:cs="Arial"/>
          <w:spacing w:val="10"/>
          <w:sz w:val="24"/>
          <w:szCs w:val="24"/>
          <w:u w:val="single"/>
        </w:rPr>
        <w:t>60</w:t>
      </w:r>
      <w:r>
        <w:rPr>
          <w:rFonts w:ascii="Arial" w:hAnsi="Arial" w:eastAsia="宋体" w:cs="Arial"/>
          <w:spacing w:val="10"/>
          <w:sz w:val="24"/>
          <w:szCs w:val="24"/>
          <w:u w:val="single"/>
        </w:rPr>
        <w:t>0m硫酸盐浓度趋近于背景浓度。</w:t>
      </w:r>
    </w:p>
    <w:p>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4、</w:t>
      </w:r>
      <w:r>
        <w:rPr>
          <w:rFonts w:ascii="Arial" w:hAnsi="Arial" w:eastAsia="宋体" w:cs="Arial"/>
          <w:spacing w:val="10"/>
          <w:sz w:val="24"/>
          <w:szCs w:val="24"/>
          <w:u w:val="single"/>
        </w:rPr>
        <w:t>钴：泄漏后100天，下游最大浓度0.</w:t>
      </w:r>
      <w:r>
        <w:rPr>
          <w:rFonts w:hint="eastAsia" w:ascii="Arial" w:hAnsi="Arial" w:eastAsia="宋体" w:cs="Arial"/>
          <w:spacing w:val="10"/>
          <w:sz w:val="24"/>
          <w:szCs w:val="24"/>
          <w:u w:val="single"/>
        </w:rPr>
        <w:t>0116</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w:t>
      </w:r>
      <w:r>
        <w:rPr>
          <w:rFonts w:hint="eastAsia" w:ascii="Arial" w:hAnsi="Arial" w:eastAsia="宋体" w:cs="Arial"/>
          <w:spacing w:val="10"/>
          <w:sz w:val="24"/>
          <w:szCs w:val="24"/>
          <w:u w:val="single"/>
        </w:rPr>
        <w:t>365</w:t>
      </w:r>
      <w:r>
        <w:rPr>
          <w:rFonts w:ascii="Arial" w:hAnsi="Arial" w:eastAsia="宋体" w:cs="Arial"/>
          <w:spacing w:val="10"/>
          <w:sz w:val="24"/>
          <w:szCs w:val="24"/>
          <w:u w:val="single"/>
        </w:rPr>
        <w:t>天，下游最大浓度0.</w:t>
      </w:r>
      <w:r>
        <w:rPr>
          <w:rFonts w:hint="eastAsia" w:ascii="Arial" w:hAnsi="Arial" w:eastAsia="宋体" w:cs="Arial"/>
          <w:spacing w:val="10"/>
          <w:sz w:val="24"/>
          <w:szCs w:val="24"/>
          <w:u w:val="single"/>
        </w:rPr>
        <w:t>0105</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泄漏后1</w:t>
      </w:r>
      <w:r>
        <w:rPr>
          <w:rFonts w:hint="eastAsia" w:ascii="Arial" w:hAnsi="Arial" w:eastAsia="宋体" w:cs="Arial"/>
          <w:spacing w:val="10"/>
          <w:sz w:val="24"/>
          <w:szCs w:val="24"/>
          <w:u w:val="single"/>
        </w:rPr>
        <w:t>0</w:t>
      </w:r>
      <w:r>
        <w:rPr>
          <w:rFonts w:ascii="Arial" w:hAnsi="Arial" w:eastAsia="宋体" w:cs="Arial"/>
          <w:spacing w:val="10"/>
          <w:sz w:val="24"/>
          <w:szCs w:val="24"/>
          <w:u w:val="single"/>
        </w:rPr>
        <w:t>00天，下游最大浓度0.</w:t>
      </w:r>
      <w:r>
        <w:rPr>
          <w:rFonts w:hint="eastAsia" w:ascii="Arial" w:hAnsi="Arial" w:eastAsia="宋体" w:cs="Arial"/>
          <w:spacing w:val="10"/>
          <w:sz w:val="24"/>
          <w:szCs w:val="24"/>
          <w:u w:val="single"/>
        </w:rPr>
        <w:t>0102</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。地下水水质均满足</w:t>
      </w:r>
      <w:r>
        <w:rPr>
          <w:rFonts w:ascii="Arial" w:hAnsi="Arial" w:eastAsia="宋体" w:cs="Arial"/>
          <w:spacing w:val="10"/>
          <w:sz w:val="24"/>
          <w:szCs w:val="24"/>
          <w:u w:val="single"/>
        </w:rPr>
        <w:t>《地下水质量标准》（GB/T14848-2017）</w:t>
      </w:r>
      <w:r>
        <w:rPr>
          <w:rFonts w:hint="eastAsia" w:ascii="宋体" w:hAnsi="宋体" w:eastAsia="宋体" w:cs="宋体"/>
          <w:spacing w:val="10"/>
          <w:sz w:val="24"/>
          <w:szCs w:val="24"/>
          <w:u w:val="single"/>
        </w:rPr>
        <w:t>Ⅲ</w:t>
      </w:r>
      <w:r>
        <w:rPr>
          <w:rFonts w:ascii="Arial" w:hAnsi="Arial" w:eastAsia="宋体" w:cs="Arial"/>
          <w:spacing w:val="10"/>
          <w:sz w:val="24"/>
          <w:szCs w:val="24"/>
          <w:u w:val="single"/>
        </w:rPr>
        <w:t>类水标准（0.05mg/L）。</w:t>
      </w:r>
    </w:p>
    <w:p>
      <w:pPr>
        <w:pStyle w:val="5"/>
        <w:adjustRightInd w:val="0"/>
        <w:snapToGrid w:val="0"/>
        <w:spacing w:line="500" w:lineRule="exact"/>
        <w:ind w:firstLine="522"/>
        <w:rPr>
          <w:szCs w:val="24"/>
        </w:rPr>
      </w:pPr>
      <w:r>
        <w:rPr>
          <w:szCs w:val="24"/>
          <w:u w:val="single"/>
        </w:rPr>
        <w:t>综上所述，项目非正常工况下，区域地下水中的污染物逐渐增加，泄漏后100天，污水预处理设施下游100m将受到污染；泄漏后365天，下游</w:t>
      </w:r>
      <w:r>
        <w:rPr>
          <w:rFonts w:hint="eastAsia"/>
          <w:szCs w:val="24"/>
          <w:u w:val="single"/>
        </w:rPr>
        <w:t>20</w:t>
      </w:r>
      <w:r>
        <w:rPr>
          <w:szCs w:val="24"/>
          <w:u w:val="single"/>
        </w:rPr>
        <w:t>0m将受到污染；泄漏后1000天，下游</w:t>
      </w:r>
      <w:r>
        <w:rPr>
          <w:rFonts w:hint="eastAsia"/>
          <w:szCs w:val="24"/>
          <w:u w:val="single"/>
        </w:rPr>
        <w:t>40</w:t>
      </w:r>
      <w:r>
        <w:rPr>
          <w:szCs w:val="24"/>
          <w:u w:val="single"/>
        </w:rPr>
        <w:t>0m将受到污染。地下水下游不同程度出现超标现象，地下水下游无敏感目标，项目非正常工况下对周边环境影响较小。</w:t>
      </w:r>
    </w:p>
    <w:p>
      <w:pPr>
        <w:pStyle w:val="6"/>
        <w:numPr>
          <w:ilvl w:val="0"/>
          <w:numId w:val="54"/>
        </w:numPr>
        <w:tabs>
          <w:tab w:val="clear" w:pos="1789"/>
        </w:tabs>
        <w:spacing w:line="400" w:lineRule="exact"/>
        <w:ind w:left="0" w:firstLine="0"/>
        <w:rPr>
          <w:rFonts w:ascii="Arial" w:hAnsi="Arial" w:eastAsia="宋体" w:cs="Arial"/>
        </w:rPr>
      </w:pPr>
      <w:bookmarkStart w:id="673" w:name="_Toc104677385"/>
      <w:bookmarkStart w:id="674" w:name="_Toc67921954"/>
      <w:bookmarkStart w:id="675" w:name="_Toc88674859"/>
      <w:bookmarkStart w:id="676" w:name="_Toc58596538"/>
      <w:bookmarkStart w:id="677" w:name="_Toc87124337"/>
      <w:bookmarkStart w:id="678" w:name="_Toc57715698"/>
      <w:r>
        <w:rPr>
          <w:rFonts w:ascii="Arial" w:hAnsi="Arial" w:eastAsia="宋体" w:cs="Arial"/>
        </w:rPr>
        <w:t>运营期声环境影响评价结论</w:t>
      </w:r>
      <w:bookmarkEnd w:id="673"/>
      <w:bookmarkEnd w:id="674"/>
      <w:bookmarkEnd w:id="675"/>
      <w:bookmarkEnd w:id="676"/>
      <w:bookmarkEnd w:id="677"/>
      <w:bookmarkEnd w:id="678"/>
    </w:p>
    <w:p>
      <w:pPr>
        <w:pStyle w:val="5"/>
        <w:spacing w:line="500" w:lineRule="exact"/>
        <w:ind w:firstLine="520"/>
        <w:rPr>
          <w:highlight w:val="yellow"/>
        </w:rPr>
      </w:pPr>
      <w:r>
        <w:t>根据预测结果，厂界东、南、北面噪声预测值符合《工业企业厂界环境噪声排放标准》（GB12348-2008）中3类标准限值的要求，厂界西面符合4类标准限值要求，鸡墩头村噪声预测值符合《声环境质量标准》（GB3096-2008）2类区标准。</w:t>
      </w:r>
    </w:p>
    <w:p>
      <w:pPr>
        <w:pStyle w:val="6"/>
        <w:numPr>
          <w:ilvl w:val="0"/>
          <w:numId w:val="54"/>
        </w:numPr>
        <w:tabs>
          <w:tab w:val="clear" w:pos="1789"/>
        </w:tabs>
        <w:spacing w:line="400" w:lineRule="exact"/>
        <w:ind w:left="0" w:firstLine="0"/>
        <w:rPr>
          <w:rFonts w:ascii="Arial" w:hAnsi="Arial" w:eastAsia="宋体" w:cs="Arial"/>
        </w:rPr>
      </w:pPr>
      <w:bookmarkStart w:id="679" w:name="_Toc58596539"/>
      <w:bookmarkStart w:id="680" w:name="_Toc88674860"/>
      <w:bookmarkStart w:id="681" w:name="_Toc104677386"/>
      <w:bookmarkStart w:id="682" w:name="_Toc87124338"/>
      <w:bookmarkStart w:id="683" w:name="_Toc57715699"/>
      <w:bookmarkStart w:id="684" w:name="_Toc67921955"/>
      <w:r>
        <w:rPr>
          <w:rFonts w:ascii="Arial" w:hAnsi="Arial" w:eastAsia="宋体" w:cs="Arial"/>
        </w:rPr>
        <w:t>运营期固体废物影响分析结论</w:t>
      </w:r>
      <w:bookmarkEnd w:id="679"/>
      <w:bookmarkEnd w:id="680"/>
      <w:bookmarkEnd w:id="681"/>
      <w:bookmarkEnd w:id="682"/>
      <w:bookmarkEnd w:id="683"/>
      <w:bookmarkEnd w:id="684"/>
    </w:p>
    <w:p>
      <w:pPr>
        <w:pStyle w:val="5"/>
        <w:spacing w:line="500" w:lineRule="exact"/>
        <w:ind w:firstLine="520"/>
      </w:pPr>
      <w:r>
        <w:t>项目固体废物处置符合国家技术政策及相关的环保要求，最终均可得到合理有效处置，不会对周边环境造成二次污染。</w:t>
      </w:r>
    </w:p>
    <w:p>
      <w:pPr>
        <w:pStyle w:val="6"/>
        <w:numPr>
          <w:ilvl w:val="0"/>
          <w:numId w:val="54"/>
        </w:numPr>
        <w:tabs>
          <w:tab w:val="clear" w:pos="1789"/>
        </w:tabs>
        <w:spacing w:line="400" w:lineRule="exact"/>
        <w:ind w:left="0" w:firstLine="0"/>
        <w:rPr>
          <w:rFonts w:ascii="Arial" w:hAnsi="Arial" w:eastAsia="宋体" w:cs="Arial"/>
        </w:rPr>
      </w:pPr>
      <w:bookmarkStart w:id="685" w:name="_Toc104677387"/>
      <w:bookmarkStart w:id="686" w:name="_Toc87124339"/>
      <w:bookmarkStart w:id="687" w:name="_Toc88674861"/>
      <w:r>
        <w:rPr>
          <w:rFonts w:ascii="Arial" w:hAnsi="Arial" w:eastAsia="宋体" w:cs="Arial"/>
        </w:rPr>
        <w:t>运营期土壤影响分析结论</w:t>
      </w:r>
      <w:bookmarkEnd w:id="685"/>
      <w:bookmarkEnd w:id="686"/>
      <w:bookmarkEnd w:id="687"/>
    </w:p>
    <w:p>
      <w:pPr>
        <w:pStyle w:val="5"/>
        <w:spacing w:line="500" w:lineRule="exact"/>
        <w:ind w:firstLine="520"/>
        <w:rPr>
          <w:highlight w:val="yellow"/>
        </w:rPr>
      </w:pPr>
      <w:r>
        <w:t>项目所在区域土壤环境受本项目大气沉降影响、垂直下渗和地面漫流影响，大气沉降主要影响因素为钴及其化合物，垂直下渗</w:t>
      </w:r>
      <w:r>
        <w:rPr>
          <w:rFonts w:hint="eastAsia"/>
        </w:rPr>
        <w:t>、</w:t>
      </w:r>
      <w:r>
        <w:t>地面漫流主要因素为</w:t>
      </w:r>
      <w:r>
        <w:rPr>
          <w:rFonts w:hint="eastAsia"/>
        </w:rPr>
        <w:t>储槽</w:t>
      </w:r>
      <w:r>
        <w:t>泄漏。通过上述分析可知，项目排放的</w:t>
      </w:r>
      <w:r>
        <w:rPr>
          <w:rFonts w:hint="eastAsia"/>
        </w:rPr>
        <w:t>钴及其化合物</w:t>
      </w:r>
      <w:r>
        <w:t>对周边土壤有一定的累积影响，但厂区周边建设用地均可达到《土壤环境质量 建设用地土壤污染风险管控标准（试行）》（GB36600-2018）中第二类用地筛选值标准；垂直下渗对土壤影响主要为事故状态下车间各储槽、污水外排槽渗漏等。由于</w:t>
      </w:r>
      <w:r>
        <w:rPr>
          <w:rFonts w:hint="eastAsia"/>
        </w:rPr>
        <w:t>项目</w:t>
      </w:r>
      <w:r>
        <w:t>各储槽均为</w:t>
      </w:r>
      <w:r>
        <w:rPr>
          <w:rFonts w:hint="eastAsia"/>
        </w:rPr>
        <w:t>地面</w:t>
      </w:r>
      <w:r>
        <w:t>槽罐，发生渗漏时易发现，且各槽罐区设置围堰，</w:t>
      </w:r>
      <w:r>
        <w:rPr>
          <w:rFonts w:hint="eastAsia"/>
        </w:rPr>
        <w:t>围堰</w:t>
      </w:r>
      <w:r>
        <w:t>采取防渗措施，因此本次评价不考虑垂直下渗对土壤影响情形；地面漫流对土壤影响主要为事故状态下污水</w:t>
      </w:r>
      <w:r>
        <w:rPr>
          <w:rFonts w:hint="eastAsia"/>
        </w:rPr>
        <w:t>外排槽</w:t>
      </w:r>
      <w:r>
        <w:t>泄漏</w:t>
      </w:r>
      <w:r>
        <w:rPr>
          <w:rFonts w:hint="eastAsia"/>
        </w:rPr>
        <w:t>导致</w:t>
      </w:r>
      <w:r>
        <w:t>废水漫流。由于废水外排槽设置围堰，当污水</w:t>
      </w:r>
      <w:r>
        <w:rPr>
          <w:rFonts w:hint="eastAsia"/>
        </w:rPr>
        <w:t>外排槽</w:t>
      </w:r>
      <w:r>
        <w:t>泄漏污水发生漫流时，废水能截留在</w:t>
      </w:r>
      <w:r>
        <w:rPr>
          <w:rFonts w:hint="eastAsia"/>
        </w:rPr>
        <w:t>围堰</w:t>
      </w:r>
      <w:r>
        <w:t>内，应急水泵可及时将废水通过管道抽送至事故池中，因此本次评价不考虑地面漫流对土壤影响情形。</w:t>
      </w:r>
    </w:p>
    <w:p>
      <w:pPr>
        <w:pStyle w:val="6"/>
        <w:numPr>
          <w:ilvl w:val="0"/>
          <w:numId w:val="54"/>
        </w:numPr>
        <w:tabs>
          <w:tab w:val="clear" w:pos="1789"/>
        </w:tabs>
        <w:spacing w:line="400" w:lineRule="exact"/>
        <w:ind w:left="0" w:firstLine="0"/>
        <w:rPr>
          <w:rFonts w:ascii="Arial" w:hAnsi="Arial" w:eastAsia="宋体" w:cs="Arial"/>
        </w:rPr>
      </w:pPr>
      <w:bookmarkStart w:id="688" w:name="_Toc67921956"/>
      <w:bookmarkStart w:id="689" w:name="_Toc57715700"/>
      <w:bookmarkStart w:id="690" w:name="_Toc87124340"/>
      <w:bookmarkStart w:id="691" w:name="_Toc88674862"/>
      <w:bookmarkStart w:id="692" w:name="_Toc104677388"/>
      <w:bookmarkStart w:id="693" w:name="_Toc58596540"/>
      <w:bookmarkStart w:id="694" w:name="_Toc31371"/>
      <w:bookmarkStart w:id="695" w:name="_Toc28368"/>
      <w:bookmarkStart w:id="696" w:name="_Toc157479231"/>
      <w:bookmarkStart w:id="697" w:name="_Toc12446"/>
      <w:bookmarkStart w:id="698" w:name="_Toc183011892"/>
      <w:bookmarkStart w:id="699" w:name="_Toc20902"/>
      <w:bookmarkStart w:id="700" w:name="_Toc238027884"/>
      <w:bookmarkStart w:id="701" w:name="_Toc3279"/>
      <w:bookmarkStart w:id="702" w:name="_Toc25280"/>
      <w:r>
        <w:rPr>
          <w:rFonts w:ascii="Arial" w:hAnsi="Arial" w:eastAsia="宋体" w:cs="Arial"/>
        </w:rPr>
        <w:t>风险评价结论</w:t>
      </w:r>
      <w:bookmarkEnd w:id="688"/>
      <w:bookmarkEnd w:id="689"/>
      <w:bookmarkEnd w:id="690"/>
      <w:bookmarkEnd w:id="691"/>
      <w:bookmarkEnd w:id="692"/>
      <w:bookmarkEnd w:id="693"/>
    </w:p>
    <w:p>
      <w:pPr>
        <w:pStyle w:val="475"/>
        <w:spacing w:line="500" w:lineRule="exact"/>
        <w:ind w:firstLine="489"/>
        <w:rPr>
          <w:rFonts w:ascii="Arial" w:hAnsi="Arial" w:cs="Arial"/>
          <w:spacing w:val="10"/>
        </w:rPr>
      </w:pPr>
      <w:r>
        <w:rPr>
          <w:rFonts w:ascii="Arial" w:hAnsi="Arial" w:cs="Arial"/>
          <w:spacing w:val="10"/>
        </w:rPr>
        <w:t>在采取报告书提出的风险防范措施并严格制定环境突发事故应急预案，配备应急物资，保证突发环境风险事故时，能按应急预案采取应急措施的情况下，项目环境风险在可控范围内。</w:t>
      </w:r>
    </w:p>
    <w:p>
      <w:pPr>
        <w:pStyle w:val="4"/>
        <w:numPr>
          <w:ilvl w:val="0"/>
          <w:numId w:val="51"/>
        </w:numPr>
        <w:spacing w:before="214" w:beforeLines="50" w:after="214" w:afterLines="50" w:line="500" w:lineRule="exact"/>
        <w:rPr>
          <w:rFonts w:ascii="Arial" w:eastAsia="宋体" w:cs="Arial"/>
          <w:b/>
        </w:rPr>
      </w:pPr>
      <w:bookmarkStart w:id="703" w:name="_Toc185950251"/>
      <w:bookmarkStart w:id="704" w:name="_Toc104677389"/>
      <w:bookmarkStart w:id="705" w:name="_Toc1742984"/>
      <w:r>
        <w:rPr>
          <w:rFonts w:ascii="Arial" w:eastAsia="宋体" w:cs="Arial"/>
          <w:b/>
        </w:rPr>
        <w:t>环境损益分析结论</w:t>
      </w:r>
      <w:bookmarkEnd w:id="703"/>
      <w:bookmarkEnd w:id="704"/>
      <w:bookmarkEnd w:id="705"/>
    </w:p>
    <w:p>
      <w:pPr>
        <w:pStyle w:val="475"/>
        <w:spacing w:line="500" w:lineRule="exact"/>
        <w:ind w:firstLine="489"/>
        <w:rPr>
          <w:rFonts w:ascii="Arial" w:hAnsi="Arial" w:cs="Arial"/>
          <w:spacing w:val="10"/>
        </w:rPr>
      </w:pPr>
      <w:r>
        <w:rPr>
          <w:rFonts w:ascii="Arial" w:hAnsi="Arial" w:cs="Arial"/>
          <w:spacing w:val="10"/>
        </w:rPr>
        <w:t>项目促进区域经济发展，各污染物达标排放，未造成区域环境质量降级，项目具有显著的环境效益和社会效益。因此，项目环保投资经济合理，所采取的环保措施在经济上是合理可行的，各项环保措施不仅较大程度的减缓项目对环境产生的不利影响，还可以产生较大的经济效益，其环境效益显著。从环境经济观点的角度看，项目是合理可行的。</w:t>
      </w:r>
    </w:p>
    <w:bookmarkEnd w:id="694"/>
    <w:bookmarkEnd w:id="695"/>
    <w:bookmarkEnd w:id="696"/>
    <w:bookmarkEnd w:id="697"/>
    <w:bookmarkEnd w:id="698"/>
    <w:bookmarkEnd w:id="699"/>
    <w:bookmarkEnd w:id="700"/>
    <w:bookmarkEnd w:id="701"/>
    <w:bookmarkEnd w:id="702"/>
    <w:p>
      <w:pPr>
        <w:pStyle w:val="4"/>
        <w:numPr>
          <w:ilvl w:val="0"/>
          <w:numId w:val="51"/>
        </w:numPr>
        <w:spacing w:before="214" w:beforeLines="50" w:after="214" w:afterLines="50" w:line="500" w:lineRule="exact"/>
        <w:rPr>
          <w:rFonts w:ascii="Arial" w:eastAsia="宋体" w:cs="Arial"/>
          <w:b/>
        </w:rPr>
      </w:pPr>
      <w:bookmarkStart w:id="706" w:name="_Toc313269132"/>
      <w:bookmarkStart w:id="707" w:name="_Toc313269356"/>
      <w:bookmarkStart w:id="708" w:name="_Toc313269430"/>
      <w:bookmarkStart w:id="709" w:name="_Toc1742986"/>
      <w:bookmarkStart w:id="710" w:name="_Toc185950252"/>
      <w:bookmarkStart w:id="711" w:name="_Toc338342895"/>
      <w:bookmarkStart w:id="712" w:name="_Toc104677391"/>
      <w:bookmarkStart w:id="713" w:name="_Toc317255150"/>
      <w:bookmarkStart w:id="714" w:name="_Toc341856752"/>
      <w:r>
        <w:rPr>
          <w:rFonts w:ascii="Arial" w:eastAsia="宋体" w:cs="Arial"/>
          <w:b/>
        </w:rPr>
        <w:t>总结论</w:t>
      </w:r>
      <w:bookmarkEnd w:id="706"/>
      <w:bookmarkEnd w:id="707"/>
      <w:bookmarkEnd w:id="708"/>
      <w:bookmarkEnd w:id="709"/>
      <w:bookmarkEnd w:id="710"/>
      <w:bookmarkEnd w:id="711"/>
      <w:bookmarkEnd w:id="712"/>
      <w:bookmarkEnd w:id="713"/>
      <w:bookmarkEnd w:id="714"/>
      <w:bookmarkStart w:id="715" w:name="_GoBack"/>
      <w:bookmarkEnd w:id="715"/>
    </w:p>
    <w:p>
      <w:pPr>
        <w:snapToGrid w:val="0"/>
        <w:spacing w:line="500" w:lineRule="exact"/>
        <w:ind w:firstLine="480"/>
        <w:rPr>
          <w:rFonts w:ascii="Arial" w:hAnsi="Arial" w:eastAsia="宋体" w:cs="Arial"/>
          <w:spacing w:val="10"/>
          <w:sz w:val="24"/>
          <w:szCs w:val="24"/>
        </w:rPr>
      </w:pPr>
      <w:r>
        <w:rPr>
          <w:rFonts w:hint="eastAsia" w:ascii="Arial" w:hAnsi="Arial" w:eastAsia="宋体" w:cs="Arial"/>
          <w:spacing w:val="10"/>
          <w:sz w:val="24"/>
          <w:szCs w:val="24"/>
        </w:rPr>
        <w:t>广西中伟新能源项目一期二阶段（重大变动）符合国家及地方产业政策，符合规划，选址合理；外排污染物能达标排放，项目建设不会造成评价范围内的环境质量降级，造成的环境影响程度在区域环境可接受范围内。因此，只要建设单位认真落实本环评报告中提出的各项污染防治措施、环境风险防范措施以及环境管理措施等，严格执行环保“三同时”制度，项目建设对环境影响可接受。</w:t>
      </w:r>
    </w:p>
    <w:sectPr>
      <w:pgSz w:w="11907" w:h="16840"/>
      <w:pgMar w:top="1678" w:right="1408" w:bottom="1901" w:left="1155" w:header="1174" w:footer="1029" w:gutter="567"/>
      <w:cols w:space="720" w:num="1"/>
      <w:docGrid w:type="linesAndChars" w:linePitch="428" w:charSpace="-316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华文楷体">
    <w:panose1 w:val="02010600040101010101"/>
    <w:charset w:val="86"/>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Arial Unicode MS">
    <w:panose1 w:val="020B0604020202020204"/>
    <w:charset w:val="86"/>
    <w:family w:val="roman"/>
    <w:pitch w:val="default"/>
    <w:sig w:usb0="FFFFFFFF" w:usb1="E9FFFFFF" w:usb2="0000003F" w:usb3="00000000" w:csb0="603F01FF" w:csb1="FFFF0000"/>
  </w:font>
  <w:font w:name="文鼎粗钢笔行楷">
    <w:altName w:val="宋体"/>
    <w:panose1 w:val="00000000000000000000"/>
    <w:charset w:val="86"/>
    <w:family w:val="swiss"/>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Arial Black">
    <w:panose1 w:val="020B0A04020102020204"/>
    <w:charset w:val="00"/>
    <w:family w:val="swiss"/>
    <w:pitch w:val="default"/>
    <w:sig w:usb0="A00002AF" w:usb1="400078FB" w:usb2="00000000" w:usb3="00000000" w:csb0="6000009F" w:csb1="DFD70000"/>
  </w:font>
  <w:font w:name="Tahoma">
    <w:panose1 w:val="020B0604030504040204"/>
    <w:charset w:val="00"/>
    <w:family w:val="swiss"/>
    <w:pitch w:val="default"/>
    <w:sig w:usb0="E1002EFF" w:usb1="C000605B" w:usb2="00000029" w:usb3="00000000" w:csb0="200101FF" w:csb1="20280000"/>
  </w:font>
  <w:font w:name="新宋体">
    <w:panose1 w:val="02010609030101010101"/>
    <w:charset w:val="86"/>
    <w:family w:val="modern"/>
    <w:pitch w:val="default"/>
    <w:sig w:usb0="00000203" w:usb1="288F0000" w:usb2="0000000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Geneva">
    <w:altName w:val="Arial"/>
    <w:panose1 w:val="00000000000000000000"/>
    <w:charset w:val="00"/>
    <w:family w:val="swiss"/>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á￥êé">
    <w:altName w:val="宋体"/>
    <w:panose1 w:val="00000000000000000000"/>
    <w:charset w:val="86"/>
    <w:family w:val="roma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modern"/>
    <w:pitch w:val="default"/>
    <w:sig w:usb0="800002BF" w:usb1="38CF7CFA" w:usb2="00000016" w:usb3="00000000" w:csb0="00040001" w:csb1="00000000"/>
  </w:font>
  <w:font w:name="幼圆">
    <w:panose1 w:val="0201050906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昆仑细圆">
    <w:altName w:val="黑体"/>
    <w:panose1 w:val="00000000000000000000"/>
    <w:charset w:val="86"/>
    <w:family w:val="modern"/>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Garamond">
    <w:panose1 w:val="02020404030301010803"/>
    <w:charset w:val="00"/>
    <w:family w:val="roman"/>
    <w:pitch w:val="default"/>
    <w:sig w:usb0="00000287" w:usb1="00000000" w:usb2="00000000" w:usb3="00000000" w:csb0="0000009F" w:csb1="DFD70000"/>
  </w:font>
  <w:font w:name="Times">
    <w:altName w:val="Times New Roman"/>
    <w:panose1 w:val="02020603050405020304"/>
    <w:charset w:val="00"/>
    <w:family w:val="roman"/>
    <w:pitch w:val="default"/>
    <w:sig w:usb0="00000000" w:usb1="00000000" w:usb2="00000009" w:usb3="00000000" w:csb0="000001FF" w:csb1="00000000"/>
  </w:font>
  <w:font w:name="Futura Bk BT">
    <w:altName w:val="Arial"/>
    <w:panose1 w:val="00000000000000000000"/>
    <w:charset w:val="00"/>
    <w:family w:val="swiss"/>
    <w:pitch w:val="default"/>
    <w:sig w:usb0="00000000" w:usb1="00000000" w:usb2="00000000" w:usb3="00000000" w:csb0="0000001B" w:csb1="00000000"/>
  </w:font>
  <w:font w:name="文鼎大标宋简">
    <w:altName w:val="宋体"/>
    <w:panose1 w:val="00000000000000000000"/>
    <w:charset w:val="86"/>
    <w:family w:val="modern"/>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MS PGothic">
    <w:panose1 w:val="020B0600070205080204"/>
    <w:charset w:val="80"/>
    <w:family w:val="swiss"/>
    <w:pitch w:val="default"/>
    <w:sig w:usb0="E00002FF" w:usb1="6AC7FDFB" w:usb2="08000012" w:usb3="00000000" w:csb0="4002009F" w:csb1="DFD70000"/>
  </w:font>
  <w:font w:name="Plotter">
    <w:altName w:val="Lucida Console"/>
    <w:panose1 w:val="00000000000000000000"/>
    <w:charset w:val="00"/>
    <w:family w:val="roman"/>
    <w:pitch w:val="default"/>
    <w:sig w:usb0="00000000" w:usb1="00000000" w:usb2="00000000" w:usb3="00000000" w:csb0="00040001" w:csb1="00000000"/>
  </w:font>
  <w:font w:name="方正仿宋_GBK">
    <w:panose1 w:val="03000509000000000000"/>
    <w:charset w:val="86"/>
    <w:family w:val="script"/>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t">
    <w:altName w:val="Times New Roman"/>
    <w:panose1 w:val="00000000000000000000"/>
    <w:charset w:val="00"/>
    <w:family w:val="roman"/>
    <w:pitch w:val="default"/>
    <w:sig w:usb0="00000000" w:usb1="00000000" w:usb2="00000804" w:usb3="00000000" w:csb0="06270001" w:csb1="0062EF54"/>
  </w:font>
  <w:font w:name="方正宋三简体">
    <w:altName w:val="宋体"/>
    <w:panose1 w:val="00000000000000000000"/>
    <w:charset w:val="86"/>
    <w:family w:val="auto"/>
    <w:pitch w:val="default"/>
    <w:sig w:usb0="00000000" w:usb1="00000000" w:usb2="00000010" w:usb3="00000000" w:csb0="00040000" w:csb1="00000000"/>
  </w:font>
  <w:font w:name="̥_GB2312">
    <w:altName w:val="Times New Roman"/>
    <w:panose1 w:val="00000000000000000000"/>
    <w:charset w:val="00"/>
    <w:family w:val="roman"/>
    <w:pitch w:val="default"/>
    <w:sig w:usb0="00000000" w:usb1="00000000" w:usb2="00000000" w:usb3="00000000" w:csb0="00040001" w:csb1="00000000"/>
  </w:font>
  <w:font w:name="方正大标宋简体">
    <w:panose1 w:val="02010601030101010101"/>
    <w:charset w:val="86"/>
    <w:family w:val="auto"/>
    <w:pitch w:val="default"/>
    <w:sig w:usb0="00000001" w:usb1="080E0000" w:usb2="00000000" w:usb3="00000000" w:csb0="00040000" w:csb1="00000000"/>
  </w:font>
  <w:font w:name="Sim Sun">
    <w:altName w:val="微软雅黑"/>
    <w:panose1 w:val="00000000000000000000"/>
    <w:charset w:val="00"/>
    <w:family w:val="roman"/>
    <w:pitch w:val="default"/>
    <w:sig w:usb0="00000000" w:usb1="00000000" w:usb2="00000000" w:usb3="00000000" w:csb0="00040001" w:csb1="00000000"/>
  </w:font>
  <w:font w:name="Batang">
    <w:altName w:val="Malgun Gothic"/>
    <w:panose1 w:val="02030600000101010101"/>
    <w:charset w:val="81"/>
    <w:family w:val="auto"/>
    <w:pitch w:val="default"/>
    <w:sig w:usb0="00000000" w:usb1="00000000" w:usb2="00000030" w:usb3="00000000" w:csb0="4008009F" w:csb1="DFD70000"/>
  </w:font>
  <w:font w:name="TTE1CFADF8t00">
    <w:altName w:val="新宋体"/>
    <w:panose1 w:val="00000000000000000000"/>
    <w:charset w:val="86"/>
    <w:family w:val="swiss"/>
    <w:pitch w:val="default"/>
    <w:sig w:usb0="00000000" w:usb1="00000000" w:usb2="00000010" w:usb3="00000000" w:csb0="00040001" w:csb1="00000000"/>
  </w:font>
  <w:font w:name="SansSerif">
    <w:altName w:val="Segoe Print"/>
    <w:panose1 w:val="00000400000000000000"/>
    <w:charset w:val="02"/>
    <w:family w:val="auto"/>
    <w:pitch w:val="default"/>
    <w:sig w:usb0="00000000" w:usb1="00000000" w:usb2="00000000" w:usb3="00000000" w:csb0="00000000" w:csb1="00000000"/>
  </w:font>
  <w:font w:name="Baskerville Old Face">
    <w:panose1 w:val="02020602080505020303"/>
    <w:charset w:val="00"/>
    <w:family w:val="roman"/>
    <w:pitch w:val="default"/>
    <w:sig w:usb0="00000003" w:usb1="00000000" w:usb2="00000000" w:usb3="00000000" w:csb0="20000001" w:csb1="00000000"/>
  </w:font>
  <w:font w:name="華康楷書體W5">
    <w:altName w:val="楷体_GB2312"/>
    <w:panose1 w:val="00000000000000000000"/>
    <w:charset w:val="88"/>
    <w:family w:val="script"/>
    <w:pitch w:val="default"/>
    <w:sig w:usb0="00000000" w:usb1="00000000" w:usb2="00000016" w:usb3="00000000" w:csb0="00100000" w:csb1="00000000"/>
  </w:font>
  <w:font w:name="Century">
    <w:panose1 w:val="02040604050505020304"/>
    <w:charset w:val="00"/>
    <w:family w:val="roman"/>
    <w:pitch w:val="default"/>
    <w:sig w:usb0="00000287" w:usb1="00000000" w:usb2="00000000" w:usb3="00000000" w:csb0="2000009F" w:csb1="DFD70000"/>
  </w:font>
  <w:font w:name="隶书体">
    <w:altName w:val="宋体"/>
    <w:panose1 w:val="00000000000000000000"/>
    <w:charset w:val="86"/>
    <w:family w:val="swiss"/>
    <w:pitch w:val="default"/>
    <w:sig w:usb0="00000000" w:usb1="00000000" w:usb2="00000010" w:usb3="00000000" w:csb0="00040000" w:csb1="00000000"/>
  </w:font>
  <w:font w:name="华文行楷">
    <w:panose1 w:val="02010800040101010101"/>
    <w:charset w:val="86"/>
    <w:family w:val="auto"/>
    <w:pitch w:val="default"/>
    <w:sig w:usb0="00000001" w:usb1="080F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Lucida Console">
    <w:panose1 w:val="020B0609040504020204"/>
    <w:charset w:val="00"/>
    <w:family w:val="auto"/>
    <w:pitch w:val="default"/>
    <w:sig w:usb0="8000028F" w:usb1="00001800" w:usb2="00000000" w:usb3="00000000" w:csb0="0000001F" w:csb1="D7D70000"/>
  </w:font>
  <w:font w:name="Segoe Print">
    <w:panose1 w:val="02000600000000000000"/>
    <w:charset w:val="00"/>
    <w:family w:val="auto"/>
    <w:pitch w:val="default"/>
    <w:sig w:usb0="0000028F" w:usb1="00000000" w:usb2="00000000" w:usb3="00000000" w:csb0="2000009F" w:csb1="4701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top w:val="single" w:color="auto" w:sz="4" w:space="1"/>
      </w:pBdr>
      <w:jc w:val="center"/>
    </w:pPr>
    <w:r>
      <w:fldChar w:fldCharType="begin"/>
    </w:r>
    <w:r>
      <w:instrText xml:space="preserve">PAGE   \* MERGEFORMAT</w:instrText>
    </w:r>
    <w:r>
      <w:fldChar w:fldCharType="separate"/>
    </w:r>
    <w:r>
      <w:rPr>
        <w:lang w:val="zh-CN"/>
      </w:rPr>
      <w:t>104</w:t>
    </w:r>
    <w:r>
      <w:fldChar w:fldCharType="end"/>
    </w:r>
  </w:p>
  <w:p>
    <w:pPr>
      <w:pStyle w:val="34"/>
      <w:spacing w:line="14" w:lineRule="auto"/>
      <w:rPr>
        <w:sz w:val="19"/>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top w:val="single" w:color="auto" w:sz="4" w:space="1"/>
      </w:pBdr>
      <w:jc w:val="center"/>
    </w:pPr>
    <w:r>
      <w:fldChar w:fldCharType="begin"/>
    </w:r>
    <w:r>
      <w:instrText xml:space="preserve">PAGE   \* MERGEFORMAT</w:instrText>
    </w:r>
    <w:r>
      <w:fldChar w:fldCharType="separate"/>
    </w:r>
    <w:r>
      <w:rPr>
        <w:lang w:val="zh-CN"/>
      </w:rPr>
      <w:t>168</w:t>
    </w:r>
    <w:r>
      <w:fldChar w:fldCharType="end"/>
    </w:r>
  </w:p>
  <w:p>
    <w:pPr>
      <w:pStyle w:val="34"/>
      <w:spacing w:line="14" w:lineRule="auto"/>
      <w:rPr>
        <w:sz w:val="19"/>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top w:val="single" w:color="auto" w:sz="4" w:space="1"/>
      </w:pBdr>
      <w:jc w:val="center"/>
    </w:pPr>
    <w:r>
      <w:fldChar w:fldCharType="begin"/>
    </w:r>
    <w:r>
      <w:instrText xml:space="preserve">PAGE   \* MERGEFORMAT</w:instrText>
    </w:r>
    <w:r>
      <w:fldChar w:fldCharType="separate"/>
    </w:r>
    <w:r>
      <w:rPr>
        <w:lang w:val="zh-CN"/>
      </w:rPr>
      <w:t>210</w:t>
    </w:r>
    <w:r>
      <w:fldChar w:fldCharType="end"/>
    </w:r>
  </w:p>
  <w:p>
    <w:pPr>
      <w:pStyle w:val="34"/>
      <w:spacing w:line="14" w:lineRule="auto"/>
      <w:rPr>
        <w:sz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framePr w:wrap="around" w:vAnchor="text" w:hAnchor="margin" w:xAlign="center" w:y="1"/>
      <w:rPr>
        <w:rStyle w:val="136"/>
      </w:rPr>
    </w:pPr>
    <w:r>
      <w:fldChar w:fldCharType="begin"/>
    </w:r>
    <w:r>
      <w:rPr>
        <w:rStyle w:val="136"/>
      </w:rPr>
      <w:instrText xml:space="preserve">PAGE  </w:instrText>
    </w:r>
    <w:r>
      <w:fldChar w:fldCharType="separate"/>
    </w:r>
    <w:r>
      <w:rPr>
        <w:rStyle w:val="136"/>
      </w:rPr>
      <w:t>XXXIII</w:t>
    </w:r>
    <w:r>
      <w:fldChar w:fldCharType="end"/>
    </w:r>
  </w:p>
  <w:p>
    <w:pPr>
      <w:pStyle w:val="5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p>
  <w:tbl>
    <w:tblPr>
      <w:tblStyle w:val="88"/>
      <w:tblW w:w="8817" w:type="dxa"/>
      <w:tblInd w:w="0" w:type="dxa"/>
      <w:tblLayout w:type="fixed"/>
      <w:tblCellMar>
        <w:top w:w="0" w:type="dxa"/>
        <w:left w:w="108" w:type="dxa"/>
        <w:bottom w:w="0" w:type="dxa"/>
        <w:right w:w="108" w:type="dxa"/>
      </w:tblCellMar>
    </w:tblPr>
    <w:tblGrid>
      <w:gridCol w:w="4068"/>
      <w:gridCol w:w="1676"/>
      <w:gridCol w:w="3073"/>
    </w:tblGrid>
    <w:tr>
      <w:tblPrEx>
        <w:tblLayout w:type="fixed"/>
        <w:tblCellMar>
          <w:top w:w="0" w:type="dxa"/>
          <w:left w:w="108" w:type="dxa"/>
          <w:bottom w:w="0" w:type="dxa"/>
          <w:right w:w="108" w:type="dxa"/>
        </w:tblCellMar>
      </w:tblPrEx>
      <w:trPr>
        <w:cantSplit/>
        <w:trHeight w:val="367" w:hRule="atLeast"/>
      </w:trPr>
      <w:tc>
        <w:tcPr>
          <w:tcW w:w="4068" w:type="dxa"/>
          <w:vAlign w:val="center"/>
        </w:tcPr>
        <w:p>
          <w:pPr>
            <w:pStyle w:val="56"/>
            <w:ind w:right="360"/>
            <w:rPr>
              <w:rFonts w:eastAsia="宋体"/>
              <w:sz w:val="21"/>
            </w:rPr>
          </w:pPr>
          <w: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-401320</wp:posOffset>
                    </wp:positionV>
                    <wp:extent cx="5564505" cy="1905"/>
                    <wp:effectExtent l="0" t="0" r="0" b="0"/>
                    <wp:wrapNone/>
                    <wp:docPr id="56" name="直线 2"/>
                    <wp:cNvGraphicFramePr/>
                    <a:graphic xmlns:a="http://schemas.openxmlformats.org/drawingml/2006/main">
                      <a:graphicData uri="http://schemas.microsoft.com/office/word/2010/wordprocessingShape">
                        <wps:wsp>
                          <wps:cNvCnPr>
                            <a:cxnSpLocks noChangeShapeType="1"/>
                          </wps:cNvCnPr>
                          <wps:spPr bwMode="auto">
                            <a:xfrm flipV="1">
                              <a:off x="0" y="0"/>
                              <a:ext cx="5564505" cy="1905"/>
                            </a:xfrm>
                            <a:prstGeom prst="line">
                              <a:avLst/>
                            </a:prstGeom>
                            <a:noFill/>
                            <a:ln w="9525">
                              <a:solidFill>
                                <a:srgbClr val="000000"/>
                              </a:solidFill>
                              <a:round/>
                            </a:ln>
                            <a:effectLst/>
                          </wps:spPr>
                          <wps:bodyPr/>
                        </wps:wsp>
                      </a:graphicData>
                    </a:graphic>
                  </wp:anchor>
                </w:drawing>
              </mc:Choice>
              <mc:Fallback>
                <w:pict>
                  <v:line id="直线 2" o:spid="_x0000_s1026" o:spt="20" style="position:absolute;left:0pt;flip:y;margin-left:0pt;margin-top:-31.6pt;height:0.15pt;width:438.15pt;z-index:251662336;mso-width-relative:page;mso-height-relative:page;" filled="f" stroked="t" coordsize="21600,21600" o:gfxdata="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oJTSPdcAAAAIAQAADwAAAAAAAAABACAAAAAiAAAAZHJz&#10;L2Rvd25yZXYueG1sUEsBAhQAFAAAAAgAh07iQI3Pmm3MAQAAbwMAAA4AAAAAAAAAAQAgAAAAJgEA&#10;AGRycy9lMm9Eb2MueG1sUEsFBgAAAAAGAAYAWQEAAGQFAAAAAA==&#10;">
                    <v:fill on="f" focussize="0,0"/>
                    <v:stroke color="#000000" joinstyle="round"/>
                    <v:imagedata o:title=""/>
                    <o:lock v:ext="edit" aspectratio="f"/>
                  </v:line>
                </w:pict>
              </mc:Fallback>
            </mc:AlternateContent>
          </w:r>
          <w:r>
            <w:rPr>
              <w:rFonts w:hint="eastAsia" w:eastAsia="宋体"/>
              <w:sz w:val="21"/>
            </w:rPr>
            <w:t xml:space="preserve"> </w:t>
          </w:r>
        </w:p>
      </w:tc>
      <w:tc>
        <w:tcPr>
          <w:tcW w:w="1676" w:type="dxa"/>
        </w:tcPr>
        <w:p>
          <w:pPr>
            <w:pStyle w:val="56"/>
            <w:ind w:right="360"/>
            <w:jc w:val="center"/>
            <w:rPr>
              <w:rFonts w:eastAsia="宋体"/>
              <w:sz w:val="21"/>
            </w:rPr>
          </w:pPr>
        </w:p>
      </w:tc>
      <w:tc>
        <w:tcPr>
          <w:tcW w:w="3073" w:type="dxa"/>
        </w:tcPr>
        <w:p>
          <w:pPr>
            <w:pStyle w:val="56"/>
            <w:tabs>
              <w:tab w:val="left" w:pos="2232"/>
            </w:tabs>
            <w:ind w:right="717"/>
            <w:jc w:val="right"/>
            <w:rPr>
              <w:rFonts w:eastAsia="宋体"/>
              <w:sz w:val="21"/>
            </w:rPr>
          </w:pPr>
        </w:p>
      </w:tc>
    </w:tr>
  </w:tbl>
  <w:p>
    <w:pPr>
      <w:pStyle w:val="5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jc w:val="center"/>
    </w:pPr>
    <w:r>
      <w:fldChar w:fldCharType="begin"/>
    </w:r>
    <w:r>
      <w:instrText xml:space="preserve">PAGE   \* MERGEFORMAT</w:instrText>
    </w:r>
    <w:r>
      <w:fldChar w:fldCharType="separate"/>
    </w:r>
    <w:r>
      <w:rPr>
        <w:lang w:val="zh-CN"/>
      </w:rPr>
      <w:t>VI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jc w:val="center"/>
    </w:pPr>
    <w:r>
      <w:fldChar w:fldCharType="begin"/>
    </w:r>
    <w:r>
      <w:instrText xml:space="preserve">PAGE   \* MERGEFORMAT</w:instrText>
    </w:r>
    <w:r>
      <w:fldChar w:fldCharType="separate"/>
    </w:r>
    <w:r>
      <w:rPr>
        <w:lang w:val="zh-CN"/>
      </w:rPr>
      <w:t>1</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jc w:val="center"/>
    </w:pPr>
    <w:r>
      <w:fldChar w:fldCharType="begin"/>
    </w:r>
    <w:r>
      <w:instrText xml:space="preserve">PAGE   \* MERGEFORMAT</w:instrText>
    </w:r>
    <w:r>
      <w:fldChar w:fldCharType="separate"/>
    </w:r>
    <w:r>
      <w:rPr>
        <w:lang w:val="zh-CN"/>
      </w:rPr>
      <w:t>46</w:t>
    </w:r>
    <w:r>
      <w:fldChar w:fldCharType="end"/>
    </w:r>
  </w:p>
  <w:p>
    <w:pPr>
      <w:pStyle w:val="56"/>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top w:val="single" w:color="auto" w:sz="4" w:space="1"/>
      </w:pBdr>
      <w:jc w:val="center"/>
    </w:pPr>
    <w:r>
      <w:fldChar w:fldCharType="begin"/>
    </w:r>
    <w:r>
      <w:instrText xml:space="preserve">PAGE   \* MERGEFORMAT</w:instrText>
    </w:r>
    <w:r>
      <w:fldChar w:fldCharType="separate"/>
    </w:r>
    <w:r>
      <w:rPr>
        <w:lang w:val="zh-CN"/>
      </w:rPr>
      <w:t>97</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Bdr>
        <w:bottom w:val="none" w:color="auto" w:sz="0" w:space="0"/>
      </w:pBdr>
      <w:jc w:val="both"/>
    </w:pPr>
    <w:r>
      <w:rPr>
        <w:rFonts w:hint="eastAsia" w:eastAsia="宋体"/>
      </w:rP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Bdr>
        <w:bottom w:val="none" w:color="auto" w:sz="0" w:space="0"/>
      </w:pBdr>
      <w:jc w:val="both"/>
    </w:pPr>
    <w:r>
      <w:rPr>
        <w:rFonts w:hint="eastAsia" w:eastAsia="宋体"/>
      </w:rPr>
      <w:t xml:space="preserve">     </w:t>
    </w: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Bdr>
        <w:bottom w:val="single" w:color="auto" w:sz="4" w:space="1"/>
      </w:pBdr>
      <w:rPr>
        <w:rFonts w:ascii="宋体" w:hAnsi="宋体" w:eastAsia="宋体"/>
      </w:rPr>
    </w:pPr>
    <w:r>
      <w:rPr>
        <w:rFonts w:hint="eastAsia" w:ascii="宋体" w:hAnsi="宋体" w:eastAsia="宋体"/>
      </w:rPr>
      <w:t>广西中伟新能源项目一期二阶段（重大变动）环境影响报告书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lvl w:ilvl="0" w:tentative="0">
      <w:start w:val="1"/>
      <w:numFmt w:val="decimal"/>
      <w:lvlText w:val="第%1章  "/>
      <w:lvlJc w:val="left"/>
      <w:pPr>
        <w:tabs>
          <w:tab w:val="left" w:pos="3065"/>
        </w:tabs>
        <w:ind w:left="2410" w:hanging="425"/>
      </w:pPr>
      <w:rPr>
        <w:rFonts w:hint="eastAsia"/>
        <w:color w:val="auto"/>
      </w:rPr>
    </w:lvl>
    <w:lvl w:ilvl="1" w:tentative="0">
      <w:start w:val="1"/>
      <w:numFmt w:val="decimal"/>
      <w:lvlText w:val="%1.%2 "/>
      <w:lvlJc w:val="left"/>
      <w:pPr>
        <w:tabs>
          <w:tab w:val="left" w:pos="3217"/>
        </w:tabs>
        <w:ind w:left="3217" w:hanging="567"/>
      </w:pPr>
      <w:rPr>
        <w:rFonts w:hint="eastAsia"/>
      </w:rPr>
    </w:lvl>
    <w:lvl w:ilvl="2" w:tentative="0">
      <w:start w:val="1"/>
      <w:numFmt w:val="decimal"/>
      <w:lvlText w:val="%1.%2.%3 "/>
      <w:lvlJc w:val="left"/>
      <w:pPr>
        <w:tabs>
          <w:tab w:val="left" w:pos="1080"/>
        </w:tabs>
        <w:ind w:left="709" w:hanging="709"/>
      </w:pPr>
      <w:rPr>
        <w:rFonts w:hint="eastAsia"/>
        <w:b/>
        <w:i w:val="0"/>
        <w:color w:val="auto"/>
      </w:rPr>
    </w:lvl>
    <w:lvl w:ilvl="3" w:tentative="0">
      <w:start w:val="1"/>
      <w:numFmt w:val="decimal"/>
      <w:lvlText w:val="表4-%4"/>
      <w:lvlJc w:val="left"/>
      <w:pPr>
        <w:tabs>
          <w:tab w:val="left" w:pos="563"/>
        </w:tabs>
        <w:ind w:left="563" w:hanging="563"/>
      </w:pPr>
      <w:rPr>
        <w:rFonts w:hint="default" w:ascii="Arial" w:hAnsi="Arial" w:cs="Arial"/>
        <w:b/>
        <w:i w:val="0"/>
        <w:color w:val="auto"/>
        <w:sz w:val="24"/>
        <w:lang w:val="en-US"/>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
    <w:nsid w:val="05A7081A"/>
    <w:multiLevelType w:val="multilevel"/>
    <w:tmpl w:val="05A7081A"/>
    <w:lvl w:ilvl="0" w:tentative="0">
      <w:start w:val="1"/>
      <w:numFmt w:val="decimal"/>
      <w:lvlText w:val="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62F7651"/>
    <w:multiLevelType w:val="multilevel"/>
    <w:tmpl w:val="062F7651"/>
    <w:lvl w:ilvl="0" w:tentative="0">
      <w:start w:val="1"/>
      <w:numFmt w:val="decimal"/>
      <w:lvlText w:val="4.2.3.%1"/>
      <w:lvlJc w:val="left"/>
      <w:pPr>
        <w:ind w:left="1316"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2.3.%4"/>
      <w:lvlJc w:val="left"/>
      <w:pPr>
        <w:ind w:left="1680" w:hanging="420"/>
      </w:pPr>
      <w:rPr>
        <w:rFonts w:hint="default" w:ascii="Arial" w:hAnsi="Arial" w:cs="Arial"/>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7B973A2"/>
    <w:multiLevelType w:val="multilevel"/>
    <w:tmpl w:val="07B973A2"/>
    <w:lvl w:ilvl="0" w:tentative="0">
      <w:start w:val="1"/>
      <w:numFmt w:val="decimal"/>
      <w:lvlText w:val="1.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8AD7635"/>
    <w:multiLevelType w:val="multilevel"/>
    <w:tmpl w:val="08AD7635"/>
    <w:lvl w:ilvl="0" w:tentative="0">
      <w:start w:val="1"/>
      <w:numFmt w:val="decimal"/>
      <w:lvlText w:val="表1-%1"/>
      <w:lvlJc w:val="left"/>
      <w:pPr>
        <w:ind w:left="2264"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9732CEB"/>
    <w:multiLevelType w:val="multilevel"/>
    <w:tmpl w:val="09732CEB"/>
    <w:lvl w:ilvl="0" w:tentative="0">
      <w:start w:val="1"/>
      <w:numFmt w:val="decimal"/>
      <w:lvlText w:val="1.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A16242F"/>
    <w:multiLevelType w:val="multilevel"/>
    <w:tmpl w:val="0A16242F"/>
    <w:lvl w:ilvl="0" w:tentative="0">
      <w:start w:val="1"/>
      <w:numFmt w:val="decimal"/>
      <w:lvlText w:val="5.2.2.%1"/>
      <w:lvlJc w:val="left"/>
      <w:pPr>
        <w:ind w:left="1329" w:hanging="420"/>
      </w:pPr>
      <w:rPr>
        <w:rFonts w:hint="eastAsia"/>
      </w:rPr>
    </w:lvl>
    <w:lvl w:ilvl="1" w:tentative="0">
      <w:start w:val="1"/>
      <w:numFmt w:val="decimal"/>
      <w:lvlText w:val="5.2.%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5.2.7.%4"/>
      <w:lvlJc w:val="left"/>
      <w:pPr>
        <w:ind w:left="1680" w:hanging="420"/>
      </w:pPr>
      <w:rPr>
        <w:rFonts w:hint="eastAsia"/>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F4923F6"/>
    <w:multiLevelType w:val="multilevel"/>
    <w:tmpl w:val="0F4923F6"/>
    <w:lvl w:ilvl="0" w:tentative="0">
      <w:start w:val="1"/>
      <w:numFmt w:val="decimal"/>
      <w:lvlText w:val="3.2.%1"/>
      <w:lvlJc w:val="left"/>
      <w:pPr>
        <w:ind w:left="909" w:hanging="420"/>
      </w:pPr>
      <w:rPr>
        <w:rFonts w:hint="eastAsia"/>
      </w:rPr>
    </w:lvl>
    <w:lvl w:ilvl="1" w:tentative="0">
      <w:start w:val="1"/>
      <w:numFmt w:val="lowerLetter"/>
      <w:lvlText w:val="%2)"/>
      <w:lvlJc w:val="left"/>
      <w:pPr>
        <w:ind w:left="840" w:hanging="420"/>
      </w:pPr>
    </w:lvl>
    <w:lvl w:ilvl="2" w:tentative="0">
      <w:start w:val="1"/>
      <w:numFmt w:val="decimal"/>
      <w:lvlText w:val="3.2.%3"/>
      <w:lvlJc w:val="right"/>
      <w:pPr>
        <w:ind w:left="1260" w:hanging="420"/>
      </w:pPr>
      <w:rPr>
        <w:rFonts w:hint="eastAsia"/>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05A7D5F"/>
    <w:multiLevelType w:val="multilevel"/>
    <w:tmpl w:val="105A7D5F"/>
    <w:lvl w:ilvl="0" w:tentative="0">
      <w:start w:val="1"/>
      <w:numFmt w:val="decimal"/>
      <w:lvlText w:val="3.2.1.%1"/>
      <w:lvlJc w:val="righ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3.2.1.%4"/>
      <w:lvlJc w:val="left"/>
      <w:pPr>
        <w:ind w:left="1680" w:hanging="420"/>
      </w:pPr>
      <w:rPr>
        <w:rFonts w:hint="eastAsia"/>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079368F"/>
    <w:multiLevelType w:val="multilevel"/>
    <w:tmpl w:val="1079368F"/>
    <w:lvl w:ilvl="0" w:tentative="0">
      <w:start w:val="1"/>
      <w:numFmt w:val="decimal"/>
      <w:lvlText w:val="4.3.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128501A"/>
    <w:multiLevelType w:val="multilevel"/>
    <w:tmpl w:val="1128501A"/>
    <w:lvl w:ilvl="0" w:tentative="0">
      <w:start w:val="1"/>
      <w:numFmt w:val="decimal"/>
      <w:lvlText w:val="4.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14F3388"/>
    <w:multiLevelType w:val="multilevel"/>
    <w:tmpl w:val="114F3388"/>
    <w:lvl w:ilvl="0" w:tentative="0">
      <w:start w:val="1"/>
      <w:numFmt w:val="decimal"/>
      <w:lvlText w:val="7.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1B46C25"/>
    <w:multiLevelType w:val="multilevel"/>
    <w:tmpl w:val="11B46C25"/>
    <w:lvl w:ilvl="0" w:tentative="0">
      <w:start w:val="1"/>
      <w:numFmt w:val="decimal"/>
      <w:lvlText w:val="1.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2672376"/>
    <w:multiLevelType w:val="multilevel"/>
    <w:tmpl w:val="12672376"/>
    <w:lvl w:ilvl="0" w:tentative="0">
      <w:start w:val="1"/>
      <w:numFmt w:val="decimal"/>
      <w:lvlText w:val="4.2.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14315BB8"/>
    <w:multiLevelType w:val="multilevel"/>
    <w:tmpl w:val="14315BB8"/>
    <w:lvl w:ilvl="0" w:tentative="0">
      <w:start w:val="1"/>
      <w:numFmt w:val="decimal"/>
      <w:lvlText w:val="7.2.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A2E057D"/>
    <w:multiLevelType w:val="multilevel"/>
    <w:tmpl w:val="1A2E057D"/>
    <w:lvl w:ilvl="0" w:tentative="0">
      <w:start w:val="1"/>
      <w:numFmt w:val="decimal"/>
      <w:lvlText w:val="8.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1DC83BB5"/>
    <w:multiLevelType w:val="multilevel"/>
    <w:tmpl w:val="1DC83BB5"/>
    <w:lvl w:ilvl="0" w:tentative="0">
      <w:start w:val="1"/>
      <w:numFmt w:val="decimal"/>
      <w:lvlText w:val="1.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E5C5649"/>
    <w:multiLevelType w:val="multilevel"/>
    <w:tmpl w:val="1E5C5649"/>
    <w:lvl w:ilvl="0" w:tentative="0">
      <w:start w:val="1"/>
      <w:numFmt w:val="decimal"/>
      <w:lvlText w:val="3.1.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1EA13BDC"/>
    <w:multiLevelType w:val="multilevel"/>
    <w:tmpl w:val="1EA13BDC"/>
    <w:lvl w:ilvl="0" w:tentative="0">
      <w:start w:val="1"/>
      <w:numFmt w:val="decimal"/>
      <w:lvlText w:val="4.3.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5770311"/>
    <w:multiLevelType w:val="multilevel"/>
    <w:tmpl w:val="25770311"/>
    <w:lvl w:ilvl="0" w:tentative="0">
      <w:start w:val="1"/>
      <w:numFmt w:val="decimal"/>
      <w:lvlText w:val="4.2.6.%1"/>
      <w:lvlJc w:val="left"/>
      <w:pPr>
        <w:ind w:left="896"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309D2B5C"/>
    <w:multiLevelType w:val="multilevel"/>
    <w:tmpl w:val="309D2B5C"/>
    <w:lvl w:ilvl="0" w:tentative="0">
      <w:start w:val="1"/>
      <w:numFmt w:val="decimal"/>
      <w:lvlText w:val="4.3.9.%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32E241A4"/>
    <w:multiLevelType w:val="multilevel"/>
    <w:tmpl w:val="32E241A4"/>
    <w:lvl w:ilvl="0" w:tentative="0">
      <w:start w:val="1"/>
      <w:numFmt w:val="decimal"/>
      <w:lvlText w:val="3.1.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395B04B5"/>
    <w:multiLevelType w:val="multilevel"/>
    <w:tmpl w:val="395B04B5"/>
    <w:lvl w:ilvl="0" w:tentative="0">
      <w:start w:val="1"/>
      <w:numFmt w:val="decimal"/>
      <w:lvlText w:val="1.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3F514BB7"/>
    <w:multiLevelType w:val="multilevel"/>
    <w:tmpl w:val="3F514BB7"/>
    <w:lvl w:ilvl="0" w:tentative="0">
      <w:start w:val="1"/>
      <w:numFmt w:val="decimal"/>
      <w:lvlText w:val="4.3.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2FC6F14"/>
    <w:multiLevelType w:val="multilevel"/>
    <w:tmpl w:val="42FC6F14"/>
    <w:lvl w:ilvl="0" w:tentative="0">
      <w:start w:val="1"/>
      <w:numFmt w:val="decimal"/>
      <w:lvlText w:val="4.3.8.%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448C7FAC"/>
    <w:multiLevelType w:val="multilevel"/>
    <w:tmpl w:val="448C7FAC"/>
    <w:lvl w:ilvl="0" w:tentative="0">
      <w:start w:val="1"/>
      <w:numFmt w:val="decimal"/>
      <w:lvlText w:val="6.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47885A6E"/>
    <w:multiLevelType w:val="multilevel"/>
    <w:tmpl w:val="47885A6E"/>
    <w:lvl w:ilvl="0" w:tentative="0">
      <w:start w:val="1"/>
      <w:numFmt w:val="decimal"/>
      <w:lvlText w:val="4.3.%1"/>
      <w:lvlJc w:val="left"/>
      <w:pPr>
        <w:ind w:left="420" w:hanging="420"/>
      </w:pPr>
      <w:rPr>
        <w:rFonts w:hint="default" w:ascii="Arial" w:hAnsi="Arial" w:eastAsia="宋体" w:cs="Arial"/>
      </w:rPr>
    </w:lvl>
    <w:lvl w:ilvl="1" w:tentative="0">
      <w:start w:val="1"/>
      <w:numFmt w:val="decimalEnclosedCircle"/>
      <w:lvlText w:val="%2"/>
      <w:lvlJc w:val="left"/>
      <w:pPr>
        <w:ind w:left="780" w:hanging="36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7">
    <w:nsid w:val="48C905B8"/>
    <w:multiLevelType w:val="multilevel"/>
    <w:tmpl w:val="48C905B8"/>
    <w:lvl w:ilvl="0" w:tentative="0">
      <w:start w:val="1"/>
      <w:numFmt w:val="decimal"/>
      <w:lvlText w:val="表2-%1"/>
      <w:lvlJc w:val="left"/>
      <w:pPr>
        <w:ind w:left="1696" w:hanging="420"/>
      </w:pPr>
      <w:rPr>
        <w:rFonts w:hint="eastAsia"/>
        <w:b/>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49353BBC"/>
    <w:multiLevelType w:val="multilevel"/>
    <w:tmpl w:val="49353BBC"/>
    <w:lvl w:ilvl="0" w:tentative="0">
      <w:start w:val="1"/>
      <w:numFmt w:val="decimalEnclosedParen"/>
      <w:lvlText w:val="%1"/>
      <w:lvlJc w:val="left"/>
      <w:pPr>
        <w:ind w:left="849" w:hanging="360"/>
      </w:pPr>
      <w:rPr>
        <w:rFonts w:hint="default" w:ascii="宋体" w:hAnsi="宋体" w:cs="宋体"/>
      </w:rPr>
    </w:lvl>
    <w:lvl w:ilvl="1" w:tentative="0">
      <w:start w:val="1"/>
      <w:numFmt w:val="lowerLetter"/>
      <w:lvlText w:val="%2)"/>
      <w:lvlJc w:val="left"/>
      <w:pPr>
        <w:ind w:left="1329" w:hanging="420"/>
      </w:pPr>
    </w:lvl>
    <w:lvl w:ilvl="2" w:tentative="0">
      <w:start w:val="1"/>
      <w:numFmt w:val="lowerRoman"/>
      <w:lvlText w:val="%3."/>
      <w:lvlJc w:val="right"/>
      <w:pPr>
        <w:ind w:left="1749" w:hanging="420"/>
      </w:pPr>
    </w:lvl>
    <w:lvl w:ilvl="3" w:tentative="0">
      <w:start w:val="1"/>
      <w:numFmt w:val="decimal"/>
      <w:lvlText w:val="%4."/>
      <w:lvlJc w:val="left"/>
      <w:pPr>
        <w:ind w:left="2169" w:hanging="420"/>
      </w:pPr>
    </w:lvl>
    <w:lvl w:ilvl="4" w:tentative="0">
      <w:start w:val="1"/>
      <w:numFmt w:val="lowerLetter"/>
      <w:lvlText w:val="%5)"/>
      <w:lvlJc w:val="left"/>
      <w:pPr>
        <w:ind w:left="2589" w:hanging="420"/>
      </w:pPr>
    </w:lvl>
    <w:lvl w:ilvl="5" w:tentative="0">
      <w:start w:val="1"/>
      <w:numFmt w:val="lowerRoman"/>
      <w:lvlText w:val="%6."/>
      <w:lvlJc w:val="right"/>
      <w:pPr>
        <w:ind w:left="3009" w:hanging="420"/>
      </w:pPr>
    </w:lvl>
    <w:lvl w:ilvl="6" w:tentative="0">
      <w:start w:val="1"/>
      <w:numFmt w:val="decimal"/>
      <w:lvlText w:val="%7."/>
      <w:lvlJc w:val="left"/>
      <w:pPr>
        <w:ind w:left="3429" w:hanging="420"/>
      </w:pPr>
    </w:lvl>
    <w:lvl w:ilvl="7" w:tentative="0">
      <w:start w:val="1"/>
      <w:numFmt w:val="lowerLetter"/>
      <w:lvlText w:val="%8)"/>
      <w:lvlJc w:val="left"/>
      <w:pPr>
        <w:ind w:left="3849" w:hanging="420"/>
      </w:pPr>
    </w:lvl>
    <w:lvl w:ilvl="8" w:tentative="0">
      <w:start w:val="1"/>
      <w:numFmt w:val="lowerRoman"/>
      <w:lvlText w:val="%9."/>
      <w:lvlJc w:val="right"/>
      <w:pPr>
        <w:ind w:left="4269" w:hanging="420"/>
      </w:pPr>
    </w:lvl>
  </w:abstractNum>
  <w:abstractNum w:abstractNumId="29">
    <w:nsid w:val="4A5433F6"/>
    <w:multiLevelType w:val="multilevel"/>
    <w:tmpl w:val="4A5433F6"/>
    <w:lvl w:ilvl="0" w:tentative="0">
      <w:start w:val="1"/>
      <w:numFmt w:val="decimal"/>
      <w:lvlText w:val="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4AA618EF"/>
    <w:multiLevelType w:val="multilevel"/>
    <w:tmpl w:val="4AA618EF"/>
    <w:lvl w:ilvl="0" w:tentative="0">
      <w:start w:val="1"/>
      <w:numFmt w:val="decimal"/>
      <w:lvlText w:val="6.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4AE60BAC"/>
    <w:multiLevelType w:val="multilevel"/>
    <w:tmpl w:val="4AE60BAC"/>
    <w:lvl w:ilvl="0" w:tentative="0">
      <w:start w:val="1"/>
      <w:numFmt w:val="decimal"/>
      <w:lvlText w:val="8.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4E130287"/>
    <w:multiLevelType w:val="multilevel"/>
    <w:tmpl w:val="4E130287"/>
    <w:lvl w:ilvl="0" w:tentative="0">
      <w:start w:val="1"/>
      <w:numFmt w:val="decimal"/>
      <w:lvlText w:val="图4.2-%1"/>
      <w:lvlJc w:val="left"/>
      <w:pPr>
        <w:ind w:left="420" w:hanging="420"/>
      </w:pPr>
      <w:rPr>
        <w:rFonts w:hint="default" w:ascii="Arial" w:hAnsi="Arial" w:eastAsia="宋体" w:cs="Arial"/>
        <w:b/>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EFD0B28"/>
    <w:multiLevelType w:val="multilevel"/>
    <w:tmpl w:val="4EFD0B28"/>
    <w:lvl w:ilvl="0" w:tentative="0">
      <w:start w:val="1"/>
      <w:numFmt w:val="decimal"/>
      <w:lvlText w:val="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53BB03A3"/>
    <w:multiLevelType w:val="multilevel"/>
    <w:tmpl w:val="53BB03A3"/>
    <w:lvl w:ilvl="0" w:tentative="0">
      <w:start w:val="1"/>
      <w:numFmt w:val="decimal"/>
      <w:lvlText w:val="1.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543664E5"/>
    <w:multiLevelType w:val="multilevel"/>
    <w:tmpl w:val="543664E5"/>
    <w:lvl w:ilvl="0" w:tentative="0">
      <w:start w:val="1"/>
      <w:numFmt w:val="decimal"/>
      <w:lvlText w:val="5.2.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577F70C5"/>
    <w:multiLevelType w:val="multilevel"/>
    <w:tmpl w:val="577F70C5"/>
    <w:lvl w:ilvl="0" w:tentative="0">
      <w:start w:val="1"/>
      <w:numFmt w:val="decimal"/>
      <w:lvlText w:val="表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84921E4"/>
    <w:multiLevelType w:val="multilevel"/>
    <w:tmpl w:val="584921E4"/>
    <w:lvl w:ilvl="0" w:tentative="0">
      <w:start w:val="1"/>
      <w:numFmt w:val="decimal"/>
      <w:lvlText w:val="4.3.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624D6112"/>
    <w:multiLevelType w:val="multilevel"/>
    <w:tmpl w:val="624D6112"/>
    <w:lvl w:ilvl="0" w:tentative="0">
      <w:start w:val="1"/>
      <w:numFmt w:val="decimal"/>
      <w:lvlText w:val="5.2.1.%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62784E7A"/>
    <w:multiLevelType w:val="multilevel"/>
    <w:tmpl w:val="62784E7A"/>
    <w:lvl w:ilvl="0" w:tentative="0">
      <w:start w:val="1"/>
      <w:numFmt w:val="decimal"/>
      <w:lvlText w:val="8.%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65FB2951"/>
    <w:multiLevelType w:val="multilevel"/>
    <w:tmpl w:val="65FB2951"/>
    <w:lvl w:ilvl="0" w:tentative="0">
      <w:start w:val="1"/>
      <w:numFmt w:val="decimal"/>
      <w:lvlText w:val="7.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68072DA5"/>
    <w:multiLevelType w:val="multilevel"/>
    <w:tmpl w:val="68072DA5"/>
    <w:lvl w:ilvl="0" w:tentative="0">
      <w:start w:val="1"/>
      <w:numFmt w:val="decimal"/>
      <w:lvlText w:val="7.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96D529A"/>
    <w:multiLevelType w:val="multilevel"/>
    <w:tmpl w:val="696D529A"/>
    <w:lvl w:ilvl="0" w:tentative="0">
      <w:start w:val="1"/>
      <w:numFmt w:val="decimal"/>
      <w:lvlText w:val="3.1.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6DA76C0B"/>
    <w:multiLevelType w:val="multilevel"/>
    <w:tmpl w:val="6DA76C0B"/>
    <w:lvl w:ilvl="0" w:tentative="0">
      <w:start w:val="1"/>
      <w:numFmt w:val="decimal"/>
      <w:lvlText w:val="4.2.4.%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6DBF7B18"/>
    <w:multiLevelType w:val="multilevel"/>
    <w:tmpl w:val="6DBF7B18"/>
    <w:lvl w:ilvl="0" w:tentative="0">
      <w:start w:val="1"/>
      <w:numFmt w:val="decimal"/>
      <w:lvlText w:val="表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70607422"/>
    <w:multiLevelType w:val="multilevel"/>
    <w:tmpl w:val="70607422"/>
    <w:lvl w:ilvl="0" w:tentative="0">
      <w:start w:val="1"/>
      <w:numFmt w:val="decimal"/>
      <w:lvlText w:val="1.2.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73B5452C"/>
    <w:multiLevelType w:val="multilevel"/>
    <w:tmpl w:val="73B5452C"/>
    <w:lvl w:ilvl="0" w:tentative="0">
      <w:start w:val="1"/>
      <w:numFmt w:val="decimal"/>
      <w:lvlText w:val="表4-%1"/>
      <w:lvlJc w:val="left"/>
      <w:pPr>
        <w:ind w:left="84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74B056ED"/>
    <w:multiLevelType w:val="multilevel"/>
    <w:tmpl w:val="74B056ED"/>
    <w:lvl w:ilvl="0" w:tentative="0">
      <w:start w:val="1"/>
      <w:numFmt w:val="decimal"/>
      <w:lvlText w:val="4.3.10.%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5FB5D75"/>
    <w:multiLevelType w:val="multilevel"/>
    <w:tmpl w:val="75FB5D75"/>
    <w:lvl w:ilvl="0" w:tentative="0">
      <w:start w:val="1"/>
      <w:numFmt w:val="decimal"/>
      <w:lvlText w:val="表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79446EF3"/>
    <w:multiLevelType w:val="multilevel"/>
    <w:tmpl w:val="79446EF3"/>
    <w:lvl w:ilvl="0" w:tentative="0">
      <w:start w:val="1"/>
      <w:numFmt w:val="decimal"/>
      <w:lvlText w:val="8.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79807F32"/>
    <w:multiLevelType w:val="multilevel"/>
    <w:tmpl w:val="79807F32"/>
    <w:lvl w:ilvl="0" w:tentative="0">
      <w:start w:val="1"/>
      <w:numFmt w:val="decimal"/>
      <w:lvlText w:val="4.2.5.%1"/>
      <w:lvlJc w:val="left"/>
      <w:pPr>
        <w:ind w:left="909" w:hanging="420"/>
      </w:pPr>
      <w:rPr>
        <w:rFonts w:hint="eastAsia"/>
      </w:rPr>
    </w:lvl>
    <w:lvl w:ilvl="1" w:tentative="0">
      <w:start w:val="1"/>
      <w:numFmt w:val="decimal"/>
      <w:lvlText w:val="4.2.5.%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C006B17"/>
    <w:multiLevelType w:val="multilevel"/>
    <w:tmpl w:val="7C006B17"/>
    <w:lvl w:ilvl="0" w:tentative="0">
      <w:start w:val="1"/>
      <w:numFmt w:val="decimal"/>
      <w:lvlText w:val="4.2.1.%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2">
    <w:nsid w:val="7D061E57"/>
    <w:multiLevelType w:val="multilevel"/>
    <w:tmpl w:val="7D061E57"/>
    <w:lvl w:ilvl="0" w:tentative="0">
      <w:start w:val="1"/>
      <w:numFmt w:val="decimal"/>
      <w:lvlText w:val="表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decimal"/>
      <w:lvlText w:val="表5-%5"/>
      <w:lvlJc w:val="left"/>
      <w:pPr>
        <w:ind w:left="2100" w:hanging="420"/>
      </w:pPr>
      <w:rPr>
        <w:rFonts w:hint="eastAsia"/>
      </w:r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16"/>
  </w:num>
  <w:num w:numId="4">
    <w:abstractNumId w:val="12"/>
  </w:num>
  <w:num w:numId="5">
    <w:abstractNumId w:val="4"/>
  </w:num>
  <w:num w:numId="6">
    <w:abstractNumId w:val="45"/>
  </w:num>
  <w:num w:numId="7">
    <w:abstractNumId w:val="5"/>
  </w:num>
  <w:num w:numId="8">
    <w:abstractNumId w:val="3"/>
  </w:num>
  <w:num w:numId="9">
    <w:abstractNumId w:val="22"/>
  </w:num>
  <w:num w:numId="10">
    <w:abstractNumId w:val="34"/>
  </w:num>
  <w:num w:numId="11">
    <w:abstractNumId w:val="0"/>
  </w:num>
  <w:num w:numId="12">
    <w:abstractNumId w:val="27"/>
  </w:num>
  <w:num w:numId="13">
    <w:abstractNumId w:val="42"/>
  </w:num>
  <w:num w:numId="14">
    <w:abstractNumId w:val="21"/>
  </w:num>
  <w:num w:numId="15">
    <w:abstractNumId w:val="17"/>
  </w:num>
  <w:num w:numId="16">
    <w:abstractNumId w:val="48"/>
  </w:num>
  <w:num w:numId="17">
    <w:abstractNumId w:val="7"/>
  </w:num>
  <w:num w:numId="18">
    <w:abstractNumId w:val="8"/>
  </w:num>
  <w:num w:numId="19">
    <w:abstractNumId w:val="28"/>
  </w:num>
  <w:num w:numId="20">
    <w:abstractNumId w:val="10"/>
  </w:num>
  <w:num w:numId="21">
    <w:abstractNumId w:val="51"/>
  </w:num>
  <w:num w:numId="22">
    <w:abstractNumId w:val="46"/>
  </w:num>
  <w:num w:numId="23">
    <w:abstractNumId w:val="32"/>
  </w:num>
  <w:num w:numId="24">
    <w:abstractNumId w:val="13"/>
  </w:num>
  <w:num w:numId="25">
    <w:abstractNumId w:val="2"/>
  </w:num>
  <w:num w:numId="26">
    <w:abstractNumId w:val="43"/>
  </w:num>
  <w:num w:numId="27">
    <w:abstractNumId w:val="50"/>
  </w:num>
  <w:num w:numId="28">
    <w:abstractNumId w:val="19"/>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52"/>
  </w:num>
  <w:num w:numId="39">
    <w:abstractNumId w:val="38"/>
  </w:num>
  <w:num w:numId="40">
    <w:abstractNumId w:val="35"/>
  </w:num>
  <w:num w:numId="41">
    <w:abstractNumId w:val="29"/>
  </w:num>
  <w:num w:numId="42">
    <w:abstractNumId w:val="25"/>
  </w:num>
  <w:num w:numId="43">
    <w:abstractNumId w:val="30"/>
  </w:num>
  <w:num w:numId="44">
    <w:abstractNumId w:val="36"/>
  </w:num>
  <w:num w:numId="45">
    <w:abstractNumId w:val="1"/>
  </w:num>
  <w:num w:numId="46">
    <w:abstractNumId w:val="11"/>
  </w:num>
  <w:num w:numId="47">
    <w:abstractNumId w:val="44"/>
  </w:num>
  <w:num w:numId="48">
    <w:abstractNumId w:val="40"/>
  </w:num>
  <w:num w:numId="49">
    <w:abstractNumId w:val="14"/>
  </w:num>
  <w:num w:numId="50">
    <w:abstractNumId w:val="41"/>
  </w:num>
  <w:num w:numId="51">
    <w:abstractNumId w:val="39"/>
  </w:num>
  <w:num w:numId="52">
    <w:abstractNumId w:val="31"/>
  </w:num>
  <w:num w:numId="53">
    <w:abstractNumId w:val="15"/>
  </w:num>
  <w:num w:numId="54">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530"/>
  <w:drawingGridHorizontalSpacing w:val="265"/>
  <w:drawingGridVerticalSpacing w:val="214"/>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0MzI4MjhlYjQwY2UyMzE2NjA2ZTFjYzQ4YzE1YmUifQ=="/>
  </w:docVars>
  <w:rsids>
    <w:rsidRoot w:val="00172A27"/>
    <w:rsid w:val="00000614"/>
    <w:rsid w:val="00000A0E"/>
    <w:rsid w:val="00000A64"/>
    <w:rsid w:val="00000A65"/>
    <w:rsid w:val="00000BB7"/>
    <w:rsid w:val="00000D8E"/>
    <w:rsid w:val="00000E57"/>
    <w:rsid w:val="00000F22"/>
    <w:rsid w:val="00000F54"/>
    <w:rsid w:val="00001142"/>
    <w:rsid w:val="0000122B"/>
    <w:rsid w:val="00001275"/>
    <w:rsid w:val="0000147E"/>
    <w:rsid w:val="000014CF"/>
    <w:rsid w:val="000014D4"/>
    <w:rsid w:val="000015A7"/>
    <w:rsid w:val="000015AF"/>
    <w:rsid w:val="00001675"/>
    <w:rsid w:val="000016A2"/>
    <w:rsid w:val="0000170B"/>
    <w:rsid w:val="000017C1"/>
    <w:rsid w:val="00001BD3"/>
    <w:rsid w:val="00001C9B"/>
    <w:rsid w:val="00001D19"/>
    <w:rsid w:val="00001D62"/>
    <w:rsid w:val="00001EB5"/>
    <w:rsid w:val="00001F7B"/>
    <w:rsid w:val="00002012"/>
    <w:rsid w:val="00002065"/>
    <w:rsid w:val="00002069"/>
    <w:rsid w:val="0000207E"/>
    <w:rsid w:val="00002498"/>
    <w:rsid w:val="0000272F"/>
    <w:rsid w:val="00002864"/>
    <w:rsid w:val="00002A77"/>
    <w:rsid w:val="00002B94"/>
    <w:rsid w:val="00002C77"/>
    <w:rsid w:val="00002CC7"/>
    <w:rsid w:val="00002D0B"/>
    <w:rsid w:val="00002D0F"/>
    <w:rsid w:val="0000311D"/>
    <w:rsid w:val="0000321A"/>
    <w:rsid w:val="00003279"/>
    <w:rsid w:val="00003382"/>
    <w:rsid w:val="0000355F"/>
    <w:rsid w:val="00003589"/>
    <w:rsid w:val="000035A4"/>
    <w:rsid w:val="000035DB"/>
    <w:rsid w:val="000037A2"/>
    <w:rsid w:val="00003A93"/>
    <w:rsid w:val="00003AE3"/>
    <w:rsid w:val="00003B60"/>
    <w:rsid w:val="00003B7F"/>
    <w:rsid w:val="00003BD1"/>
    <w:rsid w:val="00003BDB"/>
    <w:rsid w:val="00003DEF"/>
    <w:rsid w:val="00003F3B"/>
    <w:rsid w:val="00003F65"/>
    <w:rsid w:val="0000414E"/>
    <w:rsid w:val="00004265"/>
    <w:rsid w:val="000042B0"/>
    <w:rsid w:val="000044E5"/>
    <w:rsid w:val="00004507"/>
    <w:rsid w:val="00004577"/>
    <w:rsid w:val="000046B0"/>
    <w:rsid w:val="000049B2"/>
    <w:rsid w:val="000049FB"/>
    <w:rsid w:val="00004EFB"/>
    <w:rsid w:val="000051A4"/>
    <w:rsid w:val="00005285"/>
    <w:rsid w:val="00005333"/>
    <w:rsid w:val="0000541B"/>
    <w:rsid w:val="0000548F"/>
    <w:rsid w:val="0000570D"/>
    <w:rsid w:val="00005BDC"/>
    <w:rsid w:val="00005C94"/>
    <w:rsid w:val="00005D00"/>
    <w:rsid w:val="00005D4B"/>
    <w:rsid w:val="00005E02"/>
    <w:rsid w:val="00005EAA"/>
    <w:rsid w:val="00006077"/>
    <w:rsid w:val="00006161"/>
    <w:rsid w:val="000061F3"/>
    <w:rsid w:val="000063B1"/>
    <w:rsid w:val="000064B2"/>
    <w:rsid w:val="0000685A"/>
    <w:rsid w:val="00006888"/>
    <w:rsid w:val="00006969"/>
    <w:rsid w:val="0000697E"/>
    <w:rsid w:val="00006B91"/>
    <w:rsid w:val="00006C5B"/>
    <w:rsid w:val="00006D8C"/>
    <w:rsid w:val="00006DC1"/>
    <w:rsid w:val="00006E64"/>
    <w:rsid w:val="0000713A"/>
    <w:rsid w:val="0000719B"/>
    <w:rsid w:val="00007260"/>
    <w:rsid w:val="0000773F"/>
    <w:rsid w:val="00007747"/>
    <w:rsid w:val="00007750"/>
    <w:rsid w:val="0000780D"/>
    <w:rsid w:val="00007A39"/>
    <w:rsid w:val="00007B37"/>
    <w:rsid w:val="00007CDD"/>
    <w:rsid w:val="00007D84"/>
    <w:rsid w:val="00007F4F"/>
    <w:rsid w:val="00010018"/>
    <w:rsid w:val="000100B0"/>
    <w:rsid w:val="000101FC"/>
    <w:rsid w:val="0001028B"/>
    <w:rsid w:val="000103F0"/>
    <w:rsid w:val="0001050F"/>
    <w:rsid w:val="00010576"/>
    <w:rsid w:val="000106D1"/>
    <w:rsid w:val="00010768"/>
    <w:rsid w:val="000107C5"/>
    <w:rsid w:val="000108D8"/>
    <w:rsid w:val="000109D0"/>
    <w:rsid w:val="00010B17"/>
    <w:rsid w:val="00010BEF"/>
    <w:rsid w:val="00010C04"/>
    <w:rsid w:val="00010F50"/>
    <w:rsid w:val="000111A5"/>
    <w:rsid w:val="000112CB"/>
    <w:rsid w:val="000112EE"/>
    <w:rsid w:val="00011476"/>
    <w:rsid w:val="0001147D"/>
    <w:rsid w:val="000114EA"/>
    <w:rsid w:val="0001167B"/>
    <w:rsid w:val="0001169C"/>
    <w:rsid w:val="00011724"/>
    <w:rsid w:val="0001177A"/>
    <w:rsid w:val="000117D1"/>
    <w:rsid w:val="000119C6"/>
    <w:rsid w:val="00011B1A"/>
    <w:rsid w:val="00011C0F"/>
    <w:rsid w:val="00011C5A"/>
    <w:rsid w:val="00011EC1"/>
    <w:rsid w:val="00012189"/>
    <w:rsid w:val="0001253A"/>
    <w:rsid w:val="0001258B"/>
    <w:rsid w:val="000125D3"/>
    <w:rsid w:val="0001271C"/>
    <w:rsid w:val="00012782"/>
    <w:rsid w:val="000127C9"/>
    <w:rsid w:val="000129E6"/>
    <w:rsid w:val="00012A45"/>
    <w:rsid w:val="00012A4E"/>
    <w:rsid w:val="00012B4C"/>
    <w:rsid w:val="00012C0C"/>
    <w:rsid w:val="00012F1B"/>
    <w:rsid w:val="00012FA7"/>
    <w:rsid w:val="00013042"/>
    <w:rsid w:val="00013125"/>
    <w:rsid w:val="00013191"/>
    <w:rsid w:val="00013592"/>
    <w:rsid w:val="000135B2"/>
    <w:rsid w:val="00013766"/>
    <w:rsid w:val="000137E2"/>
    <w:rsid w:val="00013835"/>
    <w:rsid w:val="00013839"/>
    <w:rsid w:val="00013B3A"/>
    <w:rsid w:val="00013C62"/>
    <w:rsid w:val="00013D18"/>
    <w:rsid w:val="00013F0C"/>
    <w:rsid w:val="0001409B"/>
    <w:rsid w:val="000140DA"/>
    <w:rsid w:val="000141FC"/>
    <w:rsid w:val="000142BC"/>
    <w:rsid w:val="00014418"/>
    <w:rsid w:val="000144B0"/>
    <w:rsid w:val="0001452A"/>
    <w:rsid w:val="00014763"/>
    <w:rsid w:val="000148B8"/>
    <w:rsid w:val="000149E7"/>
    <w:rsid w:val="00014B3F"/>
    <w:rsid w:val="00014B40"/>
    <w:rsid w:val="00014C2F"/>
    <w:rsid w:val="00014CC3"/>
    <w:rsid w:val="00014CD3"/>
    <w:rsid w:val="00014F03"/>
    <w:rsid w:val="00014F5B"/>
    <w:rsid w:val="00015033"/>
    <w:rsid w:val="000150DC"/>
    <w:rsid w:val="000151CD"/>
    <w:rsid w:val="00015386"/>
    <w:rsid w:val="00015468"/>
    <w:rsid w:val="000154BA"/>
    <w:rsid w:val="000155E2"/>
    <w:rsid w:val="00015673"/>
    <w:rsid w:val="000156B0"/>
    <w:rsid w:val="00015766"/>
    <w:rsid w:val="000158C8"/>
    <w:rsid w:val="000158DB"/>
    <w:rsid w:val="00015923"/>
    <w:rsid w:val="00015925"/>
    <w:rsid w:val="00015935"/>
    <w:rsid w:val="00015AD5"/>
    <w:rsid w:val="00015AF4"/>
    <w:rsid w:val="00015BD9"/>
    <w:rsid w:val="00015ECF"/>
    <w:rsid w:val="00015F0B"/>
    <w:rsid w:val="000161C3"/>
    <w:rsid w:val="000162B6"/>
    <w:rsid w:val="000163F1"/>
    <w:rsid w:val="00016408"/>
    <w:rsid w:val="000164B7"/>
    <w:rsid w:val="00016660"/>
    <w:rsid w:val="00016844"/>
    <w:rsid w:val="000168D1"/>
    <w:rsid w:val="00016A8E"/>
    <w:rsid w:val="00016B3F"/>
    <w:rsid w:val="00016C32"/>
    <w:rsid w:val="00016CB2"/>
    <w:rsid w:val="00016F7B"/>
    <w:rsid w:val="00016FB9"/>
    <w:rsid w:val="00017092"/>
    <w:rsid w:val="00017169"/>
    <w:rsid w:val="00017172"/>
    <w:rsid w:val="000171A2"/>
    <w:rsid w:val="000171F9"/>
    <w:rsid w:val="0001722C"/>
    <w:rsid w:val="000172AB"/>
    <w:rsid w:val="00017778"/>
    <w:rsid w:val="0001777F"/>
    <w:rsid w:val="000177FD"/>
    <w:rsid w:val="00017950"/>
    <w:rsid w:val="00017A2B"/>
    <w:rsid w:val="00017AB8"/>
    <w:rsid w:val="00017BFB"/>
    <w:rsid w:val="00017CF8"/>
    <w:rsid w:val="00017D7F"/>
    <w:rsid w:val="00017DAD"/>
    <w:rsid w:val="00017DCE"/>
    <w:rsid w:val="00017E90"/>
    <w:rsid w:val="00017F19"/>
    <w:rsid w:val="00017FEA"/>
    <w:rsid w:val="00020067"/>
    <w:rsid w:val="00020069"/>
    <w:rsid w:val="0002016A"/>
    <w:rsid w:val="0002054C"/>
    <w:rsid w:val="000205D4"/>
    <w:rsid w:val="00020618"/>
    <w:rsid w:val="00020781"/>
    <w:rsid w:val="00020861"/>
    <w:rsid w:val="000208B1"/>
    <w:rsid w:val="00020990"/>
    <w:rsid w:val="00020BA3"/>
    <w:rsid w:val="00020BDD"/>
    <w:rsid w:val="00020C38"/>
    <w:rsid w:val="000210F7"/>
    <w:rsid w:val="00021270"/>
    <w:rsid w:val="00021377"/>
    <w:rsid w:val="0002145B"/>
    <w:rsid w:val="000215CC"/>
    <w:rsid w:val="00021701"/>
    <w:rsid w:val="000217A4"/>
    <w:rsid w:val="0002180F"/>
    <w:rsid w:val="00021843"/>
    <w:rsid w:val="0002191F"/>
    <w:rsid w:val="00021B1C"/>
    <w:rsid w:val="00021B5E"/>
    <w:rsid w:val="00021CBB"/>
    <w:rsid w:val="00021D77"/>
    <w:rsid w:val="00021F7C"/>
    <w:rsid w:val="00021FF5"/>
    <w:rsid w:val="000222C4"/>
    <w:rsid w:val="000222E1"/>
    <w:rsid w:val="0002247D"/>
    <w:rsid w:val="0002252D"/>
    <w:rsid w:val="0002253A"/>
    <w:rsid w:val="000226E3"/>
    <w:rsid w:val="000227DC"/>
    <w:rsid w:val="000227F3"/>
    <w:rsid w:val="0002280C"/>
    <w:rsid w:val="00022862"/>
    <w:rsid w:val="00022A92"/>
    <w:rsid w:val="00022DEA"/>
    <w:rsid w:val="00022FC9"/>
    <w:rsid w:val="00023A2D"/>
    <w:rsid w:val="00023B18"/>
    <w:rsid w:val="00023B75"/>
    <w:rsid w:val="00023D60"/>
    <w:rsid w:val="00023E72"/>
    <w:rsid w:val="00023F2C"/>
    <w:rsid w:val="00024517"/>
    <w:rsid w:val="0002482B"/>
    <w:rsid w:val="00024893"/>
    <w:rsid w:val="000248B1"/>
    <w:rsid w:val="00024998"/>
    <w:rsid w:val="00024B18"/>
    <w:rsid w:val="00024B30"/>
    <w:rsid w:val="00024BD6"/>
    <w:rsid w:val="00024D98"/>
    <w:rsid w:val="0002504C"/>
    <w:rsid w:val="00025117"/>
    <w:rsid w:val="000251C7"/>
    <w:rsid w:val="000251F5"/>
    <w:rsid w:val="0002534D"/>
    <w:rsid w:val="00025519"/>
    <w:rsid w:val="0002561D"/>
    <w:rsid w:val="00025714"/>
    <w:rsid w:val="000258A3"/>
    <w:rsid w:val="0002595C"/>
    <w:rsid w:val="00025A1F"/>
    <w:rsid w:val="00025BC9"/>
    <w:rsid w:val="00025C70"/>
    <w:rsid w:val="00025D35"/>
    <w:rsid w:val="00025F1E"/>
    <w:rsid w:val="00026178"/>
    <w:rsid w:val="00026286"/>
    <w:rsid w:val="0002628C"/>
    <w:rsid w:val="000262C8"/>
    <w:rsid w:val="000262EA"/>
    <w:rsid w:val="00026688"/>
    <w:rsid w:val="000268D8"/>
    <w:rsid w:val="0002699A"/>
    <w:rsid w:val="00026A14"/>
    <w:rsid w:val="00026E52"/>
    <w:rsid w:val="0002710B"/>
    <w:rsid w:val="00027144"/>
    <w:rsid w:val="0002725F"/>
    <w:rsid w:val="00027381"/>
    <w:rsid w:val="00027458"/>
    <w:rsid w:val="0002746F"/>
    <w:rsid w:val="0002752C"/>
    <w:rsid w:val="00027534"/>
    <w:rsid w:val="00027557"/>
    <w:rsid w:val="0002773A"/>
    <w:rsid w:val="00027759"/>
    <w:rsid w:val="00027924"/>
    <w:rsid w:val="00027B0C"/>
    <w:rsid w:val="00027B76"/>
    <w:rsid w:val="00027BDB"/>
    <w:rsid w:val="00027C91"/>
    <w:rsid w:val="00027CD2"/>
    <w:rsid w:val="00027FA9"/>
    <w:rsid w:val="00030039"/>
    <w:rsid w:val="00030082"/>
    <w:rsid w:val="000301F8"/>
    <w:rsid w:val="0003024B"/>
    <w:rsid w:val="000302DE"/>
    <w:rsid w:val="0003042E"/>
    <w:rsid w:val="00030593"/>
    <w:rsid w:val="0003060F"/>
    <w:rsid w:val="00030747"/>
    <w:rsid w:val="00030816"/>
    <w:rsid w:val="00030890"/>
    <w:rsid w:val="00030920"/>
    <w:rsid w:val="00030A96"/>
    <w:rsid w:val="00030AB9"/>
    <w:rsid w:val="00030B23"/>
    <w:rsid w:val="00030C60"/>
    <w:rsid w:val="00030CF2"/>
    <w:rsid w:val="00030D30"/>
    <w:rsid w:val="00030D7D"/>
    <w:rsid w:val="00030F06"/>
    <w:rsid w:val="00030F24"/>
    <w:rsid w:val="00030F4C"/>
    <w:rsid w:val="000311A7"/>
    <w:rsid w:val="00031411"/>
    <w:rsid w:val="0003165D"/>
    <w:rsid w:val="000316DF"/>
    <w:rsid w:val="0003170C"/>
    <w:rsid w:val="00031839"/>
    <w:rsid w:val="00031B0C"/>
    <w:rsid w:val="00031B6A"/>
    <w:rsid w:val="00031CCA"/>
    <w:rsid w:val="00031D38"/>
    <w:rsid w:val="00031DAE"/>
    <w:rsid w:val="00031DBE"/>
    <w:rsid w:val="00031E39"/>
    <w:rsid w:val="00031E5C"/>
    <w:rsid w:val="00031EA2"/>
    <w:rsid w:val="00031EF3"/>
    <w:rsid w:val="00031F32"/>
    <w:rsid w:val="00032044"/>
    <w:rsid w:val="0003247E"/>
    <w:rsid w:val="00032583"/>
    <w:rsid w:val="00032626"/>
    <w:rsid w:val="0003287A"/>
    <w:rsid w:val="000329E5"/>
    <w:rsid w:val="00032CC0"/>
    <w:rsid w:val="00032CDB"/>
    <w:rsid w:val="00032E37"/>
    <w:rsid w:val="0003302C"/>
    <w:rsid w:val="00033216"/>
    <w:rsid w:val="0003321B"/>
    <w:rsid w:val="00033310"/>
    <w:rsid w:val="00033689"/>
    <w:rsid w:val="0003368F"/>
    <w:rsid w:val="00033696"/>
    <w:rsid w:val="0003376E"/>
    <w:rsid w:val="00033852"/>
    <w:rsid w:val="000338A2"/>
    <w:rsid w:val="00033AA4"/>
    <w:rsid w:val="00033C7A"/>
    <w:rsid w:val="00033D36"/>
    <w:rsid w:val="00033DAA"/>
    <w:rsid w:val="00033E62"/>
    <w:rsid w:val="00033F86"/>
    <w:rsid w:val="00033FAB"/>
    <w:rsid w:val="000341CC"/>
    <w:rsid w:val="00034219"/>
    <w:rsid w:val="0003438C"/>
    <w:rsid w:val="000346B1"/>
    <w:rsid w:val="000349BA"/>
    <w:rsid w:val="00034A23"/>
    <w:rsid w:val="00034AAB"/>
    <w:rsid w:val="00034AF0"/>
    <w:rsid w:val="00034B53"/>
    <w:rsid w:val="00034BFA"/>
    <w:rsid w:val="00034CF6"/>
    <w:rsid w:val="00034D02"/>
    <w:rsid w:val="00034E3F"/>
    <w:rsid w:val="00035075"/>
    <w:rsid w:val="000350AE"/>
    <w:rsid w:val="000350C7"/>
    <w:rsid w:val="00035326"/>
    <w:rsid w:val="0003578F"/>
    <w:rsid w:val="00035871"/>
    <w:rsid w:val="00035957"/>
    <w:rsid w:val="000359C9"/>
    <w:rsid w:val="00035B00"/>
    <w:rsid w:val="00035B3B"/>
    <w:rsid w:val="00035B7B"/>
    <w:rsid w:val="00035CB7"/>
    <w:rsid w:val="00035CC0"/>
    <w:rsid w:val="00035D59"/>
    <w:rsid w:val="00035D64"/>
    <w:rsid w:val="00035D99"/>
    <w:rsid w:val="000360F9"/>
    <w:rsid w:val="00036197"/>
    <w:rsid w:val="000363C3"/>
    <w:rsid w:val="0003648F"/>
    <w:rsid w:val="00036BBD"/>
    <w:rsid w:val="00036C3C"/>
    <w:rsid w:val="00036C59"/>
    <w:rsid w:val="00036DAE"/>
    <w:rsid w:val="00036E8D"/>
    <w:rsid w:val="00036F13"/>
    <w:rsid w:val="00037199"/>
    <w:rsid w:val="000372E6"/>
    <w:rsid w:val="00037B5D"/>
    <w:rsid w:val="00037B9B"/>
    <w:rsid w:val="00037CF6"/>
    <w:rsid w:val="00037D14"/>
    <w:rsid w:val="00037D6C"/>
    <w:rsid w:val="00037DEE"/>
    <w:rsid w:val="00037F63"/>
    <w:rsid w:val="00037FDF"/>
    <w:rsid w:val="00037FF7"/>
    <w:rsid w:val="00040680"/>
    <w:rsid w:val="00040C3C"/>
    <w:rsid w:val="00040CAD"/>
    <w:rsid w:val="00040E07"/>
    <w:rsid w:val="00040E11"/>
    <w:rsid w:val="00040FB8"/>
    <w:rsid w:val="00040FC8"/>
    <w:rsid w:val="00041115"/>
    <w:rsid w:val="0004129A"/>
    <w:rsid w:val="000415CE"/>
    <w:rsid w:val="0004164B"/>
    <w:rsid w:val="00041972"/>
    <w:rsid w:val="00041AFA"/>
    <w:rsid w:val="00041D89"/>
    <w:rsid w:val="00041DF4"/>
    <w:rsid w:val="00041EC2"/>
    <w:rsid w:val="00042044"/>
    <w:rsid w:val="000421CF"/>
    <w:rsid w:val="0004228D"/>
    <w:rsid w:val="0004269F"/>
    <w:rsid w:val="00042730"/>
    <w:rsid w:val="00042737"/>
    <w:rsid w:val="000429EA"/>
    <w:rsid w:val="00042BA4"/>
    <w:rsid w:val="0004306F"/>
    <w:rsid w:val="000430D2"/>
    <w:rsid w:val="000430EE"/>
    <w:rsid w:val="0004321B"/>
    <w:rsid w:val="0004335A"/>
    <w:rsid w:val="00043435"/>
    <w:rsid w:val="0004359F"/>
    <w:rsid w:val="00043729"/>
    <w:rsid w:val="000437CA"/>
    <w:rsid w:val="00043866"/>
    <w:rsid w:val="0004388F"/>
    <w:rsid w:val="00043C9A"/>
    <w:rsid w:val="00043DE8"/>
    <w:rsid w:val="00043DFB"/>
    <w:rsid w:val="00043EEB"/>
    <w:rsid w:val="00043F17"/>
    <w:rsid w:val="00043FB5"/>
    <w:rsid w:val="000444D3"/>
    <w:rsid w:val="00044680"/>
    <w:rsid w:val="0004477E"/>
    <w:rsid w:val="0004490A"/>
    <w:rsid w:val="00044937"/>
    <w:rsid w:val="00044964"/>
    <w:rsid w:val="00044A43"/>
    <w:rsid w:val="00044AEA"/>
    <w:rsid w:val="00044B60"/>
    <w:rsid w:val="00044F08"/>
    <w:rsid w:val="00044F57"/>
    <w:rsid w:val="0004508E"/>
    <w:rsid w:val="0004511F"/>
    <w:rsid w:val="000453C7"/>
    <w:rsid w:val="000453E6"/>
    <w:rsid w:val="000454EB"/>
    <w:rsid w:val="00045802"/>
    <w:rsid w:val="00045836"/>
    <w:rsid w:val="0004589F"/>
    <w:rsid w:val="00045A40"/>
    <w:rsid w:val="00045C59"/>
    <w:rsid w:val="00045C72"/>
    <w:rsid w:val="000460CF"/>
    <w:rsid w:val="00046132"/>
    <w:rsid w:val="0004616D"/>
    <w:rsid w:val="00046632"/>
    <w:rsid w:val="0004668A"/>
    <w:rsid w:val="0004673F"/>
    <w:rsid w:val="00046783"/>
    <w:rsid w:val="00046863"/>
    <w:rsid w:val="00046D74"/>
    <w:rsid w:val="00046DA8"/>
    <w:rsid w:val="00046EDC"/>
    <w:rsid w:val="00046F93"/>
    <w:rsid w:val="0004702F"/>
    <w:rsid w:val="000470C9"/>
    <w:rsid w:val="000470E5"/>
    <w:rsid w:val="0004710D"/>
    <w:rsid w:val="00047125"/>
    <w:rsid w:val="0004722F"/>
    <w:rsid w:val="000475D8"/>
    <w:rsid w:val="00047630"/>
    <w:rsid w:val="0004770A"/>
    <w:rsid w:val="00047715"/>
    <w:rsid w:val="0004787B"/>
    <w:rsid w:val="00047AAF"/>
    <w:rsid w:val="00047F7B"/>
    <w:rsid w:val="00050403"/>
    <w:rsid w:val="0005056C"/>
    <w:rsid w:val="00050695"/>
    <w:rsid w:val="000508C6"/>
    <w:rsid w:val="00050D6F"/>
    <w:rsid w:val="00050E06"/>
    <w:rsid w:val="00050E28"/>
    <w:rsid w:val="00051035"/>
    <w:rsid w:val="00051038"/>
    <w:rsid w:val="0005106C"/>
    <w:rsid w:val="000510F8"/>
    <w:rsid w:val="00051234"/>
    <w:rsid w:val="0005152B"/>
    <w:rsid w:val="0005154D"/>
    <w:rsid w:val="00051590"/>
    <w:rsid w:val="000516EA"/>
    <w:rsid w:val="000517CE"/>
    <w:rsid w:val="00051A6D"/>
    <w:rsid w:val="00051B0A"/>
    <w:rsid w:val="00051B31"/>
    <w:rsid w:val="00051E58"/>
    <w:rsid w:val="00051FAB"/>
    <w:rsid w:val="00052075"/>
    <w:rsid w:val="00052164"/>
    <w:rsid w:val="000524E3"/>
    <w:rsid w:val="0005253E"/>
    <w:rsid w:val="0005259F"/>
    <w:rsid w:val="000525E6"/>
    <w:rsid w:val="00052601"/>
    <w:rsid w:val="00052907"/>
    <w:rsid w:val="00052962"/>
    <w:rsid w:val="00052B4A"/>
    <w:rsid w:val="00052B90"/>
    <w:rsid w:val="00052DDF"/>
    <w:rsid w:val="00052F7E"/>
    <w:rsid w:val="00053340"/>
    <w:rsid w:val="000534F5"/>
    <w:rsid w:val="00053637"/>
    <w:rsid w:val="000539BC"/>
    <w:rsid w:val="00053AD5"/>
    <w:rsid w:val="00054022"/>
    <w:rsid w:val="0005409B"/>
    <w:rsid w:val="0005412F"/>
    <w:rsid w:val="00054184"/>
    <w:rsid w:val="00054325"/>
    <w:rsid w:val="000544B8"/>
    <w:rsid w:val="000544DD"/>
    <w:rsid w:val="0005450C"/>
    <w:rsid w:val="0005451C"/>
    <w:rsid w:val="00054546"/>
    <w:rsid w:val="00054715"/>
    <w:rsid w:val="00054723"/>
    <w:rsid w:val="00054794"/>
    <w:rsid w:val="00054859"/>
    <w:rsid w:val="0005489B"/>
    <w:rsid w:val="00054B66"/>
    <w:rsid w:val="00054B70"/>
    <w:rsid w:val="00054BE1"/>
    <w:rsid w:val="00054C6B"/>
    <w:rsid w:val="00054F5B"/>
    <w:rsid w:val="00054F67"/>
    <w:rsid w:val="00054FE3"/>
    <w:rsid w:val="0005509B"/>
    <w:rsid w:val="0005584E"/>
    <w:rsid w:val="000559B7"/>
    <w:rsid w:val="00055D3F"/>
    <w:rsid w:val="00055E5F"/>
    <w:rsid w:val="00055E97"/>
    <w:rsid w:val="00055EDE"/>
    <w:rsid w:val="00055FE1"/>
    <w:rsid w:val="00056520"/>
    <w:rsid w:val="00056648"/>
    <w:rsid w:val="00056808"/>
    <w:rsid w:val="000568E5"/>
    <w:rsid w:val="00056C60"/>
    <w:rsid w:val="000571BB"/>
    <w:rsid w:val="00057325"/>
    <w:rsid w:val="00057389"/>
    <w:rsid w:val="000575B6"/>
    <w:rsid w:val="0005769D"/>
    <w:rsid w:val="000576B7"/>
    <w:rsid w:val="00057A83"/>
    <w:rsid w:val="00057AF5"/>
    <w:rsid w:val="00057B3A"/>
    <w:rsid w:val="00057C12"/>
    <w:rsid w:val="00057C2B"/>
    <w:rsid w:val="00057C32"/>
    <w:rsid w:val="00057DC9"/>
    <w:rsid w:val="00057E49"/>
    <w:rsid w:val="00057EAA"/>
    <w:rsid w:val="000601D5"/>
    <w:rsid w:val="000602A1"/>
    <w:rsid w:val="000604BC"/>
    <w:rsid w:val="000604E4"/>
    <w:rsid w:val="000604E5"/>
    <w:rsid w:val="00060582"/>
    <w:rsid w:val="000605B6"/>
    <w:rsid w:val="000605B7"/>
    <w:rsid w:val="000605D4"/>
    <w:rsid w:val="000606CE"/>
    <w:rsid w:val="00060700"/>
    <w:rsid w:val="0006072B"/>
    <w:rsid w:val="00060AA6"/>
    <w:rsid w:val="00060B4C"/>
    <w:rsid w:val="00060F7F"/>
    <w:rsid w:val="0006101B"/>
    <w:rsid w:val="00061192"/>
    <w:rsid w:val="000611EA"/>
    <w:rsid w:val="00061268"/>
    <w:rsid w:val="000612FE"/>
    <w:rsid w:val="00061340"/>
    <w:rsid w:val="00061381"/>
    <w:rsid w:val="00061442"/>
    <w:rsid w:val="000614D0"/>
    <w:rsid w:val="00061509"/>
    <w:rsid w:val="0006165C"/>
    <w:rsid w:val="000616BC"/>
    <w:rsid w:val="0006172D"/>
    <w:rsid w:val="00061B10"/>
    <w:rsid w:val="00061D31"/>
    <w:rsid w:val="00061F21"/>
    <w:rsid w:val="00061F65"/>
    <w:rsid w:val="00062329"/>
    <w:rsid w:val="000623F4"/>
    <w:rsid w:val="00062406"/>
    <w:rsid w:val="00062417"/>
    <w:rsid w:val="00062428"/>
    <w:rsid w:val="00062467"/>
    <w:rsid w:val="000624FB"/>
    <w:rsid w:val="00062571"/>
    <w:rsid w:val="0006274E"/>
    <w:rsid w:val="000629CA"/>
    <w:rsid w:val="00062C10"/>
    <w:rsid w:val="00062C64"/>
    <w:rsid w:val="00062DBC"/>
    <w:rsid w:val="00062E08"/>
    <w:rsid w:val="00062E65"/>
    <w:rsid w:val="00062F45"/>
    <w:rsid w:val="00063093"/>
    <w:rsid w:val="00063853"/>
    <w:rsid w:val="00063B1D"/>
    <w:rsid w:val="00063B80"/>
    <w:rsid w:val="00063BCE"/>
    <w:rsid w:val="00063D65"/>
    <w:rsid w:val="0006405B"/>
    <w:rsid w:val="0006420A"/>
    <w:rsid w:val="000642D4"/>
    <w:rsid w:val="00064417"/>
    <w:rsid w:val="0006442F"/>
    <w:rsid w:val="00064456"/>
    <w:rsid w:val="00064A73"/>
    <w:rsid w:val="00064B7A"/>
    <w:rsid w:val="00064C94"/>
    <w:rsid w:val="00064D11"/>
    <w:rsid w:val="00064EB4"/>
    <w:rsid w:val="00065094"/>
    <w:rsid w:val="00065098"/>
    <w:rsid w:val="00065206"/>
    <w:rsid w:val="00065211"/>
    <w:rsid w:val="000654D1"/>
    <w:rsid w:val="0006559D"/>
    <w:rsid w:val="00065602"/>
    <w:rsid w:val="0006565F"/>
    <w:rsid w:val="00065A36"/>
    <w:rsid w:val="00065A3E"/>
    <w:rsid w:val="00065B8D"/>
    <w:rsid w:val="00065CBC"/>
    <w:rsid w:val="00065CC6"/>
    <w:rsid w:val="00065D1C"/>
    <w:rsid w:val="00065D21"/>
    <w:rsid w:val="00065D52"/>
    <w:rsid w:val="00065F87"/>
    <w:rsid w:val="000660E0"/>
    <w:rsid w:val="000662C6"/>
    <w:rsid w:val="000665D9"/>
    <w:rsid w:val="000665E7"/>
    <w:rsid w:val="000665EC"/>
    <w:rsid w:val="0006660E"/>
    <w:rsid w:val="00066D52"/>
    <w:rsid w:val="00066D99"/>
    <w:rsid w:val="00066F2A"/>
    <w:rsid w:val="00067144"/>
    <w:rsid w:val="00067178"/>
    <w:rsid w:val="0006727B"/>
    <w:rsid w:val="0006728F"/>
    <w:rsid w:val="000672D2"/>
    <w:rsid w:val="000673FC"/>
    <w:rsid w:val="000674F3"/>
    <w:rsid w:val="00067523"/>
    <w:rsid w:val="000675E1"/>
    <w:rsid w:val="000675E3"/>
    <w:rsid w:val="00067B30"/>
    <w:rsid w:val="00067C6A"/>
    <w:rsid w:val="00067C6D"/>
    <w:rsid w:val="00067D5D"/>
    <w:rsid w:val="00067D67"/>
    <w:rsid w:val="00067D6C"/>
    <w:rsid w:val="00067ECD"/>
    <w:rsid w:val="00067FD2"/>
    <w:rsid w:val="00070002"/>
    <w:rsid w:val="000702D1"/>
    <w:rsid w:val="00070492"/>
    <w:rsid w:val="000704A5"/>
    <w:rsid w:val="00070606"/>
    <w:rsid w:val="00070678"/>
    <w:rsid w:val="00070BEF"/>
    <w:rsid w:val="00070BF6"/>
    <w:rsid w:val="00070D6C"/>
    <w:rsid w:val="00070FD4"/>
    <w:rsid w:val="00071102"/>
    <w:rsid w:val="000712F9"/>
    <w:rsid w:val="00071309"/>
    <w:rsid w:val="000714DF"/>
    <w:rsid w:val="00071527"/>
    <w:rsid w:val="00071696"/>
    <w:rsid w:val="00071709"/>
    <w:rsid w:val="0007172F"/>
    <w:rsid w:val="00071779"/>
    <w:rsid w:val="00071991"/>
    <w:rsid w:val="00071A89"/>
    <w:rsid w:val="00071A9E"/>
    <w:rsid w:val="00071BE9"/>
    <w:rsid w:val="00071D53"/>
    <w:rsid w:val="00071EF3"/>
    <w:rsid w:val="00071F36"/>
    <w:rsid w:val="0007207E"/>
    <w:rsid w:val="0007209F"/>
    <w:rsid w:val="00072311"/>
    <w:rsid w:val="00072362"/>
    <w:rsid w:val="00072388"/>
    <w:rsid w:val="00072396"/>
    <w:rsid w:val="00072420"/>
    <w:rsid w:val="000724E3"/>
    <w:rsid w:val="00072583"/>
    <w:rsid w:val="00072626"/>
    <w:rsid w:val="0007271B"/>
    <w:rsid w:val="00072728"/>
    <w:rsid w:val="00072755"/>
    <w:rsid w:val="00072A36"/>
    <w:rsid w:val="00072B14"/>
    <w:rsid w:val="00072B70"/>
    <w:rsid w:val="00072C03"/>
    <w:rsid w:val="00072DAA"/>
    <w:rsid w:val="00072E32"/>
    <w:rsid w:val="00072E8C"/>
    <w:rsid w:val="0007301F"/>
    <w:rsid w:val="0007308C"/>
    <w:rsid w:val="0007360A"/>
    <w:rsid w:val="000736A2"/>
    <w:rsid w:val="000736F0"/>
    <w:rsid w:val="000738C1"/>
    <w:rsid w:val="000738CB"/>
    <w:rsid w:val="00073A01"/>
    <w:rsid w:val="00073D8F"/>
    <w:rsid w:val="00073F24"/>
    <w:rsid w:val="00073FAE"/>
    <w:rsid w:val="00073FE3"/>
    <w:rsid w:val="00074052"/>
    <w:rsid w:val="00074079"/>
    <w:rsid w:val="00074180"/>
    <w:rsid w:val="000742B0"/>
    <w:rsid w:val="00074313"/>
    <w:rsid w:val="0007435C"/>
    <w:rsid w:val="00074380"/>
    <w:rsid w:val="00074390"/>
    <w:rsid w:val="00074479"/>
    <w:rsid w:val="000748EC"/>
    <w:rsid w:val="00074A42"/>
    <w:rsid w:val="00074BF7"/>
    <w:rsid w:val="00074EB1"/>
    <w:rsid w:val="00074F98"/>
    <w:rsid w:val="00075004"/>
    <w:rsid w:val="000752FD"/>
    <w:rsid w:val="00075434"/>
    <w:rsid w:val="00075603"/>
    <w:rsid w:val="0007575A"/>
    <w:rsid w:val="00075AE6"/>
    <w:rsid w:val="00075AF6"/>
    <w:rsid w:val="00075CCD"/>
    <w:rsid w:val="00075D9D"/>
    <w:rsid w:val="00075F34"/>
    <w:rsid w:val="00076138"/>
    <w:rsid w:val="00076176"/>
    <w:rsid w:val="0007619F"/>
    <w:rsid w:val="000761B2"/>
    <w:rsid w:val="0007624D"/>
    <w:rsid w:val="000762AC"/>
    <w:rsid w:val="000764F9"/>
    <w:rsid w:val="00076591"/>
    <w:rsid w:val="000765C8"/>
    <w:rsid w:val="000765E6"/>
    <w:rsid w:val="00076660"/>
    <w:rsid w:val="00076A27"/>
    <w:rsid w:val="00076A52"/>
    <w:rsid w:val="00076AF4"/>
    <w:rsid w:val="00076B48"/>
    <w:rsid w:val="000770CA"/>
    <w:rsid w:val="0007718D"/>
    <w:rsid w:val="000772C2"/>
    <w:rsid w:val="000774C6"/>
    <w:rsid w:val="0007752C"/>
    <w:rsid w:val="000778BF"/>
    <w:rsid w:val="00077B99"/>
    <w:rsid w:val="00077C79"/>
    <w:rsid w:val="00077E69"/>
    <w:rsid w:val="00077F1F"/>
    <w:rsid w:val="000800D0"/>
    <w:rsid w:val="00080107"/>
    <w:rsid w:val="0008044A"/>
    <w:rsid w:val="000804B3"/>
    <w:rsid w:val="0008070A"/>
    <w:rsid w:val="00080730"/>
    <w:rsid w:val="000807B4"/>
    <w:rsid w:val="000808ED"/>
    <w:rsid w:val="00080C4D"/>
    <w:rsid w:val="00080C50"/>
    <w:rsid w:val="00080C9E"/>
    <w:rsid w:val="00080DD1"/>
    <w:rsid w:val="00080E4C"/>
    <w:rsid w:val="00080E8D"/>
    <w:rsid w:val="00080EFC"/>
    <w:rsid w:val="00081051"/>
    <w:rsid w:val="00081284"/>
    <w:rsid w:val="000812E4"/>
    <w:rsid w:val="000812FE"/>
    <w:rsid w:val="000813FC"/>
    <w:rsid w:val="000814AF"/>
    <w:rsid w:val="000817D3"/>
    <w:rsid w:val="00081924"/>
    <w:rsid w:val="0008192C"/>
    <w:rsid w:val="00081934"/>
    <w:rsid w:val="000819E1"/>
    <w:rsid w:val="00081A19"/>
    <w:rsid w:val="00081B28"/>
    <w:rsid w:val="00081D6F"/>
    <w:rsid w:val="00081D79"/>
    <w:rsid w:val="00081DC1"/>
    <w:rsid w:val="00081E1B"/>
    <w:rsid w:val="0008205E"/>
    <w:rsid w:val="00082319"/>
    <w:rsid w:val="0008233E"/>
    <w:rsid w:val="000824F4"/>
    <w:rsid w:val="00082644"/>
    <w:rsid w:val="00082706"/>
    <w:rsid w:val="00082733"/>
    <w:rsid w:val="00082837"/>
    <w:rsid w:val="000828BC"/>
    <w:rsid w:val="00082AD6"/>
    <w:rsid w:val="00082AE4"/>
    <w:rsid w:val="00082D46"/>
    <w:rsid w:val="00082E8F"/>
    <w:rsid w:val="00083094"/>
    <w:rsid w:val="00083157"/>
    <w:rsid w:val="000832A1"/>
    <w:rsid w:val="0008348E"/>
    <w:rsid w:val="00083564"/>
    <w:rsid w:val="0008361C"/>
    <w:rsid w:val="00083633"/>
    <w:rsid w:val="00083BD2"/>
    <w:rsid w:val="00083CE9"/>
    <w:rsid w:val="00084449"/>
    <w:rsid w:val="00084720"/>
    <w:rsid w:val="000848AE"/>
    <w:rsid w:val="000850C7"/>
    <w:rsid w:val="000850E0"/>
    <w:rsid w:val="0008518A"/>
    <w:rsid w:val="000853E0"/>
    <w:rsid w:val="00085557"/>
    <w:rsid w:val="00085751"/>
    <w:rsid w:val="00085890"/>
    <w:rsid w:val="000858DB"/>
    <w:rsid w:val="000858FB"/>
    <w:rsid w:val="00085AA0"/>
    <w:rsid w:val="00085CFB"/>
    <w:rsid w:val="00085D59"/>
    <w:rsid w:val="00085DF2"/>
    <w:rsid w:val="00085E69"/>
    <w:rsid w:val="0008605E"/>
    <w:rsid w:val="0008617D"/>
    <w:rsid w:val="000863FB"/>
    <w:rsid w:val="00086471"/>
    <w:rsid w:val="0008667F"/>
    <w:rsid w:val="000866BB"/>
    <w:rsid w:val="00086833"/>
    <w:rsid w:val="00086948"/>
    <w:rsid w:val="000869EC"/>
    <w:rsid w:val="00086A73"/>
    <w:rsid w:val="00086C7E"/>
    <w:rsid w:val="00086E4B"/>
    <w:rsid w:val="0008707D"/>
    <w:rsid w:val="00087205"/>
    <w:rsid w:val="00087352"/>
    <w:rsid w:val="00087788"/>
    <w:rsid w:val="000877E4"/>
    <w:rsid w:val="0008785C"/>
    <w:rsid w:val="00087BE7"/>
    <w:rsid w:val="00087D61"/>
    <w:rsid w:val="00087D74"/>
    <w:rsid w:val="00087DDA"/>
    <w:rsid w:val="00087E8D"/>
    <w:rsid w:val="00090179"/>
    <w:rsid w:val="00090528"/>
    <w:rsid w:val="0009063F"/>
    <w:rsid w:val="00090775"/>
    <w:rsid w:val="00090780"/>
    <w:rsid w:val="00090D4C"/>
    <w:rsid w:val="00090F52"/>
    <w:rsid w:val="00090F89"/>
    <w:rsid w:val="0009108C"/>
    <w:rsid w:val="00091226"/>
    <w:rsid w:val="000913E5"/>
    <w:rsid w:val="00091450"/>
    <w:rsid w:val="00091680"/>
    <w:rsid w:val="00091A3E"/>
    <w:rsid w:val="00091AD4"/>
    <w:rsid w:val="00091B6F"/>
    <w:rsid w:val="00091BE8"/>
    <w:rsid w:val="00091FF7"/>
    <w:rsid w:val="0009218D"/>
    <w:rsid w:val="00092225"/>
    <w:rsid w:val="000924FA"/>
    <w:rsid w:val="0009255B"/>
    <w:rsid w:val="00092655"/>
    <w:rsid w:val="000927C5"/>
    <w:rsid w:val="00092903"/>
    <w:rsid w:val="0009292E"/>
    <w:rsid w:val="00092944"/>
    <w:rsid w:val="00092B5E"/>
    <w:rsid w:val="00092E9B"/>
    <w:rsid w:val="0009356F"/>
    <w:rsid w:val="00093714"/>
    <w:rsid w:val="00093735"/>
    <w:rsid w:val="000937FA"/>
    <w:rsid w:val="0009381D"/>
    <w:rsid w:val="000938DF"/>
    <w:rsid w:val="00093AC5"/>
    <w:rsid w:val="00093C54"/>
    <w:rsid w:val="00093E68"/>
    <w:rsid w:val="0009415A"/>
    <w:rsid w:val="000942E0"/>
    <w:rsid w:val="00094307"/>
    <w:rsid w:val="0009439A"/>
    <w:rsid w:val="000943CC"/>
    <w:rsid w:val="00094405"/>
    <w:rsid w:val="0009490C"/>
    <w:rsid w:val="0009492C"/>
    <w:rsid w:val="00094A8E"/>
    <w:rsid w:val="00094B17"/>
    <w:rsid w:val="00094D21"/>
    <w:rsid w:val="00094DCB"/>
    <w:rsid w:val="00094E54"/>
    <w:rsid w:val="00094E65"/>
    <w:rsid w:val="00094E8D"/>
    <w:rsid w:val="00094F7A"/>
    <w:rsid w:val="00095099"/>
    <w:rsid w:val="000951B2"/>
    <w:rsid w:val="000952E3"/>
    <w:rsid w:val="0009530B"/>
    <w:rsid w:val="0009532B"/>
    <w:rsid w:val="0009549D"/>
    <w:rsid w:val="00095859"/>
    <w:rsid w:val="0009597E"/>
    <w:rsid w:val="000959BB"/>
    <w:rsid w:val="000959E5"/>
    <w:rsid w:val="00095BAD"/>
    <w:rsid w:val="00095E2A"/>
    <w:rsid w:val="000962B4"/>
    <w:rsid w:val="0009637A"/>
    <w:rsid w:val="00096460"/>
    <w:rsid w:val="000966CD"/>
    <w:rsid w:val="00096726"/>
    <w:rsid w:val="00096961"/>
    <w:rsid w:val="0009696D"/>
    <w:rsid w:val="00096C9A"/>
    <w:rsid w:val="00096CFD"/>
    <w:rsid w:val="00096D37"/>
    <w:rsid w:val="00096EA9"/>
    <w:rsid w:val="00097051"/>
    <w:rsid w:val="000970E7"/>
    <w:rsid w:val="0009716F"/>
    <w:rsid w:val="000973C2"/>
    <w:rsid w:val="0009768B"/>
    <w:rsid w:val="00097A16"/>
    <w:rsid w:val="00097D9C"/>
    <w:rsid w:val="000A0041"/>
    <w:rsid w:val="000A006B"/>
    <w:rsid w:val="000A0099"/>
    <w:rsid w:val="000A0195"/>
    <w:rsid w:val="000A01A8"/>
    <w:rsid w:val="000A07F8"/>
    <w:rsid w:val="000A0893"/>
    <w:rsid w:val="000A08E1"/>
    <w:rsid w:val="000A0A4D"/>
    <w:rsid w:val="000A0C07"/>
    <w:rsid w:val="000A0F00"/>
    <w:rsid w:val="000A10B9"/>
    <w:rsid w:val="000A138A"/>
    <w:rsid w:val="000A13A2"/>
    <w:rsid w:val="000A14D4"/>
    <w:rsid w:val="000A15FC"/>
    <w:rsid w:val="000A1699"/>
    <w:rsid w:val="000A16C5"/>
    <w:rsid w:val="000A171C"/>
    <w:rsid w:val="000A173C"/>
    <w:rsid w:val="000A1826"/>
    <w:rsid w:val="000A20EA"/>
    <w:rsid w:val="000A24DA"/>
    <w:rsid w:val="000A271F"/>
    <w:rsid w:val="000A2997"/>
    <w:rsid w:val="000A2B20"/>
    <w:rsid w:val="000A2C09"/>
    <w:rsid w:val="000A2C7A"/>
    <w:rsid w:val="000A2EDB"/>
    <w:rsid w:val="000A2EF2"/>
    <w:rsid w:val="000A3031"/>
    <w:rsid w:val="000A3074"/>
    <w:rsid w:val="000A3094"/>
    <w:rsid w:val="000A3111"/>
    <w:rsid w:val="000A3194"/>
    <w:rsid w:val="000A3211"/>
    <w:rsid w:val="000A3242"/>
    <w:rsid w:val="000A324C"/>
    <w:rsid w:val="000A356F"/>
    <w:rsid w:val="000A369B"/>
    <w:rsid w:val="000A37B1"/>
    <w:rsid w:val="000A3834"/>
    <w:rsid w:val="000A3863"/>
    <w:rsid w:val="000A3981"/>
    <w:rsid w:val="000A39BD"/>
    <w:rsid w:val="000A3A5A"/>
    <w:rsid w:val="000A3AC4"/>
    <w:rsid w:val="000A3C2D"/>
    <w:rsid w:val="000A3DEC"/>
    <w:rsid w:val="000A3E93"/>
    <w:rsid w:val="000A3E99"/>
    <w:rsid w:val="000A428A"/>
    <w:rsid w:val="000A439B"/>
    <w:rsid w:val="000A448F"/>
    <w:rsid w:val="000A4671"/>
    <w:rsid w:val="000A47FE"/>
    <w:rsid w:val="000A4916"/>
    <w:rsid w:val="000A4946"/>
    <w:rsid w:val="000A4B5F"/>
    <w:rsid w:val="000A4BA4"/>
    <w:rsid w:val="000A4C65"/>
    <w:rsid w:val="000A4DB0"/>
    <w:rsid w:val="000A506D"/>
    <w:rsid w:val="000A563A"/>
    <w:rsid w:val="000A574B"/>
    <w:rsid w:val="000A578D"/>
    <w:rsid w:val="000A5AD9"/>
    <w:rsid w:val="000A5D9B"/>
    <w:rsid w:val="000A5DF0"/>
    <w:rsid w:val="000A5F8D"/>
    <w:rsid w:val="000A5FA4"/>
    <w:rsid w:val="000A6003"/>
    <w:rsid w:val="000A6117"/>
    <w:rsid w:val="000A61CA"/>
    <w:rsid w:val="000A623D"/>
    <w:rsid w:val="000A63E7"/>
    <w:rsid w:val="000A654D"/>
    <w:rsid w:val="000A662E"/>
    <w:rsid w:val="000A66E9"/>
    <w:rsid w:val="000A6A03"/>
    <w:rsid w:val="000A6A12"/>
    <w:rsid w:val="000A6F94"/>
    <w:rsid w:val="000A71F8"/>
    <w:rsid w:val="000A72D6"/>
    <w:rsid w:val="000A73CF"/>
    <w:rsid w:val="000A7546"/>
    <w:rsid w:val="000A75B3"/>
    <w:rsid w:val="000A7767"/>
    <w:rsid w:val="000A7A83"/>
    <w:rsid w:val="000A7AC5"/>
    <w:rsid w:val="000A7B74"/>
    <w:rsid w:val="000A7B7C"/>
    <w:rsid w:val="000A7C89"/>
    <w:rsid w:val="000A7D72"/>
    <w:rsid w:val="000B02EA"/>
    <w:rsid w:val="000B0463"/>
    <w:rsid w:val="000B06C4"/>
    <w:rsid w:val="000B081A"/>
    <w:rsid w:val="000B0915"/>
    <w:rsid w:val="000B0A61"/>
    <w:rsid w:val="000B0AD5"/>
    <w:rsid w:val="000B0DD8"/>
    <w:rsid w:val="000B0E98"/>
    <w:rsid w:val="000B0EC0"/>
    <w:rsid w:val="000B0FE3"/>
    <w:rsid w:val="000B102B"/>
    <w:rsid w:val="000B1235"/>
    <w:rsid w:val="000B12BA"/>
    <w:rsid w:val="000B1331"/>
    <w:rsid w:val="000B136A"/>
    <w:rsid w:val="000B1557"/>
    <w:rsid w:val="000B15C3"/>
    <w:rsid w:val="000B16CA"/>
    <w:rsid w:val="000B16E0"/>
    <w:rsid w:val="000B17A0"/>
    <w:rsid w:val="000B1A2D"/>
    <w:rsid w:val="000B1A4D"/>
    <w:rsid w:val="000B1AE4"/>
    <w:rsid w:val="000B1B6D"/>
    <w:rsid w:val="000B1C41"/>
    <w:rsid w:val="000B1E30"/>
    <w:rsid w:val="000B1E50"/>
    <w:rsid w:val="000B1E60"/>
    <w:rsid w:val="000B2139"/>
    <w:rsid w:val="000B2334"/>
    <w:rsid w:val="000B2390"/>
    <w:rsid w:val="000B256F"/>
    <w:rsid w:val="000B25A4"/>
    <w:rsid w:val="000B25F5"/>
    <w:rsid w:val="000B276E"/>
    <w:rsid w:val="000B290E"/>
    <w:rsid w:val="000B296F"/>
    <w:rsid w:val="000B2B83"/>
    <w:rsid w:val="000B2BB0"/>
    <w:rsid w:val="000B2BDC"/>
    <w:rsid w:val="000B2C61"/>
    <w:rsid w:val="000B2D7B"/>
    <w:rsid w:val="000B2E3E"/>
    <w:rsid w:val="000B3033"/>
    <w:rsid w:val="000B321D"/>
    <w:rsid w:val="000B32F5"/>
    <w:rsid w:val="000B338E"/>
    <w:rsid w:val="000B351E"/>
    <w:rsid w:val="000B3593"/>
    <w:rsid w:val="000B3757"/>
    <w:rsid w:val="000B38A8"/>
    <w:rsid w:val="000B38E7"/>
    <w:rsid w:val="000B39BB"/>
    <w:rsid w:val="000B3AF7"/>
    <w:rsid w:val="000B3C0F"/>
    <w:rsid w:val="000B3DAF"/>
    <w:rsid w:val="000B3EB9"/>
    <w:rsid w:val="000B3EE7"/>
    <w:rsid w:val="000B423C"/>
    <w:rsid w:val="000B4358"/>
    <w:rsid w:val="000B464A"/>
    <w:rsid w:val="000B47AA"/>
    <w:rsid w:val="000B48F4"/>
    <w:rsid w:val="000B4A0D"/>
    <w:rsid w:val="000B4A15"/>
    <w:rsid w:val="000B4E6C"/>
    <w:rsid w:val="000B51CC"/>
    <w:rsid w:val="000B5306"/>
    <w:rsid w:val="000B530C"/>
    <w:rsid w:val="000B53CB"/>
    <w:rsid w:val="000B562E"/>
    <w:rsid w:val="000B563D"/>
    <w:rsid w:val="000B570D"/>
    <w:rsid w:val="000B5725"/>
    <w:rsid w:val="000B57D8"/>
    <w:rsid w:val="000B58F3"/>
    <w:rsid w:val="000B5C3F"/>
    <w:rsid w:val="000B5D0E"/>
    <w:rsid w:val="000B601C"/>
    <w:rsid w:val="000B6071"/>
    <w:rsid w:val="000B61B9"/>
    <w:rsid w:val="000B686E"/>
    <w:rsid w:val="000B68F3"/>
    <w:rsid w:val="000B6AF8"/>
    <w:rsid w:val="000B6DFF"/>
    <w:rsid w:val="000B6E9C"/>
    <w:rsid w:val="000B6EDC"/>
    <w:rsid w:val="000B7307"/>
    <w:rsid w:val="000B741B"/>
    <w:rsid w:val="000B7462"/>
    <w:rsid w:val="000B74EA"/>
    <w:rsid w:val="000B7629"/>
    <w:rsid w:val="000B7656"/>
    <w:rsid w:val="000B770A"/>
    <w:rsid w:val="000B78B5"/>
    <w:rsid w:val="000B78F0"/>
    <w:rsid w:val="000B797A"/>
    <w:rsid w:val="000B7A07"/>
    <w:rsid w:val="000B7A5F"/>
    <w:rsid w:val="000B7BD7"/>
    <w:rsid w:val="000B7CC5"/>
    <w:rsid w:val="000B7D80"/>
    <w:rsid w:val="000B7DA1"/>
    <w:rsid w:val="000B7E15"/>
    <w:rsid w:val="000C02AF"/>
    <w:rsid w:val="000C02B8"/>
    <w:rsid w:val="000C0374"/>
    <w:rsid w:val="000C0674"/>
    <w:rsid w:val="000C07E6"/>
    <w:rsid w:val="000C0868"/>
    <w:rsid w:val="000C0998"/>
    <w:rsid w:val="000C0B42"/>
    <w:rsid w:val="000C0B8B"/>
    <w:rsid w:val="000C0C41"/>
    <w:rsid w:val="000C0CF4"/>
    <w:rsid w:val="000C0EB0"/>
    <w:rsid w:val="000C0EB7"/>
    <w:rsid w:val="000C0EC8"/>
    <w:rsid w:val="000C0F32"/>
    <w:rsid w:val="000C168C"/>
    <w:rsid w:val="000C16BF"/>
    <w:rsid w:val="000C17A7"/>
    <w:rsid w:val="000C1890"/>
    <w:rsid w:val="000C18A8"/>
    <w:rsid w:val="000C1952"/>
    <w:rsid w:val="000C1981"/>
    <w:rsid w:val="000C1A49"/>
    <w:rsid w:val="000C1BA3"/>
    <w:rsid w:val="000C1EF8"/>
    <w:rsid w:val="000C1FA2"/>
    <w:rsid w:val="000C259D"/>
    <w:rsid w:val="000C25BA"/>
    <w:rsid w:val="000C26BE"/>
    <w:rsid w:val="000C26DD"/>
    <w:rsid w:val="000C2733"/>
    <w:rsid w:val="000C2861"/>
    <w:rsid w:val="000C2A0E"/>
    <w:rsid w:val="000C2A14"/>
    <w:rsid w:val="000C2BC9"/>
    <w:rsid w:val="000C2C82"/>
    <w:rsid w:val="000C2D03"/>
    <w:rsid w:val="000C2DDE"/>
    <w:rsid w:val="000C2E4A"/>
    <w:rsid w:val="000C2EF7"/>
    <w:rsid w:val="000C300A"/>
    <w:rsid w:val="000C307E"/>
    <w:rsid w:val="000C3134"/>
    <w:rsid w:val="000C36C1"/>
    <w:rsid w:val="000C3722"/>
    <w:rsid w:val="000C37B2"/>
    <w:rsid w:val="000C388C"/>
    <w:rsid w:val="000C3A33"/>
    <w:rsid w:val="000C3BDF"/>
    <w:rsid w:val="000C3CD3"/>
    <w:rsid w:val="000C3D03"/>
    <w:rsid w:val="000C3E79"/>
    <w:rsid w:val="000C3F8F"/>
    <w:rsid w:val="000C422B"/>
    <w:rsid w:val="000C423B"/>
    <w:rsid w:val="000C4397"/>
    <w:rsid w:val="000C44B9"/>
    <w:rsid w:val="000C4545"/>
    <w:rsid w:val="000C4551"/>
    <w:rsid w:val="000C46C5"/>
    <w:rsid w:val="000C46D0"/>
    <w:rsid w:val="000C4744"/>
    <w:rsid w:val="000C477F"/>
    <w:rsid w:val="000C4A14"/>
    <w:rsid w:val="000C4A25"/>
    <w:rsid w:val="000C4AE0"/>
    <w:rsid w:val="000C4B66"/>
    <w:rsid w:val="000C4DE5"/>
    <w:rsid w:val="000C4F9D"/>
    <w:rsid w:val="000C5157"/>
    <w:rsid w:val="000C5219"/>
    <w:rsid w:val="000C535B"/>
    <w:rsid w:val="000C5504"/>
    <w:rsid w:val="000C5634"/>
    <w:rsid w:val="000C587A"/>
    <w:rsid w:val="000C5885"/>
    <w:rsid w:val="000C5973"/>
    <w:rsid w:val="000C59DB"/>
    <w:rsid w:val="000C5CCD"/>
    <w:rsid w:val="000C5F42"/>
    <w:rsid w:val="000C61D8"/>
    <w:rsid w:val="000C61F0"/>
    <w:rsid w:val="000C6440"/>
    <w:rsid w:val="000C66AC"/>
    <w:rsid w:val="000C66F1"/>
    <w:rsid w:val="000C6710"/>
    <w:rsid w:val="000C6A69"/>
    <w:rsid w:val="000C6B85"/>
    <w:rsid w:val="000C6E8C"/>
    <w:rsid w:val="000C6EB5"/>
    <w:rsid w:val="000C6ECD"/>
    <w:rsid w:val="000C6F02"/>
    <w:rsid w:val="000C6F75"/>
    <w:rsid w:val="000C6F96"/>
    <w:rsid w:val="000C7037"/>
    <w:rsid w:val="000C7207"/>
    <w:rsid w:val="000C7291"/>
    <w:rsid w:val="000C73C4"/>
    <w:rsid w:val="000C7433"/>
    <w:rsid w:val="000C74A7"/>
    <w:rsid w:val="000C758B"/>
    <w:rsid w:val="000C7637"/>
    <w:rsid w:val="000C76F6"/>
    <w:rsid w:val="000C7978"/>
    <w:rsid w:val="000C7F13"/>
    <w:rsid w:val="000C7F75"/>
    <w:rsid w:val="000D0077"/>
    <w:rsid w:val="000D0459"/>
    <w:rsid w:val="000D0494"/>
    <w:rsid w:val="000D050A"/>
    <w:rsid w:val="000D05BB"/>
    <w:rsid w:val="000D0662"/>
    <w:rsid w:val="000D06C1"/>
    <w:rsid w:val="000D077E"/>
    <w:rsid w:val="000D0873"/>
    <w:rsid w:val="000D094D"/>
    <w:rsid w:val="000D096B"/>
    <w:rsid w:val="000D0998"/>
    <w:rsid w:val="000D0A73"/>
    <w:rsid w:val="000D0B0D"/>
    <w:rsid w:val="000D0CB2"/>
    <w:rsid w:val="000D0CBA"/>
    <w:rsid w:val="000D0D55"/>
    <w:rsid w:val="000D0E43"/>
    <w:rsid w:val="000D0E4D"/>
    <w:rsid w:val="000D0EC4"/>
    <w:rsid w:val="000D0F62"/>
    <w:rsid w:val="000D0F86"/>
    <w:rsid w:val="000D1208"/>
    <w:rsid w:val="000D123D"/>
    <w:rsid w:val="000D125C"/>
    <w:rsid w:val="000D1484"/>
    <w:rsid w:val="000D1594"/>
    <w:rsid w:val="000D16FA"/>
    <w:rsid w:val="000D182E"/>
    <w:rsid w:val="000D1CA2"/>
    <w:rsid w:val="000D1D46"/>
    <w:rsid w:val="000D1D8D"/>
    <w:rsid w:val="000D1E68"/>
    <w:rsid w:val="000D1E87"/>
    <w:rsid w:val="000D1E91"/>
    <w:rsid w:val="000D1F58"/>
    <w:rsid w:val="000D219E"/>
    <w:rsid w:val="000D2279"/>
    <w:rsid w:val="000D2483"/>
    <w:rsid w:val="000D24CB"/>
    <w:rsid w:val="000D27D2"/>
    <w:rsid w:val="000D281E"/>
    <w:rsid w:val="000D291E"/>
    <w:rsid w:val="000D2B17"/>
    <w:rsid w:val="000D2C16"/>
    <w:rsid w:val="000D2DBA"/>
    <w:rsid w:val="000D2F05"/>
    <w:rsid w:val="000D2F45"/>
    <w:rsid w:val="000D30AB"/>
    <w:rsid w:val="000D3266"/>
    <w:rsid w:val="000D32B6"/>
    <w:rsid w:val="000D3399"/>
    <w:rsid w:val="000D347B"/>
    <w:rsid w:val="000D3540"/>
    <w:rsid w:val="000D3664"/>
    <w:rsid w:val="000D3706"/>
    <w:rsid w:val="000D3B24"/>
    <w:rsid w:val="000D3C16"/>
    <w:rsid w:val="000D3C35"/>
    <w:rsid w:val="000D3C6D"/>
    <w:rsid w:val="000D3CD1"/>
    <w:rsid w:val="000D3E5E"/>
    <w:rsid w:val="000D3F02"/>
    <w:rsid w:val="000D3FE4"/>
    <w:rsid w:val="000D4015"/>
    <w:rsid w:val="000D4185"/>
    <w:rsid w:val="000D41C9"/>
    <w:rsid w:val="000D4248"/>
    <w:rsid w:val="000D4333"/>
    <w:rsid w:val="000D43D6"/>
    <w:rsid w:val="000D441C"/>
    <w:rsid w:val="000D4497"/>
    <w:rsid w:val="000D44ED"/>
    <w:rsid w:val="000D459E"/>
    <w:rsid w:val="000D4693"/>
    <w:rsid w:val="000D469B"/>
    <w:rsid w:val="000D4E32"/>
    <w:rsid w:val="000D4E8D"/>
    <w:rsid w:val="000D4ED1"/>
    <w:rsid w:val="000D502C"/>
    <w:rsid w:val="000D526C"/>
    <w:rsid w:val="000D5354"/>
    <w:rsid w:val="000D5420"/>
    <w:rsid w:val="000D56E3"/>
    <w:rsid w:val="000D56FB"/>
    <w:rsid w:val="000D591F"/>
    <w:rsid w:val="000D5A46"/>
    <w:rsid w:val="000D5A51"/>
    <w:rsid w:val="000D5B1E"/>
    <w:rsid w:val="000D5C8E"/>
    <w:rsid w:val="000D5DC6"/>
    <w:rsid w:val="000D5ED3"/>
    <w:rsid w:val="000D604E"/>
    <w:rsid w:val="000D6063"/>
    <w:rsid w:val="000D610E"/>
    <w:rsid w:val="000D61C5"/>
    <w:rsid w:val="000D6277"/>
    <w:rsid w:val="000D63CB"/>
    <w:rsid w:val="000D63ED"/>
    <w:rsid w:val="000D6405"/>
    <w:rsid w:val="000D6612"/>
    <w:rsid w:val="000D668E"/>
    <w:rsid w:val="000D68DD"/>
    <w:rsid w:val="000D6CC5"/>
    <w:rsid w:val="000D6D04"/>
    <w:rsid w:val="000D6DC1"/>
    <w:rsid w:val="000D6E21"/>
    <w:rsid w:val="000D6E6E"/>
    <w:rsid w:val="000D706C"/>
    <w:rsid w:val="000D7094"/>
    <w:rsid w:val="000D731A"/>
    <w:rsid w:val="000D7464"/>
    <w:rsid w:val="000D75CB"/>
    <w:rsid w:val="000D768A"/>
    <w:rsid w:val="000D77C4"/>
    <w:rsid w:val="000D780E"/>
    <w:rsid w:val="000D7A9C"/>
    <w:rsid w:val="000D7DAD"/>
    <w:rsid w:val="000D7E76"/>
    <w:rsid w:val="000E00E6"/>
    <w:rsid w:val="000E0195"/>
    <w:rsid w:val="000E01E6"/>
    <w:rsid w:val="000E01FE"/>
    <w:rsid w:val="000E02E8"/>
    <w:rsid w:val="000E0300"/>
    <w:rsid w:val="000E036A"/>
    <w:rsid w:val="000E06A6"/>
    <w:rsid w:val="000E0721"/>
    <w:rsid w:val="000E0855"/>
    <w:rsid w:val="000E0A2B"/>
    <w:rsid w:val="000E0B21"/>
    <w:rsid w:val="000E0B48"/>
    <w:rsid w:val="000E0C37"/>
    <w:rsid w:val="000E0D43"/>
    <w:rsid w:val="000E0FEB"/>
    <w:rsid w:val="000E128A"/>
    <w:rsid w:val="000E12D3"/>
    <w:rsid w:val="000E1477"/>
    <w:rsid w:val="000E171E"/>
    <w:rsid w:val="000E1B1E"/>
    <w:rsid w:val="000E2032"/>
    <w:rsid w:val="000E20B3"/>
    <w:rsid w:val="000E2239"/>
    <w:rsid w:val="000E2242"/>
    <w:rsid w:val="000E229F"/>
    <w:rsid w:val="000E23B8"/>
    <w:rsid w:val="000E24AF"/>
    <w:rsid w:val="000E262C"/>
    <w:rsid w:val="000E2799"/>
    <w:rsid w:val="000E27B8"/>
    <w:rsid w:val="000E2930"/>
    <w:rsid w:val="000E2ABB"/>
    <w:rsid w:val="000E2EDD"/>
    <w:rsid w:val="000E3026"/>
    <w:rsid w:val="000E3091"/>
    <w:rsid w:val="000E334A"/>
    <w:rsid w:val="000E3534"/>
    <w:rsid w:val="000E3559"/>
    <w:rsid w:val="000E3591"/>
    <w:rsid w:val="000E3752"/>
    <w:rsid w:val="000E37B7"/>
    <w:rsid w:val="000E3843"/>
    <w:rsid w:val="000E38CC"/>
    <w:rsid w:val="000E3C02"/>
    <w:rsid w:val="000E3DA2"/>
    <w:rsid w:val="000E3E29"/>
    <w:rsid w:val="000E4325"/>
    <w:rsid w:val="000E44B2"/>
    <w:rsid w:val="000E4585"/>
    <w:rsid w:val="000E491B"/>
    <w:rsid w:val="000E4C45"/>
    <w:rsid w:val="000E4C71"/>
    <w:rsid w:val="000E4E03"/>
    <w:rsid w:val="000E4F46"/>
    <w:rsid w:val="000E50A4"/>
    <w:rsid w:val="000E50DA"/>
    <w:rsid w:val="000E51C9"/>
    <w:rsid w:val="000E52B3"/>
    <w:rsid w:val="000E53D2"/>
    <w:rsid w:val="000E53F7"/>
    <w:rsid w:val="000E5404"/>
    <w:rsid w:val="000E55A5"/>
    <w:rsid w:val="000E563E"/>
    <w:rsid w:val="000E59CD"/>
    <w:rsid w:val="000E5B27"/>
    <w:rsid w:val="000E5CB9"/>
    <w:rsid w:val="000E5D72"/>
    <w:rsid w:val="000E5E62"/>
    <w:rsid w:val="000E5F30"/>
    <w:rsid w:val="000E60AC"/>
    <w:rsid w:val="000E60BA"/>
    <w:rsid w:val="000E65D9"/>
    <w:rsid w:val="000E6607"/>
    <w:rsid w:val="000E6625"/>
    <w:rsid w:val="000E669D"/>
    <w:rsid w:val="000E66AC"/>
    <w:rsid w:val="000E67B5"/>
    <w:rsid w:val="000E67B8"/>
    <w:rsid w:val="000E6A21"/>
    <w:rsid w:val="000E6D2F"/>
    <w:rsid w:val="000E6F18"/>
    <w:rsid w:val="000E70D3"/>
    <w:rsid w:val="000E70D5"/>
    <w:rsid w:val="000E7365"/>
    <w:rsid w:val="000E737B"/>
    <w:rsid w:val="000E7DF0"/>
    <w:rsid w:val="000E7EC9"/>
    <w:rsid w:val="000E7EF6"/>
    <w:rsid w:val="000E7F3D"/>
    <w:rsid w:val="000F014C"/>
    <w:rsid w:val="000F016E"/>
    <w:rsid w:val="000F0391"/>
    <w:rsid w:val="000F03A4"/>
    <w:rsid w:val="000F04A4"/>
    <w:rsid w:val="000F04F4"/>
    <w:rsid w:val="000F0685"/>
    <w:rsid w:val="000F0721"/>
    <w:rsid w:val="000F074C"/>
    <w:rsid w:val="000F08FE"/>
    <w:rsid w:val="000F0905"/>
    <w:rsid w:val="000F0C32"/>
    <w:rsid w:val="000F0CCD"/>
    <w:rsid w:val="000F0CD8"/>
    <w:rsid w:val="000F0D22"/>
    <w:rsid w:val="000F1190"/>
    <w:rsid w:val="000F1193"/>
    <w:rsid w:val="000F1417"/>
    <w:rsid w:val="000F14FE"/>
    <w:rsid w:val="000F1798"/>
    <w:rsid w:val="000F17CE"/>
    <w:rsid w:val="000F18ED"/>
    <w:rsid w:val="000F193C"/>
    <w:rsid w:val="000F1A85"/>
    <w:rsid w:val="000F1B02"/>
    <w:rsid w:val="000F1B2A"/>
    <w:rsid w:val="000F1B33"/>
    <w:rsid w:val="000F1B63"/>
    <w:rsid w:val="000F1BF6"/>
    <w:rsid w:val="000F1C6C"/>
    <w:rsid w:val="000F1D1D"/>
    <w:rsid w:val="000F1DA2"/>
    <w:rsid w:val="000F1E2E"/>
    <w:rsid w:val="000F1F19"/>
    <w:rsid w:val="000F1F7F"/>
    <w:rsid w:val="000F1FFC"/>
    <w:rsid w:val="000F2198"/>
    <w:rsid w:val="000F27E1"/>
    <w:rsid w:val="000F2975"/>
    <w:rsid w:val="000F2C79"/>
    <w:rsid w:val="000F2CB9"/>
    <w:rsid w:val="000F2D48"/>
    <w:rsid w:val="000F34CF"/>
    <w:rsid w:val="000F367E"/>
    <w:rsid w:val="000F3714"/>
    <w:rsid w:val="000F387B"/>
    <w:rsid w:val="000F3941"/>
    <w:rsid w:val="000F398D"/>
    <w:rsid w:val="000F39A9"/>
    <w:rsid w:val="000F3C56"/>
    <w:rsid w:val="000F3D97"/>
    <w:rsid w:val="000F3E3D"/>
    <w:rsid w:val="000F3E43"/>
    <w:rsid w:val="000F3F4E"/>
    <w:rsid w:val="000F3F8E"/>
    <w:rsid w:val="000F40C2"/>
    <w:rsid w:val="000F42F6"/>
    <w:rsid w:val="000F431A"/>
    <w:rsid w:val="000F43E8"/>
    <w:rsid w:val="000F4695"/>
    <w:rsid w:val="000F479C"/>
    <w:rsid w:val="000F49D0"/>
    <w:rsid w:val="000F4A11"/>
    <w:rsid w:val="000F4B43"/>
    <w:rsid w:val="000F4C05"/>
    <w:rsid w:val="000F4C89"/>
    <w:rsid w:val="000F4E5C"/>
    <w:rsid w:val="000F5052"/>
    <w:rsid w:val="000F5164"/>
    <w:rsid w:val="000F542E"/>
    <w:rsid w:val="000F55DD"/>
    <w:rsid w:val="000F56B2"/>
    <w:rsid w:val="000F56C4"/>
    <w:rsid w:val="000F56F1"/>
    <w:rsid w:val="000F5960"/>
    <w:rsid w:val="000F59AA"/>
    <w:rsid w:val="000F59E5"/>
    <w:rsid w:val="000F5A0C"/>
    <w:rsid w:val="000F5A8E"/>
    <w:rsid w:val="000F5B9A"/>
    <w:rsid w:val="000F5EBA"/>
    <w:rsid w:val="000F5F2F"/>
    <w:rsid w:val="000F5F7F"/>
    <w:rsid w:val="000F6012"/>
    <w:rsid w:val="000F6029"/>
    <w:rsid w:val="000F61B8"/>
    <w:rsid w:val="000F61DF"/>
    <w:rsid w:val="000F625B"/>
    <w:rsid w:val="000F6549"/>
    <w:rsid w:val="000F6658"/>
    <w:rsid w:val="000F67A7"/>
    <w:rsid w:val="000F68F4"/>
    <w:rsid w:val="000F690B"/>
    <w:rsid w:val="000F699A"/>
    <w:rsid w:val="000F6A20"/>
    <w:rsid w:val="000F6A33"/>
    <w:rsid w:val="000F6A6F"/>
    <w:rsid w:val="000F6C54"/>
    <w:rsid w:val="000F6DDF"/>
    <w:rsid w:val="000F70A7"/>
    <w:rsid w:val="000F7168"/>
    <w:rsid w:val="000F71A6"/>
    <w:rsid w:val="000F755B"/>
    <w:rsid w:val="000F7811"/>
    <w:rsid w:val="000F7BD8"/>
    <w:rsid w:val="000F7C1C"/>
    <w:rsid w:val="000F7F6D"/>
    <w:rsid w:val="0010040E"/>
    <w:rsid w:val="001004E9"/>
    <w:rsid w:val="001004F4"/>
    <w:rsid w:val="00100886"/>
    <w:rsid w:val="00100944"/>
    <w:rsid w:val="00100964"/>
    <w:rsid w:val="00100B57"/>
    <w:rsid w:val="00100C00"/>
    <w:rsid w:val="00100CFC"/>
    <w:rsid w:val="00100DC2"/>
    <w:rsid w:val="00100EE0"/>
    <w:rsid w:val="00100F69"/>
    <w:rsid w:val="00101089"/>
    <w:rsid w:val="00101228"/>
    <w:rsid w:val="00101263"/>
    <w:rsid w:val="001012EF"/>
    <w:rsid w:val="00101385"/>
    <w:rsid w:val="001013DE"/>
    <w:rsid w:val="001014DE"/>
    <w:rsid w:val="00101704"/>
    <w:rsid w:val="001017C5"/>
    <w:rsid w:val="00101B75"/>
    <w:rsid w:val="00101BF7"/>
    <w:rsid w:val="00101D92"/>
    <w:rsid w:val="00101F4A"/>
    <w:rsid w:val="00101FAE"/>
    <w:rsid w:val="00102184"/>
    <w:rsid w:val="00102412"/>
    <w:rsid w:val="00102420"/>
    <w:rsid w:val="00102529"/>
    <w:rsid w:val="001025F5"/>
    <w:rsid w:val="00102637"/>
    <w:rsid w:val="0010265B"/>
    <w:rsid w:val="001029D7"/>
    <w:rsid w:val="001029F4"/>
    <w:rsid w:val="00102A8D"/>
    <w:rsid w:val="00102C22"/>
    <w:rsid w:val="00102D7B"/>
    <w:rsid w:val="00102E13"/>
    <w:rsid w:val="00103160"/>
    <w:rsid w:val="00103419"/>
    <w:rsid w:val="0010345C"/>
    <w:rsid w:val="0010351A"/>
    <w:rsid w:val="001035D7"/>
    <w:rsid w:val="0010369A"/>
    <w:rsid w:val="001036EB"/>
    <w:rsid w:val="00103838"/>
    <w:rsid w:val="00103A24"/>
    <w:rsid w:val="00103AA9"/>
    <w:rsid w:val="00103E54"/>
    <w:rsid w:val="00103E77"/>
    <w:rsid w:val="00103F34"/>
    <w:rsid w:val="001040F1"/>
    <w:rsid w:val="001041B3"/>
    <w:rsid w:val="0010433E"/>
    <w:rsid w:val="0010443E"/>
    <w:rsid w:val="0010466C"/>
    <w:rsid w:val="001047EA"/>
    <w:rsid w:val="00104AFD"/>
    <w:rsid w:val="00104B65"/>
    <w:rsid w:val="00104E07"/>
    <w:rsid w:val="00104F6D"/>
    <w:rsid w:val="001050BD"/>
    <w:rsid w:val="00105126"/>
    <w:rsid w:val="00105127"/>
    <w:rsid w:val="00105380"/>
    <w:rsid w:val="001053F8"/>
    <w:rsid w:val="00105422"/>
    <w:rsid w:val="001054CF"/>
    <w:rsid w:val="00105595"/>
    <w:rsid w:val="0010559F"/>
    <w:rsid w:val="001055BC"/>
    <w:rsid w:val="001055EC"/>
    <w:rsid w:val="00105728"/>
    <w:rsid w:val="00105CA8"/>
    <w:rsid w:val="00105CAB"/>
    <w:rsid w:val="00105E10"/>
    <w:rsid w:val="00105EF2"/>
    <w:rsid w:val="00105F4B"/>
    <w:rsid w:val="00105F9B"/>
    <w:rsid w:val="00105FB0"/>
    <w:rsid w:val="00106319"/>
    <w:rsid w:val="0010637D"/>
    <w:rsid w:val="001063A5"/>
    <w:rsid w:val="001064E8"/>
    <w:rsid w:val="001065BE"/>
    <w:rsid w:val="001065D9"/>
    <w:rsid w:val="00106768"/>
    <w:rsid w:val="00106797"/>
    <w:rsid w:val="001068F2"/>
    <w:rsid w:val="0010695F"/>
    <w:rsid w:val="00106A03"/>
    <w:rsid w:val="00106A9D"/>
    <w:rsid w:val="00106EA1"/>
    <w:rsid w:val="001072CA"/>
    <w:rsid w:val="00107306"/>
    <w:rsid w:val="0010751F"/>
    <w:rsid w:val="001076E5"/>
    <w:rsid w:val="00107705"/>
    <w:rsid w:val="001077B1"/>
    <w:rsid w:val="00107871"/>
    <w:rsid w:val="001079C9"/>
    <w:rsid w:val="00107A18"/>
    <w:rsid w:val="00107ADB"/>
    <w:rsid w:val="00107ADD"/>
    <w:rsid w:val="00107C08"/>
    <w:rsid w:val="001100A8"/>
    <w:rsid w:val="0011028C"/>
    <w:rsid w:val="001102B2"/>
    <w:rsid w:val="00110334"/>
    <w:rsid w:val="0011077E"/>
    <w:rsid w:val="00110784"/>
    <w:rsid w:val="00110A61"/>
    <w:rsid w:val="00110EAD"/>
    <w:rsid w:val="00110EB2"/>
    <w:rsid w:val="0011105D"/>
    <w:rsid w:val="00111075"/>
    <w:rsid w:val="001110C5"/>
    <w:rsid w:val="001111EE"/>
    <w:rsid w:val="00111389"/>
    <w:rsid w:val="001113E4"/>
    <w:rsid w:val="0011159C"/>
    <w:rsid w:val="0011164F"/>
    <w:rsid w:val="001116CD"/>
    <w:rsid w:val="0011178A"/>
    <w:rsid w:val="001117A5"/>
    <w:rsid w:val="001117B7"/>
    <w:rsid w:val="001119D9"/>
    <w:rsid w:val="00111A89"/>
    <w:rsid w:val="00111ADC"/>
    <w:rsid w:val="00111B22"/>
    <w:rsid w:val="00111CEA"/>
    <w:rsid w:val="00111DC3"/>
    <w:rsid w:val="00111DEB"/>
    <w:rsid w:val="001121A1"/>
    <w:rsid w:val="001121C6"/>
    <w:rsid w:val="00112304"/>
    <w:rsid w:val="00112349"/>
    <w:rsid w:val="00112404"/>
    <w:rsid w:val="0011241E"/>
    <w:rsid w:val="0011256F"/>
    <w:rsid w:val="001125E8"/>
    <w:rsid w:val="001127D5"/>
    <w:rsid w:val="00112857"/>
    <w:rsid w:val="00112B6A"/>
    <w:rsid w:val="00112BD5"/>
    <w:rsid w:val="00112C6A"/>
    <w:rsid w:val="00112C78"/>
    <w:rsid w:val="00112DA6"/>
    <w:rsid w:val="00113142"/>
    <w:rsid w:val="001132AA"/>
    <w:rsid w:val="001132DF"/>
    <w:rsid w:val="001133F6"/>
    <w:rsid w:val="0011342D"/>
    <w:rsid w:val="00113440"/>
    <w:rsid w:val="00113462"/>
    <w:rsid w:val="0011360A"/>
    <w:rsid w:val="00113664"/>
    <w:rsid w:val="00113A2B"/>
    <w:rsid w:val="00113A70"/>
    <w:rsid w:val="00113B80"/>
    <w:rsid w:val="00113C62"/>
    <w:rsid w:val="00113E0D"/>
    <w:rsid w:val="00113EE4"/>
    <w:rsid w:val="0011409B"/>
    <w:rsid w:val="001140D3"/>
    <w:rsid w:val="001141DE"/>
    <w:rsid w:val="00114254"/>
    <w:rsid w:val="001143AE"/>
    <w:rsid w:val="00114581"/>
    <w:rsid w:val="0011461D"/>
    <w:rsid w:val="00114636"/>
    <w:rsid w:val="0011481A"/>
    <w:rsid w:val="00114907"/>
    <w:rsid w:val="00114C4F"/>
    <w:rsid w:val="00114DFE"/>
    <w:rsid w:val="00114F4B"/>
    <w:rsid w:val="001150EA"/>
    <w:rsid w:val="0011512E"/>
    <w:rsid w:val="0011515F"/>
    <w:rsid w:val="001151C4"/>
    <w:rsid w:val="001152DB"/>
    <w:rsid w:val="001152E0"/>
    <w:rsid w:val="001153C2"/>
    <w:rsid w:val="001153CC"/>
    <w:rsid w:val="0011545C"/>
    <w:rsid w:val="0011545F"/>
    <w:rsid w:val="001159CD"/>
    <w:rsid w:val="00115AF3"/>
    <w:rsid w:val="00115BAF"/>
    <w:rsid w:val="00115C9B"/>
    <w:rsid w:val="00115E5F"/>
    <w:rsid w:val="00115E88"/>
    <w:rsid w:val="00116110"/>
    <w:rsid w:val="0011613C"/>
    <w:rsid w:val="00116338"/>
    <w:rsid w:val="0011641E"/>
    <w:rsid w:val="001167C1"/>
    <w:rsid w:val="0011687D"/>
    <w:rsid w:val="001169B6"/>
    <w:rsid w:val="00116C96"/>
    <w:rsid w:val="00116D71"/>
    <w:rsid w:val="00116F79"/>
    <w:rsid w:val="00116F87"/>
    <w:rsid w:val="001173F1"/>
    <w:rsid w:val="0011752A"/>
    <w:rsid w:val="00117579"/>
    <w:rsid w:val="001175F9"/>
    <w:rsid w:val="0011763A"/>
    <w:rsid w:val="00117659"/>
    <w:rsid w:val="0011766B"/>
    <w:rsid w:val="001177CA"/>
    <w:rsid w:val="001177D2"/>
    <w:rsid w:val="001177F7"/>
    <w:rsid w:val="00117A34"/>
    <w:rsid w:val="00117E80"/>
    <w:rsid w:val="001200C2"/>
    <w:rsid w:val="001201C7"/>
    <w:rsid w:val="0012032F"/>
    <w:rsid w:val="001205C3"/>
    <w:rsid w:val="001206AF"/>
    <w:rsid w:val="001206EE"/>
    <w:rsid w:val="0012077E"/>
    <w:rsid w:val="0012079C"/>
    <w:rsid w:val="001207C7"/>
    <w:rsid w:val="00120827"/>
    <w:rsid w:val="00120A06"/>
    <w:rsid w:val="00120A46"/>
    <w:rsid w:val="00120C20"/>
    <w:rsid w:val="00120D01"/>
    <w:rsid w:val="00121373"/>
    <w:rsid w:val="001213CA"/>
    <w:rsid w:val="001214C0"/>
    <w:rsid w:val="00121534"/>
    <w:rsid w:val="0012188D"/>
    <w:rsid w:val="001218EB"/>
    <w:rsid w:val="001219BB"/>
    <w:rsid w:val="001219DD"/>
    <w:rsid w:val="00121AB1"/>
    <w:rsid w:val="00121C01"/>
    <w:rsid w:val="00121C5E"/>
    <w:rsid w:val="00121C7C"/>
    <w:rsid w:val="00121D5A"/>
    <w:rsid w:val="00121D7A"/>
    <w:rsid w:val="00121E81"/>
    <w:rsid w:val="00121EC3"/>
    <w:rsid w:val="00122373"/>
    <w:rsid w:val="001225BE"/>
    <w:rsid w:val="001226A4"/>
    <w:rsid w:val="001227F3"/>
    <w:rsid w:val="00122921"/>
    <w:rsid w:val="001229E6"/>
    <w:rsid w:val="00122B8C"/>
    <w:rsid w:val="00122C0A"/>
    <w:rsid w:val="00122C8D"/>
    <w:rsid w:val="00122F5D"/>
    <w:rsid w:val="00123030"/>
    <w:rsid w:val="001233DF"/>
    <w:rsid w:val="00123465"/>
    <w:rsid w:val="001238A7"/>
    <w:rsid w:val="001238BA"/>
    <w:rsid w:val="001238CA"/>
    <w:rsid w:val="001238DB"/>
    <w:rsid w:val="001238EB"/>
    <w:rsid w:val="00123924"/>
    <w:rsid w:val="001239F1"/>
    <w:rsid w:val="00123B21"/>
    <w:rsid w:val="00123CB9"/>
    <w:rsid w:val="00123DDB"/>
    <w:rsid w:val="00124111"/>
    <w:rsid w:val="0012412A"/>
    <w:rsid w:val="00124683"/>
    <w:rsid w:val="001246FE"/>
    <w:rsid w:val="00124726"/>
    <w:rsid w:val="00124739"/>
    <w:rsid w:val="001249E1"/>
    <w:rsid w:val="00124A22"/>
    <w:rsid w:val="00124BF1"/>
    <w:rsid w:val="00124D07"/>
    <w:rsid w:val="00125102"/>
    <w:rsid w:val="0012518F"/>
    <w:rsid w:val="001251A9"/>
    <w:rsid w:val="001251B1"/>
    <w:rsid w:val="00125595"/>
    <w:rsid w:val="001255A0"/>
    <w:rsid w:val="00125605"/>
    <w:rsid w:val="00125770"/>
    <w:rsid w:val="0012580A"/>
    <w:rsid w:val="00125B64"/>
    <w:rsid w:val="00125BC2"/>
    <w:rsid w:val="00125DC2"/>
    <w:rsid w:val="00125EF0"/>
    <w:rsid w:val="00126030"/>
    <w:rsid w:val="00126066"/>
    <w:rsid w:val="0012638F"/>
    <w:rsid w:val="0012660C"/>
    <w:rsid w:val="0012678D"/>
    <w:rsid w:val="00126863"/>
    <w:rsid w:val="0012689F"/>
    <w:rsid w:val="00126BD5"/>
    <w:rsid w:val="00126D59"/>
    <w:rsid w:val="00126DE1"/>
    <w:rsid w:val="00126EFF"/>
    <w:rsid w:val="00127037"/>
    <w:rsid w:val="001270FF"/>
    <w:rsid w:val="0012731F"/>
    <w:rsid w:val="001273D0"/>
    <w:rsid w:val="001274B0"/>
    <w:rsid w:val="00127799"/>
    <w:rsid w:val="00127968"/>
    <w:rsid w:val="00127A8B"/>
    <w:rsid w:val="00127B4F"/>
    <w:rsid w:val="00127E5D"/>
    <w:rsid w:val="00127F13"/>
    <w:rsid w:val="001300FA"/>
    <w:rsid w:val="00130106"/>
    <w:rsid w:val="00130161"/>
    <w:rsid w:val="00130189"/>
    <w:rsid w:val="001301BA"/>
    <w:rsid w:val="0013021B"/>
    <w:rsid w:val="0013021C"/>
    <w:rsid w:val="00130267"/>
    <w:rsid w:val="00130273"/>
    <w:rsid w:val="001308F0"/>
    <w:rsid w:val="0013093B"/>
    <w:rsid w:val="001309DE"/>
    <w:rsid w:val="00130BC5"/>
    <w:rsid w:val="00130C75"/>
    <w:rsid w:val="00130DE4"/>
    <w:rsid w:val="00130ECC"/>
    <w:rsid w:val="00130F38"/>
    <w:rsid w:val="00131048"/>
    <w:rsid w:val="0013105E"/>
    <w:rsid w:val="001310A2"/>
    <w:rsid w:val="001310E0"/>
    <w:rsid w:val="0013110A"/>
    <w:rsid w:val="0013113A"/>
    <w:rsid w:val="00131169"/>
    <w:rsid w:val="001311D9"/>
    <w:rsid w:val="00131236"/>
    <w:rsid w:val="00131439"/>
    <w:rsid w:val="0013145B"/>
    <w:rsid w:val="001315A9"/>
    <w:rsid w:val="001317FD"/>
    <w:rsid w:val="00131A60"/>
    <w:rsid w:val="00131B4A"/>
    <w:rsid w:val="00131C67"/>
    <w:rsid w:val="00131CF1"/>
    <w:rsid w:val="00131D40"/>
    <w:rsid w:val="00131DA0"/>
    <w:rsid w:val="00131EC1"/>
    <w:rsid w:val="001321AA"/>
    <w:rsid w:val="001321E2"/>
    <w:rsid w:val="001324A8"/>
    <w:rsid w:val="00132544"/>
    <w:rsid w:val="00132611"/>
    <w:rsid w:val="00132BDE"/>
    <w:rsid w:val="00132C68"/>
    <w:rsid w:val="00132D2D"/>
    <w:rsid w:val="00132DA9"/>
    <w:rsid w:val="00132E1A"/>
    <w:rsid w:val="00132E68"/>
    <w:rsid w:val="00133182"/>
    <w:rsid w:val="001332FF"/>
    <w:rsid w:val="00133348"/>
    <w:rsid w:val="001333C6"/>
    <w:rsid w:val="0013349B"/>
    <w:rsid w:val="00133581"/>
    <w:rsid w:val="00133756"/>
    <w:rsid w:val="00133ACC"/>
    <w:rsid w:val="00133C53"/>
    <w:rsid w:val="00133C62"/>
    <w:rsid w:val="00133EB0"/>
    <w:rsid w:val="00134158"/>
    <w:rsid w:val="001341D8"/>
    <w:rsid w:val="00134367"/>
    <w:rsid w:val="001344F6"/>
    <w:rsid w:val="00134559"/>
    <w:rsid w:val="001346BA"/>
    <w:rsid w:val="001348F4"/>
    <w:rsid w:val="00134979"/>
    <w:rsid w:val="00134983"/>
    <w:rsid w:val="00134A06"/>
    <w:rsid w:val="00134AB3"/>
    <w:rsid w:val="00134E4D"/>
    <w:rsid w:val="00135320"/>
    <w:rsid w:val="001354CA"/>
    <w:rsid w:val="001355D0"/>
    <w:rsid w:val="001358C0"/>
    <w:rsid w:val="00135924"/>
    <w:rsid w:val="0013592A"/>
    <w:rsid w:val="00135982"/>
    <w:rsid w:val="00135BD5"/>
    <w:rsid w:val="00135C67"/>
    <w:rsid w:val="00135CA2"/>
    <w:rsid w:val="00135D11"/>
    <w:rsid w:val="00135D13"/>
    <w:rsid w:val="001361A6"/>
    <w:rsid w:val="0013625B"/>
    <w:rsid w:val="00136297"/>
    <w:rsid w:val="001363A7"/>
    <w:rsid w:val="001363B7"/>
    <w:rsid w:val="001364CB"/>
    <w:rsid w:val="001365A9"/>
    <w:rsid w:val="001365FE"/>
    <w:rsid w:val="00136633"/>
    <w:rsid w:val="00136741"/>
    <w:rsid w:val="00136834"/>
    <w:rsid w:val="001368E2"/>
    <w:rsid w:val="00136A01"/>
    <w:rsid w:val="00136AEC"/>
    <w:rsid w:val="00136B2A"/>
    <w:rsid w:val="00136C35"/>
    <w:rsid w:val="00136D9D"/>
    <w:rsid w:val="00136DF3"/>
    <w:rsid w:val="00136F08"/>
    <w:rsid w:val="00136F37"/>
    <w:rsid w:val="001370EC"/>
    <w:rsid w:val="001373EC"/>
    <w:rsid w:val="0013758D"/>
    <w:rsid w:val="00137671"/>
    <w:rsid w:val="00137A44"/>
    <w:rsid w:val="00137AB6"/>
    <w:rsid w:val="00137BF0"/>
    <w:rsid w:val="00137D87"/>
    <w:rsid w:val="00140081"/>
    <w:rsid w:val="001401D2"/>
    <w:rsid w:val="001401E8"/>
    <w:rsid w:val="00140335"/>
    <w:rsid w:val="00140473"/>
    <w:rsid w:val="0014061C"/>
    <w:rsid w:val="0014067B"/>
    <w:rsid w:val="00140D0F"/>
    <w:rsid w:val="00140DFE"/>
    <w:rsid w:val="00140E59"/>
    <w:rsid w:val="00140F31"/>
    <w:rsid w:val="00140FE5"/>
    <w:rsid w:val="00141004"/>
    <w:rsid w:val="0014104E"/>
    <w:rsid w:val="001410E6"/>
    <w:rsid w:val="001411C5"/>
    <w:rsid w:val="00141227"/>
    <w:rsid w:val="0014148B"/>
    <w:rsid w:val="00141893"/>
    <w:rsid w:val="00141A77"/>
    <w:rsid w:val="00141C64"/>
    <w:rsid w:val="00141C67"/>
    <w:rsid w:val="00141C89"/>
    <w:rsid w:val="00141DCC"/>
    <w:rsid w:val="00141DF2"/>
    <w:rsid w:val="00141EDF"/>
    <w:rsid w:val="00141F88"/>
    <w:rsid w:val="00141FDF"/>
    <w:rsid w:val="00142215"/>
    <w:rsid w:val="00142219"/>
    <w:rsid w:val="001423B0"/>
    <w:rsid w:val="001423D4"/>
    <w:rsid w:val="00142477"/>
    <w:rsid w:val="001425C6"/>
    <w:rsid w:val="00142809"/>
    <w:rsid w:val="00142819"/>
    <w:rsid w:val="0014285E"/>
    <w:rsid w:val="00142932"/>
    <w:rsid w:val="00142A4B"/>
    <w:rsid w:val="00142F53"/>
    <w:rsid w:val="00142FF2"/>
    <w:rsid w:val="001434CF"/>
    <w:rsid w:val="00143599"/>
    <w:rsid w:val="001435FB"/>
    <w:rsid w:val="0014363F"/>
    <w:rsid w:val="0014378C"/>
    <w:rsid w:val="00143ABC"/>
    <w:rsid w:val="00143AC8"/>
    <w:rsid w:val="00143AD9"/>
    <w:rsid w:val="00143D66"/>
    <w:rsid w:val="00143EFC"/>
    <w:rsid w:val="00143F8C"/>
    <w:rsid w:val="00144063"/>
    <w:rsid w:val="00144086"/>
    <w:rsid w:val="001442F6"/>
    <w:rsid w:val="00144457"/>
    <w:rsid w:val="00144465"/>
    <w:rsid w:val="001444DE"/>
    <w:rsid w:val="00144571"/>
    <w:rsid w:val="001446AF"/>
    <w:rsid w:val="00144808"/>
    <w:rsid w:val="00144B23"/>
    <w:rsid w:val="00144CB7"/>
    <w:rsid w:val="00144F6C"/>
    <w:rsid w:val="00144FA3"/>
    <w:rsid w:val="0014504B"/>
    <w:rsid w:val="00145141"/>
    <w:rsid w:val="001451FF"/>
    <w:rsid w:val="001452B5"/>
    <w:rsid w:val="001452F4"/>
    <w:rsid w:val="001453FB"/>
    <w:rsid w:val="001454BF"/>
    <w:rsid w:val="001456CE"/>
    <w:rsid w:val="00145800"/>
    <w:rsid w:val="00145821"/>
    <w:rsid w:val="001458F3"/>
    <w:rsid w:val="0014590E"/>
    <w:rsid w:val="00145B77"/>
    <w:rsid w:val="00145BE9"/>
    <w:rsid w:val="00145C53"/>
    <w:rsid w:val="00145E2F"/>
    <w:rsid w:val="00146185"/>
    <w:rsid w:val="00146207"/>
    <w:rsid w:val="0014664E"/>
    <w:rsid w:val="001467C9"/>
    <w:rsid w:val="00146846"/>
    <w:rsid w:val="00146859"/>
    <w:rsid w:val="0014693A"/>
    <w:rsid w:val="00146AC9"/>
    <w:rsid w:val="00146BE1"/>
    <w:rsid w:val="00146C61"/>
    <w:rsid w:val="00146CF1"/>
    <w:rsid w:val="00146F15"/>
    <w:rsid w:val="00146F8B"/>
    <w:rsid w:val="001471C7"/>
    <w:rsid w:val="00147291"/>
    <w:rsid w:val="00147506"/>
    <w:rsid w:val="00147523"/>
    <w:rsid w:val="0014765E"/>
    <w:rsid w:val="00147696"/>
    <w:rsid w:val="001479CB"/>
    <w:rsid w:val="00147A60"/>
    <w:rsid w:val="00147D15"/>
    <w:rsid w:val="00147F72"/>
    <w:rsid w:val="00147FAB"/>
    <w:rsid w:val="00150146"/>
    <w:rsid w:val="00150242"/>
    <w:rsid w:val="001503A5"/>
    <w:rsid w:val="00150424"/>
    <w:rsid w:val="001507CE"/>
    <w:rsid w:val="001508C1"/>
    <w:rsid w:val="00150CC1"/>
    <w:rsid w:val="00150E54"/>
    <w:rsid w:val="00150FBA"/>
    <w:rsid w:val="001510BB"/>
    <w:rsid w:val="00151443"/>
    <w:rsid w:val="00151766"/>
    <w:rsid w:val="00151852"/>
    <w:rsid w:val="00151948"/>
    <w:rsid w:val="00151988"/>
    <w:rsid w:val="00151A81"/>
    <w:rsid w:val="00151AEF"/>
    <w:rsid w:val="00151B8D"/>
    <w:rsid w:val="00151C41"/>
    <w:rsid w:val="00151CDA"/>
    <w:rsid w:val="00151DA6"/>
    <w:rsid w:val="00151EF7"/>
    <w:rsid w:val="00151FA6"/>
    <w:rsid w:val="00152223"/>
    <w:rsid w:val="0015226F"/>
    <w:rsid w:val="001523FA"/>
    <w:rsid w:val="001524C2"/>
    <w:rsid w:val="00152624"/>
    <w:rsid w:val="001526AA"/>
    <w:rsid w:val="001528C8"/>
    <w:rsid w:val="00152A5D"/>
    <w:rsid w:val="00152C36"/>
    <w:rsid w:val="00152DA4"/>
    <w:rsid w:val="00152E1D"/>
    <w:rsid w:val="00152F1C"/>
    <w:rsid w:val="00152FDB"/>
    <w:rsid w:val="00153179"/>
    <w:rsid w:val="0015334F"/>
    <w:rsid w:val="00153374"/>
    <w:rsid w:val="00153723"/>
    <w:rsid w:val="00153893"/>
    <w:rsid w:val="00153E54"/>
    <w:rsid w:val="00153E83"/>
    <w:rsid w:val="00153F07"/>
    <w:rsid w:val="00154152"/>
    <w:rsid w:val="00154163"/>
    <w:rsid w:val="001542F2"/>
    <w:rsid w:val="00154683"/>
    <w:rsid w:val="00154900"/>
    <w:rsid w:val="00154A32"/>
    <w:rsid w:val="00154A8A"/>
    <w:rsid w:val="00154AC7"/>
    <w:rsid w:val="00154ADF"/>
    <w:rsid w:val="00154BA0"/>
    <w:rsid w:val="00154F36"/>
    <w:rsid w:val="00155054"/>
    <w:rsid w:val="0015509A"/>
    <w:rsid w:val="001553D1"/>
    <w:rsid w:val="001553FC"/>
    <w:rsid w:val="00155414"/>
    <w:rsid w:val="0015544D"/>
    <w:rsid w:val="001554FF"/>
    <w:rsid w:val="00155536"/>
    <w:rsid w:val="0015566C"/>
    <w:rsid w:val="001556E1"/>
    <w:rsid w:val="0015576F"/>
    <w:rsid w:val="00155779"/>
    <w:rsid w:val="001558B5"/>
    <w:rsid w:val="00155CBA"/>
    <w:rsid w:val="00155CDC"/>
    <w:rsid w:val="00155D45"/>
    <w:rsid w:val="00155DBE"/>
    <w:rsid w:val="00155DF5"/>
    <w:rsid w:val="00155E06"/>
    <w:rsid w:val="00155FB9"/>
    <w:rsid w:val="00156031"/>
    <w:rsid w:val="001560B2"/>
    <w:rsid w:val="001561D4"/>
    <w:rsid w:val="001561DD"/>
    <w:rsid w:val="00156345"/>
    <w:rsid w:val="001563BA"/>
    <w:rsid w:val="0015678F"/>
    <w:rsid w:val="001568C0"/>
    <w:rsid w:val="001568D8"/>
    <w:rsid w:val="00156939"/>
    <w:rsid w:val="00156ADD"/>
    <w:rsid w:val="00156E26"/>
    <w:rsid w:val="00156E67"/>
    <w:rsid w:val="00157140"/>
    <w:rsid w:val="00157163"/>
    <w:rsid w:val="001571B6"/>
    <w:rsid w:val="001573A6"/>
    <w:rsid w:val="00157424"/>
    <w:rsid w:val="001574F0"/>
    <w:rsid w:val="0015756D"/>
    <w:rsid w:val="0015765C"/>
    <w:rsid w:val="001577A6"/>
    <w:rsid w:val="001577F1"/>
    <w:rsid w:val="00157994"/>
    <w:rsid w:val="00157AE5"/>
    <w:rsid w:val="00157BAF"/>
    <w:rsid w:val="00157C63"/>
    <w:rsid w:val="00157EE1"/>
    <w:rsid w:val="00157F1D"/>
    <w:rsid w:val="00160166"/>
    <w:rsid w:val="00160184"/>
    <w:rsid w:val="00160372"/>
    <w:rsid w:val="0016037A"/>
    <w:rsid w:val="00160458"/>
    <w:rsid w:val="001604E4"/>
    <w:rsid w:val="00160506"/>
    <w:rsid w:val="00160540"/>
    <w:rsid w:val="00160624"/>
    <w:rsid w:val="00160935"/>
    <w:rsid w:val="00160B0C"/>
    <w:rsid w:val="00160BE8"/>
    <w:rsid w:val="00160C58"/>
    <w:rsid w:val="00160D0A"/>
    <w:rsid w:val="00160E5E"/>
    <w:rsid w:val="00160FF3"/>
    <w:rsid w:val="0016109C"/>
    <w:rsid w:val="0016133E"/>
    <w:rsid w:val="001614F4"/>
    <w:rsid w:val="00161504"/>
    <w:rsid w:val="001615E2"/>
    <w:rsid w:val="001618AA"/>
    <w:rsid w:val="00161A54"/>
    <w:rsid w:val="00161B7F"/>
    <w:rsid w:val="00161DB4"/>
    <w:rsid w:val="00161FD3"/>
    <w:rsid w:val="001620FB"/>
    <w:rsid w:val="00162133"/>
    <w:rsid w:val="001622DA"/>
    <w:rsid w:val="001623C4"/>
    <w:rsid w:val="00162462"/>
    <w:rsid w:val="001624EE"/>
    <w:rsid w:val="00162763"/>
    <w:rsid w:val="001627DE"/>
    <w:rsid w:val="001628B7"/>
    <w:rsid w:val="00162D50"/>
    <w:rsid w:val="00162E13"/>
    <w:rsid w:val="00162E79"/>
    <w:rsid w:val="00162F3E"/>
    <w:rsid w:val="00163055"/>
    <w:rsid w:val="00163394"/>
    <w:rsid w:val="001633C2"/>
    <w:rsid w:val="00163870"/>
    <w:rsid w:val="00163BCE"/>
    <w:rsid w:val="00163D92"/>
    <w:rsid w:val="00163FC0"/>
    <w:rsid w:val="001641C2"/>
    <w:rsid w:val="001642E7"/>
    <w:rsid w:val="0016434D"/>
    <w:rsid w:val="001643FB"/>
    <w:rsid w:val="00164414"/>
    <w:rsid w:val="00164447"/>
    <w:rsid w:val="0016450D"/>
    <w:rsid w:val="00164882"/>
    <w:rsid w:val="0016490C"/>
    <w:rsid w:val="0016495D"/>
    <w:rsid w:val="001649D2"/>
    <w:rsid w:val="00164D8C"/>
    <w:rsid w:val="00164EA4"/>
    <w:rsid w:val="00164F8A"/>
    <w:rsid w:val="00165082"/>
    <w:rsid w:val="0016509F"/>
    <w:rsid w:val="0016512B"/>
    <w:rsid w:val="0016519A"/>
    <w:rsid w:val="0016528D"/>
    <w:rsid w:val="001652EB"/>
    <w:rsid w:val="0016545A"/>
    <w:rsid w:val="001655C7"/>
    <w:rsid w:val="00165631"/>
    <w:rsid w:val="00165708"/>
    <w:rsid w:val="0016576C"/>
    <w:rsid w:val="001659FA"/>
    <w:rsid w:val="00165B9A"/>
    <w:rsid w:val="00165BC7"/>
    <w:rsid w:val="00165CC5"/>
    <w:rsid w:val="00165E02"/>
    <w:rsid w:val="00165E70"/>
    <w:rsid w:val="00165EC5"/>
    <w:rsid w:val="0016602F"/>
    <w:rsid w:val="00166107"/>
    <w:rsid w:val="00166194"/>
    <w:rsid w:val="00166271"/>
    <w:rsid w:val="0016632B"/>
    <w:rsid w:val="00166810"/>
    <w:rsid w:val="00166864"/>
    <w:rsid w:val="001668ED"/>
    <w:rsid w:val="00166CAE"/>
    <w:rsid w:val="00166DAD"/>
    <w:rsid w:val="00166EBE"/>
    <w:rsid w:val="001670A4"/>
    <w:rsid w:val="001670D2"/>
    <w:rsid w:val="00167155"/>
    <w:rsid w:val="00167580"/>
    <w:rsid w:val="001675FF"/>
    <w:rsid w:val="00167F41"/>
    <w:rsid w:val="0017002F"/>
    <w:rsid w:val="001700FF"/>
    <w:rsid w:val="00170348"/>
    <w:rsid w:val="001703B1"/>
    <w:rsid w:val="00170489"/>
    <w:rsid w:val="00170570"/>
    <w:rsid w:val="001705CD"/>
    <w:rsid w:val="00170B61"/>
    <w:rsid w:val="00170BAD"/>
    <w:rsid w:val="00170C45"/>
    <w:rsid w:val="00170E11"/>
    <w:rsid w:val="00170E41"/>
    <w:rsid w:val="00170F73"/>
    <w:rsid w:val="001712CC"/>
    <w:rsid w:val="00171344"/>
    <w:rsid w:val="001714E6"/>
    <w:rsid w:val="0017157E"/>
    <w:rsid w:val="00171831"/>
    <w:rsid w:val="001718D9"/>
    <w:rsid w:val="00171A26"/>
    <w:rsid w:val="00171C3A"/>
    <w:rsid w:val="00171C6D"/>
    <w:rsid w:val="00171CB6"/>
    <w:rsid w:val="00171DBE"/>
    <w:rsid w:val="00171FBA"/>
    <w:rsid w:val="00172284"/>
    <w:rsid w:val="0017229D"/>
    <w:rsid w:val="0017232A"/>
    <w:rsid w:val="0017238B"/>
    <w:rsid w:val="0017241D"/>
    <w:rsid w:val="001724E4"/>
    <w:rsid w:val="00172564"/>
    <w:rsid w:val="00172579"/>
    <w:rsid w:val="0017297F"/>
    <w:rsid w:val="00172A27"/>
    <w:rsid w:val="00172A75"/>
    <w:rsid w:val="00172AD8"/>
    <w:rsid w:val="00172B4C"/>
    <w:rsid w:val="00172D17"/>
    <w:rsid w:val="00172E61"/>
    <w:rsid w:val="0017301F"/>
    <w:rsid w:val="00173101"/>
    <w:rsid w:val="001731FE"/>
    <w:rsid w:val="00173307"/>
    <w:rsid w:val="001736C7"/>
    <w:rsid w:val="00173826"/>
    <w:rsid w:val="00173934"/>
    <w:rsid w:val="00173996"/>
    <w:rsid w:val="001739E7"/>
    <w:rsid w:val="00173A91"/>
    <w:rsid w:val="00173B35"/>
    <w:rsid w:val="00173CD3"/>
    <w:rsid w:val="00173EE0"/>
    <w:rsid w:val="00174180"/>
    <w:rsid w:val="0017433C"/>
    <w:rsid w:val="0017433E"/>
    <w:rsid w:val="001744C8"/>
    <w:rsid w:val="001747CE"/>
    <w:rsid w:val="00174817"/>
    <w:rsid w:val="00174A6D"/>
    <w:rsid w:val="00174BE7"/>
    <w:rsid w:val="00174DB2"/>
    <w:rsid w:val="00174E9F"/>
    <w:rsid w:val="00174FB3"/>
    <w:rsid w:val="00175315"/>
    <w:rsid w:val="00175358"/>
    <w:rsid w:val="00175531"/>
    <w:rsid w:val="001755F7"/>
    <w:rsid w:val="0017570F"/>
    <w:rsid w:val="001758F2"/>
    <w:rsid w:val="0017590A"/>
    <w:rsid w:val="00175965"/>
    <w:rsid w:val="00175ABD"/>
    <w:rsid w:val="00175C8D"/>
    <w:rsid w:val="00175EFB"/>
    <w:rsid w:val="00175F1E"/>
    <w:rsid w:val="00175F34"/>
    <w:rsid w:val="00175FD4"/>
    <w:rsid w:val="001760CF"/>
    <w:rsid w:val="00176206"/>
    <w:rsid w:val="00176274"/>
    <w:rsid w:val="001762E5"/>
    <w:rsid w:val="001762EE"/>
    <w:rsid w:val="0017652E"/>
    <w:rsid w:val="00176567"/>
    <w:rsid w:val="00176572"/>
    <w:rsid w:val="001765FD"/>
    <w:rsid w:val="00176614"/>
    <w:rsid w:val="001769D8"/>
    <w:rsid w:val="00176CE8"/>
    <w:rsid w:val="00176DDC"/>
    <w:rsid w:val="00177182"/>
    <w:rsid w:val="00177240"/>
    <w:rsid w:val="00177266"/>
    <w:rsid w:val="00177373"/>
    <w:rsid w:val="0017748A"/>
    <w:rsid w:val="001775D3"/>
    <w:rsid w:val="0017763B"/>
    <w:rsid w:val="0017766B"/>
    <w:rsid w:val="001778AF"/>
    <w:rsid w:val="001778B5"/>
    <w:rsid w:val="00177C5D"/>
    <w:rsid w:val="00177D58"/>
    <w:rsid w:val="00177F25"/>
    <w:rsid w:val="001802A6"/>
    <w:rsid w:val="001803A6"/>
    <w:rsid w:val="001805A6"/>
    <w:rsid w:val="001807C3"/>
    <w:rsid w:val="0018095E"/>
    <w:rsid w:val="001809CA"/>
    <w:rsid w:val="00180CD9"/>
    <w:rsid w:val="00180CE3"/>
    <w:rsid w:val="00180D60"/>
    <w:rsid w:val="00180E9B"/>
    <w:rsid w:val="00180F14"/>
    <w:rsid w:val="00180F39"/>
    <w:rsid w:val="00180F97"/>
    <w:rsid w:val="00181248"/>
    <w:rsid w:val="00181349"/>
    <w:rsid w:val="00181592"/>
    <w:rsid w:val="00181651"/>
    <w:rsid w:val="0018174C"/>
    <w:rsid w:val="00181889"/>
    <w:rsid w:val="00181929"/>
    <w:rsid w:val="00181A8F"/>
    <w:rsid w:val="00181AA7"/>
    <w:rsid w:val="00181BBA"/>
    <w:rsid w:val="00181F51"/>
    <w:rsid w:val="00181F58"/>
    <w:rsid w:val="00181FF4"/>
    <w:rsid w:val="0018218D"/>
    <w:rsid w:val="001821B9"/>
    <w:rsid w:val="001823B4"/>
    <w:rsid w:val="00182408"/>
    <w:rsid w:val="00182583"/>
    <w:rsid w:val="00182615"/>
    <w:rsid w:val="0018291A"/>
    <w:rsid w:val="00182992"/>
    <w:rsid w:val="00182A5A"/>
    <w:rsid w:val="00182B18"/>
    <w:rsid w:val="00182B36"/>
    <w:rsid w:val="00182BD4"/>
    <w:rsid w:val="00182C42"/>
    <w:rsid w:val="00182E0C"/>
    <w:rsid w:val="00182E1E"/>
    <w:rsid w:val="0018311D"/>
    <w:rsid w:val="00183247"/>
    <w:rsid w:val="00183342"/>
    <w:rsid w:val="001833DA"/>
    <w:rsid w:val="0018367F"/>
    <w:rsid w:val="00183691"/>
    <w:rsid w:val="00183786"/>
    <w:rsid w:val="001837C0"/>
    <w:rsid w:val="0018386F"/>
    <w:rsid w:val="001839B4"/>
    <w:rsid w:val="001839D7"/>
    <w:rsid w:val="00183A7C"/>
    <w:rsid w:val="00183C84"/>
    <w:rsid w:val="0018405F"/>
    <w:rsid w:val="001840EC"/>
    <w:rsid w:val="00184237"/>
    <w:rsid w:val="00184408"/>
    <w:rsid w:val="00184556"/>
    <w:rsid w:val="001848D7"/>
    <w:rsid w:val="00184ACA"/>
    <w:rsid w:val="00184AEF"/>
    <w:rsid w:val="00184B40"/>
    <w:rsid w:val="00184BA2"/>
    <w:rsid w:val="00184BC6"/>
    <w:rsid w:val="00184BCD"/>
    <w:rsid w:val="00184BF9"/>
    <w:rsid w:val="00184D3E"/>
    <w:rsid w:val="00184D80"/>
    <w:rsid w:val="00184DC9"/>
    <w:rsid w:val="00184F3E"/>
    <w:rsid w:val="0018504D"/>
    <w:rsid w:val="0018506D"/>
    <w:rsid w:val="0018516F"/>
    <w:rsid w:val="00185217"/>
    <w:rsid w:val="001852FF"/>
    <w:rsid w:val="0018546A"/>
    <w:rsid w:val="001854D8"/>
    <w:rsid w:val="001855D6"/>
    <w:rsid w:val="001857B2"/>
    <w:rsid w:val="001858F1"/>
    <w:rsid w:val="001858F7"/>
    <w:rsid w:val="00185993"/>
    <w:rsid w:val="00185AA4"/>
    <w:rsid w:val="00185C4E"/>
    <w:rsid w:val="00185DA2"/>
    <w:rsid w:val="00185DA6"/>
    <w:rsid w:val="00185E05"/>
    <w:rsid w:val="0018641D"/>
    <w:rsid w:val="00186460"/>
    <w:rsid w:val="00186648"/>
    <w:rsid w:val="0018671B"/>
    <w:rsid w:val="00186766"/>
    <w:rsid w:val="001868E9"/>
    <w:rsid w:val="0018696C"/>
    <w:rsid w:val="00186A6E"/>
    <w:rsid w:val="00186B14"/>
    <w:rsid w:val="00186B4D"/>
    <w:rsid w:val="00186B52"/>
    <w:rsid w:val="00186BF4"/>
    <w:rsid w:val="00186DBD"/>
    <w:rsid w:val="00186E94"/>
    <w:rsid w:val="00186EDF"/>
    <w:rsid w:val="00186F96"/>
    <w:rsid w:val="00186FA2"/>
    <w:rsid w:val="00187074"/>
    <w:rsid w:val="0018717F"/>
    <w:rsid w:val="0018724C"/>
    <w:rsid w:val="001876E6"/>
    <w:rsid w:val="00187849"/>
    <w:rsid w:val="0018795C"/>
    <w:rsid w:val="00187A5E"/>
    <w:rsid w:val="00187BC7"/>
    <w:rsid w:val="00187C0D"/>
    <w:rsid w:val="00187C71"/>
    <w:rsid w:val="00187D7E"/>
    <w:rsid w:val="00187EBF"/>
    <w:rsid w:val="00190137"/>
    <w:rsid w:val="0019027C"/>
    <w:rsid w:val="00190367"/>
    <w:rsid w:val="001903A9"/>
    <w:rsid w:val="001903F1"/>
    <w:rsid w:val="00190451"/>
    <w:rsid w:val="00190552"/>
    <w:rsid w:val="00190640"/>
    <w:rsid w:val="0019085A"/>
    <w:rsid w:val="0019098B"/>
    <w:rsid w:val="00190ACD"/>
    <w:rsid w:val="00190AE7"/>
    <w:rsid w:val="00190C28"/>
    <w:rsid w:val="00190C61"/>
    <w:rsid w:val="00190CBD"/>
    <w:rsid w:val="00190F54"/>
    <w:rsid w:val="00191311"/>
    <w:rsid w:val="00191388"/>
    <w:rsid w:val="0019147C"/>
    <w:rsid w:val="001917E2"/>
    <w:rsid w:val="001918E5"/>
    <w:rsid w:val="001918F6"/>
    <w:rsid w:val="00191908"/>
    <w:rsid w:val="00191BF6"/>
    <w:rsid w:val="00191CE9"/>
    <w:rsid w:val="00191D95"/>
    <w:rsid w:val="00191D9E"/>
    <w:rsid w:val="00191DEF"/>
    <w:rsid w:val="00192047"/>
    <w:rsid w:val="00192303"/>
    <w:rsid w:val="0019231F"/>
    <w:rsid w:val="00192525"/>
    <w:rsid w:val="0019253C"/>
    <w:rsid w:val="0019265E"/>
    <w:rsid w:val="0019279D"/>
    <w:rsid w:val="0019292E"/>
    <w:rsid w:val="001929B8"/>
    <w:rsid w:val="00192A26"/>
    <w:rsid w:val="00192B14"/>
    <w:rsid w:val="00192B7F"/>
    <w:rsid w:val="00192B9D"/>
    <w:rsid w:val="00192D16"/>
    <w:rsid w:val="00192EE2"/>
    <w:rsid w:val="00192EE5"/>
    <w:rsid w:val="0019306B"/>
    <w:rsid w:val="001930EC"/>
    <w:rsid w:val="00193182"/>
    <w:rsid w:val="0019332D"/>
    <w:rsid w:val="0019364F"/>
    <w:rsid w:val="001937AA"/>
    <w:rsid w:val="001939BD"/>
    <w:rsid w:val="00193A01"/>
    <w:rsid w:val="00193C1C"/>
    <w:rsid w:val="0019406C"/>
    <w:rsid w:val="001940BB"/>
    <w:rsid w:val="00194142"/>
    <w:rsid w:val="0019416A"/>
    <w:rsid w:val="00194171"/>
    <w:rsid w:val="00194333"/>
    <w:rsid w:val="00194421"/>
    <w:rsid w:val="0019443E"/>
    <w:rsid w:val="00194591"/>
    <w:rsid w:val="00194676"/>
    <w:rsid w:val="001948D6"/>
    <w:rsid w:val="00194A07"/>
    <w:rsid w:val="00194B03"/>
    <w:rsid w:val="00194C2F"/>
    <w:rsid w:val="00194C4F"/>
    <w:rsid w:val="00194D9C"/>
    <w:rsid w:val="00194DF8"/>
    <w:rsid w:val="00194E98"/>
    <w:rsid w:val="001950C0"/>
    <w:rsid w:val="0019522A"/>
    <w:rsid w:val="001954DA"/>
    <w:rsid w:val="00195516"/>
    <w:rsid w:val="00195554"/>
    <w:rsid w:val="001957AF"/>
    <w:rsid w:val="001958C2"/>
    <w:rsid w:val="00195917"/>
    <w:rsid w:val="00195922"/>
    <w:rsid w:val="0019598C"/>
    <w:rsid w:val="00195B89"/>
    <w:rsid w:val="00195C75"/>
    <w:rsid w:val="001961ED"/>
    <w:rsid w:val="0019631B"/>
    <w:rsid w:val="00196404"/>
    <w:rsid w:val="0019657C"/>
    <w:rsid w:val="001965E7"/>
    <w:rsid w:val="00196658"/>
    <w:rsid w:val="001967B7"/>
    <w:rsid w:val="0019694A"/>
    <w:rsid w:val="00196961"/>
    <w:rsid w:val="00196AD6"/>
    <w:rsid w:val="00196B0B"/>
    <w:rsid w:val="00196B58"/>
    <w:rsid w:val="00196B9F"/>
    <w:rsid w:val="00196E58"/>
    <w:rsid w:val="00196F33"/>
    <w:rsid w:val="00197174"/>
    <w:rsid w:val="0019725F"/>
    <w:rsid w:val="001972A5"/>
    <w:rsid w:val="00197658"/>
    <w:rsid w:val="00197708"/>
    <w:rsid w:val="00197CFE"/>
    <w:rsid w:val="00197F20"/>
    <w:rsid w:val="001A00BD"/>
    <w:rsid w:val="001A00ED"/>
    <w:rsid w:val="001A019C"/>
    <w:rsid w:val="001A01A5"/>
    <w:rsid w:val="001A01F6"/>
    <w:rsid w:val="001A0208"/>
    <w:rsid w:val="001A0674"/>
    <w:rsid w:val="001A0699"/>
    <w:rsid w:val="001A08BA"/>
    <w:rsid w:val="001A09AC"/>
    <w:rsid w:val="001A09B2"/>
    <w:rsid w:val="001A0AE4"/>
    <w:rsid w:val="001A0D55"/>
    <w:rsid w:val="001A0E59"/>
    <w:rsid w:val="001A0F0D"/>
    <w:rsid w:val="001A0F83"/>
    <w:rsid w:val="001A1079"/>
    <w:rsid w:val="001A113D"/>
    <w:rsid w:val="001A136B"/>
    <w:rsid w:val="001A13D9"/>
    <w:rsid w:val="001A1486"/>
    <w:rsid w:val="001A150E"/>
    <w:rsid w:val="001A15A3"/>
    <w:rsid w:val="001A15C2"/>
    <w:rsid w:val="001A1600"/>
    <w:rsid w:val="001A160B"/>
    <w:rsid w:val="001A16A9"/>
    <w:rsid w:val="001A16F3"/>
    <w:rsid w:val="001A178E"/>
    <w:rsid w:val="001A1A9F"/>
    <w:rsid w:val="001A1D6D"/>
    <w:rsid w:val="001A2037"/>
    <w:rsid w:val="001A204E"/>
    <w:rsid w:val="001A21E3"/>
    <w:rsid w:val="001A2352"/>
    <w:rsid w:val="001A25A2"/>
    <w:rsid w:val="001A25E7"/>
    <w:rsid w:val="001A26B7"/>
    <w:rsid w:val="001A26C8"/>
    <w:rsid w:val="001A2714"/>
    <w:rsid w:val="001A279B"/>
    <w:rsid w:val="001A27A2"/>
    <w:rsid w:val="001A2B4A"/>
    <w:rsid w:val="001A2FA6"/>
    <w:rsid w:val="001A311E"/>
    <w:rsid w:val="001A3189"/>
    <w:rsid w:val="001A31A7"/>
    <w:rsid w:val="001A3274"/>
    <w:rsid w:val="001A3420"/>
    <w:rsid w:val="001A350C"/>
    <w:rsid w:val="001A358C"/>
    <w:rsid w:val="001A3648"/>
    <w:rsid w:val="001A36A8"/>
    <w:rsid w:val="001A36BC"/>
    <w:rsid w:val="001A372F"/>
    <w:rsid w:val="001A3A5E"/>
    <w:rsid w:val="001A3ABE"/>
    <w:rsid w:val="001A3AD6"/>
    <w:rsid w:val="001A3B74"/>
    <w:rsid w:val="001A3B89"/>
    <w:rsid w:val="001A3C8C"/>
    <w:rsid w:val="001A3C9A"/>
    <w:rsid w:val="001A3D9F"/>
    <w:rsid w:val="001A3EE4"/>
    <w:rsid w:val="001A3EE9"/>
    <w:rsid w:val="001A3F2D"/>
    <w:rsid w:val="001A3FD2"/>
    <w:rsid w:val="001A4058"/>
    <w:rsid w:val="001A40B4"/>
    <w:rsid w:val="001A4220"/>
    <w:rsid w:val="001A4546"/>
    <w:rsid w:val="001A4736"/>
    <w:rsid w:val="001A47DC"/>
    <w:rsid w:val="001A482F"/>
    <w:rsid w:val="001A4B74"/>
    <w:rsid w:val="001A4BB8"/>
    <w:rsid w:val="001A4BEF"/>
    <w:rsid w:val="001A4EB4"/>
    <w:rsid w:val="001A4FE0"/>
    <w:rsid w:val="001A50C6"/>
    <w:rsid w:val="001A515C"/>
    <w:rsid w:val="001A51BE"/>
    <w:rsid w:val="001A5206"/>
    <w:rsid w:val="001A5399"/>
    <w:rsid w:val="001A53DA"/>
    <w:rsid w:val="001A5593"/>
    <w:rsid w:val="001A5647"/>
    <w:rsid w:val="001A56CA"/>
    <w:rsid w:val="001A5745"/>
    <w:rsid w:val="001A58B4"/>
    <w:rsid w:val="001A58DD"/>
    <w:rsid w:val="001A5A35"/>
    <w:rsid w:val="001A5BE5"/>
    <w:rsid w:val="001A5C88"/>
    <w:rsid w:val="001A5CDA"/>
    <w:rsid w:val="001A5DC3"/>
    <w:rsid w:val="001A6128"/>
    <w:rsid w:val="001A6196"/>
    <w:rsid w:val="001A61F4"/>
    <w:rsid w:val="001A62FD"/>
    <w:rsid w:val="001A642C"/>
    <w:rsid w:val="001A660E"/>
    <w:rsid w:val="001A66E1"/>
    <w:rsid w:val="001A6950"/>
    <w:rsid w:val="001A6957"/>
    <w:rsid w:val="001A6C61"/>
    <w:rsid w:val="001A6C71"/>
    <w:rsid w:val="001A6C9F"/>
    <w:rsid w:val="001A6CBD"/>
    <w:rsid w:val="001A6D70"/>
    <w:rsid w:val="001A6E8A"/>
    <w:rsid w:val="001A704C"/>
    <w:rsid w:val="001A775D"/>
    <w:rsid w:val="001A7765"/>
    <w:rsid w:val="001A78D9"/>
    <w:rsid w:val="001A7C9C"/>
    <w:rsid w:val="001A7D54"/>
    <w:rsid w:val="001A7DEC"/>
    <w:rsid w:val="001A7E99"/>
    <w:rsid w:val="001A7EA4"/>
    <w:rsid w:val="001A7ED0"/>
    <w:rsid w:val="001A7F36"/>
    <w:rsid w:val="001A7F69"/>
    <w:rsid w:val="001A7F95"/>
    <w:rsid w:val="001A7FA5"/>
    <w:rsid w:val="001B0011"/>
    <w:rsid w:val="001B0234"/>
    <w:rsid w:val="001B033A"/>
    <w:rsid w:val="001B0559"/>
    <w:rsid w:val="001B08FE"/>
    <w:rsid w:val="001B099F"/>
    <w:rsid w:val="001B0A6A"/>
    <w:rsid w:val="001B0ABD"/>
    <w:rsid w:val="001B0B49"/>
    <w:rsid w:val="001B0B87"/>
    <w:rsid w:val="001B0C90"/>
    <w:rsid w:val="001B0D65"/>
    <w:rsid w:val="001B0F35"/>
    <w:rsid w:val="001B1086"/>
    <w:rsid w:val="001B12AA"/>
    <w:rsid w:val="001B12E1"/>
    <w:rsid w:val="001B139F"/>
    <w:rsid w:val="001B14F2"/>
    <w:rsid w:val="001B14FC"/>
    <w:rsid w:val="001B15FD"/>
    <w:rsid w:val="001B1966"/>
    <w:rsid w:val="001B1B08"/>
    <w:rsid w:val="001B1B0E"/>
    <w:rsid w:val="001B1B86"/>
    <w:rsid w:val="001B1D72"/>
    <w:rsid w:val="001B1E2E"/>
    <w:rsid w:val="001B1FEB"/>
    <w:rsid w:val="001B2056"/>
    <w:rsid w:val="001B2195"/>
    <w:rsid w:val="001B21F5"/>
    <w:rsid w:val="001B22A5"/>
    <w:rsid w:val="001B22CF"/>
    <w:rsid w:val="001B254A"/>
    <w:rsid w:val="001B25D7"/>
    <w:rsid w:val="001B275D"/>
    <w:rsid w:val="001B2910"/>
    <w:rsid w:val="001B2920"/>
    <w:rsid w:val="001B2922"/>
    <w:rsid w:val="001B2B0E"/>
    <w:rsid w:val="001B2E20"/>
    <w:rsid w:val="001B2E3A"/>
    <w:rsid w:val="001B2E3B"/>
    <w:rsid w:val="001B2E70"/>
    <w:rsid w:val="001B2FB4"/>
    <w:rsid w:val="001B33B1"/>
    <w:rsid w:val="001B3597"/>
    <w:rsid w:val="001B35E9"/>
    <w:rsid w:val="001B3619"/>
    <w:rsid w:val="001B364F"/>
    <w:rsid w:val="001B36CE"/>
    <w:rsid w:val="001B37AC"/>
    <w:rsid w:val="001B37FF"/>
    <w:rsid w:val="001B3B8A"/>
    <w:rsid w:val="001B3E37"/>
    <w:rsid w:val="001B3E46"/>
    <w:rsid w:val="001B3E70"/>
    <w:rsid w:val="001B3ECD"/>
    <w:rsid w:val="001B3FB4"/>
    <w:rsid w:val="001B437D"/>
    <w:rsid w:val="001B450D"/>
    <w:rsid w:val="001B451F"/>
    <w:rsid w:val="001B4596"/>
    <w:rsid w:val="001B45A2"/>
    <w:rsid w:val="001B46EA"/>
    <w:rsid w:val="001B4923"/>
    <w:rsid w:val="001B497F"/>
    <w:rsid w:val="001B4AC6"/>
    <w:rsid w:val="001B4CBC"/>
    <w:rsid w:val="001B4EE2"/>
    <w:rsid w:val="001B4FDC"/>
    <w:rsid w:val="001B5087"/>
    <w:rsid w:val="001B50B4"/>
    <w:rsid w:val="001B518E"/>
    <w:rsid w:val="001B51C1"/>
    <w:rsid w:val="001B530F"/>
    <w:rsid w:val="001B5315"/>
    <w:rsid w:val="001B5490"/>
    <w:rsid w:val="001B5684"/>
    <w:rsid w:val="001B56A9"/>
    <w:rsid w:val="001B56F3"/>
    <w:rsid w:val="001B583A"/>
    <w:rsid w:val="001B58A9"/>
    <w:rsid w:val="001B593B"/>
    <w:rsid w:val="001B5A1D"/>
    <w:rsid w:val="001B5BD3"/>
    <w:rsid w:val="001B5F62"/>
    <w:rsid w:val="001B602B"/>
    <w:rsid w:val="001B60BE"/>
    <w:rsid w:val="001B613D"/>
    <w:rsid w:val="001B62C4"/>
    <w:rsid w:val="001B6388"/>
    <w:rsid w:val="001B6471"/>
    <w:rsid w:val="001B64FE"/>
    <w:rsid w:val="001B662A"/>
    <w:rsid w:val="001B66A1"/>
    <w:rsid w:val="001B66FF"/>
    <w:rsid w:val="001B68D5"/>
    <w:rsid w:val="001B68F4"/>
    <w:rsid w:val="001B693F"/>
    <w:rsid w:val="001B6A3E"/>
    <w:rsid w:val="001B6E73"/>
    <w:rsid w:val="001B6EF0"/>
    <w:rsid w:val="001B6F08"/>
    <w:rsid w:val="001B6F4C"/>
    <w:rsid w:val="001B7048"/>
    <w:rsid w:val="001B70C4"/>
    <w:rsid w:val="001B715A"/>
    <w:rsid w:val="001B732A"/>
    <w:rsid w:val="001B740B"/>
    <w:rsid w:val="001B7568"/>
    <w:rsid w:val="001B7583"/>
    <w:rsid w:val="001B7662"/>
    <w:rsid w:val="001B76AF"/>
    <w:rsid w:val="001B7737"/>
    <w:rsid w:val="001B777C"/>
    <w:rsid w:val="001B781D"/>
    <w:rsid w:val="001B785F"/>
    <w:rsid w:val="001B799E"/>
    <w:rsid w:val="001B7AA8"/>
    <w:rsid w:val="001B7DA2"/>
    <w:rsid w:val="001B7E08"/>
    <w:rsid w:val="001B7ECB"/>
    <w:rsid w:val="001C000C"/>
    <w:rsid w:val="001C0124"/>
    <w:rsid w:val="001C029F"/>
    <w:rsid w:val="001C049A"/>
    <w:rsid w:val="001C05C9"/>
    <w:rsid w:val="001C062F"/>
    <w:rsid w:val="001C08AC"/>
    <w:rsid w:val="001C0A48"/>
    <w:rsid w:val="001C0AB1"/>
    <w:rsid w:val="001C0ABF"/>
    <w:rsid w:val="001C0B67"/>
    <w:rsid w:val="001C0B80"/>
    <w:rsid w:val="001C0B9B"/>
    <w:rsid w:val="001C0DBA"/>
    <w:rsid w:val="001C0F43"/>
    <w:rsid w:val="001C0F69"/>
    <w:rsid w:val="001C1052"/>
    <w:rsid w:val="001C1226"/>
    <w:rsid w:val="001C12F6"/>
    <w:rsid w:val="001C13A8"/>
    <w:rsid w:val="001C141B"/>
    <w:rsid w:val="001C15B9"/>
    <w:rsid w:val="001C162B"/>
    <w:rsid w:val="001C1811"/>
    <w:rsid w:val="001C1845"/>
    <w:rsid w:val="001C1962"/>
    <w:rsid w:val="001C1AF0"/>
    <w:rsid w:val="001C1AFB"/>
    <w:rsid w:val="001C1CDB"/>
    <w:rsid w:val="001C1D6E"/>
    <w:rsid w:val="001C1E0E"/>
    <w:rsid w:val="001C201E"/>
    <w:rsid w:val="001C20C3"/>
    <w:rsid w:val="001C24C3"/>
    <w:rsid w:val="001C24F2"/>
    <w:rsid w:val="001C26EF"/>
    <w:rsid w:val="001C28AD"/>
    <w:rsid w:val="001C2A39"/>
    <w:rsid w:val="001C2B9E"/>
    <w:rsid w:val="001C2EDD"/>
    <w:rsid w:val="001C3237"/>
    <w:rsid w:val="001C34E4"/>
    <w:rsid w:val="001C3703"/>
    <w:rsid w:val="001C372C"/>
    <w:rsid w:val="001C3B18"/>
    <w:rsid w:val="001C3B40"/>
    <w:rsid w:val="001C3C18"/>
    <w:rsid w:val="001C3DEE"/>
    <w:rsid w:val="001C3E56"/>
    <w:rsid w:val="001C3E86"/>
    <w:rsid w:val="001C3FDF"/>
    <w:rsid w:val="001C4083"/>
    <w:rsid w:val="001C4232"/>
    <w:rsid w:val="001C4263"/>
    <w:rsid w:val="001C433C"/>
    <w:rsid w:val="001C46D4"/>
    <w:rsid w:val="001C48A0"/>
    <w:rsid w:val="001C4958"/>
    <w:rsid w:val="001C49EF"/>
    <w:rsid w:val="001C49F4"/>
    <w:rsid w:val="001C4A3F"/>
    <w:rsid w:val="001C4A92"/>
    <w:rsid w:val="001C4B79"/>
    <w:rsid w:val="001C4CBA"/>
    <w:rsid w:val="001C4FED"/>
    <w:rsid w:val="001C5394"/>
    <w:rsid w:val="001C53F0"/>
    <w:rsid w:val="001C5629"/>
    <w:rsid w:val="001C563A"/>
    <w:rsid w:val="001C57D2"/>
    <w:rsid w:val="001C5953"/>
    <w:rsid w:val="001C59A0"/>
    <w:rsid w:val="001C59E5"/>
    <w:rsid w:val="001C5C11"/>
    <w:rsid w:val="001C5D61"/>
    <w:rsid w:val="001C5E06"/>
    <w:rsid w:val="001C5E4A"/>
    <w:rsid w:val="001C5FD9"/>
    <w:rsid w:val="001C6238"/>
    <w:rsid w:val="001C64A1"/>
    <w:rsid w:val="001C65C6"/>
    <w:rsid w:val="001C6680"/>
    <w:rsid w:val="001C66F4"/>
    <w:rsid w:val="001C670C"/>
    <w:rsid w:val="001C6989"/>
    <w:rsid w:val="001C6CE7"/>
    <w:rsid w:val="001C6F25"/>
    <w:rsid w:val="001C6FC5"/>
    <w:rsid w:val="001C7037"/>
    <w:rsid w:val="001C7197"/>
    <w:rsid w:val="001C7213"/>
    <w:rsid w:val="001C7343"/>
    <w:rsid w:val="001C761B"/>
    <w:rsid w:val="001C769A"/>
    <w:rsid w:val="001C786E"/>
    <w:rsid w:val="001C7F58"/>
    <w:rsid w:val="001C7F8C"/>
    <w:rsid w:val="001D0045"/>
    <w:rsid w:val="001D023F"/>
    <w:rsid w:val="001D0430"/>
    <w:rsid w:val="001D0483"/>
    <w:rsid w:val="001D0520"/>
    <w:rsid w:val="001D0984"/>
    <w:rsid w:val="001D09AB"/>
    <w:rsid w:val="001D0A23"/>
    <w:rsid w:val="001D0EAD"/>
    <w:rsid w:val="001D0ECB"/>
    <w:rsid w:val="001D1272"/>
    <w:rsid w:val="001D12F2"/>
    <w:rsid w:val="001D1327"/>
    <w:rsid w:val="001D1375"/>
    <w:rsid w:val="001D143F"/>
    <w:rsid w:val="001D158B"/>
    <w:rsid w:val="001D159F"/>
    <w:rsid w:val="001D15C3"/>
    <w:rsid w:val="001D15F4"/>
    <w:rsid w:val="001D1681"/>
    <w:rsid w:val="001D1698"/>
    <w:rsid w:val="001D1740"/>
    <w:rsid w:val="001D17D8"/>
    <w:rsid w:val="001D1A35"/>
    <w:rsid w:val="001D1A84"/>
    <w:rsid w:val="001D1C6A"/>
    <w:rsid w:val="001D1D74"/>
    <w:rsid w:val="001D1FE6"/>
    <w:rsid w:val="001D210A"/>
    <w:rsid w:val="001D213C"/>
    <w:rsid w:val="001D2233"/>
    <w:rsid w:val="001D227F"/>
    <w:rsid w:val="001D232A"/>
    <w:rsid w:val="001D23F3"/>
    <w:rsid w:val="001D246B"/>
    <w:rsid w:val="001D2616"/>
    <w:rsid w:val="001D2632"/>
    <w:rsid w:val="001D2814"/>
    <w:rsid w:val="001D2AD7"/>
    <w:rsid w:val="001D2BF6"/>
    <w:rsid w:val="001D2D2A"/>
    <w:rsid w:val="001D2D4F"/>
    <w:rsid w:val="001D2DBF"/>
    <w:rsid w:val="001D2F1B"/>
    <w:rsid w:val="001D339E"/>
    <w:rsid w:val="001D33C8"/>
    <w:rsid w:val="001D350A"/>
    <w:rsid w:val="001D36D5"/>
    <w:rsid w:val="001D36F0"/>
    <w:rsid w:val="001D3856"/>
    <w:rsid w:val="001D38CE"/>
    <w:rsid w:val="001D391A"/>
    <w:rsid w:val="001D394A"/>
    <w:rsid w:val="001D39B4"/>
    <w:rsid w:val="001D39EE"/>
    <w:rsid w:val="001D3B27"/>
    <w:rsid w:val="001D3E77"/>
    <w:rsid w:val="001D40E0"/>
    <w:rsid w:val="001D41F7"/>
    <w:rsid w:val="001D436D"/>
    <w:rsid w:val="001D45A6"/>
    <w:rsid w:val="001D474F"/>
    <w:rsid w:val="001D47D9"/>
    <w:rsid w:val="001D4813"/>
    <w:rsid w:val="001D4AAE"/>
    <w:rsid w:val="001D4AF0"/>
    <w:rsid w:val="001D4AFD"/>
    <w:rsid w:val="001D4BB3"/>
    <w:rsid w:val="001D4BFA"/>
    <w:rsid w:val="001D4CED"/>
    <w:rsid w:val="001D4E52"/>
    <w:rsid w:val="001D4FF5"/>
    <w:rsid w:val="001D5254"/>
    <w:rsid w:val="001D535F"/>
    <w:rsid w:val="001D5391"/>
    <w:rsid w:val="001D5426"/>
    <w:rsid w:val="001D5456"/>
    <w:rsid w:val="001D54F8"/>
    <w:rsid w:val="001D5612"/>
    <w:rsid w:val="001D5634"/>
    <w:rsid w:val="001D567A"/>
    <w:rsid w:val="001D57A0"/>
    <w:rsid w:val="001D586C"/>
    <w:rsid w:val="001D5978"/>
    <w:rsid w:val="001D59A9"/>
    <w:rsid w:val="001D59F7"/>
    <w:rsid w:val="001D6200"/>
    <w:rsid w:val="001D6259"/>
    <w:rsid w:val="001D62C7"/>
    <w:rsid w:val="001D6333"/>
    <w:rsid w:val="001D6336"/>
    <w:rsid w:val="001D65AE"/>
    <w:rsid w:val="001D6BEC"/>
    <w:rsid w:val="001D6EAF"/>
    <w:rsid w:val="001D7964"/>
    <w:rsid w:val="001D79B7"/>
    <w:rsid w:val="001D79E7"/>
    <w:rsid w:val="001D7CCF"/>
    <w:rsid w:val="001D7DB3"/>
    <w:rsid w:val="001D7E81"/>
    <w:rsid w:val="001D7EA8"/>
    <w:rsid w:val="001E00A8"/>
    <w:rsid w:val="001E00E8"/>
    <w:rsid w:val="001E0128"/>
    <w:rsid w:val="001E0342"/>
    <w:rsid w:val="001E03A5"/>
    <w:rsid w:val="001E0A54"/>
    <w:rsid w:val="001E0BE8"/>
    <w:rsid w:val="001E0C6C"/>
    <w:rsid w:val="001E0CC0"/>
    <w:rsid w:val="001E0CE4"/>
    <w:rsid w:val="001E0DC0"/>
    <w:rsid w:val="001E0E1A"/>
    <w:rsid w:val="001E0F10"/>
    <w:rsid w:val="001E104F"/>
    <w:rsid w:val="001E10F7"/>
    <w:rsid w:val="001E1286"/>
    <w:rsid w:val="001E1780"/>
    <w:rsid w:val="001E18AD"/>
    <w:rsid w:val="001E1953"/>
    <w:rsid w:val="001E1BF4"/>
    <w:rsid w:val="001E1C10"/>
    <w:rsid w:val="001E1CEE"/>
    <w:rsid w:val="001E1F0A"/>
    <w:rsid w:val="001E210F"/>
    <w:rsid w:val="001E21B1"/>
    <w:rsid w:val="001E2205"/>
    <w:rsid w:val="001E2251"/>
    <w:rsid w:val="001E2275"/>
    <w:rsid w:val="001E2347"/>
    <w:rsid w:val="001E2621"/>
    <w:rsid w:val="001E26CD"/>
    <w:rsid w:val="001E2923"/>
    <w:rsid w:val="001E2AB6"/>
    <w:rsid w:val="001E2BA4"/>
    <w:rsid w:val="001E2BE2"/>
    <w:rsid w:val="001E2D57"/>
    <w:rsid w:val="001E2DBD"/>
    <w:rsid w:val="001E306D"/>
    <w:rsid w:val="001E317F"/>
    <w:rsid w:val="001E32DA"/>
    <w:rsid w:val="001E3320"/>
    <w:rsid w:val="001E336A"/>
    <w:rsid w:val="001E3400"/>
    <w:rsid w:val="001E34B9"/>
    <w:rsid w:val="001E35BC"/>
    <w:rsid w:val="001E37B7"/>
    <w:rsid w:val="001E37CC"/>
    <w:rsid w:val="001E383D"/>
    <w:rsid w:val="001E3BC3"/>
    <w:rsid w:val="001E3C79"/>
    <w:rsid w:val="001E3EAA"/>
    <w:rsid w:val="001E3EEB"/>
    <w:rsid w:val="001E3FA4"/>
    <w:rsid w:val="001E4069"/>
    <w:rsid w:val="001E40D3"/>
    <w:rsid w:val="001E423D"/>
    <w:rsid w:val="001E43FC"/>
    <w:rsid w:val="001E44D4"/>
    <w:rsid w:val="001E4658"/>
    <w:rsid w:val="001E469A"/>
    <w:rsid w:val="001E46A4"/>
    <w:rsid w:val="001E4741"/>
    <w:rsid w:val="001E4940"/>
    <w:rsid w:val="001E4969"/>
    <w:rsid w:val="001E4AB6"/>
    <w:rsid w:val="001E4E03"/>
    <w:rsid w:val="001E4EA6"/>
    <w:rsid w:val="001E4ED8"/>
    <w:rsid w:val="001E4EE9"/>
    <w:rsid w:val="001E4F42"/>
    <w:rsid w:val="001E4FF2"/>
    <w:rsid w:val="001E5111"/>
    <w:rsid w:val="001E5196"/>
    <w:rsid w:val="001E51BB"/>
    <w:rsid w:val="001E53EB"/>
    <w:rsid w:val="001E5451"/>
    <w:rsid w:val="001E578C"/>
    <w:rsid w:val="001E5879"/>
    <w:rsid w:val="001E5926"/>
    <w:rsid w:val="001E59F3"/>
    <w:rsid w:val="001E5BD5"/>
    <w:rsid w:val="001E5C15"/>
    <w:rsid w:val="001E5CDE"/>
    <w:rsid w:val="001E5CEE"/>
    <w:rsid w:val="001E5DF6"/>
    <w:rsid w:val="001E5F4B"/>
    <w:rsid w:val="001E61B2"/>
    <w:rsid w:val="001E62BC"/>
    <w:rsid w:val="001E6378"/>
    <w:rsid w:val="001E63EA"/>
    <w:rsid w:val="001E64FE"/>
    <w:rsid w:val="001E6675"/>
    <w:rsid w:val="001E66AE"/>
    <w:rsid w:val="001E681F"/>
    <w:rsid w:val="001E6B61"/>
    <w:rsid w:val="001E6B9A"/>
    <w:rsid w:val="001E6BB3"/>
    <w:rsid w:val="001E6BFC"/>
    <w:rsid w:val="001E6CC2"/>
    <w:rsid w:val="001E6CE1"/>
    <w:rsid w:val="001E6E38"/>
    <w:rsid w:val="001E6F90"/>
    <w:rsid w:val="001E70E3"/>
    <w:rsid w:val="001E720E"/>
    <w:rsid w:val="001E7291"/>
    <w:rsid w:val="001E72CD"/>
    <w:rsid w:val="001E7311"/>
    <w:rsid w:val="001E7412"/>
    <w:rsid w:val="001E7508"/>
    <w:rsid w:val="001E751E"/>
    <w:rsid w:val="001E764E"/>
    <w:rsid w:val="001E7702"/>
    <w:rsid w:val="001E7C64"/>
    <w:rsid w:val="001E7C97"/>
    <w:rsid w:val="001E7CA3"/>
    <w:rsid w:val="001E7CFE"/>
    <w:rsid w:val="001E7E4D"/>
    <w:rsid w:val="001E7E7F"/>
    <w:rsid w:val="001F0065"/>
    <w:rsid w:val="001F0134"/>
    <w:rsid w:val="001F02AB"/>
    <w:rsid w:val="001F03FB"/>
    <w:rsid w:val="001F056D"/>
    <w:rsid w:val="001F0649"/>
    <w:rsid w:val="001F06FA"/>
    <w:rsid w:val="001F0786"/>
    <w:rsid w:val="001F08D5"/>
    <w:rsid w:val="001F094C"/>
    <w:rsid w:val="001F0965"/>
    <w:rsid w:val="001F098A"/>
    <w:rsid w:val="001F0A0E"/>
    <w:rsid w:val="001F0A80"/>
    <w:rsid w:val="001F0CA1"/>
    <w:rsid w:val="001F0D25"/>
    <w:rsid w:val="001F0DDE"/>
    <w:rsid w:val="001F0E44"/>
    <w:rsid w:val="001F0F33"/>
    <w:rsid w:val="001F0F85"/>
    <w:rsid w:val="001F1026"/>
    <w:rsid w:val="001F1283"/>
    <w:rsid w:val="001F12EC"/>
    <w:rsid w:val="001F13BC"/>
    <w:rsid w:val="001F144C"/>
    <w:rsid w:val="001F1600"/>
    <w:rsid w:val="001F1769"/>
    <w:rsid w:val="001F1788"/>
    <w:rsid w:val="001F19C4"/>
    <w:rsid w:val="001F19F6"/>
    <w:rsid w:val="001F1AB8"/>
    <w:rsid w:val="001F1B96"/>
    <w:rsid w:val="001F1C2A"/>
    <w:rsid w:val="001F1CC5"/>
    <w:rsid w:val="001F1CCD"/>
    <w:rsid w:val="001F1EB2"/>
    <w:rsid w:val="001F1F2F"/>
    <w:rsid w:val="001F2143"/>
    <w:rsid w:val="001F2150"/>
    <w:rsid w:val="001F2257"/>
    <w:rsid w:val="001F23C6"/>
    <w:rsid w:val="001F278C"/>
    <w:rsid w:val="001F2925"/>
    <w:rsid w:val="001F2D47"/>
    <w:rsid w:val="001F2E47"/>
    <w:rsid w:val="001F2EDE"/>
    <w:rsid w:val="001F2EF9"/>
    <w:rsid w:val="001F313F"/>
    <w:rsid w:val="001F3214"/>
    <w:rsid w:val="001F3292"/>
    <w:rsid w:val="001F3295"/>
    <w:rsid w:val="001F3557"/>
    <w:rsid w:val="001F3574"/>
    <w:rsid w:val="001F3A61"/>
    <w:rsid w:val="001F3AA2"/>
    <w:rsid w:val="001F3C7C"/>
    <w:rsid w:val="001F3CFF"/>
    <w:rsid w:val="001F3DA9"/>
    <w:rsid w:val="001F4095"/>
    <w:rsid w:val="001F42F7"/>
    <w:rsid w:val="001F4375"/>
    <w:rsid w:val="001F489E"/>
    <w:rsid w:val="001F4905"/>
    <w:rsid w:val="001F49CC"/>
    <w:rsid w:val="001F4C2A"/>
    <w:rsid w:val="001F4C67"/>
    <w:rsid w:val="001F4CA0"/>
    <w:rsid w:val="001F4F48"/>
    <w:rsid w:val="001F5256"/>
    <w:rsid w:val="001F526D"/>
    <w:rsid w:val="001F5270"/>
    <w:rsid w:val="001F56EB"/>
    <w:rsid w:val="001F57EF"/>
    <w:rsid w:val="001F5804"/>
    <w:rsid w:val="001F5879"/>
    <w:rsid w:val="001F588C"/>
    <w:rsid w:val="001F591C"/>
    <w:rsid w:val="001F5AC4"/>
    <w:rsid w:val="001F5AD8"/>
    <w:rsid w:val="001F5E74"/>
    <w:rsid w:val="001F5F70"/>
    <w:rsid w:val="001F5F95"/>
    <w:rsid w:val="001F623D"/>
    <w:rsid w:val="001F6241"/>
    <w:rsid w:val="001F62FF"/>
    <w:rsid w:val="001F6368"/>
    <w:rsid w:val="001F640E"/>
    <w:rsid w:val="001F664B"/>
    <w:rsid w:val="001F66D3"/>
    <w:rsid w:val="001F6747"/>
    <w:rsid w:val="001F6B6C"/>
    <w:rsid w:val="001F6C21"/>
    <w:rsid w:val="001F6D78"/>
    <w:rsid w:val="001F6DFC"/>
    <w:rsid w:val="001F6E1B"/>
    <w:rsid w:val="001F7059"/>
    <w:rsid w:val="001F745D"/>
    <w:rsid w:val="001F7576"/>
    <w:rsid w:val="001F757E"/>
    <w:rsid w:val="001F76C1"/>
    <w:rsid w:val="001F76E8"/>
    <w:rsid w:val="001F78F1"/>
    <w:rsid w:val="001F7AE1"/>
    <w:rsid w:val="001F7EBB"/>
    <w:rsid w:val="00200259"/>
    <w:rsid w:val="002006A2"/>
    <w:rsid w:val="002006CC"/>
    <w:rsid w:val="002009A8"/>
    <w:rsid w:val="002009DE"/>
    <w:rsid w:val="00200BEA"/>
    <w:rsid w:val="00200C45"/>
    <w:rsid w:val="00200C4B"/>
    <w:rsid w:val="00200EA7"/>
    <w:rsid w:val="00201111"/>
    <w:rsid w:val="00201130"/>
    <w:rsid w:val="002011A4"/>
    <w:rsid w:val="002011CF"/>
    <w:rsid w:val="00201232"/>
    <w:rsid w:val="0020144B"/>
    <w:rsid w:val="00201C4E"/>
    <w:rsid w:val="00201CEA"/>
    <w:rsid w:val="00201DA2"/>
    <w:rsid w:val="00201E5D"/>
    <w:rsid w:val="00201F28"/>
    <w:rsid w:val="00201FA3"/>
    <w:rsid w:val="0020227C"/>
    <w:rsid w:val="0020230C"/>
    <w:rsid w:val="002024E0"/>
    <w:rsid w:val="002025CB"/>
    <w:rsid w:val="0020270A"/>
    <w:rsid w:val="002028E6"/>
    <w:rsid w:val="002029C9"/>
    <w:rsid w:val="00202A86"/>
    <w:rsid w:val="00202BA5"/>
    <w:rsid w:val="00202C16"/>
    <w:rsid w:val="00202D1D"/>
    <w:rsid w:val="00202D94"/>
    <w:rsid w:val="00202E84"/>
    <w:rsid w:val="00202F4C"/>
    <w:rsid w:val="002031B3"/>
    <w:rsid w:val="00203303"/>
    <w:rsid w:val="00203318"/>
    <w:rsid w:val="00203618"/>
    <w:rsid w:val="002036E1"/>
    <w:rsid w:val="00203800"/>
    <w:rsid w:val="00203868"/>
    <w:rsid w:val="0020386D"/>
    <w:rsid w:val="0020392E"/>
    <w:rsid w:val="002039B9"/>
    <w:rsid w:val="00203B1B"/>
    <w:rsid w:val="00203B83"/>
    <w:rsid w:val="00203BF8"/>
    <w:rsid w:val="00203CC2"/>
    <w:rsid w:val="00203E3A"/>
    <w:rsid w:val="002040C2"/>
    <w:rsid w:val="002044DF"/>
    <w:rsid w:val="00204535"/>
    <w:rsid w:val="00204561"/>
    <w:rsid w:val="00204562"/>
    <w:rsid w:val="00204861"/>
    <w:rsid w:val="00204B0C"/>
    <w:rsid w:val="00204B5C"/>
    <w:rsid w:val="00204C02"/>
    <w:rsid w:val="00204D8D"/>
    <w:rsid w:val="00204DD3"/>
    <w:rsid w:val="00204E87"/>
    <w:rsid w:val="00204F07"/>
    <w:rsid w:val="002050EC"/>
    <w:rsid w:val="00205132"/>
    <w:rsid w:val="00205185"/>
    <w:rsid w:val="0020522C"/>
    <w:rsid w:val="002053B2"/>
    <w:rsid w:val="002054BB"/>
    <w:rsid w:val="00205833"/>
    <w:rsid w:val="00205983"/>
    <w:rsid w:val="002059DA"/>
    <w:rsid w:val="00205A7F"/>
    <w:rsid w:val="00205DB0"/>
    <w:rsid w:val="00205DB6"/>
    <w:rsid w:val="00205DF9"/>
    <w:rsid w:val="00205E65"/>
    <w:rsid w:val="00205E6A"/>
    <w:rsid w:val="00205E85"/>
    <w:rsid w:val="00205ECC"/>
    <w:rsid w:val="00205F83"/>
    <w:rsid w:val="002060CD"/>
    <w:rsid w:val="00206174"/>
    <w:rsid w:val="00206559"/>
    <w:rsid w:val="0020661C"/>
    <w:rsid w:val="0020666F"/>
    <w:rsid w:val="002066A8"/>
    <w:rsid w:val="0020674B"/>
    <w:rsid w:val="00206998"/>
    <w:rsid w:val="002069A7"/>
    <w:rsid w:val="00206B6D"/>
    <w:rsid w:val="00206E74"/>
    <w:rsid w:val="00206EC6"/>
    <w:rsid w:val="00206ECA"/>
    <w:rsid w:val="002074E5"/>
    <w:rsid w:val="00207750"/>
    <w:rsid w:val="002077C5"/>
    <w:rsid w:val="002078BB"/>
    <w:rsid w:val="0020794F"/>
    <w:rsid w:val="002079E2"/>
    <w:rsid w:val="00207BD8"/>
    <w:rsid w:val="00207EF4"/>
    <w:rsid w:val="00207F7B"/>
    <w:rsid w:val="00207FB3"/>
    <w:rsid w:val="002101B8"/>
    <w:rsid w:val="002101C7"/>
    <w:rsid w:val="002103A0"/>
    <w:rsid w:val="002103DB"/>
    <w:rsid w:val="0021042C"/>
    <w:rsid w:val="002105B8"/>
    <w:rsid w:val="002105C8"/>
    <w:rsid w:val="0021065E"/>
    <w:rsid w:val="00210675"/>
    <w:rsid w:val="002108A7"/>
    <w:rsid w:val="0021093A"/>
    <w:rsid w:val="002109FD"/>
    <w:rsid w:val="00210A5F"/>
    <w:rsid w:val="00210A7F"/>
    <w:rsid w:val="00210B42"/>
    <w:rsid w:val="00210C1C"/>
    <w:rsid w:val="00210E54"/>
    <w:rsid w:val="0021114A"/>
    <w:rsid w:val="00211414"/>
    <w:rsid w:val="00211486"/>
    <w:rsid w:val="00211714"/>
    <w:rsid w:val="002117F2"/>
    <w:rsid w:val="00211B0E"/>
    <w:rsid w:val="00211B46"/>
    <w:rsid w:val="00211CD0"/>
    <w:rsid w:val="00211D00"/>
    <w:rsid w:val="00211D7B"/>
    <w:rsid w:val="00211DAF"/>
    <w:rsid w:val="00211E9D"/>
    <w:rsid w:val="00211FCB"/>
    <w:rsid w:val="00212288"/>
    <w:rsid w:val="002122C3"/>
    <w:rsid w:val="0021242B"/>
    <w:rsid w:val="00212954"/>
    <w:rsid w:val="00212B40"/>
    <w:rsid w:val="00212CBF"/>
    <w:rsid w:val="00212DE6"/>
    <w:rsid w:val="00212F8A"/>
    <w:rsid w:val="002130DB"/>
    <w:rsid w:val="002131C5"/>
    <w:rsid w:val="00213210"/>
    <w:rsid w:val="0021329E"/>
    <w:rsid w:val="0021331E"/>
    <w:rsid w:val="002136B5"/>
    <w:rsid w:val="0021378E"/>
    <w:rsid w:val="00213814"/>
    <w:rsid w:val="00213847"/>
    <w:rsid w:val="002138A6"/>
    <w:rsid w:val="002138C8"/>
    <w:rsid w:val="00213960"/>
    <w:rsid w:val="002139EB"/>
    <w:rsid w:val="00213AC7"/>
    <w:rsid w:val="00213BAF"/>
    <w:rsid w:val="00213BBF"/>
    <w:rsid w:val="00213DBD"/>
    <w:rsid w:val="00213E65"/>
    <w:rsid w:val="00213F5E"/>
    <w:rsid w:val="00213FB6"/>
    <w:rsid w:val="00214451"/>
    <w:rsid w:val="0021478B"/>
    <w:rsid w:val="002147FB"/>
    <w:rsid w:val="00214945"/>
    <w:rsid w:val="00214A99"/>
    <w:rsid w:val="00214B54"/>
    <w:rsid w:val="00214C2D"/>
    <w:rsid w:val="00214CBF"/>
    <w:rsid w:val="00214CCF"/>
    <w:rsid w:val="00214D70"/>
    <w:rsid w:val="00214FC6"/>
    <w:rsid w:val="00214FF9"/>
    <w:rsid w:val="0021508B"/>
    <w:rsid w:val="00215150"/>
    <w:rsid w:val="00215219"/>
    <w:rsid w:val="002153F8"/>
    <w:rsid w:val="002154D3"/>
    <w:rsid w:val="00215525"/>
    <w:rsid w:val="0021596D"/>
    <w:rsid w:val="00215AEB"/>
    <w:rsid w:val="00215C2F"/>
    <w:rsid w:val="00215DFD"/>
    <w:rsid w:val="00215E28"/>
    <w:rsid w:val="002161CE"/>
    <w:rsid w:val="002162DE"/>
    <w:rsid w:val="002162F5"/>
    <w:rsid w:val="002163DD"/>
    <w:rsid w:val="00216438"/>
    <w:rsid w:val="00216492"/>
    <w:rsid w:val="00216520"/>
    <w:rsid w:val="0021693A"/>
    <w:rsid w:val="00216B99"/>
    <w:rsid w:val="00216D37"/>
    <w:rsid w:val="00216FB7"/>
    <w:rsid w:val="00217044"/>
    <w:rsid w:val="0021717F"/>
    <w:rsid w:val="0021726C"/>
    <w:rsid w:val="00217319"/>
    <w:rsid w:val="002174BA"/>
    <w:rsid w:val="00217584"/>
    <w:rsid w:val="002175B6"/>
    <w:rsid w:val="00217707"/>
    <w:rsid w:val="00217B01"/>
    <w:rsid w:val="00217B36"/>
    <w:rsid w:val="00217BE2"/>
    <w:rsid w:val="00217D27"/>
    <w:rsid w:val="00217D7E"/>
    <w:rsid w:val="00220029"/>
    <w:rsid w:val="00220043"/>
    <w:rsid w:val="00220229"/>
    <w:rsid w:val="00220281"/>
    <w:rsid w:val="002202C7"/>
    <w:rsid w:val="002203F9"/>
    <w:rsid w:val="002205C0"/>
    <w:rsid w:val="00220845"/>
    <w:rsid w:val="0022098C"/>
    <w:rsid w:val="00220A53"/>
    <w:rsid w:val="00220A66"/>
    <w:rsid w:val="00220CBA"/>
    <w:rsid w:val="00221087"/>
    <w:rsid w:val="00221355"/>
    <w:rsid w:val="00221468"/>
    <w:rsid w:val="002215AE"/>
    <w:rsid w:val="002216B4"/>
    <w:rsid w:val="0022171F"/>
    <w:rsid w:val="00221730"/>
    <w:rsid w:val="0022188A"/>
    <w:rsid w:val="0022195E"/>
    <w:rsid w:val="00221C2B"/>
    <w:rsid w:val="00221C53"/>
    <w:rsid w:val="00221E41"/>
    <w:rsid w:val="00221E76"/>
    <w:rsid w:val="00221E95"/>
    <w:rsid w:val="00221ECC"/>
    <w:rsid w:val="00221FB8"/>
    <w:rsid w:val="0022202B"/>
    <w:rsid w:val="00222051"/>
    <w:rsid w:val="00222053"/>
    <w:rsid w:val="00222063"/>
    <w:rsid w:val="002221E9"/>
    <w:rsid w:val="002222D3"/>
    <w:rsid w:val="0022231B"/>
    <w:rsid w:val="00222434"/>
    <w:rsid w:val="00222636"/>
    <w:rsid w:val="002226F4"/>
    <w:rsid w:val="002226F6"/>
    <w:rsid w:val="00222858"/>
    <w:rsid w:val="002228DE"/>
    <w:rsid w:val="0022298B"/>
    <w:rsid w:val="00222C98"/>
    <w:rsid w:val="00222DED"/>
    <w:rsid w:val="00222FD8"/>
    <w:rsid w:val="00222FFD"/>
    <w:rsid w:val="00223007"/>
    <w:rsid w:val="0022333A"/>
    <w:rsid w:val="0022343C"/>
    <w:rsid w:val="0022365C"/>
    <w:rsid w:val="002236AC"/>
    <w:rsid w:val="002237AB"/>
    <w:rsid w:val="002238AC"/>
    <w:rsid w:val="002239AE"/>
    <w:rsid w:val="00223AEA"/>
    <w:rsid w:val="00223B0F"/>
    <w:rsid w:val="00223B6E"/>
    <w:rsid w:val="00223D31"/>
    <w:rsid w:val="00223F15"/>
    <w:rsid w:val="00223F3C"/>
    <w:rsid w:val="00223FF8"/>
    <w:rsid w:val="00224070"/>
    <w:rsid w:val="0022409C"/>
    <w:rsid w:val="0022426E"/>
    <w:rsid w:val="0022461A"/>
    <w:rsid w:val="00224932"/>
    <w:rsid w:val="00224A24"/>
    <w:rsid w:val="00224ABD"/>
    <w:rsid w:val="00224ABE"/>
    <w:rsid w:val="00224CBB"/>
    <w:rsid w:val="00224F5D"/>
    <w:rsid w:val="00225200"/>
    <w:rsid w:val="002252A9"/>
    <w:rsid w:val="0022546B"/>
    <w:rsid w:val="002256F3"/>
    <w:rsid w:val="00225733"/>
    <w:rsid w:val="00225744"/>
    <w:rsid w:val="00225766"/>
    <w:rsid w:val="002257EF"/>
    <w:rsid w:val="00225996"/>
    <w:rsid w:val="002259F7"/>
    <w:rsid w:val="00225AD5"/>
    <w:rsid w:val="00225B2F"/>
    <w:rsid w:val="00225BCC"/>
    <w:rsid w:val="00225C4A"/>
    <w:rsid w:val="00225D11"/>
    <w:rsid w:val="00225DD6"/>
    <w:rsid w:val="00225DF8"/>
    <w:rsid w:val="00225E9E"/>
    <w:rsid w:val="00225FAA"/>
    <w:rsid w:val="002261DE"/>
    <w:rsid w:val="0022621A"/>
    <w:rsid w:val="0022656A"/>
    <w:rsid w:val="002265D2"/>
    <w:rsid w:val="002267EF"/>
    <w:rsid w:val="00226854"/>
    <w:rsid w:val="00226985"/>
    <w:rsid w:val="002269D1"/>
    <w:rsid w:val="00226B33"/>
    <w:rsid w:val="00226B3C"/>
    <w:rsid w:val="002270C1"/>
    <w:rsid w:val="002270F0"/>
    <w:rsid w:val="0022714B"/>
    <w:rsid w:val="0022724C"/>
    <w:rsid w:val="00227583"/>
    <w:rsid w:val="002277DD"/>
    <w:rsid w:val="00227810"/>
    <w:rsid w:val="00227962"/>
    <w:rsid w:val="00227B56"/>
    <w:rsid w:val="00227B88"/>
    <w:rsid w:val="00227D8E"/>
    <w:rsid w:val="00227DD7"/>
    <w:rsid w:val="00230212"/>
    <w:rsid w:val="0023057E"/>
    <w:rsid w:val="0023061F"/>
    <w:rsid w:val="00230715"/>
    <w:rsid w:val="0023091B"/>
    <w:rsid w:val="00230933"/>
    <w:rsid w:val="00230ADF"/>
    <w:rsid w:val="00230BD9"/>
    <w:rsid w:val="00230C31"/>
    <w:rsid w:val="00230DBB"/>
    <w:rsid w:val="00230E99"/>
    <w:rsid w:val="00230F6A"/>
    <w:rsid w:val="00230FE6"/>
    <w:rsid w:val="00231132"/>
    <w:rsid w:val="002311A9"/>
    <w:rsid w:val="002311F8"/>
    <w:rsid w:val="00231295"/>
    <w:rsid w:val="002312F3"/>
    <w:rsid w:val="0023136D"/>
    <w:rsid w:val="00231403"/>
    <w:rsid w:val="002314BE"/>
    <w:rsid w:val="00231507"/>
    <w:rsid w:val="0023158E"/>
    <w:rsid w:val="002316D0"/>
    <w:rsid w:val="002318B1"/>
    <w:rsid w:val="002318C0"/>
    <w:rsid w:val="00231A40"/>
    <w:rsid w:val="00231B30"/>
    <w:rsid w:val="002322DD"/>
    <w:rsid w:val="0023233F"/>
    <w:rsid w:val="0023248B"/>
    <w:rsid w:val="002324C1"/>
    <w:rsid w:val="0023269F"/>
    <w:rsid w:val="00232912"/>
    <w:rsid w:val="0023294E"/>
    <w:rsid w:val="00232D22"/>
    <w:rsid w:val="00232D37"/>
    <w:rsid w:val="00232E36"/>
    <w:rsid w:val="00232F8A"/>
    <w:rsid w:val="00232FBE"/>
    <w:rsid w:val="00233150"/>
    <w:rsid w:val="00233273"/>
    <w:rsid w:val="002333A8"/>
    <w:rsid w:val="002335D3"/>
    <w:rsid w:val="00233631"/>
    <w:rsid w:val="0023363A"/>
    <w:rsid w:val="002337A2"/>
    <w:rsid w:val="00233854"/>
    <w:rsid w:val="00233967"/>
    <w:rsid w:val="00233A71"/>
    <w:rsid w:val="00233B1A"/>
    <w:rsid w:val="00233C33"/>
    <w:rsid w:val="00233CD5"/>
    <w:rsid w:val="00233F72"/>
    <w:rsid w:val="002342DB"/>
    <w:rsid w:val="0023435F"/>
    <w:rsid w:val="002343E3"/>
    <w:rsid w:val="002343F6"/>
    <w:rsid w:val="00234528"/>
    <w:rsid w:val="002345AC"/>
    <w:rsid w:val="002345D2"/>
    <w:rsid w:val="00234647"/>
    <w:rsid w:val="00234715"/>
    <w:rsid w:val="00234777"/>
    <w:rsid w:val="0023477B"/>
    <w:rsid w:val="00234A3A"/>
    <w:rsid w:val="00234ED7"/>
    <w:rsid w:val="0023501A"/>
    <w:rsid w:val="002351EF"/>
    <w:rsid w:val="00235240"/>
    <w:rsid w:val="0023561E"/>
    <w:rsid w:val="0023579B"/>
    <w:rsid w:val="002357F2"/>
    <w:rsid w:val="002358B0"/>
    <w:rsid w:val="002359B2"/>
    <w:rsid w:val="00235AE3"/>
    <w:rsid w:val="00235D48"/>
    <w:rsid w:val="00235E7F"/>
    <w:rsid w:val="00235F02"/>
    <w:rsid w:val="00235FB3"/>
    <w:rsid w:val="00235FEE"/>
    <w:rsid w:val="0023631D"/>
    <w:rsid w:val="002363CF"/>
    <w:rsid w:val="002365AF"/>
    <w:rsid w:val="002367F9"/>
    <w:rsid w:val="00236ED0"/>
    <w:rsid w:val="0023700E"/>
    <w:rsid w:val="0023716E"/>
    <w:rsid w:val="00237271"/>
    <w:rsid w:val="0023738F"/>
    <w:rsid w:val="002373C3"/>
    <w:rsid w:val="00237438"/>
    <w:rsid w:val="0023748C"/>
    <w:rsid w:val="002374AD"/>
    <w:rsid w:val="0023761A"/>
    <w:rsid w:val="00237729"/>
    <w:rsid w:val="002379A7"/>
    <w:rsid w:val="002379F4"/>
    <w:rsid w:val="00237A41"/>
    <w:rsid w:val="00237A96"/>
    <w:rsid w:val="00237C21"/>
    <w:rsid w:val="00237C5D"/>
    <w:rsid w:val="00237CA1"/>
    <w:rsid w:val="00237DA5"/>
    <w:rsid w:val="00237E45"/>
    <w:rsid w:val="00237FA6"/>
    <w:rsid w:val="002401E4"/>
    <w:rsid w:val="00240387"/>
    <w:rsid w:val="00240579"/>
    <w:rsid w:val="002405C4"/>
    <w:rsid w:val="00240741"/>
    <w:rsid w:val="002407B7"/>
    <w:rsid w:val="00240887"/>
    <w:rsid w:val="002408D5"/>
    <w:rsid w:val="0024090B"/>
    <w:rsid w:val="00240930"/>
    <w:rsid w:val="00240A22"/>
    <w:rsid w:val="00240A4C"/>
    <w:rsid w:val="00240A68"/>
    <w:rsid w:val="00240A74"/>
    <w:rsid w:val="00240BB7"/>
    <w:rsid w:val="00240D08"/>
    <w:rsid w:val="00240D35"/>
    <w:rsid w:val="00240F03"/>
    <w:rsid w:val="0024100D"/>
    <w:rsid w:val="00241034"/>
    <w:rsid w:val="00241041"/>
    <w:rsid w:val="00241108"/>
    <w:rsid w:val="002413A7"/>
    <w:rsid w:val="0024168D"/>
    <w:rsid w:val="002417E4"/>
    <w:rsid w:val="002418B1"/>
    <w:rsid w:val="00241925"/>
    <w:rsid w:val="00241FB9"/>
    <w:rsid w:val="0024227F"/>
    <w:rsid w:val="002423C0"/>
    <w:rsid w:val="002423FF"/>
    <w:rsid w:val="00242633"/>
    <w:rsid w:val="00242784"/>
    <w:rsid w:val="00242867"/>
    <w:rsid w:val="0024297B"/>
    <w:rsid w:val="002429C2"/>
    <w:rsid w:val="00242C51"/>
    <w:rsid w:val="00242CA3"/>
    <w:rsid w:val="00242E48"/>
    <w:rsid w:val="00242FBA"/>
    <w:rsid w:val="00243016"/>
    <w:rsid w:val="00243445"/>
    <w:rsid w:val="002435BD"/>
    <w:rsid w:val="002437A1"/>
    <w:rsid w:val="002437E3"/>
    <w:rsid w:val="002438B9"/>
    <w:rsid w:val="00243918"/>
    <w:rsid w:val="00243A73"/>
    <w:rsid w:val="00243AC8"/>
    <w:rsid w:val="00243C0F"/>
    <w:rsid w:val="00243C48"/>
    <w:rsid w:val="00243D25"/>
    <w:rsid w:val="00243E3B"/>
    <w:rsid w:val="00243EE2"/>
    <w:rsid w:val="00243F7F"/>
    <w:rsid w:val="00244030"/>
    <w:rsid w:val="0024428E"/>
    <w:rsid w:val="002442B2"/>
    <w:rsid w:val="002443F6"/>
    <w:rsid w:val="00244496"/>
    <w:rsid w:val="002444B8"/>
    <w:rsid w:val="00244697"/>
    <w:rsid w:val="00244915"/>
    <w:rsid w:val="00244971"/>
    <w:rsid w:val="00244ADF"/>
    <w:rsid w:val="0024501F"/>
    <w:rsid w:val="00245063"/>
    <w:rsid w:val="00245325"/>
    <w:rsid w:val="00245425"/>
    <w:rsid w:val="002454E2"/>
    <w:rsid w:val="0024555E"/>
    <w:rsid w:val="0024568F"/>
    <w:rsid w:val="002456E9"/>
    <w:rsid w:val="00245797"/>
    <w:rsid w:val="00245996"/>
    <w:rsid w:val="00245CDA"/>
    <w:rsid w:val="00245D67"/>
    <w:rsid w:val="00245D8E"/>
    <w:rsid w:val="00245DA0"/>
    <w:rsid w:val="00245DE2"/>
    <w:rsid w:val="00245E40"/>
    <w:rsid w:val="00245F72"/>
    <w:rsid w:val="00245FE3"/>
    <w:rsid w:val="002461B2"/>
    <w:rsid w:val="00246218"/>
    <w:rsid w:val="0024645D"/>
    <w:rsid w:val="002464A3"/>
    <w:rsid w:val="002464ED"/>
    <w:rsid w:val="002465C2"/>
    <w:rsid w:val="00246860"/>
    <w:rsid w:val="00246895"/>
    <w:rsid w:val="00246B4B"/>
    <w:rsid w:val="00246C9E"/>
    <w:rsid w:val="00246D7E"/>
    <w:rsid w:val="00246E2C"/>
    <w:rsid w:val="00246E47"/>
    <w:rsid w:val="00246E6F"/>
    <w:rsid w:val="00246F23"/>
    <w:rsid w:val="00246F2A"/>
    <w:rsid w:val="00247445"/>
    <w:rsid w:val="0024753F"/>
    <w:rsid w:val="002476FE"/>
    <w:rsid w:val="00247955"/>
    <w:rsid w:val="00247A40"/>
    <w:rsid w:val="00247ADB"/>
    <w:rsid w:val="00247C61"/>
    <w:rsid w:val="00247D8E"/>
    <w:rsid w:val="00247F6C"/>
    <w:rsid w:val="00247F7A"/>
    <w:rsid w:val="00247F9A"/>
    <w:rsid w:val="00247FF0"/>
    <w:rsid w:val="00250043"/>
    <w:rsid w:val="00250158"/>
    <w:rsid w:val="002501EE"/>
    <w:rsid w:val="002502B6"/>
    <w:rsid w:val="00250393"/>
    <w:rsid w:val="002503D8"/>
    <w:rsid w:val="00250553"/>
    <w:rsid w:val="002506CD"/>
    <w:rsid w:val="00250742"/>
    <w:rsid w:val="00250863"/>
    <w:rsid w:val="00250C1C"/>
    <w:rsid w:val="00250C34"/>
    <w:rsid w:val="00250D3D"/>
    <w:rsid w:val="00250DF8"/>
    <w:rsid w:val="00250E25"/>
    <w:rsid w:val="00250F7A"/>
    <w:rsid w:val="00250FBF"/>
    <w:rsid w:val="00250FEC"/>
    <w:rsid w:val="0025106F"/>
    <w:rsid w:val="00251322"/>
    <w:rsid w:val="00251733"/>
    <w:rsid w:val="00251817"/>
    <w:rsid w:val="00251924"/>
    <w:rsid w:val="00251A14"/>
    <w:rsid w:val="00251AAD"/>
    <w:rsid w:val="00251AE7"/>
    <w:rsid w:val="00251B5E"/>
    <w:rsid w:val="00251D01"/>
    <w:rsid w:val="00251D1B"/>
    <w:rsid w:val="00251D36"/>
    <w:rsid w:val="00251DAF"/>
    <w:rsid w:val="00251DB4"/>
    <w:rsid w:val="00251DF6"/>
    <w:rsid w:val="00251F58"/>
    <w:rsid w:val="00251FE5"/>
    <w:rsid w:val="00252005"/>
    <w:rsid w:val="00252193"/>
    <w:rsid w:val="002522E0"/>
    <w:rsid w:val="0025262D"/>
    <w:rsid w:val="00252658"/>
    <w:rsid w:val="002527E2"/>
    <w:rsid w:val="00252E8E"/>
    <w:rsid w:val="002530D2"/>
    <w:rsid w:val="00253246"/>
    <w:rsid w:val="00253529"/>
    <w:rsid w:val="002535CE"/>
    <w:rsid w:val="00253737"/>
    <w:rsid w:val="00253802"/>
    <w:rsid w:val="00253B19"/>
    <w:rsid w:val="00253C84"/>
    <w:rsid w:val="00253F38"/>
    <w:rsid w:val="00253FE9"/>
    <w:rsid w:val="0025415A"/>
    <w:rsid w:val="0025428D"/>
    <w:rsid w:val="0025435E"/>
    <w:rsid w:val="0025438D"/>
    <w:rsid w:val="002546DB"/>
    <w:rsid w:val="00254775"/>
    <w:rsid w:val="00254846"/>
    <w:rsid w:val="002548B5"/>
    <w:rsid w:val="00254A44"/>
    <w:rsid w:val="00254C18"/>
    <w:rsid w:val="00254E82"/>
    <w:rsid w:val="002550F5"/>
    <w:rsid w:val="002551B4"/>
    <w:rsid w:val="00255343"/>
    <w:rsid w:val="00255387"/>
    <w:rsid w:val="00255391"/>
    <w:rsid w:val="00255466"/>
    <w:rsid w:val="00255521"/>
    <w:rsid w:val="002556C2"/>
    <w:rsid w:val="002556D5"/>
    <w:rsid w:val="00255812"/>
    <w:rsid w:val="0025584C"/>
    <w:rsid w:val="00255BEE"/>
    <w:rsid w:val="00255C64"/>
    <w:rsid w:val="00255D6F"/>
    <w:rsid w:val="00255E3A"/>
    <w:rsid w:val="00255F34"/>
    <w:rsid w:val="00255F3A"/>
    <w:rsid w:val="00255F43"/>
    <w:rsid w:val="002561F5"/>
    <w:rsid w:val="0025635C"/>
    <w:rsid w:val="0025650A"/>
    <w:rsid w:val="002565F5"/>
    <w:rsid w:val="0025665B"/>
    <w:rsid w:val="00256705"/>
    <w:rsid w:val="0025674A"/>
    <w:rsid w:val="00256834"/>
    <w:rsid w:val="00256855"/>
    <w:rsid w:val="002568C4"/>
    <w:rsid w:val="00256936"/>
    <w:rsid w:val="00256BB7"/>
    <w:rsid w:val="00256CE7"/>
    <w:rsid w:val="00256DAC"/>
    <w:rsid w:val="00256DB8"/>
    <w:rsid w:val="00256DE0"/>
    <w:rsid w:val="00256E66"/>
    <w:rsid w:val="00256F0C"/>
    <w:rsid w:val="00257137"/>
    <w:rsid w:val="0025723B"/>
    <w:rsid w:val="002574D7"/>
    <w:rsid w:val="00257562"/>
    <w:rsid w:val="002575A8"/>
    <w:rsid w:val="00257656"/>
    <w:rsid w:val="00257700"/>
    <w:rsid w:val="00257881"/>
    <w:rsid w:val="00257936"/>
    <w:rsid w:val="00257AC1"/>
    <w:rsid w:val="00257B12"/>
    <w:rsid w:val="00257B60"/>
    <w:rsid w:val="00257C80"/>
    <w:rsid w:val="00257D8F"/>
    <w:rsid w:val="00257E86"/>
    <w:rsid w:val="00257FC8"/>
    <w:rsid w:val="00257FEF"/>
    <w:rsid w:val="0026013E"/>
    <w:rsid w:val="00260325"/>
    <w:rsid w:val="002603C8"/>
    <w:rsid w:val="0026058B"/>
    <w:rsid w:val="0026058E"/>
    <w:rsid w:val="002605BE"/>
    <w:rsid w:val="002605E6"/>
    <w:rsid w:val="0026060B"/>
    <w:rsid w:val="00260749"/>
    <w:rsid w:val="00260857"/>
    <w:rsid w:val="002608B5"/>
    <w:rsid w:val="002608FC"/>
    <w:rsid w:val="0026098A"/>
    <w:rsid w:val="00260A3A"/>
    <w:rsid w:val="00260A41"/>
    <w:rsid w:val="00260B01"/>
    <w:rsid w:val="00260BDA"/>
    <w:rsid w:val="00260C43"/>
    <w:rsid w:val="00260C68"/>
    <w:rsid w:val="00260C90"/>
    <w:rsid w:val="00260DA1"/>
    <w:rsid w:val="00260FA4"/>
    <w:rsid w:val="002610B3"/>
    <w:rsid w:val="002610F2"/>
    <w:rsid w:val="0026122D"/>
    <w:rsid w:val="00261506"/>
    <w:rsid w:val="002616D8"/>
    <w:rsid w:val="00261FE0"/>
    <w:rsid w:val="002620D1"/>
    <w:rsid w:val="0026210B"/>
    <w:rsid w:val="00262166"/>
    <w:rsid w:val="0026229D"/>
    <w:rsid w:val="002622BA"/>
    <w:rsid w:val="00262429"/>
    <w:rsid w:val="0026254A"/>
    <w:rsid w:val="002626C3"/>
    <w:rsid w:val="002627ED"/>
    <w:rsid w:val="00262939"/>
    <w:rsid w:val="00262C40"/>
    <w:rsid w:val="00262C8B"/>
    <w:rsid w:val="00262D9F"/>
    <w:rsid w:val="00262DBE"/>
    <w:rsid w:val="00262E1D"/>
    <w:rsid w:val="00262E92"/>
    <w:rsid w:val="00262EC0"/>
    <w:rsid w:val="00262EEF"/>
    <w:rsid w:val="00262EF7"/>
    <w:rsid w:val="00262FFC"/>
    <w:rsid w:val="00263028"/>
    <w:rsid w:val="002630B9"/>
    <w:rsid w:val="0026320C"/>
    <w:rsid w:val="0026326D"/>
    <w:rsid w:val="0026339B"/>
    <w:rsid w:val="00263500"/>
    <w:rsid w:val="00263520"/>
    <w:rsid w:val="00263649"/>
    <w:rsid w:val="0026370B"/>
    <w:rsid w:val="0026373E"/>
    <w:rsid w:val="002637A8"/>
    <w:rsid w:val="00263830"/>
    <w:rsid w:val="00263A1F"/>
    <w:rsid w:val="00263A92"/>
    <w:rsid w:val="00263AEF"/>
    <w:rsid w:val="00263C61"/>
    <w:rsid w:val="00263C6B"/>
    <w:rsid w:val="00263D68"/>
    <w:rsid w:val="00263DB2"/>
    <w:rsid w:val="00263F87"/>
    <w:rsid w:val="002640D0"/>
    <w:rsid w:val="00264415"/>
    <w:rsid w:val="002644FF"/>
    <w:rsid w:val="00264542"/>
    <w:rsid w:val="002645B7"/>
    <w:rsid w:val="002645CA"/>
    <w:rsid w:val="00264654"/>
    <w:rsid w:val="00264698"/>
    <w:rsid w:val="002647E3"/>
    <w:rsid w:val="0026481A"/>
    <w:rsid w:val="0026482D"/>
    <w:rsid w:val="00264905"/>
    <w:rsid w:val="00264A4D"/>
    <w:rsid w:val="00264C24"/>
    <w:rsid w:val="00264D6E"/>
    <w:rsid w:val="00264FD5"/>
    <w:rsid w:val="002650CB"/>
    <w:rsid w:val="00265105"/>
    <w:rsid w:val="00265119"/>
    <w:rsid w:val="002653B2"/>
    <w:rsid w:val="00265461"/>
    <w:rsid w:val="002654D3"/>
    <w:rsid w:val="002657C6"/>
    <w:rsid w:val="002658C3"/>
    <w:rsid w:val="00265982"/>
    <w:rsid w:val="00265BF1"/>
    <w:rsid w:val="00265BF4"/>
    <w:rsid w:val="00265C06"/>
    <w:rsid w:val="00265EEF"/>
    <w:rsid w:val="00266131"/>
    <w:rsid w:val="00266132"/>
    <w:rsid w:val="0026613C"/>
    <w:rsid w:val="0026622E"/>
    <w:rsid w:val="00266262"/>
    <w:rsid w:val="00266380"/>
    <w:rsid w:val="0026639E"/>
    <w:rsid w:val="00266632"/>
    <w:rsid w:val="00266648"/>
    <w:rsid w:val="00266667"/>
    <w:rsid w:val="002666F4"/>
    <w:rsid w:val="00266774"/>
    <w:rsid w:val="0026681A"/>
    <w:rsid w:val="00266AD1"/>
    <w:rsid w:val="00266BB6"/>
    <w:rsid w:val="00266BF2"/>
    <w:rsid w:val="00266C3D"/>
    <w:rsid w:val="00266C55"/>
    <w:rsid w:val="00266C5A"/>
    <w:rsid w:val="00266C6F"/>
    <w:rsid w:val="00266D95"/>
    <w:rsid w:val="00266DE1"/>
    <w:rsid w:val="00266F27"/>
    <w:rsid w:val="00267095"/>
    <w:rsid w:val="002670C4"/>
    <w:rsid w:val="00267333"/>
    <w:rsid w:val="002673FA"/>
    <w:rsid w:val="002675F7"/>
    <w:rsid w:val="002677CE"/>
    <w:rsid w:val="00267CF2"/>
    <w:rsid w:val="00267EA4"/>
    <w:rsid w:val="002700AD"/>
    <w:rsid w:val="0027024B"/>
    <w:rsid w:val="00270352"/>
    <w:rsid w:val="0027036D"/>
    <w:rsid w:val="00270413"/>
    <w:rsid w:val="002704EE"/>
    <w:rsid w:val="002705DB"/>
    <w:rsid w:val="002706EC"/>
    <w:rsid w:val="0027078A"/>
    <w:rsid w:val="0027090A"/>
    <w:rsid w:val="002709CC"/>
    <w:rsid w:val="00270A4E"/>
    <w:rsid w:val="00270A8E"/>
    <w:rsid w:val="00270AD5"/>
    <w:rsid w:val="00270B71"/>
    <w:rsid w:val="00270DAD"/>
    <w:rsid w:val="00270E25"/>
    <w:rsid w:val="00270EF2"/>
    <w:rsid w:val="00270F8E"/>
    <w:rsid w:val="00271053"/>
    <w:rsid w:val="002711EA"/>
    <w:rsid w:val="00271324"/>
    <w:rsid w:val="00271427"/>
    <w:rsid w:val="002714F8"/>
    <w:rsid w:val="00271888"/>
    <w:rsid w:val="00271896"/>
    <w:rsid w:val="002719CC"/>
    <w:rsid w:val="00271A28"/>
    <w:rsid w:val="00271BF7"/>
    <w:rsid w:val="00271D82"/>
    <w:rsid w:val="00271F2B"/>
    <w:rsid w:val="002720C5"/>
    <w:rsid w:val="0027220D"/>
    <w:rsid w:val="0027227C"/>
    <w:rsid w:val="00272390"/>
    <w:rsid w:val="0027259C"/>
    <w:rsid w:val="002725C3"/>
    <w:rsid w:val="002725DD"/>
    <w:rsid w:val="00272765"/>
    <w:rsid w:val="002727A8"/>
    <w:rsid w:val="00272868"/>
    <w:rsid w:val="0027290B"/>
    <w:rsid w:val="00272A28"/>
    <w:rsid w:val="00272B02"/>
    <w:rsid w:val="0027301A"/>
    <w:rsid w:val="0027307F"/>
    <w:rsid w:val="0027346A"/>
    <w:rsid w:val="002735F7"/>
    <w:rsid w:val="0027376C"/>
    <w:rsid w:val="0027380C"/>
    <w:rsid w:val="002739A0"/>
    <w:rsid w:val="00273B51"/>
    <w:rsid w:val="00273CA4"/>
    <w:rsid w:val="00273ED8"/>
    <w:rsid w:val="00273F92"/>
    <w:rsid w:val="00273FC0"/>
    <w:rsid w:val="0027401E"/>
    <w:rsid w:val="00274033"/>
    <w:rsid w:val="0027434B"/>
    <w:rsid w:val="002743A8"/>
    <w:rsid w:val="0027472D"/>
    <w:rsid w:val="00274731"/>
    <w:rsid w:val="0027484E"/>
    <w:rsid w:val="0027490B"/>
    <w:rsid w:val="002749EE"/>
    <w:rsid w:val="00274B61"/>
    <w:rsid w:val="00274CC4"/>
    <w:rsid w:val="00274D47"/>
    <w:rsid w:val="00274F77"/>
    <w:rsid w:val="0027508B"/>
    <w:rsid w:val="0027511D"/>
    <w:rsid w:val="00275181"/>
    <w:rsid w:val="0027552F"/>
    <w:rsid w:val="0027553C"/>
    <w:rsid w:val="00275665"/>
    <w:rsid w:val="0027566F"/>
    <w:rsid w:val="00275796"/>
    <w:rsid w:val="002757DE"/>
    <w:rsid w:val="0027585E"/>
    <w:rsid w:val="002758A8"/>
    <w:rsid w:val="002758A9"/>
    <w:rsid w:val="002758E7"/>
    <w:rsid w:val="00276166"/>
    <w:rsid w:val="0027616F"/>
    <w:rsid w:val="002762F0"/>
    <w:rsid w:val="00276381"/>
    <w:rsid w:val="002763BD"/>
    <w:rsid w:val="002763DE"/>
    <w:rsid w:val="0027679B"/>
    <w:rsid w:val="002771D9"/>
    <w:rsid w:val="00277457"/>
    <w:rsid w:val="0027747D"/>
    <w:rsid w:val="00277830"/>
    <w:rsid w:val="002778E5"/>
    <w:rsid w:val="00277C28"/>
    <w:rsid w:val="00277D32"/>
    <w:rsid w:val="00277F67"/>
    <w:rsid w:val="00277FD2"/>
    <w:rsid w:val="002804D6"/>
    <w:rsid w:val="0028064C"/>
    <w:rsid w:val="002808F1"/>
    <w:rsid w:val="00280991"/>
    <w:rsid w:val="00280FAA"/>
    <w:rsid w:val="002810C0"/>
    <w:rsid w:val="002810DF"/>
    <w:rsid w:val="00281131"/>
    <w:rsid w:val="00281294"/>
    <w:rsid w:val="0028135E"/>
    <w:rsid w:val="00281365"/>
    <w:rsid w:val="002814B8"/>
    <w:rsid w:val="002815A8"/>
    <w:rsid w:val="002815B5"/>
    <w:rsid w:val="0028161A"/>
    <w:rsid w:val="00281691"/>
    <w:rsid w:val="0028172A"/>
    <w:rsid w:val="00281754"/>
    <w:rsid w:val="00281763"/>
    <w:rsid w:val="00281780"/>
    <w:rsid w:val="002817C1"/>
    <w:rsid w:val="0028198A"/>
    <w:rsid w:val="00281AAE"/>
    <w:rsid w:val="00281BC7"/>
    <w:rsid w:val="00281BEF"/>
    <w:rsid w:val="00281DFE"/>
    <w:rsid w:val="00281E79"/>
    <w:rsid w:val="00281EA2"/>
    <w:rsid w:val="00281FB6"/>
    <w:rsid w:val="0028218E"/>
    <w:rsid w:val="00282354"/>
    <w:rsid w:val="002823C9"/>
    <w:rsid w:val="002823CB"/>
    <w:rsid w:val="00282646"/>
    <w:rsid w:val="00282934"/>
    <w:rsid w:val="00282A14"/>
    <w:rsid w:val="00282C30"/>
    <w:rsid w:val="00282E02"/>
    <w:rsid w:val="00282F0B"/>
    <w:rsid w:val="00282F49"/>
    <w:rsid w:val="00282F6A"/>
    <w:rsid w:val="00282FAB"/>
    <w:rsid w:val="00282FE6"/>
    <w:rsid w:val="00283087"/>
    <w:rsid w:val="0028309F"/>
    <w:rsid w:val="0028339C"/>
    <w:rsid w:val="0028343E"/>
    <w:rsid w:val="00283507"/>
    <w:rsid w:val="002835EC"/>
    <w:rsid w:val="0028360D"/>
    <w:rsid w:val="00283645"/>
    <w:rsid w:val="00283735"/>
    <w:rsid w:val="0028381C"/>
    <w:rsid w:val="00283916"/>
    <w:rsid w:val="00283B17"/>
    <w:rsid w:val="00283B51"/>
    <w:rsid w:val="00283BF8"/>
    <w:rsid w:val="00283DA5"/>
    <w:rsid w:val="00283DF3"/>
    <w:rsid w:val="00283E02"/>
    <w:rsid w:val="00283EE2"/>
    <w:rsid w:val="00283FFD"/>
    <w:rsid w:val="00284001"/>
    <w:rsid w:val="0028414C"/>
    <w:rsid w:val="002842B6"/>
    <w:rsid w:val="002842C5"/>
    <w:rsid w:val="002845B0"/>
    <w:rsid w:val="00284665"/>
    <w:rsid w:val="00284A2F"/>
    <w:rsid w:val="00284C4F"/>
    <w:rsid w:val="00284C55"/>
    <w:rsid w:val="00284DE3"/>
    <w:rsid w:val="00284F18"/>
    <w:rsid w:val="00284F72"/>
    <w:rsid w:val="00285664"/>
    <w:rsid w:val="0028579D"/>
    <w:rsid w:val="00285A83"/>
    <w:rsid w:val="00285B7F"/>
    <w:rsid w:val="00285CD9"/>
    <w:rsid w:val="002860E2"/>
    <w:rsid w:val="002864BE"/>
    <w:rsid w:val="00286550"/>
    <w:rsid w:val="0028669D"/>
    <w:rsid w:val="0028674E"/>
    <w:rsid w:val="002867D4"/>
    <w:rsid w:val="00286807"/>
    <w:rsid w:val="00286B62"/>
    <w:rsid w:val="00286BD2"/>
    <w:rsid w:val="00286BFA"/>
    <w:rsid w:val="00286C4B"/>
    <w:rsid w:val="00286E84"/>
    <w:rsid w:val="00286ED3"/>
    <w:rsid w:val="0028716F"/>
    <w:rsid w:val="002871BA"/>
    <w:rsid w:val="002872FA"/>
    <w:rsid w:val="002873AA"/>
    <w:rsid w:val="002873E4"/>
    <w:rsid w:val="00287472"/>
    <w:rsid w:val="00287628"/>
    <w:rsid w:val="0028777A"/>
    <w:rsid w:val="0028793D"/>
    <w:rsid w:val="00287970"/>
    <w:rsid w:val="00287981"/>
    <w:rsid w:val="00287A42"/>
    <w:rsid w:val="00287A51"/>
    <w:rsid w:val="00287ABB"/>
    <w:rsid w:val="00287D6A"/>
    <w:rsid w:val="00287D85"/>
    <w:rsid w:val="00287F46"/>
    <w:rsid w:val="00287F70"/>
    <w:rsid w:val="00290028"/>
    <w:rsid w:val="002901D4"/>
    <w:rsid w:val="002902F4"/>
    <w:rsid w:val="00290382"/>
    <w:rsid w:val="002904DE"/>
    <w:rsid w:val="002906FD"/>
    <w:rsid w:val="0029082C"/>
    <w:rsid w:val="002908AE"/>
    <w:rsid w:val="00290BC0"/>
    <w:rsid w:val="00290D8B"/>
    <w:rsid w:val="00290E3D"/>
    <w:rsid w:val="002910FA"/>
    <w:rsid w:val="002910FB"/>
    <w:rsid w:val="002913C8"/>
    <w:rsid w:val="0029143C"/>
    <w:rsid w:val="002915C8"/>
    <w:rsid w:val="002916FE"/>
    <w:rsid w:val="0029170B"/>
    <w:rsid w:val="00291988"/>
    <w:rsid w:val="0029199E"/>
    <w:rsid w:val="00291A4D"/>
    <w:rsid w:val="00291DA1"/>
    <w:rsid w:val="00291E1F"/>
    <w:rsid w:val="0029213D"/>
    <w:rsid w:val="0029224C"/>
    <w:rsid w:val="0029264E"/>
    <w:rsid w:val="002927EB"/>
    <w:rsid w:val="00292992"/>
    <w:rsid w:val="00292BF4"/>
    <w:rsid w:val="00293045"/>
    <w:rsid w:val="002931DF"/>
    <w:rsid w:val="00293242"/>
    <w:rsid w:val="002932C0"/>
    <w:rsid w:val="0029337B"/>
    <w:rsid w:val="002933DB"/>
    <w:rsid w:val="00293441"/>
    <w:rsid w:val="00293464"/>
    <w:rsid w:val="0029375A"/>
    <w:rsid w:val="00293801"/>
    <w:rsid w:val="00293884"/>
    <w:rsid w:val="0029395B"/>
    <w:rsid w:val="00293D58"/>
    <w:rsid w:val="00293ED5"/>
    <w:rsid w:val="00293F18"/>
    <w:rsid w:val="00294073"/>
    <w:rsid w:val="002940F9"/>
    <w:rsid w:val="00294398"/>
    <w:rsid w:val="0029441E"/>
    <w:rsid w:val="00294478"/>
    <w:rsid w:val="002946CA"/>
    <w:rsid w:val="0029473F"/>
    <w:rsid w:val="00294806"/>
    <w:rsid w:val="002949D0"/>
    <w:rsid w:val="00294AE0"/>
    <w:rsid w:val="00294BA8"/>
    <w:rsid w:val="00294BB0"/>
    <w:rsid w:val="00294CCF"/>
    <w:rsid w:val="00294E8B"/>
    <w:rsid w:val="00294EEF"/>
    <w:rsid w:val="00294F05"/>
    <w:rsid w:val="00294F14"/>
    <w:rsid w:val="0029516C"/>
    <w:rsid w:val="00295213"/>
    <w:rsid w:val="0029553B"/>
    <w:rsid w:val="002955C1"/>
    <w:rsid w:val="00295816"/>
    <w:rsid w:val="00295827"/>
    <w:rsid w:val="002958CE"/>
    <w:rsid w:val="00295A74"/>
    <w:rsid w:val="00295A84"/>
    <w:rsid w:val="002960ED"/>
    <w:rsid w:val="002961E6"/>
    <w:rsid w:val="00296252"/>
    <w:rsid w:val="002963B2"/>
    <w:rsid w:val="00296424"/>
    <w:rsid w:val="0029652A"/>
    <w:rsid w:val="00296583"/>
    <w:rsid w:val="002965EE"/>
    <w:rsid w:val="0029669B"/>
    <w:rsid w:val="0029671F"/>
    <w:rsid w:val="0029687B"/>
    <w:rsid w:val="002968BF"/>
    <w:rsid w:val="0029690F"/>
    <w:rsid w:val="0029698D"/>
    <w:rsid w:val="002969C8"/>
    <w:rsid w:val="00296A00"/>
    <w:rsid w:val="00296A99"/>
    <w:rsid w:val="00296B70"/>
    <w:rsid w:val="00296C9E"/>
    <w:rsid w:val="00296D19"/>
    <w:rsid w:val="00296D2F"/>
    <w:rsid w:val="00296F45"/>
    <w:rsid w:val="0029704C"/>
    <w:rsid w:val="002973BC"/>
    <w:rsid w:val="0029788D"/>
    <w:rsid w:val="002978F5"/>
    <w:rsid w:val="00297921"/>
    <w:rsid w:val="002979E7"/>
    <w:rsid w:val="00297B11"/>
    <w:rsid w:val="00297B7E"/>
    <w:rsid w:val="00297B9B"/>
    <w:rsid w:val="00297BE6"/>
    <w:rsid w:val="00297D66"/>
    <w:rsid w:val="00297E18"/>
    <w:rsid w:val="002A00A1"/>
    <w:rsid w:val="002A013E"/>
    <w:rsid w:val="002A031E"/>
    <w:rsid w:val="002A0419"/>
    <w:rsid w:val="002A0834"/>
    <w:rsid w:val="002A092C"/>
    <w:rsid w:val="002A0965"/>
    <w:rsid w:val="002A0B76"/>
    <w:rsid w:val="002A0B79"/>
    <w:rsid w:val="002A0C6A"/>
    <w:rsid w:val="002A0E44"/>
    <w:rsid w:val="002A0FBB"/>
    <w:rsid w:val="002A115E"/>
    <w:rsid w:val="002A1264"/>
    <w:rsid w:val="002A13F2"/>
    <w:rsid w:val="002A1418"/>
    <w:rsid w:val="002A1437"/>
    <w:rsid w:val="002A1569"/>
    <w:rsid w:val="002A1626"/>
    <w:rsid w:val="002A16F6"/>
    <w:rsid w:val="002A1A0E"/>
    <w:rsid w:val="002A1AAE"/>
    <w:rsid w:val="002A1CCD"/>
    <w:rsid w:val="002A1D98"/>
    <w:rsid w:val="002A209A"/>
    <w:rsid w:val="002A2267"/>
    <w:rsid w:val="002A22DA"/>
    <w:rsid w:val="002A2342"/>
    <w:rsid w:val="002A2510"/>
    <w:rsid w:val="002A26B4"/>
    <w:rsid w:val="002A294F"/>
    <w:rsid w:val="002A2954"/>
    <w:rsid w:val="002A2CDC"/>
    <w:rsid w:val="002A2D29"/>
    <w:rsid w:val="002A2D7B"/>
    <w:rsid w:val="002A2EA6"/>
    <w:rsid w:val="002A2FD6"/>
    <w:rsid w:val="002A3074"/>
    <w:rsid w:val="002A31D9"/>
    <w:rsid w:val="002A3279"/>
    <w:rsid w:val="002A3512"/>
    <w:rsid w:val="002A351F"/>
    <w:rsid w:val="002A35A6"/>
    <w:rsid w:val="002A370B"/>
    <w:rsid w:val="002A3751"/>
    <w:rsid w:val="002A3828"/>
    <w:rsid w:val="002A3A52"/>
    <w:rsid w:val="002A3B90"/>
    <w:rsid w:val="002A3C12"/>
    <w:rsid w:val="002A3CA4"/>
    <w:rsid w:val="002A3D28"/>
    <w:rsid w:val="002A3E86"/>
    <w:rsid w:val="002A3F49"/>
    <w:rsid w:val="002A4052"/>
    <w:rsid w:val="002A4481"/>
    <w:rsid w:val="002A4517"/>
    <w:rsid w:val="002A456D"/>
    <w:rsid w:val="002A4635"/>
    <w:rsid w:val="002A4686"/>
    <w:rsid w:val="002A4943"/>
    <w:rsid w:val="002A494D"/>
    <w:rsid w:val="002A4969"/>
    <w:rsid w:val="002A4A82"/>
    <w:rsid w:val="002A4B8B"/>
    <w:rsid w:val="002A4C6E"/>
    <w:rsid w:val="002A4DED"/>
    <w:rsid w:val="002A4DF6"/>
    <w:rsid w:val="002A4E4F"/>
    <w:rsid w:val="002A5030"/>
    <w:rsid w:val="002A516E"/>
    <w:rsid w:val="002A5182"/>
    <w:rsid w:val="002A51B6"/>
    <w:rsid w:val="002A530E"/>
    <w:rsid w:val="002A532A"/>
    <w:rsid w:val="002A5576"/>
    <w:rsid w:val="002A565A"/>
    <w:rsid w:val="002A587F"/>
    <w:rsid w:val="002A5CFC"/>
    <w:rsid w:val="002A5D40"/>
    <w:rsid w:val="002A5EA7"/>
    <w:rsid w:val="002A5ED4"/>
    <w:rsid w:val="002A6036"/>
    <w:rsid w:val="002A6136"/>
    <w:rsid w:val="002A61D0"/>
    <w:rsid w:val="002A6333"/>
    <w:rsid w:val="002A6382"/>
    <w:rsid w:val="002A638C"/>
    <w:rsid w:val="002A63CC"/>
    <w:rsid w:val="002A63FB"/>
    <w:rsid w:val="002A654A"/>
    <w:rsid w:val="002A667A"/>
    <w:rsid w:val="002A6832"/>
    <w:rsid w:val="002A6905"/>
    <w:rsid w:val="002A698D"/>
    <w:rsid w:val="002A6CDE"/>
    <w:rsid w:val="002A7133"/>
    <w:rsid w:val="002A7297"/>
    <w:rsid w:val="002A731B"/>
    <w:rsid w:val="002A7337"/>
    <w:rsid w:val="002A74DE"/>
    <w:rsid w:val="002A7563"/>
    <w:rsid w:val="002A75B8"/>
    <w:rsid w:val="002A7679"/>
    <w:rsid w:val="002A777E"/>
    <w:rsid w:val="002A7785"/>
    <w:rsid w:val="002A789B"/>
    <w:rsid w:val="002A7A41"/>
    <w:rsid w:val="002A7AB9"/>
    <w:rsid w:val="002A7BB3"/>
    <w:rsid w:val="002A7C23"/>
    <w:rsid w:val="002A7CD7"/>
    <w:rsid w:val="002A7D02"/>
    <w:rsid w:val="002A7D38"/>
    <w:rsid w:val="002A7D5C"/>
    <w:rsid w:val="002B0198"/>
    <w:rsid w:val="002B048F"/>
    <w:rsid w:val="002B0524"/>
    <w:rsid w:val="002B05AC"/>
    <w:rsid w:val="002B0666"/>
    <w:rsid w:val="002B0765"/>
    <w:rsid w:val="002B08B6"/>
    <w:rsid w:val="002B0AED"/>
    <w:rsid w:val="002B0D27"/>
    <w:rsid w:val="002B0D90"/>
    <w:rsid w:val="002B0DD6"/>
    <w:rsid w:val="002B0FEA"/>
    <w:rsid w:val="002B15BF"/>
    <w:rsid w:val="002B198D"/>
    <w:rsid w:val="002B1B6F"/>
    <w:rsid w:val="002B1C62"/>
    <w:rsid w:val="002B1C89"/>
    <w:rsid w:val="002B1DD2"/>
    <w:rsid w:val="002B1FFF"/>
    <w:rsid w:val="002B208C"/>
    <w:rsid w:val="002B2106"/>
    <w:rsid w:val="002B224C"/>
    <w:rsid w:val="002B2298"/>
    <w:rsid w:val="002B2314"/>
    <w:rsid w:val="002B2372"/>
    <w:rsid w:val="002B23CF"/>
    <w:rsid w:val="002B249C"/>
    <w:rsid w:val="002B268E"/>
    <w:rsid w:val="002B2799"/>
    <w:rsid w:val="002B2802"/>
    <w:rsid w:val="002B29BE"/>
    <w:rsid w:val="002B29C5"/>
    <w:rsid w:val="002B2B02"/>
    <w:rsid w:val="002B2B76"/>
    <w:rsid w:val="002B2C6F"/>
    <w:rsid w:val="002B2FD7"/>
    <w:rsid w:val="002B30EF"/>
    <w:rsid w:val="002B31C5"/>
    <w:rsid w:val="002B331A"/>
    <w:rsid w:val="002B35D5"/>
    <w:rsid w:val="002B39D8"/>
    <w:rsid w:val="002B3A7F"/>
    <w:rsid w:val="002B3AE0"/>
    <w:rsid w:val="002B3B4F"/>
    <w:rsid w:val="002B3CF8"/>
    <w:rsid w:val="002B3D00"/>
    <w:rsid w:val="002B3E5E"/>
    <w:rsid w:val="002B3EC8"/>
    <w:rsid w:val="002B3FB0"/>
    <w:rsid w:val="002B408A"/>
    <w:rsid w:val="002B40AB"/>
    <w:rsid w:val="002B410A"/>
    <w:rsid w:val="002B43A5"/>
    <w:rsid w:val="002B43F8"/>
    <w:rsid w:val="002B4476"/>
    <w:rsid w:val="002B45CA"/>
    <w:rsid w:val="002B462C"/>
    <w:rsid w:val="002B4782"/>
    <w:rsid w:val="002B49A4"/>
    <w:rsid w:val="002B4AC2"/>
    <w:rsid w:val="002B4B19"/>
    <w:rsid w:val="002B4DA8"/>
    <w:rsid w:val="002B4E5E"/>
    <w:rsid w:val="002B4FF4"/>
    <w:rsid w:val="002B5235"/>
    <w:rsid w:val="002B52E8"/>
    <w:rsid w:val="002B5409"/>
    <w:rsid w:val="002B55E2"/>
    <w:rsid w:val="002B563C"/>
    <w:rsid w:val="002B5657"/>
    <w:rsid w:val="002B58C2"/>
    <w:rsid w:val="002B5937"/>
    <w:rsid w:val="002B5A86"/>
    <w:rsid w:val="002B5A8A"/>
    <w:rsid w:val="002B5AB0"/>
    <w:rsid w:val="002B5AF2"/>
    <w:rsid w:val="002B5C54"/>
    <w:rsid w:val="002B5C7B"/>
    <w:rsid w:val="002B5D07"/>
    <w:rsid w:val="002B5DF0"/>
    <w:rsid w:val="002B5ED7"/>
    <w:rsid w:val="002B5EDE"/>
    <w:rsid w:val="002B5EEC"/>
    <w:rsid w:val="002B5FB0"/>
    <w:rsid w:val="002B5FD5"/>
    <w:rsid w:val="002B60A7"/>
    <w:rsid w:val="002B61D3"/>
    <w:rsid w:val="002B63C0"/>
    <w:rsid w:val="002B63D8"/>
    <w:rsid w:val="002B653F"/>
    <w:rsid w:val="002B66DD"/>
    <w:rsid w:val="002B6871"/>
    <w:rsid w:val="002B6873"/>
    <w:rsid w:val="002B68E5"/>
    <w:rsid w:val="002B6B40"/>
    <w:rsid w:val="002B6BEA"/>
    <w:rsid w:val="002B6C96"/>
    <w:rsid w:val="002B6D88"/>
    <w:rsid w:val="002B6F8E"/>
    <w:rsid w:val="002B7106"/>
    <w:rsid w:val="002B71B2"/>
    <w:rsid w:val="002B730C"/>
    <w:rsid w:val="002B73A8"/>
    <w:rsid w:val="002B743B"/>
    <w:rsid w:val="002B7560"/>
    <w:rsid w:val="002B78B2"/>
    <w:rsid w:val="002B79B5"/>
    <w:rsid w:val="002B79CA"/>
    <w:rsid w:val="002B7A47"/>
    <w:rsid w:val="002B7AC6"/>
    <w:rsid w:val="002B7B02"/>
    <w:rsid w:val="002B7BCE"/>
    <w:rsid w:val="002B7D44"/>
    <w:rsid w:val="002B7D9B"/>
    <w:rsid w:val="002B7E6D"/>
    <w:rsid w:val="002B7F3D"/>
    <w:rsid w:val="002B7FE1"/>
    <w:rsid w:val="002C012A"/>
    <w:rsid w:val="002C02C5"/>
    <w:rsid w:val="002C02D9"/>
    <w:rsid w:val="002C065C"/>
    <w:rsid w:val="002C06C9"/>
    <w:rsid w:val="002C076D"/>
    <w:rsid w:val="002C0895"/>
    <w:rsid w:val="002C096E"/>
    <w:rsid w:val="002C09FA"/>
    <w:rsid w:val="002C0B00"/>
    <w:rsid w:val="002C0B80"/>
    <w:rsid w:val="002C0E0F"/>
    <w:rsid w:val="002C0FB1"/>
    <w:rsid w:val="002C10FE"/>
    <w:rsid w:val="002C15BC"/>
    <w:rsid w:val="002C19DA"/>
    <w:rsid w:val="002C1CA0"/>
    <w:rsid w:val="002C1D01"/>
    <w:rsid w:val="002C1DE9"/>
    <w:rsid w:val="002C1E1D"/>
    <w:rsid w:val="002C1E25"/>
    <w:rsid w:val="002C1EA7"/>
    <w:rsid w:val="002C1EC4"/>
    <w:rsid w:val="002C1EC8"/>
    <w:rsid w:val="002C1FE4"/>
    <w:rsid w:val="002C20E0"/>
    <w:rsid w:val="002C20F4"/>
    <w:rsid w:val="002C2291"/>
    <w:rsid w:val="002C233D"/>
    <w:rsid w:val="002C23E4"/>
    <w:rsid w:val="002C2640"/>
    <w:rsid w:val="002C27C5"/>
    <w:rsid w:val="002C2AD1"/>
    <w:rsid w:val="002C2B82"/>
    <w:rsid w:val="002C2BF9"/>
    <w:rsid w:val="002C2C81"/>
    <w:rsid w:val="002C2DBE"/>
    <w:rsid w:val="002C2ED1"/>
    <w:rsid w:val="002C2FB5"/>
    <w:rsid w:val="002C2FF5"/>
    <w:rsid w:val="002C30ED"/>
    <w:rsid w:val="002C310A"/>
    <w:rsid w:val="002C311D"/>
    <w:rsid w:val="002C353E"/>
    <w:rsid w:val="002C3643"/>
    <w:rsid w:val="002C37A1"/>
    <w:rsid w:val="002C385D"/>
    <w:rsid w:val="002C393E"/>
    <w:rsid w:val="002C395A"/>
    <w:rsid w:val="002C395D"/>
    <w:rsid w:val="002C3AC3"/>
    <w:rsid w:val="002C3D0F"/>
    <w:rsid w:val="002C3E10"/>
    <w:rsid w:val="002C3EAA"/>
    <w:rsid w:val="002C3EF7"/>
    <w:rsid w:val="002C4147"/>
    <w:rsid w:val="002C41EF"/>
    <w:rsid w:val="002C4297"/>
    <w:rsid w:val="002C42C0"/>
    <w:rsid w:val="002C43F9"/>
    <w:rsid w:val="002C44C7"/>
    <w:rsid w:val="002C4560"/>
    <w:rsid w:val="002C46D2"/>
    <w:rsid w:val="002C480D"/>
    <w:rsid w:val="002C4868"/>
    <w:rsid w:val="002C4AA8"/>
    <w:rsid w:val="002C4B0A"/>
    <w:rsid w:val="002C4B25"/>
    <w:rsid w:val="002C4C69"/>
    <w:rsid w:val="002C4D12"/>
    <w:rsid w:val="002C4F64"/>
    <w:rsid w:val="002C50C2"/>
    <w:rsid w:val="002C51D2"/>
    <w:rsid w:val="002C5732"/>
    <w:rsid w:val="002C5989"/>
    <w:rsid w:val="002C59DD"/>
    <w:rsid w:val="002C5B62"/>
    <w:rsid w:val="002C5B94"/>
    <w:rsid w:val="002C5E62"/>
    <w:rsid w:val="002C605A"/>
    <w:rsid w:val="002C6155"/>
    <w:rsid w:val="002C618F"/>
    <w:rsid w:val="002C622C"/>
    <w:rsid w:val="002C64C9"/>
    <w:rsid w:val="002C66CE"/>
    <w:rsid w:val="002C67A5"/>
    <w:rsid w:val="002C6807"/>
    <w:rsid w:val="002C6A44"/>
    <w:rsid w:val="002C6C5A"/>
    <w:rsid w:val="002C6DA5"/>
    <w:rsid w:val="002C6FE1"/>
    <w:rsid w:val="002C70F2"/>
    <w:rsid w:val="002C7236"/>
    <w:rsid w:val="002C7240"/>
    <w:rsid w:val="002C72F0"/>
    <w:rsid w:val="002C7472"/>
    <w:rsid w:val="002C7553"/>
    <w:rsid w:val="002C7557"/>
    <w:rsid w:val="002C75A7"/>
    <w:rsid w:val="002C77DF"/>
    <w:rsid w:val="002C7BC3"/>
    <w:rsid w:val="002C7C22"/>
    <w:rsid w:val="002C7D6D"/>
    <w:rsid w:val="002C7EC3"/>
    <w:rsid w:val="002C7ECA"/>
    <w:rsid w:val="002D011D"/>
    <w:rsid w:val="002D01A8"/>
    <w:rsid w:val="002D0219"/>
    <w:rsid w:val="002D0248"/>
    <w:rsid w:val="002D050A"/>
    <w:rsid w:val="002D051C"/>
    <w:rsid w:val="002D06FC"/>
    <w:rsid w:val="002D0771"/>
    <w:rsid w:val="002D0867"/>
    <w:rsid w:val="002D08B7"/>
    <w:rsid w:val="002D0A8B"/>
    <w:rsid w:val="002D0AEE"/>
    <w:rsid w:val="002D0D97"/>
    <w:rsid w:val="002D1139"/>
    <w:rsid w:val="002D11A5"/>
    <w:rsid w:val="002D1238"/>
    <w:rsid w:val="002D13E0"/>
    <w:rsid w:val="002D16EF"/>
    <w:rsid w:val="002D198E"/>
    <w:rsid w:val="002D1BB6"/>
    <w:rsid w:val="002D1D28"/>
    <w:rsid w:val="002D1D50"/>
    <w:rsid w:val="002D1D8D"/>
    <w:rsid w:val="002D1DEC"/>
    <w:rsid w:val="002D1E9C"/>
    <w:rsid w:val="002D21BD"/>
    <w:rsid w:val="002D241F"/>
    <w:rsid w:val="002D25B6"/>
    <w:rsid w:val="002D27E0"/>
    <w:rsid w:val="002D2842"/>
    <w:rsid w:val="002D29DB"/>
    <w:rsid w:val="002D2B52"/>
    <w:rsid w:val="002D2C9F"/>
    <w:rsid w:val="002D2E04"/>
    <w:rsid w:val="002D3196"/>
    <w:rsid w:val="002D3281"/>
    <w:rsid w:val="002D32DF"/>
    <w:rsid w:val="002D3374"/>
    <w:rsid w:val="002D3476"/>
    <w:rsid w:val="002D34B5"/>
    <w:rsid w:val="002D38FB"/>
    <w:rsid w:val="002D397A"/>
    <w:rsid w:val="002D3981"/>
    <w:rsid w:val="002D39C1"/>
    <w:rsid w:val="002D3A59"/>
    <w:rsid w:val="002D3BBE"/>
    <w:rsid w:val="002D3CC8"/>
    <w:rsid w:val="002D3DA3"/>
    <w:rsid w:val="002D3DAB"/>
    <w:rsid w:val="002D3DF6"/>
    <w:rsid w:val="002D4002"/>
    <w:rsid w:val="002D4031"/>
    <w:rsid w:val="002D41AC"/>
    <w:rsid w:val="002D4203"/>
    <w:rsid w:val="002D4470"/>
    <w:rsid w:val="002D45AA"/>
    <w:rsid w:val="002D45AE"/>
    <w:rsid w:val="002D464F"/>
    <w:rsid w:val="002D4793"/>
    <w:rsid w:val="002D47F5"/>
    <w:rsid w:val="002D4825"/>
    <w:rsid w:val="002D48F2"/>
    <w:rsid w:val="002D4AA0"/>
    <w:rsid w:val="002D4BB2"/>
    <w:rsid w:val="002D4E5C"/>
    <w:rsid w:val="002D4F0F"/>
    <w:rsid w:val="002D51EC"/>
    <w:rsid w:val="002D52B3"/>
    <w:rsid w:val="002D53F1"/>
    <w:rsid w:val="002D548D"/>
    <w:rsid w:val="002D558F"/>
    <w:rsid w:val="002D55E0"/>
    <w:rsid w:val="002D55E2"/>
    <w:rsid w:val="002D5693"/>
    <w:rsid w:val="002D56B8"/>
    <w:rsid w:val="002D5703"/>
    <w:rsid w:val="002D58E3"/>
    <w:rsid w:val="002D5E4A"/>
    <w:rsid w:val="002D5F64"/>
    <w:rsid w:val="002D603B"/>
    <w:rsid w:val="002D60ED"/>
    <w:rsid w:val="002D6238"/>
    <w:rsid w:val="002D63DF"/>
    <w:rsid w:val="002D6439"/>
    <w:rsid w:val="002D653E"/>
    <w:rsid w:val="002D65BA"/>
    <w:rsid w:val="002D67B8"/>
    <w:rsid w:val="002D67CC"/>
    <w:rsid w:val="002D6899"/>
    <w:rsid w:val="002D6C7D"/>
    <w:rsid w:val="002D6D38"/>
    <w:rsid w:val="002D6DAE"/>
    <w:rsid w:val="002D6DCA"/>
    <w:rsid w:val="002D6E5F"/>
    <w:rsid w:val="002D6FC5"/>
    <w:rsid w:val="002D7197"/>
    <w:rsid w:val="002D731E"/>
    <w:rsid w:val="002D7395"/>
    <w:rsid w:val="002D7423"/>
    <w:rsid w:val="002D74E9"/>
    <w:rsid w:val="002D7864"/>
    <w:rsid w:val="002D786F"/>
    <w:rsid w:val="002D7A12"/>
    <w:rsid w:val="002D7B2A"/>
    <w:rsid w:val="002D7BA0"/>
    <w:rsid w:val="002D7C28"/>
    <w:rsid w:val="002D7D60"/>
    <w:rsid w:val="002D7EA4"/>
    <w:rsid w:val="002E0034"/>
    <w:rsid w:val="002E012F"/>
    <w:rsid w:val="002E0137"/>
    <w:rsid w:val="002E02E2"/>
    <w:rsid w:val="002E0384"/>
    <w:rsid w:val="002E05CF"/>
    <w:rsid w:val="002E0672"/>
    <w:rsid w:val="002E083F"/>
    <w:rsid w:val="002E084D"/>
    <w:rsid w:val="002E088F"/>
    <w:rsid w:val="002E09D6"/>
    <w:rsid w:val="002E0A1C"/>
    <w:rsid w:val="002E0C24"/>
    <w:rsid w:val="002E0DBB"/>
    <w:rsid w:val="002E0E4A"/>
    <w:rsid w:val="002E102C"/>
    <w:rsid w:val="002E1297"/>
    <w:rsid w:val="002E13A4"/>
    <w:rsid w:val="002E1509"/>
    <w:rsid w:val="002E158C"/>
    <w:rsid w:val="002E1591"/>
    <w:rsid w:val="002E15D6"/>
    <w:rsid w:val="002E1810"/>
    <w:rsid w:val="002E1811"/>
    <w:rsid w:val="002E187D"/>
    <w:rsid w:val="002E1ACA"/>
    <w:rsid w:val="002E1ADF"/>
    <w:rsid w:val="002E1AE4"/>
    <w:rsid w:val="002E1D35"/>
    <w:rsid w:val="002E1DD9"/>
    <w:rsid w:val="002E1F5C"/>
    <w:rsid w:val="002E20E4"/>
    <w:rsid w:val="002E20F0"/>
    <w:rsid w:val="002E23CA"/>
    <w:rsid w:val="002E23E9"/>
    <w:rsid w:val="002E2484"/>
    <w:rsid w:val="002E251B"/>
    <w:rsid w:val="002E261E"/>
    <w:rsid w:val="002E276A"/>
    <w:rsid w:val="002E277D"/>
    <w:rsid w:val="002E27D0"/>
    <w:rsid w:val="002E29D8"/>
    <w:rsid w:val="002E2B37"/>
    <w:rsid w:val="002E2C89"/>
    <w:rsid w:val="002E2CF1"/>
    <w:rsid w:val="002E2D40"/>
    <w:rsid w:val="002E2DEA"/>
    <w:rsid w:val="002E2E1D"/>
    <w:rsid w:val="002E2ECD"/>
    <w:rsid w:val="002E315E"/>
    <w:rsid w:val="002E321E"/>
    <w:rsid w:val="002E32C8"/>
    <w:rsid w:val="002E355C"/>
    <w:rsid w:val="002E36E3"/>
    <w:rsid w:val="002E3742"/>
    <w:rsid w:val="002E37A7"/>
    <w:rsid w:val="002E37FF"/>
    <w:rsid w:val="002E3854"/>
    <w:rsid w:val="002E3ADD"/>
    <w:rsid w:val="002E3BA6"/>
    <w:rsid w:val="002E3CEE"/>
    <w:rsid w:val="002E3D45"/>
    <w:rsid w:val="002E3D68"/>
    <w:rsid w:val="002E3DD8"/>
    <w:rsid w:val="002E3FCA"/>
    <w:rsid w:val="002E42D2"/>
    <w:rsid w:val="002E454D"/>
    <w:rsid w:val="002E4799"/>
    <w:rsid w:val="002E4ADA"/>
    <w:rsid w:val="002E4B49"/>
    <w:rsid w:val="002E4BF2"/>
    <w:rsid w:val="002E4C84"/>
    <w:rsid w:val="002E4E50"/>
    <w:rsid w:val="002E4F83"/>
    <w:rsid w:val="002E525F"/>
    <w:rsid w:val="002E533C"/>
    <w:rsid w:val="002E53B3"/>
    <w:rsid w:val="002E54B2"/>
    <w:rsid w:val="002E5670"/>
    <w:rsid w:val="002E5833"/>
    <w:rsid w:val="002E58D3"/>
    <w:rsid w:val="002E592D"/>
    <w:rsid w:val="002E5B82"/>
    <w:rsid w:val="002E5CA9"/>
    <w:rsid w:val="002E5D3C"/>
    <w:rsid w:val="002E5F12"/>
    <w:rsid w:val="002E5F5F"/>
    <w:rsid w:val="002E6245"/>
    <w:rsid w:val="002E6472"/>
    <w:rsid w:val="002E6504"/>
    <w:rsid w:val="002E6590"/>
    <w:rsid w:val="002E65F4"/>
    <w:rsid w:val="002E662A"/>
    <w:rsid w:val="002E6988"/>
    <w:rsid w:val="002E6A3E"/>
    <w:rsid w:val="002E6B60"/>
    <w:rsid w:val="002E6B84"/>
    <w:rsid w:val="002E6B8F"/>
    <w:rsid w:val="002E6CEB"/>
    <w:rsid w:val="002E6E2A"/>
    <w:rsid w:val="002E6E37"/>
    <w:rsid w:val="002E6E55"/>
    <w:rsid w:val="002E6FEA"/>
    <w:rsid w:val="002E72C1"/>
    <w:rsid w:val="002E730F"/>
    <w:rsid w:val="002E731D"/>
    <w:rsid w:val="002E737B"/>
    <w:rsid w:val="002E770B"/>
    <w:rsid w:val="002E7844"/>
    <w:rsid w:val="002E785F"/>
    <w:rsid w:val="002E78A1"/>
    <w:rsid w:val="002E7B2D"/>
    <w:rsid w:val="002E7C5B"/>
    <w:rsid w:val="002E7CA2"/>
    <w:rsid w:val="002E7EA1"/>
    <w:rsid w:val="002E7EE6"/>
    <w:rsid w:val="002F000D"/>
    <w:rsid w:val="002F0316"/>
    <w:rsid w:val="002F037A"/>
    <w:rsid w:val="002F0438"/>
    <w:rsid w:val="002F0691"/>
    <w:rsid w:val="002F0696"/>
    <w:rsid w:val="002F0854"/>
    <w:rsid w:val="002F0868"/>
    <w:rsid w:val="002F088D"/>
    <w:rsid w:val="002F08C5"/>
    <w:rsid w:val="002F0907"/>
    <w:rsid w:val="002F0954"/>
    <w:rsid w:val="002F09C8"/>
    <w:rsid w:val="002F0AC5"/>
    <w:rsid w:val="002F0BE3"/>
    <w:rsid w:val="002F0F22"/>
    <w:rsid w:val="002F0FBE"/>
    <w:rsid w:val="002F11F2"/>
    <w:rsid w:val="002F1322"/>
    <w:rsid w:val="002F1447"/>
    <w:rsid w:val="002F146E"/>
    <w:rsid w:val="002F1479"/>
    <w:rsid w:val="002F152B"/>
    <w:rsid w:val="002F15E7"/>
    <w:rsid w:val="002F1626"/>
    <w:rsid w:val="002F1638"/>
    <w:rsid w:val="002F1901"/>
    <w:rsid w:val="002F19C5"/>
    <w:rsid w:val="002F1B14"/>
    <w:rsid w:val="002F1E20"/>
    <w:rsid w:val="002F1FC1"/>
    <w:rsid w:val="002F20F9"/>
    <w:rsid w:val="002F2103"/>
    <w:rsid w:val="002F2222"/>
    <w:rsid w:val="002F24A5"/>
    <w:rsid w:val="002F25A1"/>
    <w:rsid w:val="002F2ABC"/>
    <w:rsid w:val="002F2DF6"/>
    <w:rsid w:val="002F30E0"/>
    <w:rsid w:val="002F310B"/>
    <w:rsid w:val="002F315A"/>
    <w:rsid w:val="002F3405"/>
    <w:rsid w:val="002F342C"/>
    <w:rsid w:val="002F3773"/>
    <w:rsid w:val="002F3976"/>
    <w:rsid w:val="002F3994"/>
    <w:rsid w:val="002F3CF3"/>
    <w:rsid w:val="002F3D44"/>
    <w:rsid w:val="002F3DEE"/>
    <w:rsid w:val="002F42BC"/>
    <w:rsid w:val="002F463D"/>
    <w:rsid w:val="002F4737"/>
    <w:rsid w:val="002F4A50"/>
    <w:rsid w:val="002F4B1E"/>
    <w:rsid w:val="002F4D1B"/>
    <w:rsid w:val="002F4D63"/>
    <w:rsid w:val="002F4DBC"/>
    <w:rsid w:val="002F4E5D"/>
    <w:rsid w:val="002F4E64"/>
    <w:rsid w:val="002F4E81"/>
    <w:rsid w:val="002F4EFF"/>
    <w:rsid w:val="002F50E2"/>
    <w:rsid w:val="002F50FD"/>
    <w:rsid w:val="002F5141"/>
    <w:rsid w:val="002F516B"/>
    <w:rsid w:val="002F51D0"/>
    <w:rsid w:val="002F525F"/>
    <w:rsid w:val="002F529A"/>
    <w:rsid w:val="002F55AC"/>
    <w:rsid w:val="002F56C2"/>
    <w:rsid w:val="002F56FF"/>
    <w:rsid w:val="002F57B5"/>
    <w:rsid w:val="002F589E"/>
    <w:rsid w:val="002F5B88"/>
    <w:rsid w:val="002F5C5B"/>
    <w:rsid w:val="002F5D10"/>
    <w:rsid w:val="002F5FDB"/>
    <w:rsid w:val="002F616A"/>
    <w:rsid w:val="002F627A"/>
    <w:rsid w:val="002F649C"/>
    <w:rsid w:val="002F670A"/>
    <w:rsid w:val="002F67B3"/>
    <w:rsid w:val="002F6865"/>
    <w:rsid w:val="002F6AC4"/>
    <w:rsid w:val="002F6CDA"/>
    <w:rsid w:val="002F6DEB"/>
    <w:rsid w:val="002F6E43"/>
    <w:rsid w:val="002F6FD4"/>
    <w:rsid w:val="002F7037"/>
    <w:rsid w:val="002F70AA"/>
    <w:rsid w:val="002F7148"/>
    <w:rsid w:val="002F72A4"/>
    <w:rsid w:val="002F72FD"/>
    <w:rsid w:val="002F7690"/>
    <w:rsid w:val="002F7A7A"/>
    <w:rsid w:val="002F7C31"/>
    <w:rsid w:val="002F7CC2"/>
    <w:rsid w:val="002F7E66"/>
    <w:rsid w:val="002F7FB1"/>
    <w:rsid w:val="003000F1"/>
    <w:rsid w:val="003003D8"/>
    <w:rsid w:val="00300430"/>
    <w:rsid w:val="00300489"/>
    <w:rsid w:val="0030051B"/>
    <w:rsid w:val="00300561"/>
    <w:rsid w:val="003006DE"/>
    <w:rsid w:val="0030084D"/>
    <w:rsid w:val="00300A6F"/>
    <w:rsid w:val="00300BB2"/>
    <w:rsid w:val="00300E1D"/>
    <w:rsid w:val="0030124B"/>
    <w:rsid w:val="00301274"/>
    <w:rsid w:val="00301510"/>
    <w:rsid w:val="003016FF"/>
    <w:rsid w:val="0030176C"/>
    <w:rsid w:val="0030177A"/>
    <w:rsid w:val="00301791"/>
    <w:rsid w:val="0030186C"/>
    <w:rsid w:val="003018ED"/>
    <w:rsid w:val="00301935"/>
    <w:rsid w:val="003019EC"/>
    <w:rsid w:val="00301A21"/>
    <w:rsid w:val="00301A66"/>
    <w:rsid w:val="00301AF6"/>
    <w:rsid w:val="00301CBB"/>
    <w:rsid w:val="00301EC2"/>
    <w:rsid w:val="00301FEE"/>
    <w:rsid w:val="00302045"/>
    <w:rsid w:val="00302108"/>
    <w:rsid w:val="003021B5"/>
    <w:rsid w:val="0030239B"/>
    <w:rsid w:val="0030241E"/>
    <w:rsid w:val="00302451"/>
    <w:rsid w:val="0030274B"/>
    <w:rsid w:val="00302753"/>
    <w:rsid w:val="0030279F"/>
    <w:rsid w:val="003028E1"/>
    <w:rsid w:val="003029A1"/>
    <w:rsid w:val="00302B62"/>
    <w:rsid w:val="00302EAB"/>
    <w:rsid w:val="00302F26"/>
    <w:rsid w:val="00302FA3"/>
    <w:rsid w:val="0030311A"/>
    <w:rsid w:val="00303151"/>
    <w:rsid w:val="0030318A"/>
    <w:rsid w:val="0030330F"/>
    <w:rsid w:val="00303319"/>
    <w:rsid w:val="003033AF"/>
    <w:rsid w:val="003034D4"/>
    <w:rsid w:val="00303558"/>
    <w:rsid w:val="003037E8"/>
    <w:rsid w:val="003038D3"/>
    <w:rsid w:val="003038F1"/>
    <w:rsid w:val="0030391B"/>
    <w:rsid w:val="00303924"/>
    <w:rsid w:val="003039C4"/>
    <w:rsid w:val="003039DA"/>
    <w:rsid w:val="00303ABF"/>
    <w:rsid w:val="00303B27"/>
    <w:rsid w:val="00303CE8"/>
    <w:rsid w:val="00303E73"/>
    <w:rsid w:val="00304029"/>
    <w:rsid w:val="0030407A"/>
    <w:rsid w:val="00304271"/>
    <w:rsid w:val="003043D2"/>
    <w:rsid w:val="003043D7"/>
    <w:rsid w:val="0030445B"/>
    <w:rsid w:val="003044C6"/>
    <w:rsid w:val="003044E8"/>
    <w:rsid w:val="00304520"/>
    <w:rsid w:val="0030482C"/>
    <w:rsid w:val="00304B91"/>
    <w:rsid w:val="00304CC7"/>
    <w:rsid w:val="00304DE4"/>
    <w:rsid w:val="00304ED7"/>
    <w:rsid w:val="00304FD5"/>
    <w:rsid w:val="003050CA"/>
    <w:rsid w:val="0030511A"/>
    <w:rsid w:val="003051A8"/>
    <w:rsid w:val="0030531B"/>
    <w:rsid w:val="003054A2"/>
    <w:rsid w:val="003055E0"/>
    <w:rsid w:val="0030599F"/>
    <w:rsid w:val="003059FE"/>
    <w:rsid w:val="00305A29"/>
    <w:rsid w:val="00305B7E"/>
    <w:rsid w:val="00305C7B"/>
    <w:rsid w:val="00305D3F"/>
    <w:rsid w:val="00305D81"/>
    <w:rsid w:val="00305DC3"/>
    <w:rsid w:val="003060D9"/>
    <w:rsid w:val="0030671E"/>
    <w:rsid w:val="00306A50"/>
    <w:rsid w:val="00306A77"/>
    <w:rsid w:val="00306D1A"/>
    <w:rsid w:val="00306DF4"/>
    <w:rsid w:val="00306FEF"/>
    <w:rsid w:val="00307313"/>
    <w:rsid w:val="0030732D"/>
    <w:rsid w:val="00307415"/>
    <w:rsid w:val="00307554"/>
    <w:rsid w:val="0030769F"/>
    <w:rsid w:val="00307910"/>
    <w:rsid w:val="003079C2"/>
    <w:rsid w:val="003079D0"/>
    <w:rsid w:val="00307A66"/>
    <w:rsid w:val="00307D37"/>
    <w:rsid w:val="00307DFA"/>
    <w:rsid w:val="00310094"/>
    <w:rsid w:val="00310260"/>
    <w:rsid w:val="003103A5"/>
    <w:rsid w:val="003104D2"/>
    <w:rsid w:val="00310515"/>
    <w:rsid w:val="003105C1"/>
    <w:rsid w:val="003105DB"/>
    <w:rsid w:val="00310640"/>
    <w:rsid w:val="00310691"/>
    <w:rsid w:val="0031075A"/>
    <w:rsid w:val="003109D4"/>
    <w:rsid w:val="00310A3C"/>
    <w:rsid w:val="00310BAA"/>
    <w:rsid w:val="00310C53"/>
    <w:rsid w:val="00310C8F"/>
    <w:rsid w:val="00310F8E"/>
    <w:rsid w:val="003110C9"/>
    <w:rsid w:val="00311264"/>
    <w:rsid w:val="0031167D"/>
    <w:rsid w:val="003116D2"/>
    <w:rsid w:val="00311962"/>
    <w:rsid w:val="00311E50"/>
    <w:rsid w:val="00311E6A"/>
    <w:rsid w:val="00311E86"/>
    <w:rsid w:val="00311F27"/>
    <w:rsid w:val="00311F91"/>
    <w:rsid w:val="0031223C"/>
    <w:rsid w:val="00312614"/>
    <w:rsid w:val="0031268F"/>
    <w:rsid w:val="00312BBA"/>
    <w:rsid w:val="00312C92"/>
    <w:rsid w:val="00312D1D"/>
    <w:rsid w:val="00312D53"/>
    <w:rsid w:val="00312E36"/>
    <w:rsid w:val="00312EC7"/>
    <w:rsid w:val="0031325C"/>
    <w:rsid w:val="003134AC"/>
    <w:rsid w:val="0031371E"/>
    <w:rsid w:val="00313A3F"/>
    <w:rsid w:val="00313A55"/>
    <w:rsid w:val="00313AA5"/>
    <w:rsid w:val="00313AD6"/>
    <w:rsid w:val="00313FC5"/>
    <w:rsid w:val="003142F1"/>
    <w:rsid w:val="003143B6"/>
    <w:rsid w:val="0031456C"/>
    <w:rsid w:val="00314889"/>
    <w:rsid w:val="003149F3"/>
    <w:rsid w:val="00314D16"/>
    <w:rsid w:val="0031507E"/>
    <w:rsid w:val="0031520E"/>
    <w:rsid w:val="00315293"/>
    <w:rsid w:val="0031552C"/>
    <w:rsid w:val="00315593"/>
    <w:rsid w:val="0031569F"/>
    <w:rsid w:val="003157B5"/>
    <w:rsid w:val="00315A71"/>
    <w:rsid w:val="00315BCB"/>
    <w:rsid w:val="00315CB3"/>
    <w:rsid w:val="00315D0E"/>
    <w:rsid w:val="00315ECC"/>
    <w:rsid w:val="00316121"/>
    <w:rsid w:val="003162FA"/>
    <w:rsid w:val="0031636F"/>
    <w:rsid w:val="0031643A"/>
    <w:rsid w:val="003165F8"/>
    <w:rsid w:val="0031663D"/>
    <w:rsid w:val="003166A1"/>
    <w:rsid w:val="003166A4"/>
    <w:rsid w:val="00316784"/>
    <w:rsid w:val="0031684A"/>
    <w:rsid w:val="00316BEB"/>
    <w:rsid w:val="00316DE5"/>
    <w:rsid w:val="00317090"/>
    <w:rsid w:val="0031725E"/>
    <w:rsid w:val="003173B8"/>
    <w:rsid w:val="003173F3"/>
    <w:rsid w:val="0031768C"/>
    <w:rsid w:val="003177DB"/>
    <w:rsid w:val="00317CF5"/>
    <w:rsid w:val="003201E5"/>
    <w:rsid w:val="003204BB"/>
    <w:rsid w:val="00320552"/>
    <w:rsid w:val="003205B1"/>
    <w:rsid w:val="0032089F"/>
    <w:rsid w:val="00320978"/>
    <w:rsid w:val="00320C02"/>
    <w:rsid w:val="00320CA7"/>
    <w:rsid w:val="00320CFE"/>
    <w:rsid w:val="003212F3"/>
    <w:rsid w:val="0032130E"/>
    <w:rsid w:val="00321372"/>
    <w:rsid w:val="003213D9"/>
    <w:rsid w:val="0032154B"/>
    <w:rsid w:val="0032159B"/>
    <w:rsid w:val="00321652"/>
    <w:rsid w:val="0032167D"/>
    <w:rsid w:val="0032192F"/>
    <w:rsid w:val="00321948"/>
    <w:rsid w:val="00321A0E"/>
    <w:rsid w:val="00321A83"/>
    <w:rsid w:val="00321C11"/>
    <w:rsid w:val="00321CBA"/>
    <w:rsid w:val="00321D2E"/>
    <w:rsid w:val="00321D7C"/>
    <w:rsid w:val="00321E2B"/>
    <w:rsid w:val="00321E6A"/>
    <w:rsid w:val="003220A7"/>
    <w:rsid w:val="003220E4"/>
    <w:rsid w:val="003221F7"/>
    <w:rsid w:val="003222ED"/>
    <w:rsid w:val="00322694"/>
    <w:rsid w:val="003226A9"/>
    <w:rsid w:val="003229B3"/>
    <w:rsid w:val="00322BC4"/>
    <w:rsid w:val="00322CA3"/>
    <w:rsid w:val="00322F47"/>
    <w:rsid w:val="003230D9"/>
    <w:rsid w:val="00323115"/>
    <w:rsid w:val="0032319C"/>
    <w:rsid w:val="00323392"/>
    <w:rsid w:val="003233D9"/>
    <w:rsid w:val="0032350D"/>
    <w:rsid w:val="00323593"/>
    <w:rsid w:val="003235AA"/>
    <w:rsid w:val="003235B3"/>
    <w:rsid w:val="00323709"/>
    <w:rsid w:val="003237DB"/>
    <w:rsid w:val="003239BD"/>
    <w:rsid w:val="00323B3D"/>
    <w:rsid w:val="00323CBD"/>
    <w:rsid w:val="00323D7B"/>
    <w:rsid w:val="00323DDC"/>
    <w:rsid w:val="0032411E"/>
    <w:rsid w:val="003249F4"/>
    <w:rsid w:val="00324AD5"/>
    <w:rsid w:val="00324C36"/>
    <w:rsid w:val="00324CE3"/>
    <w:rsid w:val="00324FAA"/>
    <w:rsid w:val="00324FB6"/>
    <w:rsid w:val="00324FF7"/>
    <w:rsid w:val="00325083"/>
    <w:rsid w:val="003250A0"/>
    <w:rsid w:val="00325196"/>
    <w:rsid w:val="00325307"/>
    <w:rsid w:val="0032537D"/>
    <w:rsid w:val="00325592"/>
    <w:rsid w:val="003256D6"/>
    <w:rsid w:val="00325936"/>
    <w:rsid w:val="0032593F"/>
    <w:rsid w:val="00325C4B"/>
    <w:rsid w:val="00325D5B"/>
    <w:rsid w:val="00325D9B"/>
    <w:rsid w:val="00325DF4"/>
    <w:rsid w:val="00325E8B"/>
    <w:rsid w:val="00326313"/>
    <w:rsid w:val="0032639A"/>
    <w:rsid w:val="003266D3"/>
    <w:rsid w:val="00326763"/>
    <w:rsid w:val="003268A9"/>
    <w:rsid w:val="00326998"/>
    <w:rsid w:val="00326B74"/>
    <w:rsid w:val="00326C09"/>
    <w:rsid w:val="00326C59"/>
    <w:rsid w:val="00326C61"/>
    <w:rsid w:val="00326DAA"/>
    <w:rsid w:val="00327204"/>
    <w:rsid w:val="003273BB"/>
    <w:rsid w:val="003273CE"/>
    <w:rsid w:val="00327582"/>
    <w:rsid w:val="00327631"/>
    <w:rsid w:val="0032763A"/>
    <w:rsid w:val="00327823"/>
    <w:rsid w:val="00327C52"/>
    <w:rsid w:val="00327E63"/>
    <w:rsid w:val="00327E70"/>
    <w:rsid w:val="00327EA7"/>
    <w:rsid w:val="00327F2D"/>
    <w:rsid w:val="00330056"/>
    <w:rsid w:val="0033048F"/>
    <w:rsid w:val="0033056C"/>
    <w:rsid w:val="0033067E"/>
    <w:rsid w:val="00330728"/>
    <w:rsid w:val="00330786"/>
    <w:rsid w:val="003307D2"/>
    <w:rsid w:val="00330834"/>
    <w:rsid w:val="00330A00"/>
    <w:rsid w:val="00330ACE"/>
    <w:rsid w:val="00330B1A"/>
    <w:rsid w:val="00330B1E"/>
    <w:rsid w:val="00330EA7"/>
    <w:rsid w:val="00330F9E"/>
    <w:rsid w:val="0033101A"/>
    <w:rsid w:val="00331197"/>
    <w:rsid w:val="00331435"/>
    <w:rsid w:val="0033164C"/>
    <w:rsid w:val="00331694"/>
    <w:rsid w:val="003316E2"/>
    <w:rsid w:val="003317B1"/>
    <w:rsid w:val="0033184B"/>
    <w:rsid w:val="00331872"/>
    <w:rsid w:val="003318BD"/>
    <w:rsid w:val="00331BD9"/>
    <w:rsid w:val="00331E8E"/>
    <w:rsid w:val="00331EED"/>
    <w:rsid w:val="00331F6A"/>
    <w:rsid w:val="0033204F"/>
    <w:rsid w:val="003321D7"/>
    <w:rsid w:val="0033221D"/>
    <w:rsid w:val="00332263"/>
    <w:rsid w:val="003322AA"/>
    <w:rsid w:val="00332377"/>
    <w:rsid w:val="00332432"/>
    <w:rsid w:val="003324AD"/>
    <w:rsid w:val="00332519"/>
    <w:rsid w:val="003326E2"/>
    <w:rsid w:val="00332ABA"/>
    <w:rsid w:val="00332B15"/>
    <w:rsid w:val="00332F27"/>
    <w:rsid w:val="00332FD7"/>
    <w:rsid w:val="0033306C"/>
    <w:rsid w:val="003330B1"/>
    <w:rsid w:val="003331F6"/>
    <w:rsid w:val="003333B4"/>
    <w:rsid w:val="00333793"/>
    <w:rsid w:val="00333A52"/>
    <w:rsid w:val="00333E10"/>
    <w:rsid w:val="00333F19"/>
    <w:rsid w:val="00333F1B"/>
    <w:rsid w:val="00333FBC"/>
    <w:rsid w:val="003341E7"/>
    <w:rsid w:val="0033435B"/>
    <w:rsid w:val="0033441A"/>
    <w:rsid w:val="00334553"/>
    <w:rsid w:val="00334576"/>
    <w:rsid w:val="003346AF"/>
    <w:rsid w:val="003346C1"/>
    <w:rsid w:val="00334765"/>
    <w:rsid w:val="00334901"/>
    <w:rsid w:val="00334976"/>
    <w:rsid w:val="00334BFD"/>
    <w:rsid w:val="00334C83"/>
    <w:rsid w:val="00334CD0"/>
    <w:rsid w:val="00334D73"/>
    <w:rsid w:val="00334D78"/>
    <w:rsid w:val="00334D82"/>
    <w:rsid w:val="00334F5F"/>
    <w:rsid w:val="00334F92"/>
    <w:rsid w:val="00335677"/>
    <w:rsid w:val="003356B8"/>
    <w:rsid w:val="00335707"/>
    <w:rsid w:val="0033572C"/>
    <w:rsid w:val="00335865"/>
    <w:rsid w:val="003358C0"/>
    <w:rsid w:val="003359D5"/>
    <w:rsid w:val="00335BC4"/>
    <w:rsid w:val="00335C22"/>
    <w:rsid w:val="00335FB0"/>
    <w:rsid w:val="00335FF4"/>
    <w:rsid w:val="003360F2"/>
    <w:rsid w:val="0033614D"/>
    <w:rsid w:val="00336303"/>
    <w:rsid w:val="0033631C"/>
    <w:rsid w:val="00336366"/>
    <w:rsid w:val="00336580"/>
    <w:rsid w:val="00336829"/>
    <w:rsid w:val="0033686E"/>
    <w:rsid w:val="00336C19"/>
    <w:rsid w:val="00336C8F"/>
    <w:rsid w:val="00336D36"/>
    <w:rsid w:val="00336EF9"/>
    <w:rsid w:val="0033708A"/>
    <w:rsid w:val="00337361"/>
    <w:rsid w:val="00337370"/>
    <w:rsid w:val="0033767E"/>
    <w:rsid w:val="00337695"/>
    <w:rsid w:val="003376C5"/>
    <w:rsid w:val="003376DF"/>
    <w:rsid w:val="003377F1"/>
    <w:rsid w:val="00337B32"/>
    <w:rsid w:val="00337B70"/>
    <w:rsid w:val="00337BFE"/>
    <w:rsid w:val="00337D00"/>
    <w:rsid w:val="00337E20"/>
    <w:rsid w:val="00337F81"/>
    <w:rsid w:val="00337FB9"/>
    <w:rsid w:val="00337FC6"/>
    <w:rsid w:val="00337FEE"/>
    <w:rsid w:val="003401B9"/>
    <w:rsid w:val="003402D8"/>
    <w:rsid w:val="003402E1"/>
    <w:rsid w:val="0034042A"/>
    <w:rsid w:val="003405AA"/>
    <w:rsid w:val="0034067C"/>
    <w:rsid w:val="0034072E"/>
    <w:rsid w:val="00340818"/>
    <w:rsid w:val="00340922"/>
    <w:rsid w:val="00340B0B"/>
    <w:rsid w:val="00340BC0"/>
    <w:rsid w:val="00340D0E"/>
    <w:rsid w:val="00340D3C"/>
    <w:rsid w:val="00340DA2"/>
    <w:rsid w:val="00340E2C"/>
    <w:rsid w:val="00340EC5"/>
    <w:rsid w:val="00340FCD"/>
    <w:rsid w:val="003410E7"/>
    <w:rsid w:val="003414CD"/>
    <w:rsid w:val="003414D2"/>
    <w:rsid w:val="0034169F"/>
    <w:rsid w:val="00341761"/>
    <w:rsid w:val="00341800"/>
    <w:rsid w:val="00341941"/>
    <w:rsid w:val="003419A3"/>
    <w:rsid w:val="00341C74"/>
    <w:rsid w:val="003420B6"/>
    <w:rsid w:val="003422B0"/>
    <w:rsid w:val="003423B9"/>
    <w:rsid w:val="00342785"/>
    <w:rsid w:val="003428E4"/>
    <w:rsid w:val="00342A41"/>
    <w:rsid w:val="00342C25"/>
    <w:rsid w:val="00342CF6"/>
    <w:rsid w:val="003430EC"/>
    <w:rsid w:val="003431A8"/>
    <w:rsid w:val="003433EA"/>
    <w:rsid w:val="00343458"/>
    <w:rsid w:val="003437AC"/>
    <w:rsid w:val="003437D9"/>
    <w:rsid w:val="00343829"/>
    <w:rsid w:val="0034386D"/>
    <w:rsid w:val="003438B6"/>
    <w:rsid w:val="003439EB"/>
    <w:rsid w:val="00343A84"/>
    <w:rsid w:val="00343DF7"/>
    <w:rsid w:val="00343EDA"/>
    <w:rsid w:val="00343F4D"/>
    <w:rsid w:val="00344297"/>
    <w:rsid w:val="0034440B"/>
    <w:rsid w:val="00344482"/>
    <w:rsid w:val="0034476D"/>
    <w:rsid w:val="003447FA"/>
    <w:rsid w:val="00344808"/>
    <w:rsid w:val="0034487C"/>
    <w:rsid w:val="00344B60"/>
    <w:rsid w:val="00344C50"/>
    <w:rsid w:val="00345000"/>
    <w:rsid w:val="00345016"/>
    <w:rsid w:val="00345132"/>
    <w:rsid w:val="003453C5"/>
    <w:rsid w:val="0034550C"/>
    <w:rsid w:val="0034554E"/>
    <w:rsid w:val="0034557C"/>
    <w:rsid w:val="003455A1"/>
    <w:rsid w:val="003455F1"/>
    <w:rsid w:val="00345627"/>
    <w:rsid w:val="003457B2"/>
    <w:rsid w:val="00345975"/>
    <w:rsid w:val="003459FE"/>
    <w:rsid w:val="00345CDB"/>
    <w:rsid w:val="00345E53"/>
    <w:rsid w:val="00345E7E"/>
    <w:rsid w:val="00345ED4"/>
    <w:rsid w:val="00345FF2"/>
    <w:rsid w:val="00345FF4"/>
    <w:rsid w:val="00345FF8"/>
    <w:rsid w:val="00346051"/>
    <w:rsid w:val="00346135"/>
    <w:rsid w:val="00346194"/>
    <w:rsid w:val="003461C0"/>
    <w:rsid w:val="00346266"/>
    <w:rsid w:val="00346530"/>
    <w:rsid w:val="0034661E"/>
    <w:rsid w:val="003467AC"/>
    <w:rsid w:val="003469F7"/>
    <w:rsid w:val="00346AB5"/>
    <w:rsid w:val="00346ACB"/>
    <w:rsid w:val="00346B55"/>
    <w:rsid w:val="00346B91"/>
    <w:rsid w:val="00346FC9"/>
    <w:rsid w:val="0034720E"/>
    <w:rsid w:val="003473DA"/>
    <w:rsid w:val="003474D9"/>
    <w:rsid w:val="003474FE"/>
    <w:rsid w:val="00347638"/>
    <w:rsid w:val="0034766F"/>
    <w:rsid w:val="00347729"/>
    <w:rsid w:val="003477AE"/>
    <w:rsid w:val="003477DA"/>
    <w:rsid w:val="0034785D"/>
    <w:rsid w:val="003478B8"/>
    <w:rsid w:val="00347989"/>
    <w:rsid w:val="00347C2B"/>
    <w:rsid w:val="00347C52"/>
    <w:rsid w:val="00347E13"/>
    <w:rsid w:val="00347ECF"/>
    <w:rsid w:val="00350234"/>
    <w:rsid w:val="00350431"/>
    <w:rsid w:val="00350678"/>
    <w:rsid w:val="0035078F"/>
    <w:rsid w:val="0035080E"/>
    <w:rsid w:val="003509ED"/>
    <w:rsid w:val="00350B94"/>
    <w:rsid w:val="00350C6B"/>
    <w:rsid w:val="00350CC3"/>
    <w:rsid w:val="00350E77"/>
    <w:rsid w:val="00350F57"/>
    <w:rsid w:val="003510AF"/>
    <w:rsid w:val="0035112D"/>
    <w:rsid w:val="0035113F"/>
    <w:rsid w:val="003512EC"/>
    <w:rsid w:val="0035130E"/>
    <w:rsid w:val="0035145F"/>
    <w:rsid w:val="003515D5"/>
    <w:rsid w:val="00351669"/>
    <w:rsid w:val="003516B8"/>
    <w:rsid w:val="003517F1"/>
    <w:rsid w:val="003517F7"/>
    <w:rsid w:val="00351822"/>
    <w:rsid w:val="003519C9"/>
    <w:rsid w:val="00351BD4"/>
    <w:rsid w:val="00351C47"/>
    <w:rsid w:val="00351EE5"/>
    <w:rsid w:val="00351F27"/>
    <w:rsid w:val="00352084"/>
    <w:rsid w:val="0035235A"/>
    <w:rsid w:val="00352595"/>
    <w:rsid w:val="00352644"/>
    <w:rsid w:val="0035286B"/>
    <w:rsid w:val="00352ADF"/>
    <w:rsid w:val="00352BC7"/>
    <w:rsid w:val="00352BCD"/>
    <w:rsid w:val="00352C6A"/>
    <w:rsid w:val="00352C88"/>
    <w:rsid w:val="00352D6D"/>
    <w:rsid w:val="00352D98"/>
    <w:rsid w:val="00352ED4"/>
    <w:rsid w:val="00352F7D"/>
    <w:rsid w:val="0035303C"/>
    <w:rsid w:val="00353120"/>
    <w:rsid w:val="0035317F"/>
    <w:rsid w:val="003531A1"/>
    <w:rsid w:val="0035322B"/>
    <w:rsid w:val="0035344D"/>
    <w:rsid w:val="0035351D"/>
    <w:rsid w:val="003535CC"/>
    <w:rsid w:val="00353976"/>
    <w:rsid w:val="00353A8A"/>
    <w:rsid w:val="00353BFB"/>
    <w:rsid w:val="00353CFF"/>
    <w:rsid w:val="00353F5A"/>
    <w:rsid w:val="00354040"/>
    <w:rsid w:val="00354053"/>
    <w:rsid w:val="00354302"/>
    <w:rsid w:val="00354365"/>
    <w:rsid w:val="00354371"/>
    <w:rsid w:val="003546A2"/>
    <w:rsid w:val="00354919"/>
    <w:rsid w:val="00354ACB"/>
    <w:rsid w:val="00354BDD"/>
    <w:rsid w:val="00354CC7"/>
    <w:rsid w:val="00354E0D"/>
    <w:rsid w:val="00355012"/>
    <w:rsid w:val="00355048"/>
    <w:rsid w:val="00355076"/>
    <w:rsid w:val="00355138"/>
    <w:rsid w:val="003552EA"/>
    <w:rsid w:val="00355435"/>
    <w:rsid w:val="003558E7"/>
    <w:rsid w:val="00355913"/>
    <w:rsid w:val="00355C02"/>
    <w:rsid w:val="00355C44"/>
    <w:rsid w:val="00355C6B"/>
    <w:rsid w:val="00355DEA"/>
    <w:rsid w:val="00355F37"/>
    <w:rsid w:val="00356008"/>
    <w:rsid w:val="0035618A"/>
    <w:rsid w:val="003562EA"/>
    <w:rsid w:val="0035633A"/>
    <w:rsid w:val="00356367"/>
    <w:rsid w:val="00356464"/>
    <w:rsid w:val="003564CA"/>
    <w:rsid w:val="00356632"/>
    <w:rsid w:val="0035674C"/>
    <w:rsid w:val="003569C7"/>
    <w:rsid w:val="00356C4C"/>
    <w:rsid w:val="00356E08"/>
    <w:rsid w:val="00357030"/>
    <w:rsid w:val="00357089"/>
    <w:rsid w:val="003570E1"/>
    <w:rsid w:val="00357245"/>
    <w:rsid w:val="00357281"/>
    <w:rsid w:val="0035736A"/>
    <w:rsid w:val="0035740A"/>
    <w:rsid w:val="0035740C"/>
    <w:rsid w:val="003576C7"/>
    <w:rsid w:val="0035775D"/>
    <w:rsid w:val="00357A37"/>
    <w:rsid w:val="00357A6F"/>
    <w:rsid w:val="00357C77"/>
    <w:rsid w:val="00357D8B"/>
    <w:rsid w:val="00357E44"/>
    <w:rsid w:val="00357E7A"/>
    <w:rsid w:val="00357F27"/>
    <w:rsid w:val="00357FA9"/>
    <w:rsid w:val="00360025"/>
    <w:rsid w:val="0036012E"/>
    <w:rsid w:val="0036023F"/>
    <w:rsid w:val="003602A3"/>
    <w:rsid w:val="00360342"/>
    <w:rsid w:val="00360367"/>
    <w:rsid w:val="0036049B"/>
    <w:rsid w:val="003606A0"/>
    <w:rsid w:val="00360726"/>
    <w:rsid w:val="003608A0"/>
    <w:rsid w:val="00360953"/>
    <w:rsid w:val="00360960"/>
    <w:rsid w:val="00360A81"/>
    <w:rsid w:val="00360B9A"/>
    <w:rsid w:val="00360C08"/>
    <w:rsid w:val="00360E3A"/>
    <w:rsid w:val="00361012"/>
    <w:rsid w:val="00361027"/>
    <w:rsid w:val="0036105E"/>
    <w:rsid w:val="003610EA"/>
    <w:rsid w:val="003613C7"/>
    <w:rsid w:val="0036145E"/>
    <w:rsid w:val="00361499"/>
    <w:rsid w:val="003619E1"/>
    <w:rsid w:val="00361A2D"/>
    <w:rsid w:val="00361A62"/>
    <w:rsid w:val="00361C4D"/>
    <w:rsid w:val="00361C6A"/>
    <w:rsid w:val="00361CA9"/>
    <w:rsid w:val="00361D9D"/>
    <w:rsid w:val="00361DA2"/>
    <w:rsid w:val="0036218F"/>
    <w:rsid w:val="00362266"/>
    <w:rsid w:val="00362288"/>
    <w:rsid w:val="00362326"/>
    <w:rsid w:val="003626D1"/>
    <w:rsid w:val="0036275A"/>
    <w:rsid w:val="003628DE"/>
    <w:rsid w:val="0036293D"/>
    <w:rsid w:val="00362A12"/>
    <w:rsid w:val="00362AF5"/>
    <w:rsid w:val="00362B0B"/>
    <w:rsid w:val="00362C28"/>
    <w:rsid w:val="00362D0F"/>
    <w:rsid w:val="00362DF2"/>
    <w:rsid w:val="00362E3F"/>
    <w:rsid w:val="00362E7D"/>
    <w:rsid w:val="00363030"/>
    <w:rsid w:val="0036313E"/>
    <w:rsid w:val="003631A9"/>
    <w:rsid w:val="0036327A"/>
    <w:rsid w:val="003632DA"/>
    <w:rsid w:val="00363498"/>
    <w:rsid w:val="00363800"/>
    <w:rsid w:val="00363829"/>
    <w:rsid w:val="0036383C"/>
    <w:rsid w:val="003639EF"/>
    <w:rsid w:val="00363A1E"/>
    <w:rsid w:val="00363ACD"/>
    <w:rsid w:val="00363B71"/>
    <w:rsid w:val="00363C38"/>
    <w:rsid w:val="00363CF9"/>
    <w:rsid w:val="00363F08"/>
    <w:rsid w:val="003640CA"/>
    <w:rsid w:val="003640D2"/>
    <w:rsid w:val="003640FE"/>
    <w:rsid w:val="0036429B"/>
    <w:rsid w:val="003643FA"/>
    <w:rsid w:val="003644F1"/>
    <w:rsid w:val="003649A1"/>
    <w:rsid w:val="003649F9"/>
    <w:rsid w:val="00364C45"/>
    <w:rsid w:val="00364C83"/>
    <w:rsid w:val="00364CDE"/>
    <w:rsid w:val="00364E96"/>
    <w:rsid w:val="00364FB0"/>
    <w:rsid w:val="00364FFC"/>
    <w:rsid w:val="003650DA"/>
    <w:rsid w:val="0036520A"/>
    <w:rsid w:val="003658A2"/>
    <w:rsid w:val="003659C6"/>
    <w:rsid w:val="003659CD"/>
    <w:rsid w:val="00365A16"/>
    <w:rsid w:val="00365AA1"/>
    <w:rsid w:val="00365B7D"/>
    <w:rsid w:val="00365C93"/>
    <w:rsid w:val="00366030"/>
    <w:rsid w:val="00366224"/>
    <w:rsid w:val="00366365"/>
    <w:rsid w:val="003663C0"/>
    <w:rsid w:val="003665E5"/>
    <w:rsid w:val="0036662E"/>
    <w:rsid w:val="003667BA"/>
    <w:rsid w:val="0036682F"/>
    <w:rsid w:val="00366A5C"/>
    <w:rsid w:val="00366B88"/>
    <w:rsid w:val="00366C3D"/>
    <w:rsid w:val="00366C5C"/>
    <w:rsid w:val="00366D08"/>
    <w:rsid w:val="00366D7A"/>
    <w:rsid w:val="00367011"/>
    <w:rsid w:val="0036701A"/>
    <w:rsid w:val="0036701F"/>
    <w:rsid w:val="00367213"/>
    <w:rsid w:val="00367473"/>
    <w:rsid w:val="00367475"/>
    <w:rsid w:val="003674DE"/>
    <w:rsid w:val="003675E0"/>
    <w:rsid w:val="00367666"/>
    <w:rsid w:val="003676F2"/>
    <w:rsid w:val="00367746"/>
    <w:rsid w:val="0036774D"/>
    <w:rsid w:val="00367777"/>
    <w:rsid w:val="00367860"/>
    <w:rsid w:val="00367989"/>
    <w:rsid w:val="00367A07"/>
    <w:rsid w:val="00367ABF"/>
    <w:rsid w:val="00367B20"/>
    <w:rsid w:val="00367B70"/>
    <w:rsid w:val="00367BFE"/>
    <w:rsid w:val="00367CBB"/>
    <w:rsid w:val="00367DAC"/>
    <w:rsid w:val="00367E5C"/>
    <w:rsid w:val="00367EB2"/>
    <w:rsid w:val="00367ECA"/>
    <w:rsid w:val="00367EF1"/>
    <w:rsid w:val="00367FB7"/>
    <w:rsid w:val="0037003A"/>
    <w:rsid w:val="00370062"/>
    <w:rsid w:val="003700EE"/>
    <w:rsid w:val="0037012D"/>
    <w:rsid w:val="003702A7"/>
    <w:rsid w:val="003702E3"/>
    <w:rsid w:val="003705C8"/>
    <w:rsid w:val="0037096C"/>
    <w:rsid w:val="00370B68"/>
    <w:rsid w:val="00370BAC"/>
    <w:rsid w:val="00370BD3"/>
    <w:rsid w:val="00370C0F"/>
    <w:rsid w:val="00370F99"/>
    <w:rsid w:val="003713A0"/>
    <w:rsid w:val="0037171F"/>
    <w:rsid w:val="0037186B"/>
    <w:rsid w:val="003718A8"/>
    <w:rsid w:val="003718FD"/>
    <w:rsid w:val="0037196D"/>
    <w:rsid w:val="00371970"/>
    <w:rsid w:val="00371B7F"/>
    <w:rsid w:val="00371C4C"/>
    <w:rsid w:val="00371DEA"/>
    <w:rsid w:val="00372077"/>
    <w:rsid w:val="003723A3"/>
    <w:rsid w:val="003723AA"/>
    <w:rsid w:val="003724B2"/>
    <w:rsid w:val="003725AA"/>
    <w:rsid w:val="003725B2"/>
    <w:rsid w:val="00372B1B"/>
    <w:rsid w:val="00372C33"/>
    <w:rsid w:val="00372C5E"/>
    <w:rsid w:val="00372CAB"/>
    <w:rsid w:val="00372E5A"/>
    <w:rsid w:val="00372EAF"/>
    <w:rsid w:val="00372EE3"/>
    <w:rsid w:val="0037302C"/>
    <w:rsid w:val="003730BD"/>
    <w:rsid w:val="00373297"/>
    <w:rsid w:val="003732AA"/>
    <w:rsid w:val="00373460"/>
    <w:rsid w:val="00373461"/>
    <w:rsid w:val="0037353F"/>
    <w:rsid w:val="00373550"/>
    <w:rsid w:val="00373658"/>
    <w:rsid w:val="003737F5"/>
    <w:rsid w:val="003737FF"/>
    <w:rsid w:val="0037382F"/>
    <w:rsid w:val="0037383F"/>
    <w:rsid w:val="003738CD"/>
    <w:rsid w:val="00373AD0"/>
    <w:rsid w:val="00373CDE"/>
    <w:rsid w:val="00374348"/>
    <w:rsid w:val="003746D1"/>
    <w:rsid w:val="0037473E"/>
    <w:rsid w:val="0037480A"/>
    <w:rsid w:val="00374877"/>
    <w:rsid w:val="00374912"/>
    <w:rsid w:val="003749DC"/>
    <w:rsid w:val="003749EC"/>
    <w:rsid w:val="00374A1A"/>
    <w:rsid w:val="00374A6C"/>
    <w:rsid w:val="00375335"/>
    <w:rsid w:val="0037562D"/>
    <w:rsid w:val="00375824"/>
    <w:rsid w:val="003759A5"/>
    <w:rsid w:val="00375A3A"/>
    <w:rsid w:val="00375CA0"/>
    <w:rsid w:val="00375F0F"/>
    <w:rsid w:val="00375FFE"/>
    <w:rsid w:val="00376059"/>
    <w:rsid w:val="003760D3"/>
    <w:rsid w:val="003762D7"/>
    <w:rsid w:val="00376440"/>
    <w:rsid w:val="00376478"/>
    <w:rsid w:val="003764B3"/>
    <w:rsid w:val="00376615"/>
    <w:rsid w:val="00376699"/>
    <w:rsid w:val="00376812"/>
    <w:rsid w:val="00376B2D"/>
    <w:rsid w:val="00376BF1"/>
    <w:rsid w:val="00376C3A"/>
    <w:rsid w:val="00376E15"/>
    <w:rsid w:val="00376E44"/>
    <w:rsid w:val="00376FB4"/>
    <w:rsid w:val="003773BA"/>
    <w:rsid w:val="00377550"/>
    <w:rsid w:val="00377551"/>
    <w:rsid w:val="0037756C"/>
    <w:rsid w:val="003775DF"/>
    <w:rsid w:val="003777D8"/>
    <w:rsid w:val="00377884"/>
    <w:rsid w:val="00377AAC"/>
    <w:rsid w:val="00377D14"/>
    <w:rsid w:val="00377EC4"/>
    <w:rsid w:val="003800FD"/>
    <w:rsid w:val="00380139"/>
    <w:rsid w:val="0038028E"/>
    <w:rsid w:val="00380762"/>
    <w:rsid w:val="003808AA"/>
    <w:rsid w:val="00380917"/>
    <w:rsid w:val="00380AE6"/>
    <w:rsid w:val="00380B11"/>
    <w:rsid w:val="00380B58"/>
    <w:rsid w:val="00380D2E"/>
    <w:rsid w:val="00380E89"/>
    <w:rsid w:val="00380FB6"/>
    <w:rsid w:val="003810E3"/>
    <w:rsid w:val="00381165"/>
    <w:rsid w:val="003811B8"/>
    <w:rsid w:val="003812B6"/>
    <w:rsid w:val="003812BB"/>
    <w:rsid w:val="003812F1"/>
    <w:rsid w:val="0038130A"/>
    <w:rsid w:val="0038151F"/>
    <w:rsid w:val="00381553"/>
    <w:rsid w:val="003815B1"/>
    <w:rsid w:val="0038164A"/>
    <w:rsid w:val="003817C3"/>
    <w:rsid w:val="00381987"/>
    <w:rsid w:val="00381AB6"/>
    <w:rsid w:val="00381DB4"/>
    <w:rsid w:val="00381DE8"/>
    <w:rsid w:val="00382134"/>
    <w:rsid w:val="00382253"/>
    <w:rsid w:val="003822AA"/>
    <w:rsid w:val="003824CA"/>
    <w:rsid w:val="00382549"/>
    <w:rsid w:val="003825E9"/>
    <w:rsid w:val="003827F6"/>
    <w:rsid w:val="00382AEC"/>
    <w:rsid w:val="00382C3F"/>
    <w:rsid w:val="00382D2C"/>
    <w:rsid w:val="00382DF8"/>
    <w:rsid w:val="00383164"/>
    <w:rsid w:val="0038333D"/>
    <w:rsid w:val="00383449"/>
    <w:rsid w:val="00383480"/>
    <w:rsid w:val="003834A2"/>
    <w:rsid w:val="003835C0"/>
    <w:rsid w:val="00383648"/>
    <w:rsid w:val="00383721"/>
    <w:rsid w:val="00383A6F"/>
    <w:rsid w:val="00383AE9"/>
    <w:rsid w:val="00383AFC"/>
    <w:rsid w:val="00383B0C"/>
    <w:rsid w:val="00383D2A"/>
    <w:rsid w:val="00383D9B"/>
    <w:rsid w:val="00383DC5"/>
    <w:rsid w:val="00383EF7"/>
    <w:rsid w:val="00383F39"/>
    <w:rsid w:val="00383FB8"/>
    <w:rsid w:val="003841FC"/>
    <w:rsid w:val="00384255"/>
    <w:rsid w:val="003842A6"/>
    <w:rsid w:val="003842F6"/>
    <w:rsid w:val="00384474"/>
    <w:rsid w:val="00384597"/>
    <w:rsid w:val="003845EB"/>
    <w:rsid w:val="003845FB"/>
    <w:rsid w:val="003846EF"/>
    <w:rsid w:val="003848CD"/>
    <w:rsid w:val="00384B0C"/>
    <w:rsid w:val="00384CBF"/>
    <w:rsid w:val="00384E83"/>
    <w:rsid w:val="00385292"/>
    <w:rsid w:val="003852E3"/>
    <w:rsid w:val="00385315"/>
    <w:rsid w:val="003853E1"/>
    <w:rsid w:val="00385431"/>
    <w:rsid w:val="0038565E"/>
    <w:rsid w:val="003858B7"/>
    <w:rsid w:val="003859D3"/>
    <w:rsid w:val="00385C87"/>
    <w:rsid w:val="00386067"/>
    <w:rsid w:val="0038628C"/>
    <w:rsid w:val="00386317"/>
    <w:rsid w:val="0038636C"/>
    <w:rsid w:val="003863F6"/>
    <w:rsid w:val="0038645A"/>
    <w:rsid w:val="003865A3"/>
    <w:rsid w:val="003865AC"/>
    <w:rsid w:val="00386793"/>
    <w:rsid w:val="0038682D"/>
    <w:rsid w:val="00386962"/>
    <w:rsid w:val="003869A5"/>
    <w:rsid w:val="00386B1A"/>
    <w:rsid w:val="00386B33"/>
    <w:rsid w:val="00386BF5"/>
    <w:rsid w:val="00386CCC"/>
    <w:rsid w:val="00386D3D"/>
    <w:rsid w:val="00386DDD"/>
    <w:rsid w:val="00386E9C"/>
    <w:rsid w:val="00387073"/>
    <w:rsid w:val="003872DA"/>
    <w:rsid w:val="003872EB"/>
    <w:rsid w:val="003872F4"/>
    <w:rsid w:val="00387340"/>
    <w:rsid w:val="0038736F"/>
    <w:rsid w:val="003873AA"/>
    <w:rsid w:val="003873F3"/>
    <w:rsid w:val="003876B1"/>
    <w:rsid w:val="0038786A"/>
    <w:rsid w:val="00387980"/>
    <w:rsid w:val="00387D58"/>
    <w:rsid w:val="00387F20"/>
    <w:rsid w:val="003900C4"/>
    <w:rsid w:val="00390238"/>
    <w:rsid w:val="003902E7"/>
    <w:rsid w:val="003903E4"/>
    <w:rsid w:val="003904A3"/>
    <w:rsid w:val="0039054A"/>
    <w:rsid w:val="00390634"/>
    <w:rsid w:val="00390905"/>
    <w:rsid w:val="00390A70"/>
    <w:rsid w:val="00390BB8"/>
    <w:rsid w:val="00390C3D"/>
    <w:rsid w:val="00390D04"/>
    <w:rsid w:val="00390D32"/>
    <w:rsid w:val="00390EF2"/>
    <w:rsid w:val="00390F1C"/>
    <w:rsid w:val="00390F63"/>
    <w:rsid w:val="00390FB5"/>
    <w:rsid w:val="00390FD4"/>
    <w:rsid w:val="0039100B"/>
    <w:rsid w:val="0039119B"/>
    <w:rsid w:val="00391233"/>
    <w:rsid w:val="003912B5"/>
    <w:rsid w:val="00391554"/>
    <w:rsid w:val="003915A1"/>
    <w:rsid w:val="003916A6"/>
    <w:rsid w:val="003918DA"/>
    <w:rsid w:val="00391B62"/>
    <w:rsid w:val="00391C33"/>
    <w:rsid w:val="00391FFC"/>
    <w:rsid w:val="003922B2"/>
    <w:rsid w:val="0039231C"/>
    <w:rsid w:val="003924A4"/>
    <w:rsid w:val="0039256F"/>
    <w:rsid w:val="0039258A"/>
    <w:rsid w:val="0039285E"/>
    <w:rsid w:val="00392998"/>
    <w:rsid w:val="003929FC"/>
    <w:rsid w:val="00392AF8"/>
    <w:rsid w:val="00392C35"/>
    <w:rsid w:val="00392C3E"/>
    <w:rsid w:val="0039303B"/>
    <w:rsid w:val="00393090"/>
    <w:rsid w:val="00393124"/>
    <w:rsid w:val="00393193"/>
    <w:rsid w:val="0039320B"/>
    <w:rsid w:val="003932E4"/>
    <w:rsid w:val="003935D8"/>
    <w:rsid w:val="003937B0"/>
    <w:rsid w:val="00393970"/>
    <w:rsid w:val="003939D9"/>
    <w:rsid w:val="003939EC"/>
    <w:rsid w:val="00393F48"/>
    <w:rsid w:val="00394013"/>
    <w:rsid w:val="0039406E"/>
    <w:rsid w:val="00394154"/>
    <w:rsid w:val="003943BA"/>
    <w:rsid w:val="0039455F"/>
    <w:rsid w:val="00394728"/>
    <w:rsid w:val="00394791"/>
    <w:rsid w:val="003948EB"/>
    <w:rsid w:val="00394AEB"/>
    <w:rsid w:val="00394DAD"/>
    <w:rsid w:val="00394F6D"/>
    <w:rsid w:val="0039501E"/>
    <w:rsid w:val="003950FF"/>
    <w:rsid w:val="0039511E"/>
    <w:rsid w:val="00395162"/>
    <w:rsid w:val="0039524F"/>
    <w:rsid w:val="003952C3"/>
    <w:rsid w:val="003953CB"/>
    <w:rsid w:val="003954F2"/>
    <w:rsid w:val="00395629"/>
    <w:rsid w:val="003957C5"/>
    <w:rsid w:val="0039586D"/>
    <w:rsid w:val="003958BE"/>
    <w:rsid w:val="003958FF"/>
    <w:rsid w:val="00395A07"/>
    <w:rsid w:val="00395EA2"/>
    <w:rsid w:val="00395F85"/>
    <w:rsid w:val="0039607A"/>
    <w:rsid w:val="003960C1"/>
    <w:rsid w:val="0039624B"/>
    <w:rsid w:val="0039633E"/>
    <w:rsid w:val="003968E9"/>
    <w:rsid w:val="00396942"/>
    <w:rsid w:val="00396AE0"/>
    <w:rsid w:val="00396CC7"/>
    <w:rsid w:val="00396E0E"/>
    <w:rsid w:val="003970B0"/>
    <w:rsid w:val="003971B5"/>
    <w:rsid w:val="0039721F"/>
    <w:rsid w:val="00397271"/>
    <w:rsid w:val="0039749B"/>
    <w:rsid w:val="003974CE"/>
    <w:rsid w:val="003977E2"/>
    <w:rsid w:val="0039782C"/>
    <w:rsid w:val="00397884"/>
    <w:rsid w:val="003979E6"/>
    <w:rsid w:val="00397B85"/>
    <w:rsid w:val="00397E0A"/>
    <w:rsid w:val="00397E93"/>
    <w:rsid w:val="00397EB9"/>
    <w:rsid w:val="003A01D7"/>
    <w:rsid w:val="003A02D4"/>
    <w:rsid w:val="003A02EF"/>
    <w:rsid w:val="003A05DD"/>
    <w:rsid w:val="003A07B0"/>
    <w:rsid w:val="003A0832"/>
    <w:rsid w:val="003A08FC"/>
    <w:rsid w:val="003A0AB7"/>
    <w:rsid w:val="003A0B96"/>
    <w:rsid w:val="003A0D5F"/>
    <w:rsid w:val="003A0E53"/>
    <w:rsid w:val="003A0F3D"/>
    <w:rsid w:val="003A1010"/>
    <w:rsid w:val="003A1129"/>
    <w:rsid w:val="003A1146"/>
    <w:rsid w:val="003A11F6"/>
    <w:rsid w:val="003A138F"/>
    <w:rsid w:val="003A139B"/>
    <w:rsid w:val="003A1408"/>
    <w:rsid w:val="003A14AF"/>
    <w:rsid w:val="003A1672"/>
    <w:rsid w:val="003A17DC"/>
    <w:rsid w:val="003A1988"/>
    <w:rsid w:val="003A19F1"/>
    <w:rsid w:val="003A1A76"/>
    <w:rsid w:val="003A1BF2"/>
    <w:rsid w:val="003A1C06"/>
    <w:rsid w:val="003A2136"/>
    <w:rsid w:val="003A2166"/>
    <w:rsid w:val="003A219F"/>
    <w:rsid w:val="003A22EC"/>
    <w:rsid w:val="003A2312"/>
    <w:rsid w:val="003A232E"/>
    <w:rsid w:val="003A2357"/>
    <w:rsid w:val="003A26A9"/>
    <w:rsid w:val="003A28D4"/>
    <w:rsid w:val="003A2915"/>
    <w:rsid w:val="003A2AA2"/>
    <w:rsid w:val="003A2F1D"/>
    <w:rsid w:val="003A33C3"/>
    <w:rsid w:val="003A35C8"/>
    <w:rsid w:val="003A3661"/>
    <w:rsid w:val="003A368D"/>
    <w:rsid w:val="003A3699"/>
    <w:rsid w:val="003A37D5"/>
    <w:rsid w:val="003A3837"/>
    <w:rsid w:val="003A3C54"/>
    <w:rsid w:val="003A3FAE"/>
    <w:rsid w:val="003A3FF5"/>
    <w:rsid w:val="003A400D"/>
    <w:rsid w:val="003A420D"/>
    <w:rsid w:val="003A42BA"/>
    <w:rsid w:val="003A42D0"/>
    <w:rsid w:val="003A43AA"/>
    <w:rsid w:val="003A43C6"/>
    <w:rsid w:val="003A490E"/>
    <w:rsid w:val="003A4ABA"/>
    <w:rsid w:val="003A4C3D"/>
    <w:rsid w:val="003A4CFA"/>
    <w:rsid w:val="003A4E3D"/>
    <w:rsid w:val="003A50FF"/>
    <w:rsid w:val="003A5159"/>
    <w:rsid w:val="003A5489"/>
    <w:rsid w:val="003A5516"/>
    <w:rsid w:val="003A5587"/>
    <w:rsid w:val="003A56DF"/>
    <w:rsid w:val="003A57A8"/>
    <w:rsid w:val="003A58E2"/>
    <w:rsid w:val="003A5AD5"/>
    <w:rsid w:val="003A5D1D"/>
    <w:rsid w:val="003A5E0B"/>
    <w:rsid w:val="003A5EB3"/>
    <w:rsid w:val="003A6053"/>
    <w:rsid w:val="003A6141"/>
    <w:rsid w:val="003A68AF"/>
    <w:rsid w:val="003A6BDB"/>
    <w:rsid w:val="003A6BEC"/>
    <w:rsid w:val="003A6D8B"/>
    <w:rsid w:val="003A6DDA"/>
    <w:rsid w:val="003A6F95"/>
    <w:rsid w:val="003A7122"/>
    <w:rsid w:val="003A71B4"/>
    <w:rsid w:val="003A71E1"/>
    <w:rsid w:val="003A756F"/>
    <w:rsid w:val="003A7690"/>
    <w:rsid w:val="003A7B98"/>
    <w:rsid w:val="003A7BF2"/>
    <w:rsid w:val="003A7C97"/>
    <w:rsid w:val="003A7D4A"/>
    <w:rsid w:val="003A7E61"/>
    <w:rsid w:val="003A7F8F"/>
    <w:rsid w:val="003B0103"/>
    <w:rsid w:val="003B016C"/>
    <w:rsid w:val="003B0289"/>
    <w:rsid w:val="003B02B4"/>
    <w:rsid w:val="003B0362"/>
    <w:rsid w:val="003B05A0"/>
    <w:rsid w:val="003B063D"/>
    <w:rsid w:val="003B0695"/>
    <w:rsid w:val="003B0785"/>
    <w:rsid w:val="003B07D9"/>
    <w:rsid w:val="003B0956"/>
    <w:rsid w:val="003B09CB"/>
    <w:rsid w:val="003B0D30"/>
    <w:rsid w:val="003B0DB6"/>
    <w:rsid w:val="003B0DBB"/>
    <w:rsid w:val="003B0F4B"/>
    <w:rsid w:val="003B10EA"/>
    <w:rsid w:val="003B10EC"/>
    <w:rsid w:val="003B141E"/>
    <w:rsid w:val="003B1496"/>
    <w:rsid w:val="003B188C"/>
    <w:rsid w:val="003B1C12"/>
    <w:rsid w:val="003B1FD8"/>
    <w:rsid w:val="003B2018"/>
    <w:rsid w:val="003B2045"/>
    <w:rsid w:val="003B20B3"/>
    <w:rsid w:val="003B214B"/>
    <w:rsid w:val="003B223D"/>
    <w:rsid w:val="003B23B4"/>
    <w:rsid w:val="003B2476"/>
    <w:rsid w:val="003B24B1"/>
    <w:rsid w:val="003B24B3"/>
    <w:rsid w:val="003B24F1"/>
    <w:rsid w:val="003B25B2"/>
    <w:rsid w:val="003B25EA"/>
    <w:rsid w:val="003B26E6"/>
    <w:rsid w:val="003B2924"/>
    <w:rsid w:val="003B2E1A"/>
    <w:rsid w:val="003B2E4B"/>
    <w:rsid w:val="003B3136"/>
    <w:rsid w:val="003B31FF"/>
    <w:rsid w:val="003B3238"/>
    <w:rsid w:val="003B329B"/>
    <w:rsid w:val="003B33B9"/>
    <w:rsid w:val="003B3534"/>
    <w:rsid w:val="003B356F"/>
    <w:rsid w:val="003B367A"/>
    <w:rsid w:val="003B3791"/>
    <w:rsid w:val="003B3900"/>
    <w:rsid w:val="003B393A"/>
    <w:rsid w:val="003B3964"/>
    <w:rsid w:val="003B3A41"/>
    <w:rsid w:val="003B3BB3"/>
    <w:rsid w:val="003B3C09"/>
    <w:rsid w:val="003B3DFE"/>
    <w:rsid w:val="003B425C"/>
    <w:rsid w:val="003B437B"/>
    <w:rsid w:val="003B43AF"/>
    <w:rsid w:val="003B456E"/>
    <w:rsid w:val="003B467C"/>
    <w:rsid w:val="003B46CC"/>
    <w:rsid w:val="003B47F0"/>
    <w:rsid w:val="003B4858"/>
    <w:rsid w:val="003B48D1"/>
    <w:rsid w:val="003B4C5F"/>
    <w:rsid w:val="003B4E58"/>
    <w:rsid w:val="003B4E6A"/>
    <w:rsid w:val="003B50B1"/>
    <w:rsid w:val="003B5116"/>
    <w:rsid w:val="003B536C"/>
    <w:rsid w:val="003B540F"/>
    <w:rsid w:val="003B54BC"/>
    <w:rsid w:val="003B55D9"/>
    <w:rsid w:val="003B561B"/>
    <w:rsid w:val="003B5650"/>
    <w:rsid w:val="003B565A"/>
    <w:rsid w:val="003B5855"/>
    <w:rsid w:val="003B5857"/>
    <w:rsid w:val="003B5C73"/>
    <w:rsid w:val="003B5CDA"/>
    <w:rsid w:val="003B6196"/>
    <w:rsid w:val="003B6313"/>
    <w:rsid w:val="003B650A"/>
    <w:rsid w:val="003B65B3"/>
    <w:rsid w:val="003B6660"/>
    <w:rsid w:val="003B66A9"/>
    <w:rsid w:val="003B6737"/>
    <w:rsid w:val="003B67DB"/>
    <w:rsid w:val="003B6C0D"/>
    <w:rsid w:val="003B6C90"/>
    <w:rsid w:val="003B6F2C"/>
    <w:rsid w:val="003B7031"/>
    <w:rsid w:val="003B7198"/>
    <w:rsid w:val="003B7290"/>
    <w:rsid w:val="003B731F"/>
    <w:rsid w:val="003B73A7"/>
    <w:rsid w:val="003B744C"/>
    <w:rsid w:val="003B7614"/>
    <w:rsid w:val="003B7653"/>
    <w:rsid w:val="003B792E"/>
    <w:rsid w:val="003B7996"/>
    <w:rsid w:val="003B79AA"/>
    <w:rsid w:val="003B7A12"/>
    <w:rsid w:val="003B7EED"/>
    <w:rsid w:val="003C00FE"/>
    <w:rsid w:val="003C030C"/>
    <w:rsid w:val="003C0338"/>
    <w:rsid w:val="003C0439"/>
    <w:rsid w:val="003C056F"/>
    <w:rsid w:val="003C0660"/>
    <w:rsid w:val="003C0945"/>
    <w:rsid w:val="003C0A77"/>
    <w:rsid w:val="003C0C0A"/>
    <w:rsid w:val="003C0E81"/>
    <w:rsid w:val="003C0EE8"/>
    <w:rsid w:val="003C0F33"/>
    <w:rsid w:val="003C0F8C"/>
    <w:rsid w:val="003C0FF9"/>
    <w:rsid w:val="003C102B"/>
    <w:rsid w:val="003C1210"/>
    <w:rsid w:val="003C1415"/>
    <w:rsid w:val="003C1432"/>
    <w:rsid w:val="003C15D3"/>
    <w:rsid w:val="003C1639"/>
    <w:rsid w:val="003C1644"/>
    <w:rsid w:val="003C178A"/>
    <w:rsid w:val="003C19A2"/>
    <w:rsid w:val="003C19BF"/>
    <w:rsid w:val="003C1A75"/>
    <w:rsid w:val="003C1B04"/>
    <w:rsid w:val="003C1C3D"/>
    <w:rsid w:val="003C1CD4"/>
    <w:rsid w:val="003C1D5C"/>
    <w:rsid w:val="003C1E5B"/>
    <w:rsid w:val="003C1EAC"/>
    <w:rsid w:val="003C2137"/>
    <w:rsid w:val="003C2301"/>
    <w:rsid w:val="003C2308"/>
    <w:rsid w:val="003C24D9"/>
    <w:rsid w:val="003C25B8"/>
    <w:rsid w:val="003C26AB"/>
    <w:rsid w:val="003C26E8"/>
    <w:rsid w:val="003C2841"/>
    <w:rsid w:val="003C288F"/>
    <w:rsid w:val="003C28CC"/>
    <w:rsid w:val="003C28E7"/>
    <w:rsid w:val="003C2AAF"/>
    <w:rsid w:val="003C2AE7"/>
    <w:rsid w:val="003C2C29"/>
    <w:rsid w:val="003C2C87"/>
    <w:rsid w:val="003C2D2E"/>
    <w:rsid w:val="003C2F4E"/>
    <w:rsid w:val="003C313D"/>
    <w:rsid w:val="003C31B6"/>
    <w:rsid w:val="003C3393"/>
    <w:rsid w:val="003C36F4"/>
    <w:rsid w:val="003C3904"/>
    <w:rsid w:val="003C3B33"/>
    <w:rsid w:val="003C3B40"/>
    <w:rsid w:val="003C3B64"/>
    <w:rsid w:val="003C3D04"/>
    <w:rsid w:val="003C3EF2"/>
    <w:rsid w:val="003C429F"/>
    <w:rsid w:val="003C44FD"/>
    <w:rsid w:val="003C4616"/>
    <w:rsid w:val="003C4632"/>
    <w:rsid w:val="003C464D"/>
    <w:rsid w:val="003C46C1"/>
    <w:rsid w:val="003C48C5"/>
    <w:rsid w:val="003C4A66"/>
    <w:rsid w:val="003C4CC7"/>
    <w:rsid w:val="003C4D08"/>
    <w:rsid w:val="003C4DC4"/>
    <w:rsid w:val="003C509C"/>
    <w:rsid w:val="003C517A"/>
    <w:rsid w:val="003C530B"/>
    <w:rsid w:val="003C5655"/>
    <w:rsid w:val="003C56FC"/>
    <w:rsid w:val="003C5AC9"/>
    <w:rsid w:val="003C5B8C"/>
    <w:rsid w:val="003C600C"/>
    <w:rsid w:val="003C615D"/>
    <w:rsid w:val="003C6253"/>
    <w:rsid w:val="003C62EE"/>
    <w:rsid w:val="003C6315"/>
    <w:rsid w:val="003C643D"/>
    <w:rsid w:val="003C645D"/>
    <w:rsid w:val="003C64C6"/>
    <w:rsid w:val="003C65D0"/>
    <w:rsid w:val="003C65D9"/>
    <w:rsid w:val="003C66DF"/>
    <w:rsid w:val="003C6AD7"/>
    <w:rsid w:val="003C6CC9"/>
    <w:rsid w:val="003C6D36"/>
    <w:rsid w:val="003C6F97"/>
    <w:rsid w:val="003C70CE"/>
    <w:rsid w:val="003C70D8"/>
    <w:rsid w:val="003C71A3"/>
    <w:rsid w:val="003C71C5"/>
    <w:rsid w:val="003C7233"/>
    <w:rsid w:val="003C7694"/>
    <w:rsid w:val="003C77D2"/>
    <w:rsid w:val="003C7911"/>
    <w:rsid w:val="003C7AE0"/>
    <w:rsid w:val="003C7B28"/>
    <w:rsid w:val="003C7BA6"/>
    <w:rsid w:val="003C7D46"/>
    <w:rsid w:val="003C7D88"/>
    <w:rsid w:val="003C7E7D"/>
    <w:rsid w:val="003C7F56"/>
    <w:rsid w:val="003D0094"/>
    <w:rsid w:val="003D0135"/>
    <w:rsid w:val="003D02A9"/>
    <w:rsid w:val="003D0383"/>
    <w:rsid w:val="003D03DF"/>
    <w:rsid w:val="003D03FF"/>
    <w:rsid w:val="003D040E"/>
    <w:rsid w:val="003D0688"/>
    <w:rsid w:val="003D07CA"/>
    <w:rsid w:val="003D0822"/>
    <w:rsid w:val="003D0900"/>
    <w:rsid w:val="003D0969"/>
    <w:rsid w:val="003D09B1"/>
    <w:rsid w:val="003D0A04"/>
    <w:rsid w:val="003D0A44"/>
    <w:rsid w:val="003D0A89"/>
    <w:rsid w:val="003D0BDC"/>
    <w:rsid w:val="003D0C33"/>
    <w:rsid w:val="003D0CC8"/>
    <w:rsid w:val="003D0CD1"/>
    <w:rsid w:val="003D1045"/>
    <w:rsid w:val="003D12D2"/>
    <w:rsid w:val="003D1422"/>
    <w:rsid w:val="003D1554"/>
    <w:rsid w:val="003D1643"/>
    <w:rsid w:val="003D16C0"/>
    <w:rsid w:val="003D17CE"/>
    <w:rsid w:val="003D1C03"/>
    <w:rsid w:val="003D1D12"/>
    <w:rsid w:val="003D1EC1"/>
    <w:rsid w:val="003D1FE3"/>
    <w:rsid w:val="003D2021"/>
    <w:rsid w:val="003D216A"/>
    <w:rsid w:val="003D22DD"/>
    <w:rsid w:val="003D232C"/>
    <w:rsid w:val="003D2496"/>
    <w:rsid w:val="003D24F9"/>
    <w:rsid w:val="003D2664"/>
    <w:rsid w:val="003D28AF"/>
    <w:rsid w:val="003D28CA"/>
    <w:rsid w:val="003D29D6"/>
    <w:rsid w:val="003D2BC0"/>
    <w:rsid w:val="003D2E4A"/>
    <w:rsid w:val="003D3008"/>
    <w:rsid w:val="003D3011"/>
    <w:rsid w:val="003D3059"/>
    <w:rsid w:val="003D32DA"/>
    <w:rsid w:val="003D32F9"/>
    <w:rsid w:val="003D349A"/>
    <w:rsid w:val="003D3829"/>
    <w:rsid w:val="003D3B29"/>
    <w:rsid w:val="003D3B4C"/>
    <w:rsid w:val="003D3BCD"/>
    <w:rsid w:val="003D3C4F"/>
    <w:rsid w:val="003D3C6A"/>
    <w:rsid w:val="003D3CCA"/>
    <w:rsid w:val="003D3E92"/>
    <w:rsid w:val="003D3EE7"/>
    <w:rsid w:val="003D4055"/>
    <w:rsid w:val="003D41F7"/>
    <w:rsid w:val="003D43B6"/>
    <w:rsid w:val="003D464D"/>
    <w:rsid w:val="003D4754"/>
    <w:rsid w:val="003D4824"/>
    <w:rsid w:val="003D4867"/>
    <w:rsid w:val="003D4877"/>
    <w:rsid w:val="003D48ED"/>
    <w:rsid w:val="003D49BB"/>
    <w:rsid w:val="003D4AB0"/>
    <w:rsid w:val="003D4AB6"/>
    <w:rsid w:val="003D4BC3"/>
    <w:rsid w:val="003D4BCD"/>
    <w:rsid w:val="003D4BE1"/>
    <w:rsid w:val="003D4C16"/>
    <w:rsid w:val="003D4E1C"/>
    <w:rsid w:val="003D4E54"/>
    <w:rsid w:val="003D4E6B"/>
    <w:rsid w:val="003D50B2"/>
    <w:rsid w:val="003D5250"/>
    <w:rsid w:val="003D5277"/>
    <w:rsid w:val="003D5701"/>
    <w:rsid w:val="003D5787"/>
    <w:rsid w:val="003D5B8D"/>
    <w:rsid w:val="003D5C6B"/>
    <w:rsid w:val="003D604C"/>
    <w:rsid w:val="003D618E"/>
    <w:rsid w:val="003D6202"/>
    <w:rsid w:val="003D6268"/>
    <w:rsid w:val="003D640A"/>
    <w:rsid w:val="003D6417"/>
    <w:rsid w:val="003D66AD"/>
    <w:rsid w:val="003D66F0"/>
    <w:rsid w:val="003D67F6"/>
    <w:rsid w:val="003D683B"/>
    <w:rsid w:val="003D6B8E"/>
    <w:rsid w:val="003D6D70"/>
    <w:rsid w:val="003D6EC2"/>
    <w:rsid w:val="003D6EF8"/>
    <w:rsid w:val="003D6F8F"/>
    <w:rsid w:val="003D7043"/>
    <w:rsid w:val="003D716E"/>
    <w:rsid w:val="003D71AC"/>
    <w:rsid w:val="003D7307"/>
    <w:rsid w:val="003D736B"/>
    <w:rsid w:val="003D75B1"/>
    <w:rsid w:val="003D7683"/>
    <w:rsid w:val="003D7738"/>
    <w:rsid w:val="003D7DD1"/>
    <w:rsid w:val="003E00B8"/>
    <w:rsid w:val="003E018A"/>
    <w:rsid w:val="003E02D8"/>
    <w:rsid w:val="003E0312"/>
    <w:rsid w:val="003E03E3"/>
    <w:rsid w:val="003E0423"/>
    <w:rsid w:val="003E044F"/>
    <w:rsid w:val="003E0595"/>
    <w:rsid w:val="003E066B"/>
    <w:rsid w:val="003E0847"/>
    <w:rsid w:val="003E096F"/>
    <w:rsid w:val="003E0E6F"/>
    <w:rsid w:val="003E0F58"/>
    <w:rsid w:val="003E1025"/>
    <w:rsid w:val="003E11D3"/>
    <w:rsid w:val="003E14DF"/>
    <w:rsid w:val="003E151B"/>
    <w:rsid w:val="003E15CA"/>
    <w:rsid w:val="003E16D7"/>
    <w:rsid w:val="003E1A81"/>
    <w:rsid w:val="003E1AB2"/>
    <w:rsid w:val="003E1BFD"/>
    <w:rsid w:val="003E1D18"/>
    <w:rsid w:val="003E1D1E"/>
    <w:rsid w:val="003E1E13"/>
    <w:rsid w:val="003E2038"/>
    <w:rsid w:val="003E2220"/>
    <w:rsid w:val="003E2265"/>
    <w:rsid w:val="003E2280"/>
    <w:rsid w:val="003E22B0"/>
    <w:rsid w:val="003E2308"/>
    <w:rsid w:val="003E24E2"/>
    <w:rsid w:val="003E2607"/>
    <w:rsid w:val="003E267B"/>
    <w:rsid w:val="003E287F"/>
    <w:rsid w:val="003E2919"/>
    <w:rsid w:val="003E2992"/>
    <w:rsid w:val="003E2A74"/>
    <w:rsid w:val="003E2B91"/>
    <w:rsid w:val="003E2BC5"/>
    <w:rsid w:val="003E2C41"/>
    <w:rsid w:val="003E2C68"/>
    <w:rsid w:val="003E2CD4"/>
    <w:rsid w:val="003E2D4E"/>
    <w:rsid w:val="003E2DA4"/>
    <w:rsid w:val="003E3096"/>
    <w:rsid w:val="003E31D4"/>
    <w:rsid w:val="003E3366"/>
    <w:rsid w:val="003E347C"/>
    <w:rsid w:val="003E35BB"/>
    <w:rsid w:val="003E3674"/>
    <w:rsid w:val="003E36E8"/>
    <w:rsid w:val="003E377F"/>
    <w:rsid w:val="003E3797"/>
    <w:rsid w:val="003E38E2"/>
    <w:rsid w:val="003E3A1F"/>
    <w:rsid w:val="003E3D5A"/>
    <w:rsid w:val="003E3D9A"/>
    <w:rsid w:val="003E3E2B"/>
    <w:rsid w:val="003E3E8C"/>
    <w:rsid w:val="003E3E94"/>
    <w:rsid w:val="003E3EE4"/>
    <w:rsid w:val="003E40ED"/>
    <w:rsid w:val="003E4607"/>
    <w:rsid w:val="003E477A"/>
    <w:rsid w:val="003E4782"/>
    <w:rsid w:val="003E47C7"/>
    <w:rsid w:val="003E4852"/>
    <w:rsid w:val="003E4943"/>
    <w:rsid w:val="003E4DF9"/>
    <w:rsid w:val="003E4F51"/>
    <w:rsid w:val="003E519A"/>
    <w:rsid w:val="003E51E6"/>
    <w:rsid w:val="003E570E"/>
    <w:rsid w:val="003E5746"/>
    <w:rsid w:val="003E57FD"/>
    <w:rsid w:val="003E59DD"/>
    <w:rsid w:val="003E5A8C"/>
    <w:rsid w:val="003E5BCA"/>
    <w:rsid w:val="003E5CEA"/>
    <w:rsid w:val="003E5D22"/>
    <w:rsid w:val="003E5D6E"/>
    <w:rsid w:val="003E5E89"/>
    <w:rsid w:val="003E5EA9"/>
    <w:rsid w:val="003E624F"/>
    <w:rsid w:val="003E6301"/>
    <w:rsid w:val="003E658A"/>
    <w:rsid w:val="003E6626"/>
    <w:rsid w:val="003E67C3"/>
    <w:rsid w:val="003E67EE"/>
    <w:rsid w:val="003E6982"/>
    <w:rsid w:val="003E6B0E"/>
    <w:rsid w:val="003E6C4C"/>
    <w:rsid w:val="003E6CF0"/>
    <w:rsid w:val="003E6E8E"/>
    <w:rsid w:val="003E71A4"/>
    <w:rsid w:val="003E7429"/>
    <w:rsid w:val="003E74BC"/>
    <w:rsid w:val="003E7653"/>
    <w:rsid w:val="003E782E"/>
    <w:rsid w:val="003E7976"/>
    <w:rsid w:val="003E7A77"/>
    <w:rsid w:val="003E7C56"/>
    <w:rsid w:val="003F019C"/>
    <w:rsid w:val="003F01B7"/>
    <w:rsid w:val="003F0609"/>
    <w:rsid w:val="003F0779"/>
    <w:rsid w:val="003F07DF"/>
    <w:rsid w:val="003F0BAD"/>
    <w:rsid w:val="003F0D7A"/>
    <w:rsid w:val="003F0DC0"/>
    <w:rsid w:val="003F113B"/>
    <w:rsid w:val="003F1225"/>
    <w:rsid w:val="003F149E"/>
    <w:rsid w:val="003F15E3"/>
    <w:rsid w:val="003F16C9"/>
    <w:rsid w:val="003F18AA"/>
    <w:rsid w:val="003F18BD"/>
    <w:rsid w:val="003F18E6"/>
    <w:rsid w:val="003F19BA"/>
    <w:rsid w:val="003F1A9B"/>
    <w:rsid w:val="003F1ABC"/>
    <w:rsid w:val="003F1B87"/>
    <w:rsid w:val="003F1C1F"/>
    <w:rsid w:val="003F1E31"/>
    <w:rsid w:val="003F1F8E"/>
    <w:rsid w:val="003F2058"/>
    <w:rsid w:val="003F221C"/>
    <w:rsid w:val="003F242C"/>
    <w:rsid w:val="003F249B"/>
    <w:rsid w:val="003F24DD"/>
    <w:rsid w:val="003F25F8"/>
    <w:rsid w:val="003F2709"/>
    <w:rsid w:val="003F2725"/>
    <w:rsid w:val="003F27A7"/>
    <w:rsid w:val="003F28BC"/>
    <w:rsid w:val="003F28E7"/>
    <w:rsid w:val="003F298D"/>
    <w:rsid w:val="003F2998"/>
    <w:rsid w:val="003F2AB1"/>
    <w:rsid w:val="003F2AF1"/>
    <w:rsid w:val="003F2BB9"/>
    <w:rsid w:val="003F2D77"/>
    <w:rsid w:val="003F2EF4"/>
    <w:rsid w:val="003F2F98"/>
    <w:rsid w:val="003F301C"/>
    <w:rsid w:val="003F30C7"/>
    <w:rsid w:val="003F311A"/>
    <w:rsid w:val="003F31D5"/>
    <w:rsid w:val="003F3417"/>
    <w:rsid w:val="003F356E"/>
    <w:rsid w:val="003F363B"/>
    <w:rsid w:val="003F36BB"/>
    <w:rsid w:val="003F3796"/>
    <w:rsid w:val="003F386D"/>
    <w:rsid w:val="003F3924"/>
    <w:rsid w:val="003F3C4A"/>
    <w:rsid w:val="003F3C64"/>
    <w:rsid w:val="003F3D69"/>
    <w:rsid w:val="003F3E40"/>
    <w:rsid w:val="003F3EA3"/>
    <w:rsid w:val="003F4055"/>
    <w:rsid w:val="003F40B7"/>
    <w:rsid w:val="003F4198"/>
    <w:rsid w:val="003F42A0"/>
    <w:rsid w:val="003F434A"/>
    <w:rsid w:val="003F43A8"/>
    <w:rsid w:val="003F451C"/>
    <w:rsid w:val="003F46EF"/>
    <w:rsid w:val="003F491F"/>
    <w:rsid w:val="003F492F"/>
    <w:rsid w:val="003F4A30"/>
    <w:rsid w:val="003F4B7D"/>
    <w:rsid w:val="003F4CA8"/>
    <w:rsid w:val="003F4CD1"/>
    <w:rsid w:val="003F505A"/>
    <w:rsid w:val="003F50EF"/>
    <w:rsid w:val="003F519B"/>
    <w:rsid w:val="003F51A0"/>
    <w:rsid w:val="003F5288"/>
    <w:rsid w:val="003F5821"/>
    <w:rsid w:val="003F5852"/>
    <w:rsid w:val="003F5A04"/>
    <w:rsid w:val="003F5BD4"/>
    <w:rsid w:val="003F5DEB"/>
    <w:rsid w:val="003F5E9F"/>
    <w:rsid w:val="003F6097"/>
    <w:rsid w:val="003F616B"/>
    <w:rsid w:val="003F61D4"/>
    <w:rsid w:val="003F63A6"/>
    <w:rsid w:val="003F63BB"/>
    <w:rsid w:val="003F63DE"/>
    <w:rsid w:val="003F680B"/>
    <w:rsid w:val="003F683E"/>
    <w:rsid w:val="003F68E9"/>
    <w:rsid w:val="003F6B1D"/>
    <w:rsid w:val="003F6B81"/>
    <w:rsid w:val="003F6BD7"/>
    <w:rsid w:val="003F6C8A"/>
    <w:rsid w:val="003F6DDF"/>
    <w:rsid w:val="003F7036"/>
    <w:rsid w:val="003F7079"/>
    <w:rsid w:val="003F7151"/>
    <w:rsid w:val="003F7157"/>
    <w:rsid w:val="003F71E3"/>
    <w:rsid w:val="003F72DD"/>
    <w:rsid w:val="003F7626"/>
    <w:rsid w:val="003F764F"/>
    <w:rsid w:val="003F77F2"/>
    <w:rsid w:val="003F782C"/>
    <w:rsid w:val="003F7864"/>
    <w:rsid w:val="003F7867"/>
    <w:rsid w:val="003F78B0"/>
    <w:rsid w:val="003F78E5"/>
    <w:rsid w:val="003F797B"/>
    <w:rsid w:val="003F7E42"/>
    <w:rsid w:val="00400211"/>
    <w:rsid w:val="00400234"/>
    <w:rsid w:val="00400395"/>
    <w:rsid w:val="004003DC"/>
    <w:rsid w:val="0040075F"/>
    <w:rsid w:val="0040086E"/>
    <w:rsid w:val="004008A5"/>
    <w:rsid w:val="00400934"/>
    <w:rsid w:val="00400B6F"/>
    <w:rsid w:val="00400B82"/>
    <w:rsid w:val="00400BCD"/>
    <w:rsid w:val="00400BE3"/>
    <w:rsid w:val="00400F25"/>
    <w:rsid w:val="00401179"/>
    <w:rsid w:val="0040128E"/>
    <w:rsid w:val="00401307"/>
    <w:rsid w:val="0040138A"/>
    <w:rsid w:val="0040139B"/>
    <w:rsid w:val="0040148E"/>
    <w:rsid w:val="004015E0"/>
    <w:rsid w:val="004018E1"/>
    <w:rsid w:val="004019C4"/>
    <w:rsid w:val="00401A70"/>
    <w:rsid w:val="00401BDB"/>
    <w:rsid w:val="00401CD0"/>
    <w:rsid w:val="00401DD6"/>
    <w:rsid w:val="00401DF4"/>
    <w:rsid w:val="00401E99"/>
    <w:rsid w:val="00401F39"/>
    <w:rsid w:val="004020CE"/>
    <w:rsid w:val="00402254"/>
    <w:rsid w:val="004022B1"/>
    <w:rsid w:val="0040254C"/>
    <w:rsid w:val="004025AA"/>
    <w:rsid w:val="00402673"/>
    <w:rsid w:val="0040269B"/>
    <w:rsid w:val="00402752"/>
    <w:rsid w:val="00402779"/>
    <w:rsid w:val="004028FE"/>
    <w:rsid w:val="00402978"/>
    <w:rsid w:val="00402AFA"/>
    <w:rsid w:val="00402B51"/>
    <w:rsid w:val="00402F5C"/>
    <w:rsid w:val="00403074"/>
    <w:rsid w:val="004030D6"/>
    <w:rsid w:val="0040342B"/>
    <w:rsid w:val="004036A6"/>
    <w:rsid w:val="004037CF"/>
    <w:rsid w:val="0040383B"/>
    <w:rsid w:val="00403CCB"/>
    <w:rsid w:val="00403D92"/>
    <w:rsid w:val="00403DD7"/>
    <w:rsid w:val="00403EEE"/>
    <w:rsid w:val="00404021"/>
    <w:rsid w:val="004040C6"/>
    <w:rsid w:val="004041C4"/>
    <w:rsid w:val="00404332"/>
    <w:rsid w:val="0040438D"/>
    <w:rsid w:val="00404591"/>
    <w:rsid w:val="00404836"/>
    <w:rsid w:val="0040486A"/>
    <w:rsid w:val="00404A1F"/>
    <w:rsid w:val="00404AC5"/>
    <w:rsid w:val="00404BF3"/>
    <w:rsid w:val="00404C5B"/>
    <w:rsid w:val="00404CFE"/>
    <w:rsid w:val="00404F06"/>
    <w:rsid w:val="00404FE4"/>
    <w:rsid w:val="0040516A"/>
    <w:rsid w:val="00405186"/>
    <w:rsid w:val="004051F2"/>
    <w:rsid w:val="00405269"/>
    <w:rsid w:val="0040537B"/>
    <w:rsid w:val="00405559"/>
    <w:rsid w:val="004057A4"/>
    <w:rsid w:val="0040586A"/>
    <w:rsid w:val="00405986"/>
    <w:rsid w:val="00405ADB"/>
    <w:rsid w:val="00405D68"/>
    <w:rsid w:val="00405D82"/>
    <w:rsid w:val="00405DA2"/>
    <w:rsid w:val="00405F88"/>
    <w:rsid w:val="00406203"/>
    <w:rsid w:val="0040627E"/>
    <w:rsid w:val="004062D1"/>
    <w:rsid w:val="004062E5"/>
    <w:rsid w:val="00406362"/>
    <w:rsid w:val="00406752"/>
    <w:rsid w:val="00406963"/>
    <w:rsid w:val="00406B44"/>
    <w:rsid w:val="00406B63"/>
    <w:rsid w:val="00406FB8"/>
    <w:rsid w:val="0040725B"/>
    <w:rsid w:val="004073FD"/>
    <w:rsid w:val="00407441"/>
    <w:rsid w:val="00407654"/>
    <w:rsid w:val="004078B9"/>
    <w:rsid w:val="00407AD5"/>
    <w:rsid w:val="00407B8E"/>
    <w:rsid w:val="00407DE1"/>
    <w:rsid w:val="0041043A"/>
    <w:rsid w:val="00410467"/>
    <w:rsid w:val="00410496"/>
    <w:rsid w:val="00410531"/>
    <w:rsid w:val="00410579"/>
    <w:rsid w:val="004105C2"/>
    <w:rsid w:val="00410646"/>
    <w:rsid w:val="00410904"/>
    <w:rsid w:val="00410991"/>
    <w:rsid w:val="00410A50"/>
    <w:rsid w:val="00410AD4"/>
    <w:rsid w:val="00410DF8"/>
    <w:rsid w:val="00410F2F"/>
    <w:rsid w:val="00410F4F"/>
    <w:rsid w:val="00411253"/>
    <w:rsid w:val="0041153B"/>
    <w:rsid w:val="004116A3"/>
    <w:rsid w:val="004119D1"/>
    <w:rsid w:val="00411A4A"/>
    <w:rsid w:val="00411D6C"/>
    <w:rsid w:val="00411D93"/>
    <w:rsid w:val="00411E9B"/>
    <w:rsid w:val="0041208B"/>
    <w:rsid w:val="004120E4"/>
    <w:rsid w:val="00412166"/>
    <w:rsid w:val="00412297"/>
    <w:rsid w:val="0041238A"/>
    <w:rsid w:val="004123A9"/>
    <w:rsid w:val="00412468"/>
    <w:rsid w:val="004127CB"/>
    <w:rsid w:val="004127F6"/>
    <w:rsid w:val="004128C3"/>
    <w:rsid w:val="004129C2"/>
    <w:rsid w:val="00412A38"/>
    <w:rsid w:val="00412AFD"/>
    <w:rsid w:val="00412B98"/>
    <w:rsid w:val="00412B9D"/>
    <w:rsid w:val="0041326E"/>
    <w:rsid w:val="00413296"/>
    <w:rsid w:val="004133DC"/>
    <w:rsid w:val="004136E9"/>
    <w:rsid w:val="004137F8"/>
    <w:rsid w:val="004138AB"/>
    <w:rsid w:val="00413BB2"/>
    <w:rsid w:val="00413CA3"/>
    <w:rsid w:val="00413D14"/>
    <w:rsid w:val="00413D17"/>
    <w:rsid w:val="00413DCD"/>
    <w:rsid w:val="0041403B"/>
    <w:rsid w:val="004140D9"/>
    <w:rsid w:val="00414126"/>
    <w:rsid w:val="0041431A"/>
    <w:rsid w:val="00414496"/>
    <w:rsid w:val="0041460D"/>
    <w:rsid w:val="00414710"/>
    <w:rsid w:val="0041479C"/>
    <w:rsid w:val="004148F4"/>
    <w:rsid w:val="00414ECB"/>
    <w:rsid w:val="004150D8"/>
    <w:rsid w:val="00415162"/>
    <w:rsid w:val="0041520F"/>
    <w:rsid w:val="004153C8"/>
    <w:rsid w:val="00415602"/>
    <w:rsid w:val="00415699"/>
    <w:rsid w:val="004156D8"/>
    <w:rsid w:val="00415713"/>
    <w:rsid w:val="00415873"/>
    <w:rsid w:val="00415B12"/>
    <w:rsid w:val="00415B58"/>
    <w:rsid w:val="00415CCA"/>
    <w:rsid w:val="00415CE0"/>
    <w:rsid w:val="00415E1A"/>
    <w:rsid w:val="00415F1B"/>
    <w:rsid w:val="00415FBB"/>
    <w:rsid w:val="0041621E"/>
    <w:rsid w:val="0041673B"/>
    <w:rsid w:val="004168D3"/>
    <w:rsid w:val="00416A4F"/>
    <w:rsid w:val="00416AFF"/>
    <w:rsid w:val="00416F59"/>
    <w:rsid w:val="00416FC4"/>
    <w:rsid w:val="004170C8"/>
    <w:rsid w:val="0041743D"/>
    <w:rsid w:val="004174E0"/>
    <w:rsid w:val="004175C9"/>
    <w:rsid w:val="004178B7"/>
    <w:rsid w:val="004178E2"/>
    <w:rsid w:val="004178FF"/>
    <w:rsid w:val="004179A6"/>
    <w:rsid w:val="004179CB"/>
    <w:rsid w:val="00417C53"/>
    <w:rsid w:val="00417D67"/>
    <w:rsid w:val="00417E85"/>
    <w:rsid w:val="004200C4"/>
    <w:rsid w:val="00420255"/>
    <w:rsid w:val="004202C4"/>
    <w:rsid w:val="004202E9"/>
    <w:rsid w:val="004202F1"/>
    <w:rsid w:val="0042044F"/>
    <w:rsid w:val="00420457"/>
    <w:rsid w:val="00420461"/>
    <w:rsid w:val="0042049C"/>
    <w:rsid w:val="00420693"/>
    <w:rsid w:val="004206B1"/>
    <w:rsid w:val="004206CB"/>
    <w:rsid w:val="00420920"/>
    <w:rsid w:val="00420936"/>
    <w:rsid w:val="00420FFB"/>
    <w:rsid w:val="0042102A"/>
    <w:rsid w:val="00421285"/>
    <w:rsid w:val="004212E7"/>
    <w:rsid w:val="004213E8"/>
    <w:rsid w:val="00421670"/>
    <w:rsid w:val="004217E4"/>
    <w:rsid w:val="004217FE"/>
    <w:rsid w:val="00421853"/>
    <w:rsid w:val="00421BFD"/>
    <w:rsid w:val="00421C6D"/>
    <w:rsid w:val="00421C80"/>
    <w:rsid w:val="00421CFB"/>
    <w:rsid w:val="00421E8B"/>
    <w:rsid w:val="00421F0B"/>
    <w:rsid w:val="00422047"/>
    <w:rsid w:val="0042228A"/>
    <w:rsid w:val="004222FE"/>
    <w:rsid w:val="004223BD"/>
    <w:rsid w:val="00422497"/>
    <w:rsid w:val="004224A6"/>
    <w:rsid w:val="00422519"/>
    <w:rsid w:val="00422528"/>
    <w:rsid w:val="004226E8"/>
    <w:rsid w:val="00422711"/>
    <w:rsid w:val="00422755"/>
    <w:rsid w:val="0042275F"/>
    <w:rsid w:val="004227E5"/>
    <w:rsid w:val="00422944"/>
    <w:rsid w:val="00422946"/>
    <w:rsid w:val="00422A98"/>
    <w:rsid w:val="00422B65"/>
    <w:rsid w:val="00422B96"/>
    <w:rsid w:val="00422BA8"/>
    <w:rsid w:val="00422C94"/>
    <w:rsid w:val="00422D56"/>
    <w:rsid w:val="00422F32"/>
    <w:rsid w:val="00422F7A"/>
    <w:rsid w:val="00423063"/>
    <w:rsid w:val="004230AE"/>
    <w:rsid w:val="004232EF"/>
    <w:rsid w:val="004239FE"/>
    <w:rsid w:val="00423AB7"/>
    <w:rsid w:val="00423D86"/>
    <w:rsid w:val="00423FB7"/>
    <w:rsid w:val="00423FF0"/>
    <w:rsid w:val="00424467"/>
    <w:rsid w:val="004244C1"/>
    <w:rsid w:val="0042451B"/>
    <w:rsid w:val="004245A8"/>
    <w:rsid w:val="00424745"/>
    <w:rsid w:val="004248C4"/>
    <w:rsid w:val="004249BB"/>
    <w:rsid w:val="00424B16"/>
    <w:rsid w:val="00424C9B"/>
    <w:rsid w:val="00424CEF"/>
    <w:rsid w:val="00424FF8"/>
    <w:rsid w:val="004250A2"/>
    <w:rsid w:val="0042522E"/>
    <w:rsid w:val="00425242"/>
    <w:rsid w:val="00425367"/>
    <w:rsid w:val="0042542E"/>
    <w:rsid w:val="004254E1"/>
    <w:rsid w:val="0042557A"/>
    <w:rsid w:val="00425667"/>
    <w:rsid w:val="004256A1"/>
    <w:rsid w:val="00425746"/>
    <w:rsid w:val="00425753"/>
    <w:rsid w:val="00425771"/>
    <w:rsid w:val="00425802"/>
    <w:rsid w:val="0042582D"/>
    <w:rsid w:val="00425A38"/>
    <w:rsid w:val="00425A47"/>
    <w:rsid w:val="00425AD5"/>
    <w:rsid w:val="0042610B"/>
    <w:rsid w:val="004264D8"/>
    <w:rsid w:val="00426520"/>
    <w:rsid w:val="00426558"/>
    <w:rsid w:val="00426585"/>
    <w:rsid w:val="00426613"/>
    <w:rsid w:val="0042665E"/>
    <w:rsid w:val="0042682A"/>
    <w:rsid w:val="004269A2"/>
    <w:rsid w:val="00426AA7"/>
    <w:rsid w:val="00426BA7"/>
    <w:rsid w:val="00426BE2"/>
    <w:rsid w:val="00426CF1"/>
    <w:rsid w:val="00426DF4"/>
    <w:rsid w:val="00426F47"/>
    <w:rsid w:val="00426FE3"/>
    <w:rsid w:val="00427095"/>
    <w:rsid w:val="004270D7"/>
    <w:rsid w:val="0042722A"/>
    <w:rsid w:val="00427241"/>
    <w:rsid w:val="0042727A"/>
    <w:rsid w:val="004272E2"/>
    <w:rsid w:val="004273B6"/>
    <w:rsid w:val="00427569"/>
    <w:rsid w:val="00427776"/>
    <w:rsid w:val="004277E9"/>
    <w:rsid w:val="004277ED"/>
    <w:rsid w:val="004278C2"/>
    <w:rsid w:val="004279B8"/>
    <w:rsid w:val="00427D1D"/>
    <w:rsid w:val="00427D5B"/>
    <w:rsid w:val="00427D72"/>
    <w:rsid w:val="00427D83"/>
    <w:rsid w:val="00427DBB"/>
    <w:rsid w:val="00427E65"/>
    <w:rsid w:val="00427F50"/>
    <w:rsid w:val="00430092"/>
    <w:rsid w:val="00430115"/>
    <w:rsid w:val="004301D8"/>
    <w:rsid w:val="00430245"/>
    <w:rsid w:val="0043049B"/>
    <w:rsid w:val="004304E4"/>
    <w:rsid w:val="00430519"/>
    <w:rsid w:val="00430591"/>
    <w:rsid w:val="00430635"/>
    <w:rsid w:val="00430721"/>
    <w:rsid w:val="0043088B"/>
    <w:rsid w:val="0043095E"/>
    <w:rsid w:val="004309BC"/>
    <w:rsid w:val="00430F87"/>
    <w:rsid w:val="00431010"/>
    <w:rsid w:val="0043117A"/>
    <w:rsid w:val="004311B3"/>
    <w:rsid w:val="0043123F"/>
    <w:rsid w:val="00431518"/>
    <w:rsid w:val="00431671"/>
    <w:rsid w:val="0043170D"/>
    <w:rsid w:val="00431782"/>
    <w:rsid w:val="004318BF"/>
    <w:rsid w:val="00431900"/>
    <w:rsid w:val="00431D0F"/>
    <w:rsid w:val="00431D83"/>
    <w:rsid w:val="00431E9B"/>
    <w:rsid w:val="00432019"/>
    <w:rsid w:val="0043204F"/>
    <w:rsid w:val="00432058"/>
    <w:rsid w:val="00432097"/>
    <w:rsid w:val="004320EE"/>
    <w:rsid w:val="00432117"/>
    <w:rsid w:val="0043249A"/>
    <w:rsid w:val="00432666"/>
    <w:rsid w:val="00432749"/>
    <w:rsid w:val="00432794"/>
    <w:rsid w:val="004327B9"/>
    <w:rsid w:val="004327D7"/>
    <w:rsid w:val="0043292E"/>
    <w:rsid w:val="00432944"/>
    <w:rsid w:val="00432AF9"/>
    <w:rsid w:val="00432BF6"/>
    <w:rsid w:val="00432EFB"/>
    <w:rsid w:val="00433254"/>
    <w:rsid w:val="004334C9"/>
    <w:rsid w:val="004334CD"/>
    <w:rsid w:val="004335D6"/>
    <w:rsid w:val="00433643"/>
    <w:rsid w:val="004336AB"/>
    <w:rsid w:val="00433903"/>
    <w:rsid w:val="00433955"/>
    <w:rsid w:val="00433A8C"/>
    <w:rsid w:val="00433EA6"/>
    <w:rsid w:val="00433F5E"/>
    <w:rsid w:val="00433F6B"/>
    <w:rsid w:val="00433FC9"/>
    <w:rsid w:val="00434002"/>
    <w:rsid w:val="00434370"/>
    <w:rsid w:val="004344F3"/>
    <w:rsid w:val="00434530"/>
    <w:rsid w:val="0043454A"/>
    <w:rsid w:val="00434649"/>
    <w:rsid w:val="00434727"/>
    <w:rsid w:val="00434876"/>
    <w:rsid w:val="00434890"/>
    <w:rsid w:val="00434898"/>
    <w:rsid w:val="004348C0"/>
    <w:rsid w:val="00434B91"/>
    <w:rsid w:val="00434D39"/>
    <w:rsid w:val="00435046"/>
    <w:rsid w:val="004350AD"/>
    <w:rsid w:val="004350CA"/>
    <w:rsid w:val="004350E8"/>
    <w:rsid w:val="00435138"/>
    <w:rsid w:val="004351F4"/>
    <w:rsid w:val="004352D1"/>
    <w:rsid w:val="004354EE"/>
    <w:rsid w:val="0043554E"/>
    <w:rsid w:val="0043573F"/>
    <w:rsid w:val="00435767"/>
    <w:rsid w:val="004359A6"/>
    <w:rsid w:val="00435A6D"/>
    <w:rsid w:val="00435AD0"/>
    <w:rsid w:val="00435B59"/>
    <w:rsid w:val="00435CEA"/>
    <w:rsid w:val="00435DF8"/>
    <w:rsid w:val="00435E5D"/>
    <w:rsid w:val="00435EDA"/>
    <w:rsid w:val="00435FBD"/>
    <w:rsid w:val="00436045"/>
    <w:rsid w:val="0043618D"/>
    <w:rsid w:val="00436337"/>
    <w:rsid w:val="00436375"/>
    <w:rsid w:val="00436652"/>
    <w:rsid w:val="0043671E"/>
    <w:rsid w:val="004369CC"/>
    <w:rsid w:val="00436DB2"/>
    <w:rsid w:val="00436FB4"/>
    <w:rsid w:val="00437008"/>
    <w:rsid w:val="00437124"/>
    <w:rsid w:val="004371D6"/>
    <w:rsid w:val="00437249"/>
    <w:rsid w:val="00437311"/>
    <w:rsid w:val="00437637"/>
    <w:rsid w:val="004376A1"/>
    <w:rsid w:val="004376DF"/>
    <w:rsid w:val="00437B55"/>
    <w:rsid w:val="00437F4D"/>
    <w:rsid w:val="0044004A"/>
    <w:rsid w:val="00440097"/>
    <w:rsid w:val="0044025C"/>
    <w:rsid w:val="004402A3"/>
    <w:rsid w:val="004402B7"/>
    <w:rsid w:val="004405B4"/>
    <w:rsid w:val="00440620"/>
    <w:rsid w:val="0044063A"/>
    <w:rsid w:val="00440643"/>
    <w:rsid w:val="0044068C"/>
    <w:rsid w:val="00440732"/>
    <w:rsid w:val="004408A9"/>
    <w:rsid w:val="00440A18"/>
    <w:rsid w:val="00440B5A"/>
    <w:rsid w:val="00440D77"/>
    <w:rsid w:val="00440DA9"/>
    <w:rsid w:val="00440F19"/>
    <w:rsid w:val="00440F73"/>
    <w:rsid w:val="00440F97"/>
    <w:rsid w:val="00441041"/>
    <w:rsid w:val="004410EC"/>
    <w:rsid w:val="00441109"/>
    <w:rsid w:val="00441144"/>
    <w:rsid w:val="0044153B"/>
    <w:rsid w:val="00441680"/>
    <w:rsid w:val="00441766"/>
    <w:rsid w:val="0044184D"/>
    <w:rsid w:val="00441973"/>
    <w:rsid w:val="00441B14"/>
    <w:rsid w:val="00441BD3"/>
    <w:rsid w:val="00441BD9"/>
    <w:rsid w:val="00441C09"/>
    <w:rsid w:val="00441F01"/>
    <w:rsid w:val="00441F73"/>
    <w:rsid w:val="00441FEF"/>
    <w:rsid w:val="0044231A"/>
    <w:rsid w:val="00442582"/>
    <w:rsid w:val="00442584"/>
    <w:rsid w:val="0044285D"/>
    <w:rsid w:val="00442A0E"/>
    <w:rsid w:val="00442BBD"/>
    <w:rsid w:val="00442E7D"/>
    <w:rsid w:val="00443319"/>
    <w:rsid w:val="004439FC"/>
    <w:rsid w:val="00443C08"/>
    <w:rsid w:val="00443DA0"/>
    <w:rsid w:val="00443EB6"/>
    <w:rsid w:val="0044403E"/>
    <w:rsid w:val="004440CC"/>
    <w:rsid w:val="004442FF"/>
    <w:rsid w:val="00444387"/>
    <w:rsid w:val="00444508"/>
    <w:rsid w:val="004445AB"/>
    <w:rsid w:val="00444643"/>
    <w:rsid w:val="00444703"/>
    <w:rsid w:val="0044484F"/>
    <w:rsid w:val="00444853"/>
    <w:rsid w:val="0044494B"/>
    <w:rsid w:val="004449A3"/>
    <w:rsid w:val="00444A33"/>
    <w:rsid w:val="00444A76"/>
    <w:rsid w:val="00444B65"/>
    <w:rsid w:val="00444E32"/>
    <w:rsid w:val="00444E3A"/>
    <w:rsid w:val="0044510B"/>
    <w:rsid w:val="004453EE"/>
    <w:rsid w:val="00445781"/>
    <w:rsid w:val="00445839"/>
    <w:rsid w:val="00445866"/>
    <w:rsid w:val="00445A0B"/>
    <w:rsid w:val="00445AC5"/>
    <w:rsid w:val="00445C12"/>
    <w:rsid w:val="00445C22"/>
    <w:rsid w:val="00445D10"/>
    <w:rsid w:val="00445F2F"/>
    <w:rsid w:val="00445F58"/>
    <w:rsid w:val="00445FD8"/>
    <w:rsid w:val="0044617D"/>
    <w:rsid w:val="00446259"/>
    <w:rsid w:val="00446267"/>
    <w:rsid w:val="0044658B"/>
    <w:rsid w:val="00446878"/>
    <w:rsid w:val="00446A59"/>
    <w:rsid w:val="00446AE7"/>
    <w:rsid w:val="00446E75"/>
    <w:rsid w:val="00446FF4"/>
    <w:rsid w:val="00447049"/>
    <w:rsid w:val="00447107"/>
    <w:rsid w:val="00447124"/>
    <w:rsid w:val="00447277"/>
    <w:rsid w:val="004472EF"/>
    <w:rsid w:val="004474C4"/>
    <w:rsid w:val="0044755C"/>
    <w:rsid w:val="004477CF"/>
    <w:rsid w:val="004478B0"/>
    <w:rsid w:val="004478D7"/>
    <w:rsid w:val="004479F8"/>
    <w:rsid w:val="00447AEC"/>
    <w:rsid w:val="00447B20"/>
    <w:rsid w:val="00447EE3"/>
    <w:rsid w:val="00447F33"/>
    <w:rsid w:val="00447FBE"/>
    <w:rsid w:val="00447FE3"/>
    <w:rsid w:val="004500D3"/>
    <w:rsid w:val="004503BC"/>
    <w:rsid w:val="004504B0"/>
    <w:rsid w:val="0045051A"/>
    <w:rsid w:val="004506D9"/>
    <w:rsid w:val="0045075F"/>
    <w:rsid w:val="00450869"/>
    <w:rsid w:val="00450AAD"/>
    <w:rsid w:val="00450C80"/>
    <w:rsid w:val="00450D01"/>
    <w:rsid w:val="004510B7"/>
    <w:rsid w:val="00451292"/>
    <w:rsid w:val="004513B3"/>
    <w:rsid w:val="004514BC"/>
    <w:rsid w:val="0045161E"/>
    <w:rsid w:val="0045164A"/>
    <w:rsid w:val="004516B3"/>
    <w:rsid w:val="00451743"/>
    <w:rsid w:val="004518FF"/>
    <w:rsid w:val="00451BCC"/>
    <w:rsid w:val="00451CE0"/>
    <w:rsid w:val="00451D6A"/>
    <w:rsid w:val="00451FBF"/>
    <w:rsid w:val="00451FFF"/>
    <w:rsid w:val="00452237"/>
    <w:rsid w:val="0045242B"/>
    <w:rsid w:val="00452691"/>
    <w:rsid w:val="00452754"/>
    <w:rsid w:val="004529E1"/>
    <w:rsid w:val="00452AB6"/>
    <w:rsid w:val="00452AC4"/>
    <w:rsid w:val="00452C0B"/>
    <w:rsid w:val="00452C0C"/>
    <w:rsid w:val="00452E9A"/>
    <w:rsid w:val="00453077"/>
    <w:rsid w:val="00453330"/>
    <w:rsid w:val="00453354"/>
    <w:rsid w:val="004533D9"/>
    <w:rsid w:val="00453400"/>
    <w:rsid w:val="004534B7"/>
    <w:rsid w:val="00453847"/>
    <w:rsid w:val="00453862"/>
    <w:rsid w:val="00453A1C"/>
    <w:rsid w:val="00453E19"/>
    <w:rsid w:val="00453FB6"/>
    <w:rsid w:val="00453FE1"/>
    <w:rsid w:val="0045402C"/>
    <w:rsid w:val="004540C4"/>
    <w:rsid w:val="0045436F"/>
    <w:rsid w:val="00454474"/>
    <w:rsid w:val="00454483"/>
    <w:rsid w:val="00454519"/>
    <w:rsid w:val="004546ED"/>
    <w:rsid w:val="0045471D"/>
    <w:rsid w:val="00454746"/>
    <w:rsid w:val="0045476C"/>
    <w:rsid w:val="004547B9"/>
    <w:rsid w:val="004549EC"/>
    <w:rsid w:val="00454B04"/>
    <w:rsid w:val="00454BEF"/>
    <w:rsid w:val="00454EB7"/>
    <w:rsid w:val="00454FE2"/>
    <w:rsid w:val="004551BD"/>
    <w:rsid w:val="004553EC"/>
    <w:rsid w:val="004559C8"/>
    <w:rsid w:val="00455A22"/>
    <w:rsid w:val="00455C0D"/>
    <w:rsid w:val="00455C54"/>
    <w:rsid w:val="00455E9F"/>
    <w:rsid w:val="00455FBC"/>
    <w:rsid w:val="0045605C"/>
    <w:rsid w:val="0045622E"/>
    <w:rsid w:val="0045634A"/>
    <w:rsid w:val="0045647E"/>
    <w:rsid w:val="004568EA"/>
    <w:rsid w:val="00456937"/>
    <w:rsid w:val="004569C8"/>
    <w:rsid w:val="004569E0"/>
    <w:rsid w:val="00456B65"/>
    <w:rsid w:val="00456F28"/>
    <w:rsid w:val="00457100"/>
    <w:rsid w:val="004572A3"/>
    <w:rsid w:val="00457324"/>
    <w:rsid w:val="004573CF"/>
    <w:rsid w:val="004573E5"/>
    <w:rsid w:val="004574BA"/>
    <w:rsid w:val="004575D1"/>
    <w:rsid w:val="00457896"/>
    <w:rsid w:val="00457BF5"/>
    <w:rsid w:val="00457D26"/>
    <w:rsid w:val="00457FF2"/>
    <w:rsid w:val="00460205"/>
    <w:rsid w:val="0046032F"/>
    <w:rsid w:val="0046036E"/>
    <w:rsid w:val="004603C4"/>
    <w:rsid w:val="00460484"/>
    <w:rsid w:val="004605FD"/>
    <w:rsid w:val="004607D4"/>
    <w:rsid w:val="004608EF"/>
    <w:rsid w:val="004608F2"/>
    <w:rsid w:val="004609D0"/>
    <w:rsid w:val="00460C5F"/>
    <w:rsid w:val="00460C63"/>
    <w:rsid w:val="00460DCE"/>
    <w:rsid w:val="00460F0F"/>
    <w:rsid w:val="00461042"/>
    <w:rsid w:val="00461265"/>
    <w:rsid w:val="004612EF"/>
    <w:rsid w:val="004613CB"/>
    <w:rsid w:val="00461420"/>
    <w:rsid w:val="00461423"/>
    <w:rsid w:val="004615B0"/>
    <w:rsid w:val="00461604"/>
    <w:rsid w:val="004618D3"/>
    <w:rsid w:val="0046195F"/>
    <w:rsid w:val="004619A1"/>
    <w:rsid w:val="00461DC6"/>
    <w:rsid w:val="00461FB5"/>
    <w:rsid w:val="004620D5"/>
    <w:rsid w:val="00462157"/>
    <w:rsid w:val="004622F6"/>
    <w:rsid w:val="00462488"/>
    <w:rsid w:val="00462523"/>
    <w:rsid w:val="00462528"/>
    <w:rsid w:val="00462605"/>
    <w:rsid w:val="00462759"/>
    <w:rsid w:val="004627B5"/>
    <w:rsid w:val="00462841"/>
    <w:rsid w:val="0046286D"/>
    <w:rsid w:val="004628E1"/>
    <w:rsid w:val="00462A06"/>
    <w:rsid w:val="00462C2A"/>
    <w:rsid w:val="00462F40"/>
    <w:rsid w:val="004638D7"/>
    <w:rsid w:val="004639C7"/>
    <w:rsid w:val="00463C3B"/>
    <w:rsid w:val="00463CD9"/>
    <w:rsid w:val="00463DEA"/>
    <w:rsid w:val="00463FB2"/>
    <w:rsid w:val="00463FEA"/>
    <w:rsid w:val="0046408B"/>
    <w:rsid w:val="0046410B"/>
    <w:rsid w:val="00464372"/>
    <w:rsid w:val="00464401"/>
    <w:rsid w:val="00464494"/>
    <w:rsid w:val="00464585"/>
    <w:rsid w:val="004645CA"/>
    <w:rsid w:val="004647EE"/>
    <w:rsid w:val="004647FD"/>
    <w:rsid w:val="004647FF"/>
    <w:rsid w:val="0046493D"/>
    <w:rsid w:val="00464E8E"/>
    <w:rsid w:val="004652FE"/>
    <w:rsid w:val="0046541A"/>
    <w:rsid w:val="00465430"/>
    <w:rsid w:val="00465553"/>
    <w:rsid w:val="0046557D"/>
    <w:rsid w:val="00465BC9"/>
    <w:rsid w:val="00465BF9"/>
    <w:rsid w:val="00465C5D"/>
    <w:rsid w:val="00465DA5"/>
    <w:rsid w:val="00465E4C"/>
    <w:rsid w:val="00465E9D"/>
    <w:rsid w:val="00466418"/>
    <w:rsid w:val="0046648A"/>
    <w:rsid w:val="004664C3"/>
    <w:rsid w:val="00466656"/>
    <w:rsid w:val="00466985"/>
    <w:rsid w:val="00466996"/>
    <w:rsid w:val="00466CB3"/>
    <w:rsid w:val="00466EB2"/>
    <w:rsid w:val="004671C5"/>
    <w:rsid w:val="00467237"/>
    <w:rsid w:val="0046799D"/>
    <w:rsid w:val="00467A90"/>
    <w:rsid w:val="00467BE1"/>
    <w:rsid w:val="00467D21"/>
    <w:rsid w:val="00467DF6"/>
    <w:rsid w:val="00467EAE"/>
    <w:rsid w:val="0047010B"/>
    <w:rsid w:val="004701B3"/>
    <w:rsid w:val="004701F2"/>
    <w:rsid w:val="00470233"/>
    <w:rsid w:val="0047025C"/>
    <w:rsid w:val="004702A6"/>
    <w:rsid w:val="004703B3"/>
    <w:rsid w:val="00470464"/>
    <w:rsid w:val="00470542"/>
    <w:rsid w:val="004705EF"/>
    <w:rsid w:val="004707B3"/>
    <w:rsid w:val="0047082D"/>
    <w:rsid w:val="00470861"/>
    <w:rsid w:val="004708CA"/>
    <w:rsid w:val="00470C3D"/>
    <w:rsid w:val="00470C6D"/>
    <w:rsid w:val="00470DF3"/>
    <w:rsid w:val="00470DF8"/>
    <w:rsid w:val="00471048"/>
    <w:rsid w:val="004711FF"/>
    <w:rsid w:val="00471218"/>
    <w:rsid w:val="00471412"/>
    <w:rsid w:val="004714A5"/>
    <w:rsid w:val="00471570"/>
    <w:rsid w:val="00471D09"/>
    <w:rsid w:val="00471D33"/>
    <w:rsid w:val="00471D59"/>
    <w:rsid w:val="00471DD5"/>
    <w:rsid w:val="00471E24"/>
    <w:rsid w:val="00471F56"/>
    <w:rsid w:val="00471F6C"/>
    <w:rsid w:val="00471F80"/>
    <w:rsid w:val="0047217B"/>
    <w:rsid w:val="004721E0"/>
    <w:rsid w:val="0047228F"/>
    <w:rsid w:val="0047231E"/>
    <w:rsid w:val="00472636"/>
    <w:rsid w:val="004727BC"/>
    <w:rsid w:val="00472873"/>
    <w:rsid w:val="00472A8E"/>
    <w:rsid w:val="00472AB1"/>
    <w:rsid w:val="00472AE7"/>
    <w:rsid w:val="00472C1E"/>
    <w:rsid w:val="00472C6E"/>
    <w:rsid w:val="00472CBA"/>
    <w:rsid w:val="00472CBD"/>
    <w:rsid w:val="00472D8F"/>
    <w:rsid w:val="00472DA0"/>
    <w:rsid w:val="0047307E"/>
    <w:rsid w:val="004731EE"/>
    <w:rsid w:val="004732BF"/>
    <w:rsid w:val="0047371C"/>
    <w:rsid w:val="004738F9"/>
    <w:rsid w:val="00473AC4"/>
    <w:rsid w:val="00473B69"/>
    <w:rsid w:val="00473B8E"/>
    <w:rsid w:val="00473C71"/>
    <w:rsid w:val="00473E6D"/>
    <w:rsid w:val="004742E9"/>
    <w:rsid w:val="00474434"/>
    <w:rsid w:val="00474583"/>
    <w:rsid w:val="00474585"/>
    <w:rsid w:val="00474592"/>
    <w:rsid w:val="0047486D"/>
    <w:rsid w:val="00474903"/>
    <w:rsid w:val="00474A55"/>
    <w:rsid w:val="00474BBC"/>
    <w:rsid w:val="00474C23"/>
    <w:rsid w:val="00474D2F"/>
    <w:rsid w:val="00474E67"/>
    <w:rsid w:val="00474FF1"/>
    <w:rsid w:val="0047518B"/>
    <w:rsid w:val="004752C9"/>
    <w:rsid w:val="004752F7"/>
    <w:rsid w:val="00475494"/>
    <w:rsid w:val="004756E5"/>
    <w:rsid w:val="0047580B"/>
    <w:rsid w:val="00475835"/>
    <w:rsid w:val="00475855"/>
    <w:rsid w:val="00475AA2"/>
    <w:rsid w:val="00475AB4"/>
    <w:rsid w:val="00475BFD"/>
    <w:rsid w:val="00475C76"/>
    <w:rsid w:val="00475D02"/>
    <w:rsid w:val="00475E52"/>
    <w:rsid w:val="00475F13"/>
    <w:rsid w:val="00475F4F"/>
    <w:rsid w:val="0047610F"/>
    <w:rsid w:val="00476173"/>
    <w:rsid w:val="00476225"/>
    <w:rsid w:val="00476383"/>
    <w:rsid w:val="00476467"/>
    <w:rsid w:val="004765FB"/>
    <w:rsid w:val="0047664E"/>
    <w:rsid w:val="00476767"/>
    <w:rsid w:val="00476793"/>
    <w:rsid w:val="0047681B"/>
    <w:rsid w:val="004769F6"/>
    <w:rsid w:val="00476A93"/>
    <w:rsid w:val="00476D10"/>
    <w:rsid w:val="00476D5C"/>
    <w:rsid w:val="00476D9C"/>
    <w:rsid w:val="00476E0C"/>
    <w:rsid w:val="00476FC9"/>
    <w:rsid w:val="00477004"/>
    <w:rsid w:val="00477163"/>
    <w:rsid w:val="004772B7"/>
    <w:rsid w:val="004774F6"/>
    <w:rsid w:val="00477573"/>
    <w:rsid w:val="00477BF0"/>
    <w:rsid w:val="00477C0D"/>
    <w:rsid w:val="00477EE6"/>
    <w:rsid w:val="00477F75"/>
    <w:rsid w:val="00480055"/>
    <w:rsid w:val="004801A4"/>
    <w:rsid w:val="004804E9"/>
    <w:rsid w:val="004805E2"/>
    <w:rsid w:val="0048074B"/>
    <w:rsid w:val="00480784"/>
    <w:rsid w:val="004808B1"/>
    <w:rsid w:val="004808C1"/>
    <w:rsid w:val="00480AE2"/>
    <w:rsid w:val="00480B1A"/>
    <w:rsid w:val="00480D84"/>
    <w:rsid w:val="00480DAA"/>
    <w:rsid w:val="00480DB7"/>
    <w:rsid w:val="00480ED7"/>
    <w:rsid w:val="0048115E"/>
    <w:rsid w:val="0048121A"/>
    <w:rsid w:val="00481225"/>
    <w:rsid w:val="00481278"/>
    <w:rsid w:val="00481583"/>
    <w:rsid w:val="00481649"/>
    <w:rsid w:val="004817AC"/>
    <w:rsid w:val="00481855"/>
    <w:rsid w:val="004818C9"/>
    <w:rsid w:val="00481BD0"/>
    <w:rsid w:val="00481D0E"/>
    <w:rsid w:val="00481E9E"/>
    <w:rsid w:val="00481EFE"/>
    <w:rsid w:val="0048205E"/>
    <w:rsid w:val="0048208B"/>
    <w:rsid w:val="00482186"/>
    <w:rsid w:val="004822BA"/>
    <w:rsid w:val="00482367"/>
    <w:rsid w:val="004823C8"/>
    <w:rsid w:val="00482641"/>
    <w:rsid w:val="004827A2"/>
    <w:rsid w:val="004828AB"/>
    <w:rsid w:val="00482A72"/>
    <w:rsid w:val="00482B95"/>
    <w:rsid w:val="00482C51"/>
    <w:rsid w:val="00482C6C"/>
    <w:rsid w:val="00482E12"/>
    <w:rsid w:val="00482F84"/>
    <w:rsid w:val="00482F89"/>
    <w:rsid w:val="0048337B"/>
    <w:rsid w:val="00483395"/>
    <w:rsid w:val="004833AD"/>
    <w:rsid w:val="00483700"/>
    <w:rsid w:val="00483736"/>
    <w:rsid w:val="0048391C"/>
    <w:rsid w:val="0048391E"/>
    <w:rsid w:val="00483989"/>
    <w:rsid w:val="004839A7"/>
    <w:rsid w:val="00483AE5"/>
    <w:rsid w:val="00483B4C"/>
    <w:rsid w:val="00483B95"/>
    <w:rsid w:val="00483BDA"/>
    <w:rsid w:val="00483E26"/>
    <w:rsid w:val="004841C6"/>
    <w:rsid w:val="004842F1"/>
    <w:rsid w:val="0048452E"/>
    <w:rsid w:val="0048455A"/>
    <w:rsid w:val="00484677"/>
    <w:rsid w:val="004846C0"/>
    <w:rsid w:val="00484A36"/>
    <w:rsid w:val="00484BFF"/>
    <w:rsid w:val="00484F40"/>
    <w:rsid w:val="00485257"/>
    <w:rsid w:val="0048562A"/>
    <w:rsid w:val="004858AC"/>
    <w:rsid w:val="00485AD6"/>
    <w:rsid w:val="00485B1B"/>
    <w:rsid w:val="00485C76"/>
    <w:rsid w:val="00485C9B"/>
    <w:rsid w:val="00485EC2"/>
    <w:rsid w:val="00486426"/>
    <w:rsid w:val="00486477"/>
    <w:rsid w:val="00486510"/>
    <w:rsid w:val="00486791"/>
    <w:rsid w:val="004868EE"/>
    <w:rsid w:val="004869F0"/>
    <w:rsid w:val="00486B1A"/>
    <w:rsid w:val="00486C79"/>
    <w:rsid w:val="00486DA9"/>
    <w:rsid w:val="00486F57"/>
    <w:rsid w:val="00487022"/>
    <w:rsid w:val="00487060"/>
    <w:rsid w:val="0048719A"/>
    <w:rsid w:val="0048723A"/>
    <w:rsid w:val="0048723E"/>
    <w:rsid w:val="004872C5"/>
    <w:rsid w:val="00487475"/>
    <w:rsid w:val="004875E9"/>
    <w:rsid w:val="004875EC"/>
    <w:rsid w:val="00487622"/>
    <w:rsid w:val="00487669"/>
    <w:rsid w:val="004877E3"/>
    <w:rsid w:val="004878B9"/>
    <w:rsid w:val="00487966"/>
    <w:rsid w:val="004879B5"/>
    <w:rsid w:val="00487B43"/>
    <w:rsid w:val="00487C07"/>
    <w:rsid w:val="00487C26"/>
    <w:rsid w:val="00487C73"/>
    <w:rsid w:val="00487DEE"/>
    <w:rsid w:val="00487E1F"/>
    <w:rsid w:val="00487E69"/>
    <w:rsid w:val="00487E83"/>
    <w:rsid w:val="00490085"/>
    <w:rsid w:val="00490372"/>
    <w:rsid w:val="004904A9"/>
    <w:rsid w:val="004906B2"/>
    <w:rsid w:val="004908A6"/>
    <w:rsid w:val="004908AC"/>
    <w:rsid w:val="00490A99"/>
    <w:rsid w:val="00490B6F"/>
    <w:rsid w:val="00490B9D"/>
    <w:rsid w:val="00490C86"/>
    <w:rsid w:val="00490EBA"/>
    <w:rsid w:val="00491054"/>
    <w:rsid w:val="00491084"/>
    <w:rsid w:val="004912EA"/>
    <w:rsid w:val="0049159D"/>
    <w:rsid w:val="004915F1"/>
    <w:rsid w:val="004918EB"/>
    <w:rsid w:val="00491DD0"/>
    <w:rsid w:val="00491DE7"/>
    <w:rsid w:val="00491E58"/>
    <w:rsid w:val="0049201C"/>
    <w:rsid w:val="0049227E"/>
    <w:rsid w:val="004922D5"/>
    <w:rsid w:val="004922E9"/>
    <w:rsid w:val="0049239B"/>
    <w:rsid w:val="004924FF"/>
    <w:rsid w:val="00492539"/>
    <w:rsid w:val="0049254D"/>
    <w:rsid w:val="004926E3"/>
    <w:rsid w:val="004927FD"/>
    <w:rsid w:val="0049292D"/>
    <w:rsid w:val="00492A8A"/>
    <w:rsid w:val="00492ADE"/>
    <w:rsid w:val="00492CA0"/>
    <w:rsid w:val="00492D2C"/>
    <w:rsid w:val="00492D8B"/>
    <w:rsid w:val="004932B3"/>
    <w:rsid w:val="0049333A"/>
    <w:rsid w:val="0049368D"/>
    <w:rsid w:val="00493701"/>
    <w:rsid w:val="0049372E"/>
    <w:rsid w:val="00493766"/>
    <w:rsid w:val="004938C0"/>
    <w:rsid w:val="004939D2"/>
    <w:rsid w:val="004939DC"/>
    <w:rsid w:val="00493A40"/>
    <w:rsid w:val="00493BAB"/>
    <w:rsid w:val="00493E76"/>
    <w:rsid w:val="00493FA3"/>
    <w:rsid w:val="00494020"/>
    <w:rsid w:val="0049412C"/>
    <w:rsid w:val="00494174"/>
    <w:rsid w:val="004943AE"/>
    <w:rsid w:val="00494434"/>
    <w:rsid w:val="00494553"/>
    <w:rsid w:val="00494A7D"/>
    <w:rsid w:val="00494ADB"/>
    <w:rsid w:val="00494B9E"/>
    <w:rsid w:val="00494D43"/>
    <w:rsid w:val="00494DC7"/>
    <w:rsid w:val="00494F07"/>
    <w:rsid w:val="00494F6F"/>
    <w:rsid w:val="00495077"/>
    <w:rsid w:val="00495150"/>
    <w:rsid w:val="004951EC"/>
    <w:rsid w:val="00495780"/>
    <w:rsid w:val="004957FF"/>
    <w:rsid w:val="004958EC"/>
    <w:rsid w:val="00495927"/>
    <w:rsid w:val="00495AFB"/>
    <w:rsid w:val="00495B6B"/>
    <w:rsid w:val="00495EA6"/>
    <w:rsid w:val="00495EFA"/>
    <w:rsid w:val="00495F41"/>
    <w:rsid w:val="00495FAA"/>
    <w:rsid w:val="00496025"/>
    <w:rsid w:val="00496117"/>
    <w:rsid w:val="004961CB"/>
    <w:rsid w:val="004963AF"/>
    <w:rsid w:val="004963B3"/>
    <w:rsid w:val="004964E1"/>
    <w:rsid w:val="0049676C"/>
    <w:rsid w:val="0049697F"/>
    <w:rsid w:val="004969D9"/>
    <w:rsid w:val="00496A1D"/>
    <w:rsid w:val="00496A99"/>
    <w:rsid w:val="00496B27"/>
    <w:rsid w:val="00496C44"/>
    <w:rsid w:val="00496CAC"/>
    <w:rsid w:val="00496CFE"/>
    <w:rsid w:val="00496FB5"/>
    <w:rsid w:val="00497021"/>
    <w:rsid w:val="00497116"/>
    <w:rsid w:val="004971D6"/>
    <w:rsid w:val="004975C2"/>
    <w:rsid w:val="00497983"/>
    <w:rsid w:val="004979B5"/>
    <w:rsid w:val="00497A43"/>
    <w:rsid w:val="00497B3B"/>
    <w:rsid w:val="00497BEA"/>
    <w:rsid w:val="00497D8E"/>
    <w:rsid w:val="00497ED9"/>
    <w:rsid w:val="00497F0F"/>
    <w:rsid w:val="004A009A"/>
    <w:rsid w:val="004A0329"/>
    <w:rsid w:val="004A03EC"/>
    <w:rsid w:val="004A053F"/>
    <w:rsid w:val="004A054B"/>
    <w:rsid w:val="004A05C0"/>
    <w:rsid w:val="004A0645"/>
    <w:rsid w:val="004A07C9"/>
    <w:rsid w:val="004A0895"/>
    <w:rsid w:val="004A0AD9"/>
    <w:rsid w:val="004A0B12"/>
    <w:rsid w:val="004A0B19"/>
    <w:rsid w:val="004A0CD4"/>
    <w:rsid w:val="004A0D68"/>
    <w:rsid w:val="004A0D8B"/>
    <w:rsid w:val="004A0F1D"/>
    <w:rsid w:val="004A10BA"/>
    <w:rsid w:val="004A10D0"/>
    <w:rsid w:val="004A12EC"/>
    <w:rsid w:val="004A13B7"/>
    <w:rsid w:val="004A1413"/>
    <w:rsid w:val="004A1510"/>
    <w:rsid w:val="004A1592"/>
    <w:rsid w:val="004A15AD"/>
    <w:rsid w:val="004A174C"/>
    <w:rsid w:val="004A17A4"/>
    <w:rsid w:val="004A1976"/>
    <w:rsid w:val="004A1988"/>
    <w:rsid w:val="004A1A2B"/>
    <w:rsid w:val="004A1A38"/>
    <w:rsid w:val="004A1C58"/>
    <w:rsid w:val="004A1E3B"/>
    <w:rsid w:val="004A1E68"/>
    <w:rsid w:val="004A20FC"/>
    <w:rsid w:val="004A224A"/>
    <w:rsid w:val="004A22DB"/>
    <w:rsid w:val="004A24E5"/>
    <w:rsid w:val="004A2722"/>
    <w:rsid w:val="004A2754"/>
    <w:rsid w:val="004A2777"/>
    <w:rsid w:val="004A27C6"/>
    <w:rsid w:val="004A27CD"/>
    <w:rsid w:val="004A282D"/>
    <w:rsid w:val="004A2951"/>
    <w:rsid w:val="004A29D0"/>
    <w:rsid w:val="004A2B98"/>
    <w:rsid w:val="004A2EC5"/>
    <w:rsid w:val="004A2F9C"/>
    <w:rsid w:val="004A31A1"/>
    <w:rsid w:val="004A3315"/>
    <w:rsid w:val="004A34BD"/>
    <w:rsid w:val="004A359A"/>
    <w:rsid w:val="004A3600"/>
    <w:rsid w:val="004A361E"/>
    <w:rsid w:val="004A36EA"/>
    <w:rsid w:val="004A37BA"/>
    <w:rsid w:val="004A384D"/>
    <w:rsid w:val="004A3A93"/>
    <w:rsid w:val="004A3B1D"/>
    <w:rsid w:val="004A3B79"/>
    <w:rsid w:val="004A3E9E"/>
    <w:rsid w:val="004A3F0A"/>
    <w:rsid w:val="004A41B6"/>
    <w:rsid w:val="004A43F7"/>
    <w:rsid w:val="004A4435"/>
    <w:rsid w:val="004A4601"/>
    <w:rsid w:val="004A47AB"/>
    <w:rsid w:val="004A4857"/>
    <w:rsid w:val="004A4898"/>
    <w:rsid w:val="004A4A06"/>
    <w:rsid w:val="004A4ABE"/>
    <w:rsid w:val="004A4B63"/>
    <w:rsid w:val="004A4B95"/>
    <w:rsid w:val="004A4C93"/>
    <w:rsid w:val="004A4E84"/>
    <w:rsid w:val="004A4EE0"/>
    <w:rsid w:val="004A5026"/>
    <w:rsid w:val="004A5268"/>
    <w:rsid w:val="004A5344"/>
    <w:rsid w:val="004A535E"/>
    <w:rsid w:val="004A53EF"/>
    <w:rsid w:val="004A5538"/>
    <w:rsid w:val="004A564B"/>
    <w:rsid w:val="004A598F"/>
    <w:rsid w:val="004A5A04"/>
    <w:rsid w:val="004A5C31"/>
    <w:rsid w:val="004A5CD8"/>
    <w:rsid w:val="004A5E13"/>
    <w:rsid w:val="004A5F93"/>
    <w:rsid w:val="004A6140"/>
    <w:rsid w:val="004A63A5"/>
    <w:rsid w:val="004A6453"/>
    <w:rsid w:val="004A64A0"/>
    <w:rsid w:val="004A655F"/>
    <w:rsid w:val="004A65F1"/>
    <w:rsid w:val="004A66CD"/>
    <w:rsid w:val="004A6759"/>
    <w:rsid w:val="004A68E9"/>
    <w:rsid w:val="004A6A41"/>
    <w:rsid w:val="004A6D04"/>
    <w:rsid w:val="004A6E87"/>
    <w:rsid w:val="004A70EC"/>
    <w:rsid w:val="004A71A9"/>
    <w:rsid w:val="004A71CE"/>
    <w:rsid w:val="004A72E4"/>
    <w:rsid w:val="004A736E"/>
    <w:rsid w:val="004A73DC"/>
    <w:rsid w:val="004A76F3"/>
    <w:rsid w:val="004A799B"/>
    <w:rsid w:val="004A7A55"/>
    <w:rsid w:val="004A7C40"/>
    <w:rsid w:val="004A7C8D"/>
    <w:rsid w:val="004A7E18"/>
    <w:rsid w:val="004A7F4C"/>
    <w:rsid w:val="004B01E4"/>
    <w:rsid w:val="004B03A2"/>
    <w:rsid w:val="004B05CB"/>
    <w:rsid w:val="004B062E"/>
    <w:rsid w:val="004B06D3"/>
    <w:rsid w:val="004B06F2"/>
    <w:rsid w:val="004B077C"/>
    <w:rsid w:val="004B084C"/>
    <w:rsid w:val="004B09CE"/>
    <w:rsid w:val="004B0C3A"/>
    <w:rsid w:val="004B115C"/>
    <w:rsid w:val="004B15D8"/>
    <w:rsid w:val="004B15F2"/>
    <w:rsid w:val="004B169C"/>
    <w:rsid w:val="004B178B"/>
    <w:rsid w:val="004B1848"/>
    <w:rsid w:val="004B1857"/>
    <w:rsid w:val="004B1A2D"/>
    <w:rsid w:val="004B1BAF"/>
    <w:rsid w:val="004B1BEA"/>
    <w:rsid w:val="004B1CA2"/>
    <w:rsid w:val="004B1E2B"/>
    <w:rsid w:val="004B1F72"/>
    <w:rsid w:val="004B21F7"/>
    <w:rsid w:val="004B238F"/>
    <w:rsid w:val="004B2394"/>
    <w:rsid w:val="004B249F"/>
    <w:rsid w:val="004B2676"/>
    <w:rsid w:val="004B275F"/>
    <w:rsid w:val="004B2878"/>
    <w:rsid w:val="004B298B"/>
    <w:rsid w:val="004B2CDD"/>
    <w:rsid w:val="004B32B9"/>
    <w:rsid w:val="004B3348"/>
    <w:rsid w:val="004B341F"/>
    <w:rsid w:val="004B34A5"/>
    <w:rsid w:val="004B34FB"/>
    <w:rsid w:val="004B358A"/>
    <w:rsid w:val="004B35DA"/>
    <w:rsid w:val="004B3679"/>
    <w:rsid w:val="004B3745"/>
    <w:rsid w:val="004B397D"/>
    <w:rsid w:val="004B3A26"/>
    <w:rsid w:val="004B3B41"/>
    <w:rsid w:val="004B3CDE"/>
    <w:rsid w:val="004B3DA7"/>
    <w:rsid w:val="004B3E95"/>
    <w:rsid w:val="004B412D"/>
    <w:rsid w:val="004B41E6"/>
    <w:rsid w:val="004B43C3"/>
    <w:rsid w:val="004B43F8"/>
    <w:rsid w:val="004B4435"/>
    <w:rsid w:val="004B461C"/>
    <w:rsid w:val="004B481B"/>
    <w:rsid w:val="004B483F"/>
    <w:rsid w:val="004B4843"/>
    <w:rsid w:val="004B49AC"/>
    <w:rsid w:val="004B4B17"/>
    <w:rsid w:val="004B4C85"/>
    <w:rsid w:val="004B4D27"/>
    <w:rsid w:val="004B4D7D"/>
    <w:rsid w:val="004B5069"/>
    <w:rsid w:val="004B5187"/>
    <w:rsid w:val="004B51EB"/>
    <w:rsid w:val="004B5403"/>
    <w:rsid w:val="004B5559"/>
    <w:rsid w:val="004B5598"/>
    <w:rsid w:val="004B58C6"/>
    <w:rsid w:val="004B5959"/>
    <w:rsid w:val="004B5C0B"/>
    <w:rsid w:val="004B5C73"/>
    <w:rsid w:val="004B5CC0"/>
    <w:rsid w:val="004B5DB2"/>
    <w:rsid w:val="004B5F53"/>
    <w:rsid w:val="004B6126"/>
    <w:rsid w:val="004B6223"/>
    <w:rsid w:val="004B6490"/>
    <w:rsid w:val="004B653B"/>
    <w:rsid w:val="004B660D"/>
    <w:rsid w:val="004B6612"/>
    <w:rsid w:val="004B6752"/>
    <w:rsid w:val="004B67D1"/>
    <w:rsid w:val="004B6C27"/>
    <w:rsid w:val="004B6DF2"/>
    <w:rsid w:val="004B6E26"/>
    <w:rsid w:val="004B6E89"/>
    <w:rsid w:val="004B6F27"/>
    <w:rsid w:val="004B72CC"/>
    <w:rsid w:val="004B7402"/>
    <w:rsid w:val="004B75F8"/>
    <w:rsid w:val="004B7618"/>
    <w:rsid w:val="004B7869"/>
    <w:rsid w:val="004B7A19"/>
    <w:rsid w:val="004B7BB4"/>
    <w:rsid w:val="004B7C19"/>
    <w:rsid w:val="004B7C20"/>
    <w:rsid w:val="004B7E29"/>
    <w:rsid w:val="004C00C2"/>
    <w:rsid w:val="004C010A"/>
    <w:rsid w:val="004C038D"/>
    <w:rsid w:val="004C04AE"/>
    <w:rsid w:val="004C04D7"/>
    <w:rsid w:val="004C07C5"/>
    <w:rsid w:val="004C0937"/>
    <w:rsid w:val="004C119E"/>
    <w:rsid w:val="004C1233"/>
    <w:rsid w:val="004C14A7"/>
    <w:rsid w:val="004C15AC"/>
    <w:rsid w:val="004C166D"/>
    <w:rsid w:val="004C1825"/>
    <w:rsid w:val="004C1932"/>
    <w:rsid w:val="004C19B7"/>
    <w:rsid w:val="004C1AE4"/>
    <w:rsid w:val="004C1B9D"/>
    <w:rsid w:val="004C1BC6"/>
    <w:rsid w:val="004C1E33"/>
    <w:rsid w:val="004C1F80"/>
    <w:rsid w:val="004C2316"/>
    <w:rsid w:val="004C24E7"/>
    <w:rsid w:val="004C2535"/>
    <w:rsid w:val="004C25E7"/>
    <w:rsid w:val="004C2851"/>
    <w:rsid w:val="004C2A78"/>
    <w:rsid w:val="004C2AC5"/>
    <w:rsid w:val="004C2B48"/>
    <w:rsid w:val="004C2E04"/>
    <w:rsid w:val="004C2E82"/>
    <w:rsid w:val="004C2F52"/>
    <w:rsid w:val="004C2F9B"/>
    <w:rsid w:val="004C3024"/>
    <w:rsid w:val="004C30C6"/>
    <w:rsid w:val="004C3451"/>
    <w:rsid w:val="004C34B6"/>
    <w:rsid w:val="004C358E"/>
    <w:rsid w:val="004C37AC"/>
    <w:rsid w:val="004C3864"/>
    <w:rsid w:val="004C3AF4"/>
    <w:rsid w:val="004C3C21"/>
    <w:rsid w:val="004C3D29"/>
    <w:rsid w:val="004C4188"/>
    <w:rsid w:val="004C41A0"/>
    <w:rsid w:val="004C473E"/>
    <w:rsid w:val="004C4814"/>
    <w:rsid w:val="004C484C"/>
    <w:rsid w:val="004C4971"/>
    <w:rsid w:val="004C49E3"/>
    <w:rsid w:val="004C4AAB"/>
    <w:rsid w:val="004C4C8F"/>
    <w:rsid w:val="004C4C96"/>
    <w:rsid w:val="004C4D65"/>
    <w:rsid w:val="004C5196"/>
    <w:rsid w:val="004C51D7"/>
    <w:rsid w:val="004C529F"/>
    <w:rsid w:val="004C53D3"/>
    <w:rsid w:val="004C5612"/>
    <w:rsid w:val="004C5777"/>
    <w:rsid w:val="004C57FA"/>
    <w:rsid w:val="004C597E"/>
    <w:rsid w:val="004C5AA1"/>
    <w:rsid w:val="004C5AE6"/>
    <w:rsid w:val="004C5BE8"/>
    <w:rsid w:val="004C5EFB"/>
    <w:rsid w:val="004C5FE0"/>
    <w:rsid w:val="004C600A"/>
    <w:rsid w:val="004C602A"/>
    <w:rsid w:val="004C6207"/>
    <w:rsid w:val="004C6292"/>
    <w:rsid w:val="004C6344"/>
    <w:rsid w:val="004C643D"/>
    <w:rsid w:val="004C64D0"/>
    <w:rsid w:val="004C65AE"/>
    <w:rsid w:val="004C6653"/>
    <w:rsid w:val="004C6B61"/>
    <w:rsid w:val="004C6D5E"/>
    <w:rsid w:val="004C6E4A"/>
    <w:rsid w:val="004C706F"/>
    <w:rsid w:val="004C70C5"/>
    <w:rsid w:val="004C7295"/>
    <w:rsid w:val="004C7349"/>
    <w:rsid w:val="004C73C1"/>
    <w:rsid w:val="004C76F2"/>
    <w:rsid w:val="004C7B6E"/>
    <w:rsid w:val="004C7D21"/>
    <w:rsid w:val="004C7D7F"/>
    <w:rsid w:val="004C7EAD"/>
    <w:rsid w:val="004D0134"/>
    <w:rsid w:val="004D079D"/>
    <w:rsid w:val="004D07BF"/>
    <w:rsid w:val="004D0831"/>
    <w:rsid w:val="004D08CA"/>
    <w:rsid w:val="004D0990"/>
    <w:rsid w:val="004D0D5D"/>
    <w:rsid w:val="004D0D84"/>
    <w:rsid w:val="004D0DF4"/>
    <w:rsid w:val="004D0F0D"/>
    <w:rsid w:val="004D10F0"/>
    <w:rsid w:val="004D1465"/>
    <w:rsid w:val="004D152A"/>
    <w:rsid w:val="004D185B"/>
    <w:rsid w:val="004D188D"/>
    <w:rsid w:val="004D191C"/>
    <w:rsid w:val="004D19A5"/>
    <w:rsid w:val="004D1A46"/>
    <w:rsid w:val="004D1E05"/>
    <w:rsid w:val="004D1F0F"/>
    <w:rsid w:val="004D2056"/>
    <w:rsid w:val="004D2247"/>
    <w:rsid w:val="004D2311"/>
    <w:rsid w:val="004D2375"/>
    <w:rsid w:val="004D2A4A"/>
    <w:rsid w:val="004D2ADF"/>
    <w:rsid w:val="004D2C4B"/>
    <w:rsid w:val="004D2DF9"/>
    <w:rsid w:val="004D2F80"/>
    <w:rsid w:val="004D2F90"/>
    <w:rsid w:val="004D2FF3"/>
    <w:rsid w:val="004D3119"/>
    <w:rsid w:val="004D3192"/>
    <w:rsid w:val="004D3212"/>
    <w:rsid w:val="004D33A5"/>
    <w:rsid w:val="004D33CF"/>
    <w:rsid w:val="004D340C"/>
    <w:rsid w:val="004D37E6"/>
    <w:rsid w:val="004D3843"/>
    <w:rsid w:val="004D3940"/>
    <w:rsid w:val="004D3A25"/>
    <w:rsid w:val="004D3AA1"/>
    <w:rsid w:val="004D3C5B"/>
    <w:rsid w:val="004D3E41"/>
    <w:rsid w:val="004D401C"/>
    <w:rsid w:val="004D4058"/>
    <w:rsid w:val="004D40F3"/>
    <w:rsid w:val="004D4135"/>
    <w:rsid w:val="004D470E"/>
    <w:rsid w:val="004D477D"/>
    <w:rsid w:val="004D4C27"/>
    <w:rsid w:val="004D4E99"/>
    <w:rsid w:val="004D4FD1"/>
    <w:rsid w:val="004D509E"/>
    <w:rsid w:val="004D51FC"/>
    <w:rsid w:val="004D5313"/>
    <w:rsid w:val="004D54F3"/>
    <w:rsid w:val="004D56D3"/>
    <w:rsid w:val="004D575D"/>
    <w:rsid w:val="004D5797"/>
    <w:rsid w:val="004D58B5"/>
    <w:rsid w:val="004D58EE"/>
    <w:rsid w:val="004D5A3E"/>
    <w:rsid w:val="004D5B63"/>
    <w:rsid w:val="004D5BC3"/>
    <w:rsid w:val="004D5D37"/>
    <w:rsid w:val="004D5E93"/>
    <w:rsid w:val="004D5F4A"/>
    <w:rsid w:val="004D6116"/>
    <w:rsid w:val="004D61F0"/>
    <w:rsid w:val="004D6326"/>
    <w:rsid w:val="004D64ED"/>
    <w:rsid w:val="004D64F6"/>
    <w:rsid w:val="004D6780"/>
    <w:rsid w:val="004D6A4D"/>
    <w:rsid w:val="004D6AED"/>
    <w:rsid w:val="004D6B06"/>
    <w:rsid w:val="004D713C"/>
    <w:rsid w:val="004D7263"/>
    <w:rsid w:val="004D72E5"/>
    <w:rsid w:val="004D7300"/>
    <w:rsid w:val="004D7335"/>
    <w:rsid w:val="004D7442"/>
    <w:rsid w:val="004D759F"/>
    <w:rsid w:val="004D771C"/>
    <w:rsid w:val="004D7742"/>
    <w:rsid w:val="004D7871"/>
    <w:rsid w:val="004D7933"/>
    <w:rsid w:val="004D7A8B"/>
    <w:rsid w:val="004D7C1E"/>
    <w:rsid w:val="004D7D05"/>
    <w:rsid w:val="004D7E4E"/>
    <w:rsid w:val="004E0254"/>
    <w:rsid w:val="004E02D7"/>
    <w:rsid w:val="004E03B6"/>
    <w:rsid w:val="004E0468"/>
    <w:rsid w:val="004E0678"/>
    <w:rsid w:val="004E0C2F"/>
    <w:rsid w:val="004E0C57"/>
    <w:rsid w:val="004E0EB0"/>
    <w:rsid w:val="004E0F42"/>
    <w:rsid w:val="004E0F62"/>
    <w:rsid w:val="004E1354"/>
    <w:rsid w:val="004E1486"/>
    <w:rsid w:val="004E17D3"/>
    <w:rsid w:val="004E18FB"/>
    <w:rsid w:val="004E1A88"/>
    <w:rsid w:val="004E1AC8"/>
    <w:rsid w:val="004E1D59"/>
    <w:rsid w:val="004E1D60"/>
    <w:rsid w:val="004E1EEC"/>
    <w:rsid w:val="004E1F5A"/>
    <w:rsid w:val="004E1F81"/>
    <w:rsid w:val="004E202A"/>
    <w:rsid w:val="004E2138"/>
    <w:rsid w:val="004E219A"/>
    <w:rsid w:val="004E21B1"/>
    <w:rsid w:val="004E2285"/>
    <w:rsid w:val="004E24AC"/>
    <w:rsid w:val="004E24B1"/>
    <w:rsid w:val="004E2587"/>
    <w:rsid w:val="004E2715"/>
    <w:rsid w:val="004E2726"/>
    <w:rsid w:val="004E2A63"/>
    <w:rsid w:val="004E2B2C"/>
    <w:rsid w:val="004E2B33"/>
    <w:rsid w:val="004E2BE2"/>
    <w:rsid w:val="004E2CC9"/>
    <w:rsid w:val="004E2CE6"/>
    <w:rsid w:val="004E2FC7"/>
    <w:rsid w:val="004E30B1"/>
    <w:rsid w:val="004E3126"/>
    <w:rsid w:val="004E3162"/>
    <w:rsid w:val="004E31C2"/>
    <w:rsid w:val="004E331A"/>
    <w:rsid w:val="004E35F3"/>
    <w:rsid w:val="004E36EF"/>
    <w:rsid w:val="004E37E3"/>
    <w:rsid w:val="004E386A"/>
    <w:rsid w:val="004E38D0"/>
    <w:rsid w:val="004E3981"/>
    <w:rsid w:val="004E3C5D"/>
    <w:rsid w:val="004E3C81"/>
    <w:rsid w:val="004E3CAC"/>
    <w:rsid w:val="004E3CD0"/>
    <w:rsid w:val="004E3E16"/>
    <w:rsid w:val="004E3F61"/>
    <w:rsid w:val="004E3F86"/>
    <w:rsid w:val="004E458E"/>
    <w:rsid w:val="004E4682"/>
    <w:rsid w:val="004E477D"/>
    <w:rsid w:val="004E4808"/>
    <w:rsid w:val="004E4837"/>
    <w:rsid w:val="004E491E"/>
    <w:rsid w:val="004E4ADE"/>
    <w:rsid w:val="004E4B60"/>
    <w:rsid w:val="004E4C46"/>
    <w:rsid w:val="004E4C85"/>
    <w:rsid w:val="004E4C95"/>
    <w:rsid w:val="004E4EA9"/>
    <w:rsid w:val="004E5374"/>
    <w:rsid w:val="004E53BF"/>
    <w:rsid w:val="004E53CA"/>
    <w:rsid w:val="004E58FE"/>
    <w:rsid w:val="004E5C64"/>
    <w:rsid w:val="004E5CF7"/>
    <w:rsid w:val="004E5DE0"/>
    <w:rsid w:val="004E60E9"/>
    <w:rsid w:val="004E61C4"/>
    <w:rsid w:val="004E62F6"/>
    <w:rsid w:val="004E631D"/>
    <w:rsid w:val="004E638A"/>
    <w:rsid w:val="004E647D"/>
    <w:rsid w:val="004E65A0"/>
    <w:rsid w:val="004E65AD"/>
    <w:rsid w:val="004E65D7"/>
    <w:rsid w:val="004E6696"/>
    <w:rsid w:val="004E67B8"/>
    <w:rsid w:val="004E68FC"/>
    <w:rsid w:val="004E6A82"/>
    <w:rsid w:val="004E6BCB"/>
    <w:rsid w:val="004E6CCD"/>
    <w:rsid w:val="004E6E25"/>
    <w:rsid w:val="004E6E51"/>
    <w:rsid w:val="004E7037"/>
    <w:rsid w:val="004E7047"/>
    <w:rsid w:val="004E728A"/>
    <w:rsid w:val="004E72B6"/>
    <w:rsid w:val="004E7429"/>
    <w:rsid w:val="004E7576"/>
    <w:rsid w:val="004E757D"/>
    <w:rsid w:val="004E76BB"/>
    <w:rsid w:val="004E77BF"/>
    <w:rsid w:val="004E78E5"/>
    <w:rsid w:val="004E7A56"/>
    <w:rsid w:val="004E7B60"/>
    <w:rsid w:val="004E7CA8"/>
    <w:rsid w:val="004E7DA7"/>
    <w:rsid w:val="004E7EB9"/>
    <w:rsid w:val="004F0112"/>
    <w:rsid w:val="004F01F8"/>
    <w:rsid w:val="004F0303"/>
    <w:rsid w:val="004F032A"/>
    <w:rsid w:val="004F046C"/>
    <w:rsid w:val="004F0638"/>
    <w:rsid w:val="004F07A9"/>
    <w:rsid w:val="004F07C9"/>
    <w:rsid w:val="004F09EE"/>
    <w:rsid w:val="004F0AF2"/>
    <w:rsid w:val="004F0B70"/>
    <w:rsid w:val="004F0B76"/>
    <w:rsid w:val="004F0CD3"/>
    <w:rsid w:val="004F0E09"/>
    <w:rsid w:val="004F0EB6"/>
    <w:rsid w:val="004F0ECA"/>
    <w:rsid w:val="004F0F43"/>
    <w:rsid w:val="004F0F63"/>
    <w:rsid w:val="004F1004"/>
    <w:rsid w:val="004F12DC"/>
    <w:rsid w:val="004F1342"/>
    <w:rsid w:val="004F1655"/>
    <w:rsid w:val="004F1679"/>
    <w:rsid w:val="004F174C"/>
    <w:rsid w:val="004F1935"/>
    <w:rsid w:val="004F1A3C"/>
    <w:rsid w:val="004F1B5C"/>
    <w:rsid w:val="004F1C75"/>
    <w:rsid w:val="004F1D37"/>
    <w:rsid w:val="004F1D97"/>
    <w:rsid w:val="004F2029"/>
    <w:rsid w:val="004F20EC"/>
    <w:rsid w:val="004F21D8"/>
    <w:rsid w:val="004F2300"/>
    <w:rsid w:val="004F2443"/>
    <w:rsid w:val="004F24EC"/>
    <w:rsid w:val="004F26BE"/>
    <w:rsid w:val="004F290B"/>
    <w:rsid w:val="004F2964"/>
    <w:rsid w:val="004F2A57"/>
    <w:rsid w:val="004F2B5A"/>
    <w:rsid w:val="004F2CC5"/>
    <w:rsid w:val="004F2DC7"/>
    <w:rsid w:val="004F2EAB"/>
    <w:rsid w:val="004F2F26"/>
    <w:rsid w:val="004F2F66"/>
    <w:rsid w:val="004F300F"/>
    <w:rsid w:val="004F302D"/>
    <w:rsid w:val="004F3076"/>
    <w:rsid w:val="004F30AA"/>
    <w:rsid w:val="004F3212"/>
    <w:rsid w:val="004F3300"/>
    <w:rsid w:val="004F351E"/>
    <w:rsid w:val="004F353C"/>
    <w:rsid w:val="004F3657"/>
    <w:rsid w:val="004F3666"/>
    <w:rsid w:val="004F3908"/>
    <w:rsid w:val="004F3936"/>
    <w:rsid w:val="004F3A23"/>
    <w:rsid w:val="004F3AE7"/>
    <w:rsid w:val="004F3B19"/>
    <w:rsid w:val="004F3B48"/>
    <w:rsid w:val="004F3B7A"/>
    <w:rsid w:val="004F3BEA"/>
    <w:rsid w:val="004F3C4F"/>
    <w:rsid w:val="004F3D27"/>
    <w:rsid w:val="004F3E02"/>
    <w:rsid w:val="004F3F1C"/>
    <w:rsid w:val="004F3F2E"/>
    <w:rsid w:val="004F3F99"/>
    <w:rsid w:val="004F404B"/>
    <w:rsid w:val="004F4197"/>
    <w:rsid w:val="004F434D"/>
    <w:rsid w:val="004F4384"/>
    <w:rsid w:val="004F44A0"/>
    <w:rsid w:val="004F44C0"/>
    <w:rsid w:val="004F4510"/>
    <w:rsid w:val="004F4902"/>
    <w:rsid w:val="004F4978"/>
    <w:rsid w:val="004F4A44"/>
    <w:rsid w:val="004F4C23"/>
    <w:rsid w:val="004F4E43"/>
    <w:rsid w:val="004F4E6A"/>
    <w:rsid w:val="004F4E96"/>
    <w:rsid w:val="004F51B7"/>
    <w:rsid w:val="004F52CD"/>
    <w:rsid w:val="004F52EC"/>
    <w:rsid w:val="004F52F4"/>
    <w:rsid w:val="004F5515"/>
    <w:rsid w:val="004F55A7"/>
    <w:rsid w:val="004F5766"/>
    <w:rsid w:val="004F57A7"/>
    <w:rsid w:val="004F57BD"/>
    <w:rsid w:val="004F5807"/>
    <w:rsid w:val="004F5833"/>
    <w:rsid w:val="004F590C"/>
    <w:rsid w:val="004F5A6D"/>
    <w:rsid w:val="004F5B83"/>
    <w:rsid w:val="004F5C54"/>
    <w:rsid w:val="004F5E61"/>
    <w:rsid w:val="004F5E92"/>
    <w:rsid w:val="004F605E"/>
    <w:rsid w:val="004F6225"/>
    <w:rsid w:val="004F6305"/>
    <w:rsid w:val="004F6449"/>
    <w:rsid w:val="004F645B"/>
    <w:rsid w:val="004F64CA"/>
    <w:rsid w:val="004F6597"/>
    <w:rsid w:val="004F671E"/>
    <w:rsid w:val="004F675C"/>
    <w:rsid w:val="004F690B"/>
    <w:rsid w:val="004F69A3"/>
    <w:rsid w:val="004F6A8A"/>
    <w:rsid w:val="004F6AA3"/>
    <w:rsid w:val="004F6B81"/>
    <w:rsid w:val="004F6E31"/>
    <w:rsid w:val="004F6E52"/>
    <w:rsid w:val="004F6E9E"/>
    <w:rsid w:val="004F6FB8"/>
    <w:rsid w:val="004F7206"/>
    <w:rsid w:val="004F7216"/>
    <w:rsid w:val="004F727C"/>
    <w:rsid w:val="004F7287"/>
    <w:rsid w:val="004F7355"/>
    <w:rsid w:val="004F738F"/>
    <w:rsid w:val="004F77F5"/>
    <w:rsid w:val="004F786F"/>
    <w:rsid w:val="004F78CE"/>
    <w:rsid w:val="004F7BA2"/>
    <w:rsid w:val="0050002B"/>
    <w:rsid w:val="005001BC"/>
    <w:rsid w:val="005002AF"/>
    <w:rsid w:val="00500742"/>
    <w:rsid w:val="00500A7C"/>
    <w:rsid w:val="00500BCF"/>
    <w:rsid w:val="00500D73"/>
    <w:rsid w:val="00500DF1"/>
    <w:rsid w:val="00500EC4"/>
    <w:rsid w:val="00501335"/>
    <w:rsid w:val="005015F3"/>
    <w:rsid w:val="00501654"/>
    <w:rsid w:val="00501677"/>
    <w:rsid w:val="00501682"/>
    <w:rsid w:val="005016F7"/>
    <w:rsid w:val="0050180F"/>
    <w:rsid w:val="00501953"/>
    <w:rsid w:val="00501A20"/>
    <w:rsid w:val="00501D2C"/>
    <w:rsid w:val="00501ED0"/>
    <w:rsid w:val="00501F64"/>
    <w:rsid w:val="00502401"/>
    <w:rsid w:val="0050255E"/>
    <w:rsid w:val="005025B7"/>
    <w:rsid w:val="00502632"/>
    <w:rsid w:val="00502A50"/>
    <w:rsid w:val="00502ACA"/>
    <w:rsid w:val="00502E2D"/>
    <w:rsid w:val="00502F21"/>
    <w:rsid w:val="00502F4E"/>
    <w:rsid w:val="0050312D"/>
    <w:rsid w:val="005031E3"/>
    <w:rsid w:val="00503267"/>
    <w:rsid w:val="00503289"/>
    <w:rsid w:val="005035B7"/>
    <w:rsid w:val="00503658"/>
    <w:rsid w:val="005036AE"/>
    <w:rsid w:val="005037DA"/>
    <w:rsid w:val="005037EB"/>
    <w:rsid w:val="00503855"/>
    <w:rsid w:val="00503857"/>
    <w:rsid w:val="005038A2"/>
    <w:rsid w:val="005038AF"/>
    <w:rsid w:val="00503918"/>
    <w:rsid w:val="005039AE"/>
    <w:rsid w:val="00503DE5"/>
    <w:rsid w:val="00503FDD"/>
    <w:rsid w:val="00504094"/>
    <w:rsid w:val="00504195"/>
    <w:rsid w:val="00504308"/>
    <w:rsid w:val="005044D9"/>
    <w:rsid w:val="00504579"/>
    <w:rsid w:val="00504644"/>
    <w:rsid w:val="005046C6"/>
    <w:rsid w:val="005049A1"/>
    <w:rsid w:val="00504A03"/>
    <w:rsid w:val="00504A6B"/>
    <w:rsid w:val="00504B72"/>
    <w:rsid w:val="00504E5B"/>
    <w:rsid w:val="00505169"/>
    <w:rsid w:val="0050539D"/>
    <w:rsid w:val="00505459"/>
    <w:rsid w:val="005055DD"/>
    <w:rsid w:val="005057EA"/>
    <w:rsid w:val="005058EF"/>
    <w:rsid w:val="00505A17"/>
    <w:rsid w:val="00505AEC"/>
    <w:rsid w:val="00505C29"/>
    <w:rsid w:val="00505DA2"/>
    <w:rsid w:val="00506045"/>
    <w:rsid w:val="00506227"/>
    <w:rsid w:val="005063F7"/>
    <w:rsid w:val="005065FF"/>
    <w:rsid w:val="00506C4F"/>
    <w:rsid w:val="00506D00"/>
    <w:rsid w:val="00506ED7"/>
    <w:rsid w:val="00507011"/>
    <w:rsid w:val="00507412"/>
    <w:rsid w:val="0050759C"/>
    <w:rsid w:val="005076A6"/>
    <w:rsid w:val="005076E0"/>
    <w:rsid w:val="00507750"/>
    <w:rsid w:val="00507756"/>
    <w:rsid w:val="0050775A"/>
    <w:rsid w:val="005077F6"/>
    <w:rsid w:val="00507925"/>
    <w:rsid w:val="00507A89"/>
    <w:rsid w:val="00507B9A"/>
    <w:rsid w:val="00507CC7"/>
    <w:rsid w:val="00507F71"/>
    <w:rsid w:val="00507FE4"/>
    <w:rsid w:val="00510133"/>
    <w:rsid w:val="005102DE"/>
    <w:rsid w:val="00510643"/>
    <w:rsid w:val="005106DB"/>
    <w:rsid w:val="0051075E"/>
    <w:rsid w:val="00510993"/>
    <w:rsid w:val="00510AB7"/>
    <w:rsid w:val="00510B12"/>
    <w:rsid w:val="00510D27"/>
    <w:rsid w:val="00510DD1"/>
    <w:rsid w:val="00510E69"/>
    <w:rsid w:val="00510F1A"/>
    <w:rsid w:val="00510FB4"/>
    <w:rsid w:val="00511003"/>
    <w:rsid w:val="00511031"/>
    <w:rsid w:val="005112DF"/>
    <w:rsid w:val="005112FD"/>
    <w:rsid w:val="00511436"/>
    <w:rsid w:val="005114EE"/>
    <w:rsid w:val="00511554"/>
    <w:rsid w:val="00511566"/>
    <w:rsid w:val="005117E9"/>
    <w:rsid w:val="0051185E"/>
    <w:rsid w:val="00511872"/>
    <w:rsid w:val="00511C7C"/>
    <w:rsid w:val="00511D89"/>
    <w:rsid w:val="00511D97"/>
    <w:rsid w:val="00511E3A"/>
    <w:rsid w:val="00511E45"/>
    <w:rsid w:val="00511EF1"/>
    <w:rsid w:val="00511F60"/>
    <w:rsid w:val="005122E6"/>
    <w:rsid w:val="0051252A"/>
    <w:rsid w:val="00512589"/>
    <w:rsid w:val="005125CF"/>
    <w:rsid w:val="00512678"/>
    <w:rsid w:val="005127DA"/>
    <w:rsid w:val="005127ED"/>
    <w:rsid w:val="00512821"/>
    <w:rsid w:val="005128E4"/>
    <w:rsid w:val="00512AC1"/>
    <w:rsid w:val="00512B94"/>
    <w:rsid w:val="00512F6B"/>
    <w:rsid w:val="00513018"/>
    <w:rsid w:val="00513095"/>
    <w:rsid w:val="005130A9"/>
    <w:rsid w:val="005132D7"/>
    <w:rsid w:val="005132F4"/>
    <w:rsid w:val="005133FC"/>
    <w:rsid w:val="00513539"/>
    <w:rsid w:val="0051353C"/>
    <w:rsid w:val="005135EE"/>
    <w:rsid w:val="005137FF"/>
    <w:rsid w:val="005138E7"/>
    <w:rsid w:val="00513904"/>
    <w:rsid w:val="00513A86"/>
    <w:rsid w:val="00513B71"/>
    <w:rsid w:val="00513D65"/>
    <w:rsid w:val="00513ECF"/>
    <w:rsid w:val="0051434D"/>
    <w:rsid w:val="00514483"/>
    <w:rsid w:val="00514850"/>
    <w:rsid w:val="00514950"/>
    <w:rsid w:val="00514966"/>
    <w:rsid w:val="005149E0"/>
    <w:rsid w:val="005149F0"/>
    <w:rsid w:val="00514AE4"/>
    <w:rsid w:val="00514CA3"/>
    <w:rsid w:val="00515045"/>
    <w:rsid w:val="0051505A"/>
    <w:rsid w:val="005152A3"/>
    <w:rsid w:val="005153ED"/>
    <w:rsid w:val="0051564B"/>
    <w:rsid w:val="005159AB"/>
    <w:rsid w:val="00515C10"/>
    <w:rsid w:val="00515D0C"/>
    <w:rsid w:val="00515EEB"/>
    <w:rsid w:val="005160D7"/>
    <w:rsid w:val="005161D5"/>
    <w:rsid w:val="005161EB"/>
    <w:rsid w:val="0051654E"/>
    <w:rsid w:val="005165C3"/>
    <w:rsid w:val="00516715"/>
    <w:rsid w:val="005168B0"/>
    <w:rsid w:val="00516A35"/>
    <w:rsid w:val="00516C12"/>
    <w:rsid w:val="00516D13"/>
    <w:rsid w:val="00516DA3"/>
    <w:rsid w:val="00516F8A"/>
    <w:rsid w:val="00517083"/>
    <w:rsid w:val="005170ED"/>
    <w:rsid w:val="00517121"/>
    <w:rsid w:val="0051722C"/>
    <w:rsid w:val="0051732E"/>
    <w:rsid w:val="00517330"/>
    <w:rsid w:val="005173CD"/>
    <w:rsid w:val="00517572"/>
    <w:rsid w:val="0051774E"/>
    <w:rsid w:val="00517797"/>
    <w:rsid w:val="005177A4"/>
    <w:rsid w:val="005177AD"/>
    <w:rsid w:val="005177DD"/>
    <w:rsid w:val="00517822"/>
    <w:rsid w:val="0051790E"/>
    <w:rsid w:val="005179D9"/>
    <w:rsid w:val="00517A41"/>
    <w:rsid w:val="00517A66"/>
    <w:rsid w:val="00517A7F"/>
    <w:rsid w:val="00517A86"/>
    <w:rsid w:val="00517CCA"/>
    <w:rsid w:val="00517ECE"/>
    <w:rsid w:val="00517F99"/>
    <w:rsid w:val="00520172"/>
    <w:rsid w:val="00520211"/>
    <w:rsid w:val="0052025F"/>
    <w:rsid w:val="005203EE"/>
    <w:rsid w:val="005204FC"/>
    <w:rsid w:val="00520729"/>
    <w:rsid w:val="005208CD"/>
    <w:rsid w:val="00520CF6"/>
    <w:rsid w:val="00520DC7"/>
    <w:rsid w:val="00520E44"/>
    <w:rsid w:val="00520E6F"/>
    <w:rsid w:val="00520EE5"/>
    <w:rsid w:val="00520FA4"/>
    <w:rsid w:val="00521080"/>
    <w:rsid w:val="005210D7"/>
    <w:rsid w:val="00521186"/>
    <w:rsid w:val="00521207"/>
    <w:rsid w:val="00521258"/>
    <w:rsid w:val="005212B3"/>
    <w:rsid w:val="00521434"/>
    <w:rsid w:val="0052150C"/>
    <w:rsid w:val="0052152C"/>
    <w:rsid w:val="0052188A"/>
    <w:rsid w:val="005219C5"/>
    <w:rsid w:val="00521A43"/>
    <w:rsid w:val="00521AF3"/>
    <w:rsid w:val="00521BBF"/>
    <w:rsid w:val="00521C54"/>
    <w:rsid w:val="00521CF4"/>
    <w:rsid w:val="00521D5B"/>
    <w:rsid w:val="00521E3B"/>
    <w:rsid w:val="00521E4C"/>
    <w:rsid w:val="00522038"/>
    <w:rsid w:val="005222A1"/>
    <w:rsid w:val="005222B7"/>
    <w:rsid w:val="005224EC"/>
    <w:rsid w:val="0052253D"/>
    <w:rsid w:val="00522671"/>
    <w:rsid w:val="00522839"/>
    <w:rsid w:val="005229AE"/>
    <w:rsid w:val="005229D7"/>
    <w:rsid w:val="005229F8"/>
    <w:rsid w:val="00522A06"/>
    <w:rsid w:val="00522A6A"/>
    <w:rsid w:val="00522A76"/>
    <w:rsid w:val="00522AA4"/>
    <w:rsid w:val="00522C45"/>
    <w:rsid w:val="00522D1E"/>
    <w:rsid w:val="00522DD2"/>
    <w:rsid w:val="00522E86"/>
    <w:rsid w:val="00522F65"/>
    <w:rsid w:val="0052330E"/>
    <w:rsid w:val="00523696"/>
    <w:rsid w:val="00523730"/>
    <w:rsid w:val="0052393E"/>
    <w:rsid w:val="00523BAB"/>
    <w:rsid w:val="00524237"/>
    <w:rsid w:val="00524309"/>
    <w:rsid w:val="0052443B"/>
    <w:rsid w:val="005244DD"/>
    <w:rsid w:val="00524525"/>
    <w:rsid w:val="00524565"/>
    <w:rsid w:val="005245DE"/>
    <w:rsid w:val="0052466D"/>
    <w:rsid w:val="00524710"/>
    <w:rsid w:val="00524721"/>
    <w:rsid w:val="0052478E"/>
    <w:rsid w:val="00524822"/>
    <w:rsid w:val="00524823"/>
    <w:rsid w:val="00524842"/>
    <w:rsid w:val="0052493D"/>
    <w:rsid w:val="00524CAB"/>
    <w:rsid w:val="00524CE0"/>
    <w:rsid w:val="00524CE7"/>
    <w:rsid w:val="00524EC3"/>
    <w:rsid w:val="00524F0F"/>
    <w:rsid w:val="00524F45"/>
    <w:rsid w:val="00525031"/>
    <w:rsid w:val="0052518F"/>
    <w:rsid w:val="005251E0"/>
    <w:rsid w:val="00525255"/>
    <w:rsid w:val="005252B6"/>
    <w:rsid w:val="005254F9"/>
    <w:rsid w:val="0052551C"/>
    <w:rsid w:val="005256B0"/>
    <w:rsid w:val="005256F5"/>
    <w:rsid w:val="00525928"/>
    <w:rsid w:val="00525B24"/>
    <w:rsid w:val="00525B84"/>
    <w:rsid w:val="00525D1B"/>
    <w:rsid w:val="0052605B"/>
    <w:rsid w:val="00526093"/>
    <w:rsid w:val="005260F9"/>
    <w:rsid w:val="00526179"/>
    <w:rsid w:val="0052644D"/>
    <w:rsid w:val="005264AF"/>
    <w:rsid w:val="00526733"/>
    <w:rsid w:val="00526751"/>
    <w:rsid w:val="0052675E"/>
    <w:rsid w:val="00526860"/>
    <w:rsid w:val="00526A11"/>
    <w:rsid w:val="00526CE0"/>
    <w:rsid w:val="00526F58"/>
    <w:rsid w:val="00526F5C"/>
    <w:rsid w:val="0052710B"/>
    <w:rsid w:val="0052715D"/>
    <w:rsid w:val="0052756C"/>
    <w:rsid w:val="00527585"/>
    <w:rsid w:val="005275DA"/>
    <w:rsid w:val="005277CF"/>
    <w:rsid w:val="0052782B"/>
    <w:rsid w:val="0052786A"/>
    <w:rsid w:val="005279CC"/>
    <w:rsid w:val="00527C50"/>
    <w:rsid w:val="00527CCD"/>
    <w:rsid w:val="00527DC5"/>
    <w:rsid w:val="00527ED0"/>
    <w:rsid w:val="005301A7"/>
    <w:rsid w:val="005301C4"/>
    <w:rsid w:val="005302F8"/>
    <w:rsid w:val="00530421"/>
    <w:rsid w:val="0053048C"/>
    <w:rsid w:val="0053063D"/>
    <w:rsid w:val="00530759"/>
    <w:rsid w:val="005307D5"/>
    <w:rsid w:val="005309A9"/>
    <w:rsid w:val="00530A49"/>
    <w:rsid w:val="00530AF4"/>
    <w:rsid w:val="00530CB6"/>
    <w:rsid w:val="00530E34"/>
    <w:rsid w:val="00530E4A"/>
    <w:rsid w:val="00530F0C"/>
    <w:rsid w:val="00531179"/>
    <w:rsid w:val="005313DE"/>
    <w:rsid w:val="00531858"/>
    <w:rsid w:val="0053185E"/>
    <w:rsid w:val="005318E0"/>
    <w:rsid w:val="00531A95"/>
    <w:rsid w:val="00531B08"/>
    <w:rsid w:val="00531F15"/>
    <w:rsid w:val="00531F1A"/>
    <w:rsid w:val="00531F92"/>
    <w:rsid w:val="0053216D"/>
    <w:rsid w:val="00532256"/>
    <w:rsid w:val="00532411"/>
    <w:rsid w:val="0053249D"/>
    <w:rsid w:val="00532525"/>
    <w:rsid w:val="00532563"/>
    <w:rsid w:val="005325A9"/>
    <w:rsid w:val="00532781"/>
    <w:rsid w:val="00532C19"/>
    <w:rsid w:val="00532C43"/>
    <w:rsid w:val="00532CC6"/>
    <w:rsid w:val="00532D25"/>
    <w:rsid w:val="00532E2F"/>
    <w:rsid w:val="00532E70"/>
    <w:rsid w:val="00533001"/>
    <w:rsid w:val="00533134"/>
    <w:rsid w:val="005332DA"/>
    <w:rsid w:val="00533362"/>
    <w:rsid w:val="00533464"/>
    <w:rsid w:val="005334E8"/>
    <w:rsid w:val="005338F5"/>
    <w:rsid w:val="00533999"/>
    <w:rsid w:val="00533A2A"/>
    <w:rsid w:val="00533C0F"/>
    <w:rsid w:val="00533D41"/>
    <w:rsid w:val="00533D80"/>
    <w:rsid w:val="00533E78"/>
    <w:rsid w:val="00533E94"/>
    <w:rsid w:val="00533FC8"/>
    <w:rsid w:val="00534128"/>
    <w:rsid w:val="0053417E"/>
    <w:rsid w:val="005344C4"/>
    <w:rsid w:val="00534670"/>
    <w:rsid w:val="005346DE"/>
    <w:rsid w:val="0053485F"/>
    <w:rsid w:val="00534C3E"/>
    <w:rsid w:val="00534E3C"/>
    <w:rsid w:val="00534E6F"/>
    <w:rsid w:val="00534E95"/>
    <w:rsid w:val="00534F3D"/>
    <w:rsid w:val="00534F62"/>
    <w:rsid w:val="005350AC"/>
    <w:rsid w:val="0053512D"/>
    <w:rsid w:val="005352AB"/>
    <w:rsid w:val="005352FF"/>
    <w:rsid w:val="0053538B"/>
    <w:rsid w:val="00535601"/>
    <w:rsid w:val="005357DB"/>
    <w:rsid w:val="0053581C"/>
    <w:rsid w:val="00535892"/>
    <w:rsid w:val="005358B2"/>
    <w:rsid w:val="005359A3"/>
    <w:rsid w:val="005361E0"/>
    <w:rsid w:val="00536352"/>
    <w:rsid w:val="005367C0"/>
    <w:rsid w:val="005367CB"/>
    <w:rsid w:val="00536841"/>
    <w:rsid w:val="005368F9"/>
    <w:rsid w:val="0053699B"/>
    <w:rsid w:val="00536B10"/>
    <w:rsid w:val="00536E12"/>
    <w:rsid w:val="00536F44"/>
    <w:rsid w:val="00536F91"/>
    <w:rsid w:val="0053703E"/>
    <w:rsid w:val="00537082"/>
    <w:rsid w:val="005371D3"/>
    <w:rsid w:val="00537267"/>
    <w:rsid w:val="005376D6"/>
    <w:rsid w:val="00537AE5"/>
    <w:rsid w:val="00537E35"/>
    <w:rsid w:val="00537EBD"/>
    <w:rsid w:val="00540144"/>
    <w:rsid w:val="00540799"/>
    <w:rsid w:val="005408A7"/>
    <w:rsid w:val="005409CE"/>
    <w:rsid w:val="00540AF5"/>
    <w:rsid w:val="00540C69"/>
    <w:rsid w:val="00540CF3"/>
    <w:rsid w:val="00540F1C"/>
    <w:rsid w:val="00540FB2"/>
    <w:rsid w:val="005410FA"/>
    <w:rsid w:val="0054118F"/>
    <w:rsid w:val="00541231"/>
    <w:rsid w:val="00541420"/>
    <w:rsid w:val="00541580"/>
    <w:rsid w:val="00541A43"/>
    <w:rsid w:val="00541A46"/>
    <w:rsid w:val="00541ABB"/>
    <w:rsid w:val="00541B2B"/>
    <w:rsid w:val="00541B82"/>
    <w:rsid w:val="00541CC7"/>
    <w:rsid w:val="00541CF5"/>
    <w:rsid w:val="00541F54"/>
    <w:rsid w:val="0054207B"/>
    <w:rsid w:val="005420C1"/>
    <w:rsid w:val="00542177"/>
    <w:rsid w:val="005421F8"/>
    <w:rsid w:val="005422EA"/>
    <w:rsid w:val="00542420"/>
    <w:rsid w:val="0054243D"/>
    <w:rsid w:val="00542830"/>
    <w:rsid w:val="00542AF4"/>
    <w:rsid w:val="00542B44"/>
    <w:rsid w:val="00542BB8"/>
    <w:rsid w:val="00542BF4"/>
    <w:rsid w:val="00542C0A"/>
    <w:rsid w:val="00542D3E"/>
    <w:rsid w:val="00542D7C"/>
    <w:rsid w:val="00542DD4"/>
    <w:rsid w:val="00542EE5"/>
    <w:rsid w:val="0054343B"/>
    <w:rsid w:val="005434CD"/>
    <w:rsid w:val="00543541"/>
    <w:rsid w:val="005436B0"/>
    <w:rsid w:val="00543732"/>
    <w:rsid w:val="00543984"/>
    <w:rsid w:val="005439D1"/>
    <w:rsid w:val="00543ABB"/>
    <w:rsid w:val="00543D5A"/>
    <w:rsid w:val="00543D70"/>
    <w:rsid w:val="00543D71"/>
    <w:rsid w:val="00543EB7"/>
    <w:rsid w:val="005440EC"/>
    <w:rsid w:val="0054415A"/>
    <w:rsid w:val="005441F1"/>
    <w:rsid w:val="005441FD"/>
    <w:rsid w:val="00544233"/>
    <w:rsid w:val="005442B6"/>
    <w:rsid w:val="00544312"/>
    <w:rsid w:val="005444A3"/>
    <w:rsid w:val="00544587"/>
    <w:rsid w:val="0054468E"/>
    <w:rsid w:val="005448A9"/>
    <w:rsid w:val="00544A48"/>
    <w:rsid w:val="00544AA0"/>
    <w:rsid w:val="00544AD9"/>
    <w:rsid w:val="00544E47"/>
    <w:rsid w:val="00544E67"/>
    <w:rsid w:val="00544F7D"/>
    <w:rsid w:val="00545071"/>
    <w:rsid w:val="005451F5"/>
    <w:rsid w:val="00545221"/>
    <w:rsid w:val="00545274"/>
    <w:rsid w:val="00545473"/>
    <w:rsid w:val="00545530"/>
    <w:rsid w:val="00545882"/>
    <w:rsid w:val="005459B2"/>
    <w:rsid w:val="005459BD"/>
    <w:rsid w:val="00545D4E"/>
    <w:rsid w:val="00545EE2"/>
    <w:rsid w:val="00545F1B"/>
    <w:rsid w:val="00546198"/>
    <w:rsid w:val="00546598"/>
    <w:rsid w:val="005465C4"/>
    <w:rsid w:val="005467A7"/>
    <w:rsid w:val="00546807"/>
    <w:rsid w:val="0054688F"/>
    <w:rsid w:val="00546A3F"/>
    <w:rsid w:val="00546CA9"/>
    <w:rsid w:val="00546EAF"/>
    <w:rsid w:val="00546EED"/>
    <w:rsid w:val="00547065"/>
    <w:rsid w:val="00547098"/>
    <w:rsid w:val="005471B4"/>
    <w:rsid w:val="005471DA"/>
    <w:rsid w:val="005474FA"/>
    <w:rsid w:val="00547598"/>
    <w:rsid w:val="005475D2"/>
    <w:rsid w:val="005475F4"/>
    <w:rsid w:val="00547812"/>
    <w:rsid w:val="00547A73"/>
    <w:rsid w:val="00547C8A"/>
    <w:rsid w:val="00547C98"/>
    <w:rsid w:val="00547D0F"/>
    <w:rsid w:val="00550142"/>
    <w:rsid w:val="00550250"/>
    <w:rsid w:val="00550331"/>
    <w:rsid w:val="005503C2"/>
    <w:rsid w:val="0055044B"/>
    <w:rsid w:val="00550462"/>
    <w:rsid w:val="005505AC"/>
    <w:rsid w:val="005506DA"/>
    <w:rsid w:val="00550857"/>
    <w:rsid w:val="0055086D"/>
    <w:rsid w:val="00550AA0"/>
    <w:rsid w:val="00550AD3"/>
    <w:rsid w:val="00550BD8"/>
    <w:rsid w:val="00550D3B"/>
    <w:rsid w:val="00551107"/>
    <w:rsid w:val="005511EC"/>
    <w:rsid w:val="0055125C"/>
    <w:rsid w:val="005514F9"/>
    <w:rsid w:val="00551721"/>
    <w:rsid w:val="00551C1D"/>
    <w:rsid w:val="00551D18"/>
    <w:rsid w:val="00551E70"/>
    <w:rsid w:val="0055218E"/>
    <w:rsid w:val="005525DB"/>
    <w:rsid w:val="0055261B"/>
    <w:rsid w:val="00552737"/>
    <w:rsid w:val="0055274A"/>
    <w:rsid w:val="00552B94"/>
    <w:rsid w:val="00552BEC"/>
    <w:rsid w:val="00552E14"/>
    <w:rsid w:val="00552EC5"/>
    <w:rsid w:val="00552F8C"/>
    <w:rsid w:val="00553120"/>
    <w:rsid w:val="00553194"/>
    <w:rsid w:val="005531DD"/>
    <w:rsid w:val="005532A2"/>
    <w:rsid w:val="00553321"/>
    <w:rsid w:val="005533B8"/>
    <w:rsid w:val="005534D5"/>
    <w:rsid w:val="00553804"/>
    <w:rsid w:val="005539B0"/>
    <w:rsid w:val="00553A0E"/>
    <w:rsid w:val="00553A3F"/>
    <w:rsid w:val="00553B3C"/>
    <w:rsid w:val="00553C95"/>
    <w:rsid w:val="00553CAF"/>
    <w:rsid w:val="00553DDD"/>
    <w:rsid w:val="00553EBC"/>
    <w:rsid w:val="00553F4E"/>
    <w:rsid w:val="00553FE4"/>
    <w:rsid w:val="00554033"/>
    <w:rsid w:val="0055412C"/>
    <w:rsid w:val="00554B85"/>
    <w:rsid w:val="00555006"/>
    <w:rsid w:val="005550F0"/>
    <w:rsid w:val="0055535E"/>
    <w:rsid w:val="005553DD"/>
    <w:rsid w:val="005554B4"/>
    <w:rsid w:val="005554FB"/>
    <w:rsid w:val="005555B9"/>
    <w:rsid w:val="005557DE"/>
    <w:rsid w:val="00555852"/>
    <w:rsid w:val="005558C3"/>
    <w:rsid w:val="00555944"/>
    <w:rsid w:val="0055597C"/>
    <w:rsid w:val="005559A8"/>
    <w:rsid w:val="005559B5"/>
    <w:rsid w:val="00555A4F"/>
    <w:rsid w:val="00555AF7"/>
    <w:rsid w:val="00555C10"/>
    <w:rsid w:val="00555CE0"/>
    <w:rsid w:val="00555FA6"/>
    <w:rsid w:val="00556007"/>
    <w:rsid w:val="005560C4"/>
    <w:rsid w:val="00556178"/>
    <w:rsid w:val="00556211"/>
    <w:rsid w:val="005562FE"/>
    <w:rsid w:val="00556488"/>
    <w:rsid w:val="0055696A"/>
    <w:rsid w:val="00556A20"/>
    <w:rsid w:val="00556B38"/>
    <w:rsid w:val="00556B55"/>
    <w:rsid w:val="00556B71"/>
    <w:rsid w:val="00556CD5"/>
    <w:rsid w:val="00556D79"/>
    <w:rsid w:val="00556D8B"/>
    <w:rsid w:val="0055724F"/>
    <w:rsid w:val="005573EB"/>
    <w:rsid w:val="0055777D"/>
    <w:rsid w:val="00557797"/>
    <w:rsid w:val="005578B9"/>
    <w:rsid w:val="0055798D"/>
    <w:rsid w:val="005579C2"/>
    <w:rsid w:val="00557B99"/>
    <w:rsid w:val="00557C0A"/>
    <w:rsid w:val="00557DE1"/>
    <w:rsid w:val="00557EDB"/>
    <w:rsid w:val="00557F4C"/>
    <w:rsid w:val="00557F93"/>
    <w:rsid w:val="0056002F"/>
    <w:rsid w:val="00560097"/>
    <w:rsid w:val="00560142"/>
    <w:rsid w:val="00560182"/>
    <w:rsid w:val="005601FC"/>
    <w:rsid w:val="005603A0"/>
    <w:rsid w:val="005603C3"/>
    <w:rsid w:val="00560475"/>
    <w:rsid w:val="005604D7"/>
    <w:rsid w:val="00560501"/>
    <w:rsid w:val="00560533"/>
    <w:rsid w:val="0056068D"/>
    <w:rsid w:val="005607AB"/>
    <w:rsid w:val="005607D3"/>
    <w:rsid w:val="00560939"/>
    <w:rsid w:val="00560AF9"/>
    <w:rsid w:val="00560B58"/>
    <w:rsid w:val="00560BFF"/>
    <w:rsid w:val="00560C4A"/>
    <w:rsid w:val="00560CD6"/>
    <w:rsid w:val="00560CE3"/>
    <w:rsid w:val="00560D6B"/>
    <w:rsid w:val="00560E8F"/>
    <w:rsid w:val="0056100D"/>
    <w:rsid w:val="00561010"/>
    <w:rsid w:val="00561533"/>
    <w:rsid w:val="00561535"/>
    <w:rsid w:val="00561689"/>
    <w:rsid w:val="00561813"/>
    <w:rsid w:val="0056181A"/>
    <w:rsid w:val="0056185B"/>
    <w:rsid w:val="00561A2A"/>
    <w:rsid w:val="00561A95"/>
    <w:rsid w:val="00561B05"/>
    <w:rsid w:val="0056228A"/>
    <w:rsid w:val="005622F0"/>
    <w:rsid w:val="0056231F"/>
    <w:rsid w:val="0056244D"/>
    <w:rsid w:val="00562538"/>
    <w:rsid w:val="00562861"/>
    <w:rsid w:val="00562A2C"/>
    <w:rsid w:val="00562ACB"/>
    <w:rsid w:val="00562AE0"/>
    <w:rsid w:val="00562AF3"/>
    <w:rsid w:val="00562CE9"/>
    <w:rsid w:val="00562DBA"/>
    <w:rsid w:val="00563003"/>
    <w:rsid w:val="0056301A"/>
    <w:rsid w:val="00563236"/>
    <w:rsid w:val="005632A8"/>
    <w:rsid w:val="00563431"/>
    <w:rsid w:val="00563599"/>
    <w:rsid w:val="0056388F"/>
    <w:rsid w:val="00563945"/>
    <w:rsid w:val="00563A8B"/>
    <w:rsid w:val="00563A90"/>
    <w:rsid w:val="00563C28"/>
    <w:rsid w:val="00563D1E"/>
    <w:rsid w:val="00563D71"/>
    <w:rsid w:val="00563D91"/>
    <w:rsid w:val="00563DB8"/>
    <w:rsid w:val="00563DB9"/>
    <w:rsid w:val="005641A6"/>
    <w:rsid w:val="005641C2"/>
    <w:rsid w:val="00564240"/>
    <w:rsid w:val="00564275"/>
    <w:rsid w:val="005642E6"/>
    <w:rsid w:val="00564364"/>
    <w:rsid w:val="00564432"/>
    <w:rsid w:val="00564516"/>
    <w:rsid w:val="00564665"/>
    <w:rsid w:val="005646FB"/>
    <w:rsid w:val="0056478D"/>
    <w:rsid w:val="00564A83"/>
    <w:rsid w:val="00564DF3"/>
    <w:rsid w:val="00564F31"/>
    <w:rsid w:val="0056519B"/>
    <w:rsid w:val="005655C3"/>
    <w:rsid w:val="0056582A"/>
    <w:rsid w:val="005659C9"/>
    <w:rsid w:val="00565ADD"/>
    <w:rsid w:val="00565C2F"/>
    <w:rsid w:val="00565D9C"/>
    <w:rsid w:val="00565E30"/>
    <w:rsid w:val="00565EA5"/>
    <w:rsid w:val="005660D4"/>
    <w:rsid w:val="005662EB"/>
    <w:rsid w:val="00566334"/>
    <w:rsid w:val="005665CF"/>
    <w:rsid w:val="0056661E"/>
    <w:rsid w:val="0056663B"/>
    <w:rsid w:val="00566687"/>
    <w:rsid w:val="00566814"/>
    <w:rsid w:val="0056681A"/>
    <w:rsid w:val="00566992"/>
    <w:rsid w:val="005669FB"/>
    <w:rsid w:val="00566B88"/>
    <w:rsid w:val="00566C46"/>
    <w:rsid w:val="00566E74"/>
    <w:rsid w:val="00566F54"/>
    <w:rsid w:val="0056706D"/>
    <w:rsid w:val="005670E6"/>
    <w:rsid w:val="0056714F"/>
    <w:rsid w:val="0056720B"/>
    <w:rsid w:val="0056744F"/>
    <w:rsid w:val="00567550"/>
    <w:rsid w:val="00567735"/>
    <w:rsid w:val="005677DD"/>
    <w:rsid w:val="00567AE4"/>
    <w:rsid w:val="00567CC1"/>
    <w:rsid w:val="00567D7D"/>
    <w:rsid w:val="00567E27"/>
    <w:rsid w:val="00567FEA"/>
    <w:rsid w:val="005700F8"/>
    <w:rsid w:val="005703A3"/>
    <w:rsid w:val="005703C2"/>
    <w:rsid w:val="005703D9"/>
    <w:rsid w:val="00570635"/>
    <w:rsid w:val="005707B2"/>
    <w:rsid w:val="005707F5"/>
    <w:rsid w:val="00570843"/>
    <w:rsid w:val="00570899"/>
    <w:rsid w:val="00570BBF"/>
    <w:rsid w:val="00570C7A"/>
    <w:rsid w:val="00570EC5"/>
    <w:rsid w:val="005710D8"/>
    <w:rsid w:val="005713AE"/>
    <w:rsid w:val="0057140E"/>
    <w:rsid w:val="00571518"/>
    <w:rsid w:val="00571519"/>
    <w:rsid w:val="00571543"/>
    <w:rsid w:val="005719DF"/>
    <w:rsid w:val="00571CD9"/>
    <w:rsid w:val="00571E98"/>
    <w:rsid w:val="00572347"/>
    <w:rsid w:val="00572485"/>
    <w:rsid w:val="005727CF"/>
    <w:rsid w:val="00572AF0"/>
    <w:rsid w:val="00572B46"/>
    <w:rsid w:val="00572B9B"/>
    <w:rsid w:val="00572C45"/>
    <w:rsid w:val="00572CBC"/>
    <w:rsid w:val="00572CFA"/>
    <w:rsid w:val="00572D66"/>
    <w:rsid w:val="00572E66"/>
    <w:rsid w:val="005730B5"/>
    <w:rsid w:val="00573413"/>
    <w:rsid w:val="00573615"/>
    <w:rsid w:val="0057396F"/>
    <w:rsid w:val="00573B82"/>
    <w:rsid w:val="00573BCE"/>
    <w:rsid w:val="005740E4"/>
    <w:rsid w:val="0057417D"/>
    <w:rsid w:val="005741F4"/>
    <w:rsid w:val="00574216"/>
    <w:rsid w:val="005746AB"/>
    <w:rsid w:val="005748A2"/>
    <w:rsid w:val="005748BB"/>
    <w:rsid w:val="005748BE"/>
    <w:rsid w:val="005749D7"/>
    <w:rsid w:val="00574AD5"/>
    <w:rsid w:val="00574B26"/>
    <w:rsid w:val="00574C3E"/>
    <w:rsid w:val="00574C43"/>
    <w:rsid w:val="00574CEE"/>
    <w:rsid w:val="00574DA9"/>
    <w:rsid w:val="00574E64"/>
    <w:rsid w:val="00574EBF"/>
    <w:rsid w:val="0057524F"/>
    <w:rsid w:val="00575598"/>
    <w:rsid w:val="005757A5"/>
    <w:rsid w:val="005759B0"/>
    <w:rsid w:val="00575B36"/>
    <w:rsid w:val="00576014"/>
    <w:rsid w:val="005760B6"/>
    <w:rsid w:val="005761EA"/>
    <w:rsid w:val="0057625A"/>
    <w:rsid w:val="00576299"/>
    <w:rsid w:val="005765E9"/>
    <w:rsid w:val="00576615"/>
    <w:rsid w:val="00576621"/>
    <w:rsid w:val="00576677"/>
    <w:rsid w:val="00576915"/>
    <w:rsid w:val="0057692B"/>
    <w:rsid w:val="0057692D"/>
    <w:rsid w:val="005769E7"/>
    <w:rsid w:val="00576C3E"/>
    <w:rsid w:val="00576EB7"/>
    <w:rsid w:val="00577035"/>
    <w:rsid w:val="0057749B"/>
    <w:rsid w:val="0057751B"/>
    <w:rsid w:val="005777B0"/>
    <w:rsid w:val="00577CE3"/>
    <w:rsid w:val="005800FE"/>
    <w:rsid w:val="00580553"/>
    <w:rsid w:val="00580571"/>
    <w:rsid w:val="005806DC"/>
    <w:rsid w:val="00580757"/>
    <w:rsid w:val="005807A1"/>
    <w:rsid w:val="00580922"/>
    <w:rsid w:val="00580A8A"/>
    <w:rsid w:val="00580AFF"/>
    <w:rsid w:val="00580B7D"/>
    <w:rsid w:val="00580BE9"/>
    <w:rsid w:val="00580ECB"/>
    <w:rsid w:val="00580F43"/>
    <w:rsid w:val="00580FF9"/>
    <w:rsid w:val="00581037"/>
    <w:rsid w:val="0058109A"/>
    <w:rsid w:val="0058109C"/>
    <w:rsid w:val="0058112B"/>
    <w:rsid w:val="0058120D"/>
    <w:rsid w:val="005812B6"/>
    <w:rsid w:val="0058144C"/>
    <w:rsid w:val="00581467"/>
    <w:rsid w:val="0058159A"/>
    <w:rsid w:val="00581782"/>
    <w:rsid w:val="0058179D"/>
    <w:rsid w:val="005818C1"/>
    <w:rsid w:val="00581A24"/>
    <w:rsid w:val="00581A2A"/>
    <w:rsid w:val="00581AAB"/>
    <w:rsid w:val="00581AC7"/>
    <w:rsid w:val="00581BB7"/>
    <w:rsid w:val="00581E2C"/>
    <w:rsid w:val="00581FBD"/>
    <w:rsid w:val="0058214C"/>
    <w:rsid w:val="005822BF"/>
    <w:rsid w:val="00582558"/>
    <w:rsid w:val="00582710"/>
    <w:rsid w:val="00582A41"/>
    <w:rsid w:val="00582CC7"/>
    <w:rsid w:val="00582E92"/>
    <w:rsid w:val="00582F85"/>
    <w:rsid w:val="00583015"/>
    <w:rsid w:val="0058308D"/>
    <w:rsid w:val="005832E3"/>
    <w:rsid w:val="005833BE"/>
    <w:rsid w:val="005833F1"/>
    <w:rsid w:val="005834AC"/>
    <w:rsid w:val="00583962"/>
    <w:rsid w:val="00583C0E"/>
    <w:rsid w:val="00583C20"/>
    <w:rsid w:val="00584030"/>
    <w:rsid w:val="00584183"/>
    <w:rsid w:val="005841D7"/>
    <w:rsid w:val="00584308"/>
    <w:rsid w:val="00584369"/>
    <w:rsid w:val="005843A4"/>
    <w:rsid w:val="005843B9"/>
    <w:rsid w:val="005844D2"/>
    <w:rsid w:val="005845D3"/>
    <w:rsid w:val="00584654"/>
    <w:rsid w:val="005846B4"/>
    <w:rsid w:val="005846C1"/>
    <w:rsid w:val="00584B9C"/>
    <w:rsid w:val="00584BA9"/>
    <w:rsid w:val="00584C77"/>
    <w:rsid w:val="00584CB3"/>
    <w:rsid w:val="00584E89"/>
    <w:rsid w:val="00584F37"/>
    <w:rsid w:val="00585263"/>
    <w:rsid w:val="005852BD"/>
    <w:rsid w:val="0058535A"/>
    <w:rsid w:val="0058538C"/>
    <w:rsid w:val="005853B6"/>
    <w:rsid w:val="005854AE"/>
    <w:rsid w:val="005854D4"/>
    <w:rsid w:val="005855B6"/>
    <w:rsid w:val="005857EA"/>
    <w:rsid w:val="005859E6"/>
    <w:rsid w:val="00585AEA"/>
    <w:rsid w:val="00585C05"/>
    <w:rsid w:val="00585CDA"/>
    <w:rsid w:val="0058628E"/>
    <w:rsid w:val="00586375"/>
    <w:rsid w:val="005864B3"/>
    <w:rsid w:val="005864D0"/>
    <w:rsid w:val="00586536"/>
    <w:rsid w:val="00586640"/>
    <w:rsid w:val="005866EE"/>
    <w:rsid w:val="0058670A"/>
    <w:rsid w:val="005869C8"/>
    <w:rsid w:val="00586F36"/>
    <w:rsid w:val="00586FC1"/>
    <w:rsid w:val="00586FDB"/>
    <w:rsid w:val="005872EF"/>
    <w:rsid w:val="0058730C"/>
    <w:rsid w:val="005874FC"/>
    <w:rsid w:val="0058761D"/>
    <w:rsid w:val="00587A33"/>
    <w:rsid w:val="00587A8A"/>
    <w:rsid w:val="00587B4A"/>
    <w:rsid w:val="00587B52"/>
    <w:rsid w:val="00587BED"/>
    <w:rsid w:val="00587D0E"/>
    <w:rsid w:val="00587E74"/>
    <w:rsid w:val="00587FF1"/>
    <w:rsid w:val="0059001A"/>
    <w:rsid w:val="00590021"/>
    <w:rsid w:val="0059004E"/>
    <w:rsid w:val="0059021A"/>
    <w:rsid w:val="005902A3"/>
    <w:rsid w:val="0059038A"/>
    <w:rsid w:val="00590402"/>
    <w:rsid w:val="0059042E"/>
    <w:rsid w:val="005904E7"/>
    <w:rsid w:val="005906D5"/>
    <w:rsid w:val="005906EE"/>
    <w:rsid w:val="00590806"/>
    <w:rsid w:val="0059099A"/>
    <w:rsid w:val="00590ABD"/>
    <w:rsid w:val="00590AC2"/>
    <w:rsid w:val="00590C5C"/>
    <w:rsid w:val="00590E1A"/>
    <w:rsid w:val="00590EC1"/>
    <w:rsid w:val="00590ECD"/>
    <w:rsid w:val="00590F64"/>
    <w:rsid w:val="0059106C"/>
    <w:rsid w:val="0059106F"/>
    <w:rsid w:val="00591095"/>
    <w:rsid w:val="005910AB"/>
    <w:rsid w:val="005910BA"/>
    <w:rsid w:val="00591191"/>
    <w:rsid w:val="005911E7"/>
    <w:rsid w:val="00591480"/>
    <w:rsid w:val="005914A0"/>
    <w:rsid w:val="005915C7"/>
    <w:rsid w:val="0059165A"/>
    <w:rsid w:val="005916AC"/>
    <w:rsid w:val="005919F2"/>
    <w:rsid w:val="00591A7B"/>
    <w:rsid w:val="00591AAD"/>
    <w:rsid w:val="00591ABC"/>
    <w:rsid w:val="00591C0A"/>
    <w:rsid w:val="00592105"/>
    <w:rsid w:val="00592156"/>
    <w:rsid w:val="00592257"/>
    <w:rsid w:val="005923C0"/>
    <w:rsid w:val="0059243F"/>
    <w:rsid w:val="0059256E"/>
    <w:rsid w:val="005925EE"/>
    <w:rsid w:val="0059260C"/>
    <w:rsid w:val="0059269E"/>
    <w:rsid w:val="005927A6"/>
    <w:rsid w:val="005928A8"/>
    <w:rsid w:val="005929AA"/>
    <w:rsid w:val="00592B3D"/>
    <w:rsid w:val="00592C00"/>
    <w:rsid w:val="00592C28"/>
    <w:rsid w:val="00592CFD"/>
    <w:rsid w:val="00592E1F"/>
    <w:rsid w:val="00592F7B"/>
    <w:rsid w:val="005930AF"/>
    <w:rsid w:val="0059311A"/>
    <w:rsid w:val="00593239"/>
    <w:rsid w:val="00593441"/>
    <w:rsid w:val="0059355A"/>
    <w:rsid w:val="005935BA"/>
    <w:rsid w:val="0059370D"/>
    <w:rsid w:val="005937D9"/>
    <w:rsid w:val="00593A72"/>
    <w:rsid w:val="00593DE4"/>
    <w:rsid w:val="00593E6E"/>
    <w:rsid w:val="00593EE4"/>
    <w:rsid w:val="00593FB1"/>
    <w:rsid w:val="00594127"/>
    <w:rsid w:val="00594461"/>
    <w:rsid w:val="0059454A"/>
    <w:rsid w:val="00594660"/>
    <w:rsid w:val="005947D9"/>
    <w:rsid w:val="005948B7"/>
    <w:rsid w:val="0059490F"/>
    <w:rsid w:val="00594AD4"/>
    <w:rsid w:val="00594C38"/>
    <w:rsid w:val="00594DC3"/>
    <w:rsid w:val="00594EC9"/>
    <w:rsid w:val="00594ED5"/>
    <w:rsid w:val="00595056"/>
    <w:rsid w:val="0059534E"/>
    <w:rsid w:val="0059545A"/>
    <w:rsid w:val="005955F2"/>
    <w:rsid w:val="005956BF"/>
    <w:rsid w:val="005956C7"/>
    <w:rsid w:val="0059583B"/>
    <w:rsid w:val="00595A12"/>
    <w:rsid w:val="00595B1D"/>
    <w:rsid w:val="00595B36"/>
    <w:rsid w:val="00595B6E"/>
    <w:rsid w:val="00595BA2"/>
    <w:rsid w:val="00595BF6"/>
    <w:rsid w:val="00595E02"/>
    <w:rsid w:val="005960EB"/>
    <w:rsid w:val="00596377"/>
    <w:rsid w:val="00596470"/>
    <w:rsid w:val="005964D6"/>
    <w:rsid w:val="005965D2"/>
    <w:rsid w:val="00596678"/>
    <w:rsid w:val="0059669C"/>
    <w:rsid w:val="005966BC"/>
    <w:rsid w:val="00596913"/>
    <w:rsid w:val="00596B22"/>
    <w:rsid w:val="00596B3A"/>
    <w:rsid w:val="00596BB3"/>
    <w:rsid w:val="00596EEE"/>
    <w:rsid w:val="00597054"/>
    <w:rsid w:val="005970A7"/>
    <w:rsid w:val="005970CD"/>
    <w:rsid w:val="005971A5"/>
    <w:rsid w:val="00597248"/>
    <w:rsid w:val="005972CD"/>
    <w:rsid w:val="0059732A"/>
    <w:rsid w:val="005973EA"/>
    <w:rsid w:val="0059758E"/>
    <w:rsid w:val="005975B0"/>
    <w:rsid w:val="00597866"/>
    <w:rsid w:val="0059796A"/>
    <w:rsid w:val="0059799C"/>
    <w:rsid w:val="00597AED"/>
    <w:rsid w:val="00597CC9"/>
    <w:rsid w:val="00597E60"/>
    <w:rsid w:val="005A0038"/>
    <w:rsid w:val="005A007A"/>
    <w:rsid w:val="005A03A8"/>
    <w:rsid w:val="005A0522"/>
    <w:rsid w:val="005A0542"/>
    <w:rsid w:val="005A0614"/>
    <w:rsid w:val="005A06A6"/>
    <w:rsid w:val="005A06CF"/>
    <w:rsid w:val="005A076C"/>
    <w:rsid w:val="005A0893"/>
    <w:rsid w:val="005A094B"/>
    <w:rsid w:val="005A0985"/>
    <w:rsid w:val="005A0B56"/>
    <w:rsid w:val="005A0C90"/>
    <w:rsid w:val="005A0D64"/>
    <w:rsid w:val="005A1046"/>
    <w:rsid w:val="005A1160"/>
    <w:rsid w:val="005A121D"/>
    <w:rsid w:val="005A121E"/>
    <w:rsid w:val="005A1261"/>
    <w:rsid w:val="005A1295"/>
    <w:rsid w:val="005A1611"/>
    <w:rsid w:val="005A18DD"/>
    <w:rsid w:val="005A1931"/>
    <w:rsid w:val="005A1960"/>
    <w:rsid w:val="005A1BED"/>
    <w:rsid w:val="005A1C1B"/>
    <w:rsid w:val="005A1C8B"/>
    <w:rsid w:val="005A1DB1"/>
    <w:rsid w:val="005A211E"/>
    <w:rsid w:val="005A229B"/>
    <w:rsid w:val="005A238F"/>
    <w:rsid w:val="005A2554"/>
    <w:rsid w:val="005A25E8"/>
    <w:rsid w:val="005A2617"/>
    <w:rsid w:val="005A26D9"/>
    <w:rsid w:val="005A27AA"/>
    <w:rsid w:val="005A27C2"/>
    <w:rsid w:val="005A28FB"/>
    <w:rsid w:val="005A2931"/>
    <w:rsid w:val="005A2A8D"/>
    <w:rsid w:val="005A2B14"/>
    <w:rsid w:val="005A2CB5"/>
    <w:rsid w:val="005A2D2B"/>
    <w:rsid w:val="005A2EFA"/>
    <w:rsid w:val="005A2FE1"/>
    <w:rsid w:val="005A307F"/>
    <w:rsid w:val="005A3270"/>
    <w:rsid w:val="005A3343"/>
    <w:rsid w:val="005A3429"/>
    <w:rsid w:val="005A34E6"/>
    <w:rsid w:val="005A34FF"/>
    <w:rsid w:val="005A356A"/>
    <w:rsid w:val="005A372F"/>
    <w:rsid w:val="005A397E"/>
    <w:rsid w:val="005A3A14"/>
    <w:rsid w:val="005A3D59"/>
    <w:rsid w:val="005A3E10"/>
    <w:rsid w:val="005A3E54"/>
    <w:rsid w:val="005A3FE7"/>
    <w:rsid w:val="005A4096"/>
    <w:rsid w:val="005A4181"/>
    <w:rsid w:val="005A420A"/>
    <w:rsid w:val="005A44A6"/>
    <w:rsid w:val="005A4502"/>
    <w:rsid w:val="005A468B"/>
    <w:rsid w:val="005A46A3"/>
    <w:rsid w:val="005A4818"/>
    <w:rsid w:val="005A4840"/>
    <w:rsid w:val="005A4912"/>
    <w:rsid w:val="005A4981"/>
    <w:rsid w:val="005A4A0A"/>
    <w:rsid w:val="005A4A51"/>
    <w:rsid w:val="005A4C86"/>
    <w:rsid w:val="005A4F49"/>
    <w:rsid w:val="005A506E"/>
    <w:rsid w:val="005A546C"/>
    <w:rsid w:val="005A56C1"/>
    <w:rsid w:val="005A58C7"/>
    <w:rsid w:val="005A5EC5"/>
    <w:rsid w:val="005A6156"/>
    <w:rsid w:val="005A61E2"/>
    <w:rsid w:val="005A6212"/>
    <w:rsid w:val="005A6317"/>
    <w:rsid w:val="005A63C1"/>
    <w:rsid w:val="005A655D"/>
    <w:rsid w:val="005A65AA"/>
    <w:rsid w:val="005A65BB"/>
    <w:rsid w:val="005A65D2"/>
    <w:rsid w:val="005A65E5"/>
    <w:rsid w:val="005A6712"/>
    <w:rsid w:val="005A6BEE"/>
    <w:rsid w:val="005A6CD6"/>
    <w:rsid w:val="005A6E26"/>
    <w:rsid w:val="005A6E41"/>
    <w:rsid w:val="005A6F29"/>
    <w:rsid w:val="005A70B4"/>
    <w:rsid w:val="005A70EF"/>
    <w:rsid w:val="005A714A"/>
    <w:rsid w:val="005A714D"/>
    <w:rsid w:val="005A71E6"/>
    <w:rsid w:val="005A728E"/>
    <w:rsid w:val="005A77A9"/>
    <w:rsid w:val="005A78CA"/>
    <w:rsid w:val="005A792B"/>
    <w:rsid w:val="005A7CE5"/>
    <w:rsid w:val="005A7D61"/>
    <w:rsid w:val="005A7DB3"/>
    <w:rsid w:val="005A7FAE"/>
    <w:rsid w:val="005B0148"/>
    <w:rsid w:val="005B0311"/>
    <w:rsid w:val="005B03B0"/>
    <w:rsid w:val="005B03B5"/>
    <w:rsid w:val="005B03E0"/>
    <w:rsid w:val="005B03F8"/>
    <w:rsid w:val="005B0547"/>
    <w:rsid w:val="005B0588"/>
    <w:rsid w:val="005B05F0"/>
    <w:rsid w:val="005B077D"/>
    <w:rsid w:val="005B0887"/>
    <w:rsid w:val="005B08A1"/>
    <w:rsid w:val="005B09E3"/>
    <w:rsid w:val="005B0A90"/>
    <w:rsid w:val="005B0ABB"/>
    <w:rsid w:val="005B0B01"/>
    <w:rsid w:val="005B0D67"/>
    <w:rsid w:val="005B0DCC"/>
    <w:rsid w:val="005B0E89"/>
    <w:rsid w:val="005B0ED3"/>
    <w:rsid w:val="005B0F47"/>
    <w:rsid w:val="005B0F54"/>
    <w:rsid w:val="005B0F93"/>
    <w:rsid w:val="005B10BC"/>
    <w:rsid w:val="005B133A"/>
    <w:rsid w:val="005B136F"/>
    <w:rsid w:val="005B1825"/>
    <w:rsid w:val="005B1838"/>
    <w:rsid w:val="005B1881"/>
    <w:rsid w:val="005B18A1"/>
    <w:rsid w:val="005B1A39"/>
    <w:rsid w:val="005B1BAD"/>
    <w:rsid w:val="005B1C99"/>
    <w:rsid w:val="005B20D6"/>
    <w:rsid w:val="005B2114"/>
    <w:rsid w:val="005B222A"/>
    <w:rsid w:val="005B25C4"/>
    <w:rsid w:val="005B2606"/>
    <w:rsid w:val="005B293B"/>
    <w:rsid w:val="005B2A90"/>
    <w:rsid w:val="005B2BC5"/>
    <w:rsid w:val="005B2C3E"/>
    <w:rsid w:val="005B2C48"/>
    <w:rsid w:val="005B2C85"/>
    <w:rsid w:val="005B2D32"/>
    <w:rsid w:val="005B2E74"/>
    <w:rsid w:val="005B3052"/>
    <w:rsid w:val="005B3164"/>
    <w:rsid w:val="005B31B1"/>
    <w:rsid w:val="005B3254"/>
    <w:rsid w:val="005B3282"/>
    <w:rsid w:val="005B32CF"/>
    <w:rsid w:val="005B33AD"/>
    <w:rsid w:val="005B3458"/>
    <w:rsid w:val="005B34F8"/>
    <w:rsid w:val="005B379D"/>
    <w:rsid w:val="005B3860"/>
    <w:rsid w:val="005B3A04"/>
    <w:rsid w:val="005B3A44"/>
    <w:rsid w:val="005B3B03"/>
    <w:rsid w:val="005B3B06"/>
    <w:rsid w:val="005B3B70"/>
    <w:rsid w:val="005B3BB5"/>
    <w:rsid w:val="005B3E77"/>
    <w:rsid w:val="005B3E96"/>
    <w:rsid w:val="005B4100"/>
    <w:rsid w:val="005B4142"/>
    <w:rsid w:val="005B41C0"/>
    <w:rsid w:val="005B423A"/>
    <w:rsid w:val="005B4240"/>
    <w:rsid w:val="005B4293"/>
    <w:rsid w:val="005B4426"/>
    <w:rsid w:val="005B4584"/>
    <w:rsid w:val="005B4777"/>
    <w:rsid w:val="005B496B"/>
    <w:rsid w:val="005B497C"/>
    <w:rsid w:val="005B49B0"/>
    <w:rsid w:val="005B4A62"/>
    <w:rsid w:val="005B4B24"/>
    <w:rsid w:val="005B4CDD"/>
    <w:rsid w:val="005B4D10"/>
    <w:rsid w:val="005B4D30"/>
    <w:rsid w:val="005B4ECA"/>
    <w:rsid w:val="005B4F5E"/>
    <w:rsid w:val="005B4F73"/>
    <w:rsid w:val="005B4FAF"/>
    <w:rsid w:val="005B5042"/>
    <w:rsid w:val="005B5110"/>
    <w:rsid w:val="005B5217"/>
    <w:rsid w:val="005B5249"/>
    <w:rsid w:val="005B5359"/>
    <w:rsid w:val="005B5468"/>
    <w:rsid w:val="005B55C8"/>
    <w:rsid w:val="005B563C"/>
    <w:rsid w:val="005B56F5"/>
    <w:rsid w:val="005B599A"/>
    <w:rsid w:val="005B59E4"/>
    <w:rsid w:val="005B5DD1"/>
    <w:rsid w:val="005B5E35"/>
    <w:rsid w:val="005B608E"/>
    <w:rsid w:val="005B60DB"/>
    <w:rsid w:val="005B6182"/>
    <w:rsid w:val="005B61C0"/>
    <w:rsid w:val="005B658E"/>
    <w:rsid w:val="005B65BD"/>
    <w:rsid w:val="005B65D1"/>
    <w:rsid w:val="005B6631"/>
    <w:rsid w:val="005B6773"/>
    <w:rsid w:val="005B6947"/>
    <w:rsid w:val="005B699A"/>
    <w:rsid w:val="005B69A9"/>
    <w:rsid w:val="005B6C59"/>
    <w:rsid w:val="005B6DC7"/>
    <w:rsid w:val="005B6E6C"/>
    <w:rsid w:val="005B71EC"/>
    <w:rsid w:val="005B7205"/>
    <w:rsid w:val="005B744B"/>
    <w:rsid w:val="005B7536"/>
    <w:rsid w:val="005B7ADF"/>
    <w:rsid w:val="005B7EF0"/>
    <w:rsid w:val="005C0013"/>
    <w:rsid w:val="005C0149"/>
    <w:rsid w:val="005C0363"/>
    <w:rsid w:val="005C0470"/>
    <w:rsid w:val="005C05F5"/>
    <w:rsid w:val="005C066C"/>
    <w:rsid w:val="005C06CF"/>
    <w:rsid w:val="005C0789"/>
    <w:rsid w:val="005C079E"/>
    <w:rsid w:val="005C0AB4"/>
    <w:rsid w:val="005C0BF1"/>
    <w:rsid w:val="005C0C13"/>
    <w:rsid w:val="005C0CFA"/>
    <w:rsid w:val="005C0D4D"/>
    <w:rsid w:val="005C0DC8"/>
    <w:rsid w:val="005C0FF9"/>
    <w:rsid w:val="005C1179"/>
    <w:rsid w:val="005C121C"/>
    <w:rsid w:val="005C144A"/>
    <w:rsid w:val="005C14AB"/>
    <w:rsid w:val="005C156F"/>
    <w:rsid w:val="005C1A18"/>
    <w:rsid w:val="005C1BD6"/>
    <w:rsid w:val="005C1C1F"/>
    <w:rsid w:val="005C1F3B"/>
    <w:rsid w:val="005C20C5"/>
    <w:rsid w:val="005C2159"/>
    <w:rsid w:val="005C2384"/>
    <w:rsid w:val="005C2462"/>
    <w:rsid w:val="005C2615"/>
    <w:rsid w:val="005C2906"/>
    <w:rsid w:val="005C29B7"/>
    <w:rsid w:val="005C2B21"/>
    <w:rsid w:val="005C2CF5"/>
    <w:rsid w:val="005C2D5E"/>
    <w:rsid w:val="005C2F3B"/>
    <w:rsid w:val="005C2FE6"/>
    <w:rsid w:val="005C3054"/>
    <w:rsid w:val="005C3061"/>
    <w:rsid w:val="005C3266"/>
    <w:rsid w:val="005C35E5"/>
    <w:rsid w:val="005C36E9"/>
    <w:rsid w:val="005C36EE"/>
    <w:rsid w:val="005C3707"/>
    <w:rsid w:val="005C3832"/>
    <w:rsid w:val="005C3A0E"/>
    <w:rsid w:val="005C3DBD"/>
    <w:rsid w:val="005C3DFB"/>
    <w:rsid w:val="005C41B5"/>
    <w:rsid w:val="005C41DE"/>
    <w:rsid w:val="005C456F"/>
    <w:rsid w:val="005C46E5"/>
    <w:rsid w:val="005C4951"/>
    <w:rsid w:val="005C4B71"/>
    <w:rsid w:val="005C4D1B"/>
    <w:rsid w:val="005C4E95"/>
    <w:rsid w:val="005C515A"/>
    <w:rsid w:val="005C521D"/>
    <w:rsid w:val="005C5262"/>
    <w:rsid w:val="005C53FA"/>
    <w:rsid w:val="005C557A"/>
    <w:rsid w:val="005C561C"/>
    <w:rsid w:val="005C5746"/>
    <w:rsid w:val="005C587A"/>
    <w:rsid w:val="005C58CC"/>
    <w:rsid w:val="005C58E2"/>
    <w:rsid w:val="005C59BC"/>
    <w:rsid w:val="005C5C9B"/>
    <w:rsid w:val="005C5D51"/>
    <w:rsid w:val="005C5E48"/>
    <w:rsid w:val="005C5EC9"/>
    <w:rsid w:val="005C5EFC"/>
    <w:rsid w:val="005C658D"/>
    <w:rsid w:val="005C6626"/>
    <w:rsid w:val="005C669E"/>
    <w:rsid w:val="005C6A4D"/>
    <w:rsid w:val="005C6B21"/>
    <w:rsid w:val="005C6B4C"/>
    <w:rsid w:val="005C6D27"/>
    <w:rsid w:val="005C6F8B"/>
    <w:rsid w:val="005C70FF"/>
    <w:rsid w:val="005C73B9"/>
    <w:rsid w:val="005C7530"/>
    <w:rsid w:val="005C788F"/>
    <w:rsid w:val="005C78B7"/>
    <w:rsid w:val="005C78F2"/>
    <w:rsid w:val="005C793B"/>
    <w:rsid w:val="005C795C"/>
    <w:rsid w:val="005C7963"/>
    <w:rsid w:val="005C7DA9"/>
    <w:rsid w:val="005C7FB8"/>
    <w:rsid w:val="005D00FE"/>
    <w:rsid w:val="005D024A"/>
    <w:rsid w:val="005D0520"/>
    <w:rsid w:val="005D05E2"/>
    <w:rsid w:val="005D078F"/>
    <w:rsid w:val="005D0B4A"/>
    <w:rsid w:val="005D0BC6"/>
    <w:rsid w:val="005D0D32"/>
    <w:rsid w:val="005D0D52"/>
    <w:rsid w:val="005D0DA4"/>
    <w:rsid w:val="005D0DFE"/>
    <w:rsid w:val="005D0E32"/>
    <w:rsid w:val="005D1274"/>
    <w:rsid w:val="005D1378"/>
    <w:rsid w:val="005D1385"/>
    <w:rsid w:val="005D1465"/>
    <w:rsid w:val="005D170A"/>
    <w:rsid w:val="005D1B77"/>
    <w:rsid w:val="005D1D77"/>
    <w:rsid w:val="005D20E5"/>
    <w:rsid w:val="005D22AC"/>
    <w:rsid w:val="005D2482"/>
    <w:rsid w:val="005D2510"/>
    <w:rsid w:val="005D26B5"/>
    <w:rsid w:val="005D26FA"/>
    <w:rsid w:val="005D27DA"/>
    <w:rsid w:val="005D2BF9"/>
    <w:rsid w:val="005D2C25"/>
    <w:rsid w:val="005D2C87"/>
    <w:rsid w:val="005D2C91"/>
    <w:rsid w:val="005D2E63"/>
    <w:rsid w:val="005D2EA8"/>
    <w:rsid w:val="005D2EDC"/>
    <w:rsid w:val="005D2FFB"/>
    <w:rsid w:val="005D3282"/>
    <w:rsid w:val="005D32E2"/>
    <w:rsid w:val="005D3321"/>
    <w:rsid w:val="005D3536"/>
    <w:rsid w:val="005D373E"/>
    <w:rsid w:val="005D3A22"/>
    <w:rsid w:val="005D3C4A"/>
    <w:rsid w:val="005D3D1D"/>
    <w:rsid w:val="005D3EDD"/>
    <w:rsid w:val="005D3F3D"/>
    <w:rsid w:val="005D3FBD"/>
    <w:rsid w:val="005D3FD7"/>
    <w:rsid w:val="005D401D"/>
    <w:rsid w:val="005D4193"/>
    <w:rsid w:val="005D42AF"/>
    <w:rsid w:val="005D44BE"/>
    <w:rsid w:val="005D4526"/>
    <w:rsid w:val="005D468F"/>
    <w:rsid w:val="005D46A5"/>
    <w:rsid w:val="005D46F8"/>
    <w:rsid w:val="005D4724"/>
    <w:rsid w:val="005D4835"/>
    <w:rsid w:val="005D4881"/>
    <w:rsid w:val="005D4965"/>
    <w:rsid w:val="005D4A73"/>
    <w:rsid w:val="005D4C8D"/>
    <w:rsid w:val="005D4D79"/>
    <w:rsid w:val="005D4D91"/>
    <w:rsid w:val="005D4E3F"/>
    <w:rsid w:val="005D4EAA"/>
    <w:rsid w:val="005D4F35"/>
    <w:rsid w:val="005D4F7B"/>
    <w:rsid w:val="005D5472"/>
    <w:rsid w:val="005D580A"/>
    <w:rsid w:val="005D5A28"/>
    <w:rsid w:val="005D5A7E"/>
    <w:rsid w:val="005D5ADB"/>
    <w:rsid w:val="005D5B6B"/>
    <w:rsid w:val="005D5B7D"/>
    <w:rsid w:val="005D5B8A"/>
    <w:rsid w:val="005D5BF8"/>
    <w:rsid w:val="005D5CCD"/>
    <w:rsid w:val="005D6172"/>
    <w:rsid w:val="005D623F"/>
    <w:rsid w:val="005D63D3"/>
    <w:rsid w:val="005D63D7"/>
    <w:rsid w:val="005D6572"/>
    <w:rsid w:val="005D6709"/>
    <w:rsid w:val="005D6713"/>
    <w:rsid w:val="005D67BE"/>
    <w:rsid w:val="005D6924"/>
    <w:rsid w:val="005D6990"/>
    <w:rsid w:val="005D69B4"/>
    <w:rsid w:val="005D69EC"/>
    <w:rsid w:val="005D6C4C"/>
    <w:rsid w:val="005D6D2A"/>
    <w:rsid w:val="005D6EAA"/>
    <w:rsid w:val="005D6F74"/>
    <w:rsid w:val="005D6FFD"/>
    <w:rsid w:val="005D7200"/>
    <w:rsid w:val="005D72B2"/>
    <w:rsid w:val="005D72FD"/>
    <w:rsid w:val="005D7566"/>
    <w:rsid w:val="005D7893"/>
    <w:rsid w:val="005D7B47"/>
    <w:rsid w:val="005D7B59"/>
    <w:rsid w:val="005D7C7F"/>
    <w:rsid w:val="005D7D0B"/>
    <w:rsid w:val="005D7D59"/>
    <w:rsid w:val="005D7DDB"/>
    <w:rsid w:val="005D7ECE"/>
    <w:rsid w:val="005D7FC7"/>
    <w:rsid w:val="005E0021"/>
    <w:rsid w:val="005E0064"/>
    <w:rsid w:val="005E00A1"/>
    <w:rsid w:val="005E00C6"/>
    <w:rsid w:val="005E0153"/>
    <w:rsid w:val="005E018F"/>
    <w:rsid w:val="005E024C"/>
    <w:rsid w:val="005E05A1"/>
    <w:rsid w:val="005E06DA"/>
    <w:rsid w:val="005E07EC"/>
    <w:rsid w:val="005E0853"/>
    <w:rsid w:val="005E0969"/>
    <w:rsid w:val="005E0B6E"/>
    <w:rsid w:val="005E0D25"/>
    <w:rsid w:val="005E0D54"/>
    <w:rsid w:val="005E0E0E"/>
    <w:rsid w:val="005E0F2A"/>
    <w:rsid w:val="005E123C"/>
    <w:rsid w:val="005E1306"/>
    <w:rsid w:val="005E161A"/>
    <w:rsid w:val="005E168F"/>
    <w:rsid w:val="005E1722"/>
    <w:rsid w:val="005E17A3"/>
    <w:rsid w:val="005E1970"/>
    <w:rsid w:val="005E1BEC"/>
    <w:rsid w:val="005E1C92"/>
    <w:rsid w:val="005E1EFA"/>
    <w:rsid w:val="005E1FAB"/>
    <w:rsid w:val="005E1FC6"/>
    <w:rsid w:val="005E2036"/>
    <w:rsid w:val="005E20C6"/>
    <w:rsid w:val="005E2173"/>
    <w:rsid w:val="005E2175"/>
    <w:rsid w:val="005E23A6"/>
    <w:rsid w:val="005E23B2"/>
    <w:rsid w:val="005E2426"/>
    <w:rsid w:val="005E2699"/>
    <w:rsid w:val="005E26B8"/>
    <w:rsid w:val="005E2BAA"/>
    <w:rsid w:val="005E2BF3"/>
    <w:rsid w:val="005E2C74"/>
    <w:rsid w:val="005E2D24"/>
    <w:rsid w:val="005E2E24"/>
    <w:rsid w:val="005E2E9D"/>
    <w:rsid w:val="005E2EDB"/>
    <w:rsid w:val="005E2F83"/>
    <w:rsid w:val="005E3009"/>
    <w:rsid w:val="005E3050"/>
    <w:rsid w:val="005E31A2"/>
    <w:rsid w:val="005E3240"/>
    <w:rsid w:val="005E33B8"/>
    <w:rsid w:val="005E33D0"/>
    <w:rsid w:val="005E345B"/>
    <w:rsid w:val="005E3497"/>
    <w:rsid w:val="005E34AC"/>
    <w:rsid w:val="005E3571"/>
    <w:rsid w:val="005E35F1"/>
    <w:rsid w:val="005E37B8"/>
    <w:rsid w:val="005E3894"/>
    <w:rsid w:val="005E389F"/>
    <w:rsid w:val="005E3A75"/>
    <w:rsid w:val="005E3A8E"/>
    <w:rsid w:val="005E3DDD"/>
    <w:rsid w:val="005E4165"/>
    <w:rsid w:val="005E4214"/>
    <w:rsid w:val="005E4332"/>
    <w:rsid w:val="005E4457"/>
    <w:rsid w:val="005E44F9"/>
    <w:rsid w:val="005E4579"/>
    <w:rsid w:val="005E46C2"/>
    <w:rsid w:val="005E4A48"/>
    <w:rsid w:val="005E4A62"/>
    <w:rsid w:val="005E4A8A"/>
    <w:rsid w:val="005E4B5C"/>
    <w:rsid w:val="005E4CB5"/>
    <w:rsid w:val="005E4FD8"/>
    <w:rsid w:val="005E5081"/>
    <w:rsid w:val="005E5538"/>
    <w:rsid w:val="005E5659"/>
    <w:rsid w:val="005E584A"/>
    <w:rsid w:val="005E5AD2"/>
    <w:rsid w:val="005E5D12"/>
    <w:rsid w:val="005E5DF9"/>
    <w:rsid w:val="005E5EC9"/>
    <w:rsid w:val="005E5EF6"/>
    <w:rsid w:val="005E6029"/>
    <w:rsid w:val="005E6042"/>
    <w:rsid w:val="005E60C8"/>
    <w:rsid w:val="005E638A"/>
    <w:rsid w:val="005E63D3"/>
    <w:rsid w:val="005E6610"/>
    <w:rsid w:val="005E66C2"/>
    <w:rsid w:val="005E6784"/>
    <w:rsid w:val="005E68B9"/>
    <w:rsid w:val="005E6A4A"/>
    <w:rsid w:val="005E6AC6"/>
    <w:rsid w:val="005E6ADE"/>
    <w:rsid w:val="005E6B15"/>
    <w:rsid w:val="005E6B32"/>
    <w:rsid w:val="005E6B52"/>
    <w:rsid w:val="005E6C75"/>
    <w:rsid w:val="005E6CD2"/>
    <w:rsid w:val="005E6D4C"/>
    <w:rsid w:val="005E6DEC"/>
    <w:rsid w:val="005E706E"/>
    <w:rsid w:val="005E70C4"/>
    <w:rsid w:val="005E718E"/>
    <w:rsid w:val="005E722F"/>
    <w:rsid w:val="005E723C"/>
    <w:rsid w:val="005E74EB"/>
    <w:rsid w:val="005E7585"/>
    <w:rsid w:val="005E764A"/>
    <w:rsid w:val="005E7712"/>
    <w:rsid w:val="005E7769"/>
    <w:rsid w:val="005E776E"/>
    <w:rsid w:val="005E7988"/>
    <w:rsid w:val="005E7989"/>
    <w:rsid w:val="005E798E"/>
    <w:rsid w:val="005E79BD"/>
    <w:rsid w:val="005E79DE"/>
    <w:rsid w:val="005E79FE"/>
    <w:rsid w:val="005E7B23"/>
    <w:rsid w:val="005E7BD2"/>
    <w:rsid w:val="005E7C10"/>
    <w:rsid w:val="005E7F38"/>
    <w:rsid w:val="005E7F9D"/>
    <w:rsid w:val="005E7FF8"/>
    <w:rsid w:val="005F0013"/>
    <w:rsid w:val="005F0107"/>
    <w:rsid w:val="005F02AA"/>
    <w:rsid w:val="005F0339"/>
    <w:rsid w:val="005F0366"/>
    <w:rsid w:val="005F03C9"/>
    <w:rsid w:val="005F05C1"/>
    <w:rsid w:val="005F0776"/>
    <w:rsid w:val="005F0881"/>
    <w:rsid w:val="005F08C3"/>
    <w:rsid w:val="005F092C"/>
    <w:rsid w:val="005F0A15"/>
    <w:rsid w:val="005F0C93"/>
    <w:rsid w:val="005F0CFD"/>
    <w:rsid w:val="005F0D41"/>
    <w:rsid w:val="005F0EE7"/>
    <w:rsid w:val="005F109A"/>
    <w:rsid w:val="005F1177"/>
    <w:rsid w:val="005F15CA"/>
    <w:rsid w:val="005F15DC"/>
    <w:rsid w:val="005F18E9"/>
    <w:rsid w:val="005F1B10"/>
    <w:rsid w:val="005F1C3D"/>
    <w:rsid w:val="005F207A"/>
    <w:rsid w:val="005F20F3"/>
    <w:rsid w:val="005F236F"/>
    <w:rsid w:val="005F2405"/>
    <w:rsid w:val="005F24B9"/>
    <w:rsid w:val="005F26F6"/>
    <w:rsid w:val="005F275A"/>
    <w:rsid w:val="005F2940"/>
    <w:rsid w:val="005F2A6E"/>
    <w:rsid w:val="005F2B2C"/>
    <w:rsid w:val="005F2BC7"/>
    <w:rsid w:val="005F2C08"/>
    <w:rsid w:val="005F2F8F"/>
    <w:rsid w:val="005F3258"/>
    <w:rsid w:val="005F32E6"/>
    <w:rsid w:val="005F32EA"/>
    <w:rsid w:val="005F334F"/>
    <w:rsid w:val="005F33B0"/>
    <w:rsid w:val="005F33C4"/>
    <w:rsid w:val="005F33F6"/>
    <w:rsid w:val="005F3420"/>
    <w:rsid w:val="005F3583"/>
    <w:rsid w:val="005F3871"/>
    <w:rsid w:val="005F3D27"/>
    <w:rsid w:val="005F3E1A"/>
    <w:rsid w:val="005F3F00"/>
    <w:rsid w:val="005F417A"/>
    <w:rsid w:val="005F44D2"/>
    <w:rsid w:val="005F462C"/>
    <w:rsid w:val="005F476A"/>
    <w:rsid w:val="005F479C"/>
    <w:rsid w:val="005F4802"/>
    <w:rsid w:val="005F4B19"/>
    <w:rsid w:val="005F4B5A"/>
    <w:rsid w:val="005F4BBB"/>
    <w:rsid w:val="005F4C8B"/>
    <w:rsid w:val="005F4E57"/>
    <w:rsid w:val="005F4EFC"/>
    <w:rsid w:val="005F4F67"/>
    <w:rsid w:val="005F510A"/>
    <w:rsid w:val="005F51EB"/>
    <w:rsid w:val="005F51FE"/>
    <w:rsid w:val="005F5429"/>
    <w:rsid w:val="005F566B"/>
    <w:rsid w:val="005F56A0"/>
    <w:rsid w:val="005F57AF"/>
    <w:rsid w:val="005F57C2"/>
    <w:rsid w:val="005F589D"/>
    <w:rsid w:val="005F594F"/>
    <w:rsid w:val="005F5D6C"/>
    <w:rsid w:val="005F62F7"/>
    <w:rsid w:val="005F63A9"/>
    <w:rsid w:val="005F6600"/>
    <w:rsid w:val="005F669B"/>
    <w:rsid w:val="005F69B2"/>
    <w:rsid w:val="005F69DE"/>
    <w:rsid w:val="005F6B54"/>
    <w:rsid w:val="005F6CA1"/>
    <w:rsid w:val="005F6D5C"/>
    <w:rsid w:val="005F6DED"/>
    <w:rsid w:val="005F6E77"/>
    <w:rsid w:val="005F70D3"/>
    <w:rsid w:val="005F72E1"/>
    <w:rsid w:val="005F7321"/>
    <w:rsid w:val="005F74B3"/>
    <w:rsid w:val="005F753C"/>
    <w:rsid w:val="005F79DA"/>
    <w:rsid w:val="005F7C98"/>
    <w:rsid w:val="005F7DF5"/>
    <w:rsid w:val="005F7E54"/>
    <w:rsid w:val="0060000B"/>
    <w:rsid w:val="00600013"/>
    <w:rsid w:val="006001DB"/>
    <w:rsid w:val="0060047E"/>
    <w:rsid w:val="00600582"/>
    <w:rsid w:val="006006F1"/>
    <w:rsid w:val="0060087A"/>
    <w:rsid w:val="0060092E"/>
    <w:rsid w:val="00600A20"/>
    <w:rsid w:val="00600BEC"/>
    <w:rsid w:val="00600C85"/>
    <w:rsid w:val="00600CA7"/>
    <w:rsid w:val="00600CE5"/>
    <w:rsid w:val="00600DB6"/>
    <w:rsid w:val="00600EB1"/>
    <w:rsid w:val="00600F1C"/>
    <w:rsid w:val="00600F64"/>
    <w:rsid w:val="006010FC"/>
    <w:rsid w:val="0060122B"/>
    <w:rsid w:val="00601252"/>
    <w:rsid w:val="006012AF"/>
    <w:rsid w:val="006013C9"/>
    <w:rsid w:val="006014FA"/>
    <w:rsid w:val="00601533"/>
    <w:rsid w:val="0060167F"/>
    <w:rsid w:val="00601736"/>
    <w:rsid w:val="00601787"/>
    <w:rsid w:val="0060182F"/>
    <w:rsid w:val="00601841"/>
    <w:rsid w:val="00601917"/>
    <w:rsid w:val="00601934"/>
    <w:rsid w:val="00601A34"/>
    <w:rsid w:val="00601AB8"/>
    <w:rsid w:val="00601AD6"/>
    <w:rsid w:val="00601BA6"/>
    <w:rsid w:val="00601C9C"/>
    <w:rsid w:val="00601CBF"/>
    <w:rsid w:val="00601EAA"/>
    <w:rsid w:val="00601EBD"/>
    <w:rsid w:val="00602055"/>
    <w:rsid w:val="0060212E"/>
    <w:rsid w:val="0060220C"/>
    <w:rsid w:val="006022CD"/>
    <w:rsid w:val="006022F2"/>
    <w:rsid w:val="00602435"/>
    <w:rsid w:val="00602572"/>
    <w:rsid w:val="006026DC"/>
    <w:rsid w:val="006026F4"/>
    <w:rsid w:val="00602749"/>
    <w:rsid w:val="0060282B"/>
    <w:rsid w:val="0060292A"/>
    <w:rsid w:val="00602A6E"/>
    <w:rsid w:val="00602ABE"/>
    <w:rsid w:val="00602B29"/>
    <w:rsid w:val="00602B66"/>
    <w:rsid w:val="00602E31"/>
    <w:rsid w:val="00603158"/>
    <w:rsid w:val="0060326A"/>
    <w:rsid w:val="006033F5"/>
    <w:rsid w:val="0060346D"/>
    <w:rsid w:val="006034D1"/>
    <w:rsid w:val="00603525"/>
    <w:rsid w:val="00603613"/>
    <w:rsid w:val="00603642"/>
    <w:rsid w:val="00603665"/>
    <w:rsid w:val="00603714"/>
    <w:rsid w:val="00603864"/>
    <w:rsid w:val="00603E2E"/>
    <w:rsid w:val="00603E9C"/>
    <w:rsid w:val="006040A5"/>
    <w:rsid w:val="006043A8"/>
    <w:rsid w:val="006044C1"/>
    <w:rsid w:val="0060462B"/>
    <w:rsid w:val="00604686"/>
    <w:rsid w:val="00604841"/>
    <w:rsid w:val="00604905"/>
    <w:rsid w:val="00604BD9"/>
    <w:rsid w:val="00604CBC"/>
    <w:rsid w:val="00604E7B"/>
    <w:rsid w:val="00604F42"/>
    <w:rsid w:val="006051CC"/>
    <w:rsid w:val="00605331"/>
    <w:rsid w:val="006053A8"/>
    <w:rsid w:val="00605434"/>
    <w:rsid w:val="006055A2"/>
    <w:rsid w:val="006056CF"/>
    <w:rsid w:val="0060581B"/>
    <w:rsid w:val="00605829"/>
    <w:rsid w:val="00605A66"/>
    <w:rsid w:val="00605B9B"/>
    <w:rsid w:val="00605C04"/>
    <w:rsid w:val="00605CEE"/>
    <w:rsid w:val="00605E01"/>
    <w:rsid w:val="00605ECA"/>
    <w:rsid w:val="00605FA3"/>
    <w:rsid w:val="00605FCF"/>
    <w:rsid w:val="006060D0"/>
    <w:rsid w:val="00606430"/>
    <w:rsid w:val="00606441"/>
    <w:rsid w:val="00606456"/>
    <w:rsid w:val="006065A6"/>
    <w:rsid w:val="0060679F"/>
    <w:rsid w:val="006067A4"/>
    <w:rsid w:val="00606827"/>
    <w:rsid w:val="00606B75"/>
    <w:rsid w:val="00606CD3"/>
    <w:rsid w:val="00606DBB"/>
    <w:rsid w:val="00606FC9"/>
    <w:rsid w:val="00606FD6"/>
    <w:rsid w:val="00607143"/>
    <w:rsid w:val="0060743C"/>
    <w:rsid w:val="00607488"/>
    <w:rsid w:val="00607641"/>
    <w:rsid w:val="00607A79"/>
    <w:rsid w:val="00607B6B"/>
    <w:rsid w:val="00607BFE"/>
    <w:rsid w:val="00607D9A"/>
    <w:rsid w:val="00607E09"/>
    <w:rsid w:val="00607F53"/>
    <w:rsid w:val="00607F82"/>
    <w:rsid w:val="00607F96"/>
    <w:rsid w:val="006100BD"/>
    <w:rsid w:val="0061062B"/>
    <w:rsid w:val="0061064E"/>
    <w:rsid w:val="006106BF"/>
    <w:rsid w:val="006107BF"/>
    <w:rsid w:val="006107DE"/>
    <w:rsid w:val="0061088E"/>
    <w:rsid w:val="006109CE"/>
    <w:rsid w:val="00610B38"/>
    <w:rsid w:val="00610C3A"/>
    <w:rsid w:val="00610CDF"/>
    <w:rsid w:val="00610D00"/>
    <w:rsid w:val="00610D54"/>
    <w:rsid w:val="00610DB5"/>
    <w:rsid w:val="00610DFB"/>
    <w:rsid w:val="00610EA6"/>
    <w:rsid w:val="0061117B"/>
    <w:rsid w:val="00611184"/>
    <w:rsid w:val="0061118C"/>
    <w:rsid w:val="00611267"/>
    <w:rsid w:val="006112C1"/>
    <w:rsid w:val="00611403"/>
    <w:rsid w:val="0061140F"/>
    <w:rsid w:val="006114B7"/>
    <w:rsid w:val="0061171F"/>
    <w:rsid w:val="00611ADC"/>
    <w:rsid w:val="00611BC6"/>
    <w:rsid w:val="00611BE4"/>
    <w:rsid w:val="00611E4C"/>
    <w:rsid w:val="00612165"/>
    <w:rsid w:val="006122A2"/>
    <w:rsid w:val="00612390"/>
    <w:rsid w:val="0061246F"/>
    <w:rsid w:val="00612488"/>
    <w:rsid w:val="006124DB"/>
    <w:rsid w:val="00612511"/>
    <w:rsid w:val="006125C2"/>
    <w:rsid w:val="0061286C"/>
    <w:rsid w:val="00612A7A"/>
    <w:rsid w:val="00612C71"/>
    <w:rsid w:val="00612C7D"/>
    <w:rsid w:val="00612CBD"/>
    <w:rsid w:val="00612E79"/>
    <w:rsid w:val="00612F21"/>
    <w:rsid w:val="0061301E"/>
    <w:rsid w:val="00613102"/>
    <w:rsid w:val="00613130"/>
    <w:rsid w:val="006132D8"/>
    <w:rsid w:val="00613345"/>
    <w:rsid w:val="006133A3"/>
    <w:rsid w:val="006133E1"/>
    <w:rsid w:val="00613412"/>
    <w:rsid w:val="006134D6"/>
    <w:rsid w:val="006134DB"/>
    <w:rsid w:val="0061372F"/>
    <w:rsid w:val="0061378E"/>
    <w:rsid w:val="006137D4"/>
    <w:rsid w:val="0061396D"/>
    <w:rsid w:val="00613B38"/>
    <w:rsid w:val="00613F67"/>
    <w:rsid w:val="00614075"/>
    <w:rsid w:val="006142DF"/>
    <w:rsid w:val="006145C7"/>
    <w:rsid w:val="0061470F"/>
    <w:rsid w:val="00614891"/>
    <w:rsid w:val="00614A10"/>
    <w:rsid w:val="00614D24"/>
    <w:rsid w:val="00614D96"/>
    <w:rsid w:val="00614DA6"/>
    <w:rsid w:val="00614E21"/>
    <w:rsid w:val="00614E31"/>
    <w:rsid w:val="0061501A"/>
    <w:rsid w:val="00615098"/>
    <w:rsid w:val="006152AD"/>
    <w:rsid w:val="0061531F"/>
    <w:rsid w:val="00615384"/>
    <w:rsid w:val="00615487"/>
    <w:rsid w:val="006154FB"/>
    <w:rsid w:val="0061550C"/>
    <w:rsid w:val="00615561"/>
    <w:rsid w:val="006155BF"/>
    <w:rsid w:val="0061586C"/>
    <w:rsid w:val="0061599F"/>
    <w:rsid w:val="00615A12"/>
    <w:rsid w:val="00615A50"/>
    <w:rsid w:val="00615B11"/>
    <w:rsid w:val="00615BC3"/>
    <w:rsid w:val="00615FDA"/>
    <w:rsid w:val="0061623C"/>
    <w:rsid w:val="00616296"/>
    <w:rsid w:val="00616303"/>
    <w:rsid w:val="0061635C"/>
    <w:rsid w:val="006166A3"/>
    <w:rsid w:val="00616749"/>
    <w:rsid w:val="00616764"/>
    <w:rsid w:val="0061677D"/>
    <w:rsid w:val="00616EFA"/>
    <w:rsid w:val="00616FA7"/>
    <w:rsid w:val="00616FE1"/>
    <w:rsid w:val="00616FF7"/>
    <w:rsid w:val="0061705D"/>
    <w:rsid w:val="006171C6"/>
    <w:rsid w:val="006173C0"/>
    <w:rsid w:val="00617689"/>
    <w:rsid w:val="006176BF"/>
    <w:rsid w:val="006177A2"/>
    <w:rsid w:val="00617860"/>
    <w:rsid w:val="00617A8E"/>
    <w:rsid w:val="00617B0A"/>
    <w:rsid w:val="00617E9B"/>
    <w:rsid w:val="00617EFE"/>
    <w:rsid w:val="00617FAD"/>
    <w:rsid w:val="006201BE"/>
    <w:rsid w:val="00620256"/>
    <w:rsid w:val="0062037E"/>
    <w:rsid w:val="006203B4"/>
    <w:rsid w:val="006205F0"/>
    <w:rsid w:val="00620680"/>
    <w:rsid w:val="0062069A"/>
    <w:rsid w:val="00620725"/>
    <w:rsid w:val="006207F3"/>
    <w:rsid w:val="00620A2D"/>
    <w:rsid w:val="0062105E"/>
    <w:rsid w:val="00621160"/>
    <w:rsid w:val="006211E8"/>
    <w:rsid w:val="0062129C"/>
    <w:rsid w:val="006212D3"/>
    <w:rsid w:val="00621302"/>
    <w:rsid w:val="006214F1"/>
    <w:rsid w:val="006216C1"/>
    <w:rsid w:val="00621904"/>
    <w:rsid w:val="00621B81"/>
    <w:rsid w:val="00621E29"/>
    <w:rsid w:val="00621FC2"/>
    <w:rsid w:val="006220B9"/>
    <w:rsid w:val="00622120"/>
    <w:rsid w:val="00622130"/>
    <w:rsid w:val="006223DD"/>
    <w:rsid w:val="006225C0"/>
    <w:rsid w:val="006225EF"/>
    <w:rsid w:val="00622626"/>
    <w:rsid w:val="0062284F"/>
    <w:rsid w:val="00622902"/>
    <w:rsid w:val="00622B47"/>
    <w:rsid w:val="00622C48"/>
    <w:rsid w:val="00622C62"/>
    <w:rsid w:val="00622CD3"/>
    <w:rsid w:val="00622D74"/>
    <w:rsid w:val="00622DE0"/>
    <w:rsid w:val="00622E63"/>
    <w:rsid w:val="00623336"/>
    <w:rsid w:val="00623803"/>
    <w:rsid w:val="006238C9"/>
    <w:rsid w:val="0062392E"/>
    <w:rsid w:val="00623A6D"/>
    <w:rsid w:val="00623AE7"/>
    <w:rsid w:val="00623B03"/>
    <w:rsid w:val="00623B66"/>
    <w:rsid w:val="00623BC6"/>
    <w:rsid w:val="00623BCB"/>
    <w:rsid w:val="00623DEE"/>
    <w:rsid w:val="00623F27"/>
    <w:rsid w:val="00623FD0"/>
    <w:rsid w:val="00624020"/>
    <w:rsid w:val="0062403A"/>
    <w:rsid w:val="00624059"/>
    <w:rsid w:val="00624076"/>
    <w:rsid w:val="00624275"/>
    <w:rsid w:val="0062433B"/>
    <w:rsid w:val="006243CC"/>
    <w:rsid w:val="006245DC"/>
    <w:rsid w:val="006246D2"/>
    <w:rsid w:val="006247D6"/>
    <w:rsid w:val="00624A19"/>
    <w:rsid w:val="00624AB6"/>
    <w:rsid w:val="00624CD9"/>
    <w:rsid w:val="00624D15"/>
    <w:rsid w:val="00624D77"/>
    <w:rsid w:val="006250C5"/>
    <w:rsid w:val="00625173"/>
    <w:rsid w:val="006252F9"/>
    <w:rsid w:val="0062541F"/>
    <w:rsid w:val="00625473"/>
    <w:rsid w:val="006254E2"/>
    <w:rsid w:val="006255F6"/>
    <w:rsid w:val="00625668"/>
    <w:rsid w:val="006256C5"/>
    <w:rsid w:val="0062578D"/>
    <w:rsid w:val="006257B7"/>
    <w:rsid w:val="006257EC"/>
    <w:rsid w:val="006259B0"/>
    <w:rsid w:val="006259D6"/>
    <w:rsid w:val="006259DE"/>
    <w:rsid w:val="00625D1A"/>
    <w:rsid w:val="00625FF0"/>
    <w:rsid w:val="006261E9"/>
    <w:rsid w:val="0062632B"/>
    <w:rsid w:val="00626454"/>
    <w:rsid w:val="00626488"/>
    <w:rsid w:val="0062655A"/>
    <w:rsid w:val="0062678D"/>
    <w:rsid w:val="00626A1A"/>
    <w:rsid w:val="00626B71"/>
    <w:rsid w:val="00626E54"/>
    <w:rsid w:val="006270DB"/>
    <w:rsid w:val="00627194"/>
    <w:rsid w:val="006275AD"/>
    <w:rsid w:val="006275D4"/>
    <w:rsid w:val="00627AFA"/>
    <w:rsid w:val="00627B3C"/>
    <w:rsid w:val="00627B43"/>
    <w:rsid w:val="00627B9B"/>
    <w:rsid w:val="00627C6F"/>
    <w:rsid w:val="00627CF2"/>
    <w:rsid w:val="00627D5B"/>
    <w:rsid w:val="00627F2E"/>
    <w:rsid w:val="00627F75"/>
    <w:rsid w:val="00630390"/>
    <w:rsid w:val="006308A9"/>
    <w:rsid w:val="00630ADC"/>
    <w:rsid w:val="00630AF9"/>
    <w:rsid w:val="00630CB7"/>
    <w:rsid w:val="00630D67"/>
    <w:rsid w:val="00630E02"/>
    <w:rsid w:val="00630FFC"/>
    <w:rsid w:val="00631115"/>
    <w:rsid w:val="0063114A"/>
    <w:rsid w:val="0063127E"/>
    <w:rsid w:val="00631308"/>
    <w:rsid w:val="00631670"/>
    <w:rsid w:val="0063168D"/>
    <w:rsid w:val="006317DB"/>
    <w:rsid w:val="00631969"/>
    <w:rsid w:val="006319B7"/>
    <w:rsid w:val="00631AE7"/>
    <w:rsid w:val="00631B62"/>
    <w:rsid w:val="00631DF8"/>
    <w:rsid w:val="006321E2"/>
    <w:rsid w:val="00632228"/>
    <w:rsid w:val="00632533"/>
    <w:rsid w:val="006326D3"/>
    <w:rsid w:val="00632739"/>
    <w:rsid w:val="006327E5"/>
    <w:rsid w:val="00632861"/>
    <w:rsid w:val="0063296C"/>
    <w:rsid w:val="00632B95"/>
    <w:rsid w:val="00632BCD"/>
    <w:rsid w:val="00632D1D"/>
    <w:rsid w:val="00632D67"/>
    <w:rsid w:val="00632ED1"/>
    <w:rsid w:val="00632FC9"/>
    <w:rsid w:val="006331FD"/>
    <w:rsid w:val="00633534"/>
    <w:rsid w:val="00633B27"/>
    <w:rsid w:val="00633D95"/>
    <w:rsid w:val="00633D99"/>
    <w:rsid w:val="00633E11"/>
    <w:rsid w:val="00633F41"/>
    <w:rsid w:val="00634013"/>
    <w:rsid w:val="006341F9"/>
    <w:rsid w:val="006342E3"/>
    <w:rsid w:val="00634322"/>
    <w:rsid w:val="006345C0"/>
    <w:rsid w:val="006346ED"/>
    <w:rsid w:val="00634744"/>
    <w:rsid w:val="00634785"/>
    <w:rsid w:val="006347E3"/>
    <w:rsid w:val="006348A5"/>
    <w:rsid w:val="00634C58"/>
    <w:rsid w:val="00634D23"/>
    <w:rsid w:val="00635047"/>
    <w:rsid w:val="0063516E"/>
    <w:rsid w:val="006351DA"/>
    <w:rsid w:val="0063562F"/>
    <w:rsid w:val="0063568D"/>
    <w:rsid w:val="00635764"/>
    <w:rsid w:val="0063599C"/>
    <w:rsid w:val="00635A70"/>
    <w:rsid w:val="00635A9E"/>
    <w:rsid w:val="00635C68"/>
    <w:rsid w:val="00635C8B"/>
    <w:rsid w:val="00635ECD"/>
    <w:rsid w:val="00635FE1"/>
    <w:rsid w:val="00636178"/>
    <w:rsid w:val="006361A5"/>
    <w:rsid w:val="006361EC"/>
    <w:rsid w:val="006362F1"/>
    <w:rsid w:val="0063638A"/>
    <w:rsid w:val="006363B1"/>
    <w:rsid w:val="00636460"/>
    <w:rsid w:val="0063674D"/>
    <w:rsid w:val="0063676D"/>
    <w:rsid w:val="0063698B"/>
    <w:rsid w:val="00636A97"/>
    <w:rsid w:val="00636ECF"/>
    <w:rsid w:val="00636F44"/>
    <w:rsid w:val="00636F4C"/>
    <w:rsid w:val="006370B8"/>
    <w:rsid w:val="00637132"/>
    <w:rsid w:val="00637287"/>
    <w:rsid w:val="00637340"/>
    <w:rsid w:val="006375B8"/>
    <w:rsid w:val="006375E2"/>
    <w:rsid w:val="00637611"/>
    <w:rsid w:val="00637751"/>
    <w:rsid w:val="00637A21"/>
    <w:rsid w:val="00637AA6"/>
    <w:rsid w:val="00637D86"/>
    <w:rsid w:val="00637E03"/>
    <w:rsid w:val="006401AB"/>
    <w:rsid w:val="0064034A"/>
    <w:rsid w:val="00640529"/>
    <w:rsid w:val="006409CF"/>
    <w:rsid w:val="006409DD"/>
    <w:rsid w:val="00640C89"/>
    <w:rsid w:val="00640CFB"/>
    <w:rsid w:val="00640E84"/>
    <w:rsid w:val="00641161"/>
    <w:rsid w:val="00641223"/>
    <w:rsid w:val="006412D1"/>
    <w:rsid w:val="0064134C"/>
    <w:rsid w:val="006413C3"/>
    <w:rsid w:val="00641462"/>
    <w:rsid w:val="006415EF"/>
    <w:rsid w:val="00641665"/>
    <w:rsid w:val="0064177E"/>
    <w:rsid w:val="006417F0"/>
    <w:rsid w:val="00641CA0"/>
    <w:rsid w:val="00641D30"/>
    <w:rsid w:val="00641E87"/>
    <w:rsid w:val="00642181"/>
    <w:rsid w:val="0064222D"/>
    <w:rsid w:val="006422AC"/>
    <w:rsid w:val="0064233C"/>
    <w:rsid w:val="00642373"/>
    <w:rsid w:val="0064248C"/>
    <w:rsid w:val="006424C1"/>
    <w:rsid w:val="00642561"/>
    <w:rsid w:val="0064266A"/>
    <w:rsid w:val="0064286B"/>
    <w:rsid w:val="006429A0"/>
    <w:rsid w:val="00642A49"/>
    <w:rsid w:val="00642DCC"/>
    <w:rsid w:val="00642F8E"/>
    <w:rsid w:val="006430B1"/>
    <w:rsid w:val="0064320A"/>
    <w:rsid w:val="006433E4"/>
    <w:rsid w:val="0064366A"/>
    <w:rsid w:val="0064373F"/>
    <w:rsid w:val="0064375A"/>
    <w:rsid w:val="00643BF2"/>
    <w:rsid w:val="00643C26"/>
    <w:rsid w:val="00643C77"/>
    <w:rsid w:val="00643DF9"/>
    <w:rsid w:val="00643F1A"/>
    <w:rsid w:val="00643F2C"/>
    <w:rsid w:val="006441A7"/>
    <w:rsid w:val="00644370"/>
    <w:rsid w:val="006443AB"/>
    <w:rsid w:val="0064440A"/>
    <w:rsid w:val="00644487"/>
    <w:rsid w:val="006444AA"/>
    <w:rsid w:val="00644501"/>
    <w:rsid w:val="00644523"/>
    <w:rsid w:val="00644535"/>
    <w:rsid w:val="006446A3"/>
    <w:rsid w:val="006446F3"/>
    <w:rsid w:val="00644726"/>
    <w:rsid w:val="006447EB"/>
    <w:rsid w:val="00644C59"/>
    <w:rsid w:val="00644E06"/>
    <w:rsid w:val="00645096"/>
    <w:rsid w:val="006451C0"/>
    <w:rsid w:val="0064525C"/>
    <w:rsid w:val="0064536B"/>
    <w:rsid w:val="006453BB"/>
    <w:rsid w:val="0064561D"/>
    <w:rsid w:val="0064567E"/>
    <w:rsid w:val="0064582F"/>
    <w:rsid w:val="006459AE"/>
    <w:rsid w:val="00645ABD"/>
    <w:rsid w:val="00645BBC"/>
    <w:rsid w:val="00645C92"/>
    <w:rsid w:val="00645D40"/>
    <w:rsid w:val="00645EA7"/>
    <w:rsid w:val="00645F36"/>
    <w:rsid w:val="00646016"/>
    <w:rsid w:val="006461DC"/>
    <w:rsid w:val="00646720"/>
    <w:rsid w:val="00646764"/>
    <w:rsid w:val="006467E0"/>
    <w:rsid w:val="006469BA"/>
    <w:rsid w:val="00646B2B"/>
    <w:rsid w:val="00646B60"/>
    <w:rsid w:val="00646CA1"/>
    <w:rsid w:val="00647047"/>
    <w:rsid w:val="00647081"/>
    <w:rsid w:val="006470B1"/>
    <w:rsid w:val="0064712E"/>
    <w:rsid w:val="00647162"/>
    <w:rsid w:val="006471A9"/>
    <w:rsid w:val="006471E8"/>
    <w:rsid w:val="00647272"/>
    <w:rsid w:val="00647372"/>
    <w:rsid w:val="0064788E"/>
    <w:rsid w:val="0064791E"/>
    <w:rsid w:val="00647B21"/>
    <w:rsid w:val="00647E37"/>
    <w:rsid w:val="00647EBD"/>
    <w:rsid w:val="00647EF8"/>
    <w:rsid w:val="0065005F"/>
    <w:rsid w:val="006500D8"/>
    <w:rsid w:val="006500E0"/>
    <w:rsid w:val="0065049C"/>
    <w:rsid w:val="006504A4"/>
    <w:rsid w:val="00650535"/>
    <w:rsid w:val="006507E1"/>
    <w:rsid w:val="00650801"/>
    <w:rsid w:val="0065080B"/>
    <w:rsid w:val="0065085B"/>
    <w:rsid w:val="00650B04"/>
    <w:rsid w:val="00650C11"/>
    <w:rsid w:val="00650D40"/>
    <w:rsid w:val="00650D57"/>
    <w:rsid w:val="00650E6A"/>
    <w:rsid w:val="00650F2A"/>
    <w:rsid w:val="0065104C"/>
    <w:rsid w:val="006513E2"/>
    <w:rsid w:val="0065162F"/>
    <w:rsid w:val="006516D2"/>
    <w:rsid w:val="00651742"/>
    <w:rsid w:val="00651783"/>
    <w:rsid w:val="00651927"/>
    <w:rsid w:val="00651954"/>
    <w:rsid w:val="00651964"/>
    <w:rsid w:val="00651AAD"/>
    <w:rsid w:val="00651C42"/>
    <w:rsid w:val="006520E6"/>
    <w:rsid w:val="0065222A"/>
    <w:rsid w:val="006522BE"/>
    <w:rsid w:val="006522E4"/>
    <w:rsid w:val="00652582"/>
    <w:rsid w:val="006525C1"/>
    <w:rsid w:val="0065263E"/>
    <w:rsid w:val="006526FC"/>
    <w:rsid w:val="006527C0"/>
    <w:rsid w:val="00652E09"/>
    <w:rsid w:val="00652ECF"/>
    <w:rsid w:val="00652EE5"/>
    <w:rsid w:val="00652FDE"/>
    <w:rsid w:val="0065301E"/>
    <w:rsid w:val="00653043"/>
    <w:rsid w:val="006533B8"/>
    <w:rsid w:val="00653505"/>
    <w:rsid w:val="006535D0"/>
    <w:rsid w:val="00653836"/>
    <w:rsid w:val="006539B9"/>
    <w:rsid w:val="00653A00"/>
    <w:rsid w:val="00653A1E"/>
    <w:rsid w:val="00653AF8"/>
    <w:rsid w:val="00653CF2"/>
    <w:rsid w:val="00653D59"/>
    <w:rsid w:val="00653DBA"/>
    <w:rsid w:val="00653DE8"/>
    <w:rsid w:val="00653FAA"/>
    <w:rsid w:val="00653FE6"/>
    <w:rsid w:val="006540AE"/>
    <w:rsid w:val="006540EB"/>
    <w:rsid w:val="006541E0"/>
    <w:rsid w:val="006541F6"/>
    <w:rsid w:val="0065442C"/>
    <w:rsid w:val="0065462B"/>
    <w:rsid w:val="006547CF"/>
    <w:rsid w:val="006547D8"/>
    <w:rsid w:val="0065493B"/>
    <w:rsid w:val="00654A61"/>
    <w:rsid w:val="00654B08"/>
    <w:rsid w:val="00654C19"/>
    <w:rsid w:val="00654DCF"/>
    <w:rsid w:val="00654E66"/>
    <w:rsid w:val="00655157"/>
    <w:rsid w:val="006551BE"/>
    <w:rsid w:val="0065531E"/>
    <w:rsid w:val="0065533E"/>
    <w:rsid w:val="00655351"/>
    <w:rsid w:val="0065535B"/>
    <w:rsid w:val="00655434"/>
    <w:rsid w:val="00655460"/>
    <w:rsid w:val="00655539"/>
    <w:rsid w:val="00655660"/>
    <w:rsid w:val="006556B7"/>
    <w:rsid w:val="0065570A"/>
    <w:rsid w:val="0065572D"/>
    <w:rsid w:val="00655948"/>
    <w:rsid w:val="006559F6"/>
    <w:rsid w:val="00655AB0"/>
    <w:rsid w:val="00655AD2"/>
    <w:rsid w:val="00655B4B"/>
    <w:rsid w:val="00655BA1"/>
    <w:rsid w:val="00655BC1"/>
    <w:rsid w:val="00655F7F"/>
    <w:rsid w:val="00656111"/>
    <w:rsid w:val="006561BC"/>
    <w:rsid w:val="00656296"/>
    <w:rsid w:val="00656670"/>
    <w:rsid w:val="0065675B"/>
    <w:rsid w:val="0065675F"/>
    <w:rsid w:val="0065680D"/>
    <w:rsid w:val="0065689D"/>
    <w:rsid w:val="00656AE5"/>
    <w:rsid w:val="00656B3E"/>
    <w:rsid w:val="00656BCD"/>
    <w:rsid w:val="00656C60"/>
    <w:rsid w:val="006570F8"/>
    <w:rsid w:val="00657126"/>
    <w:rsid w:val="00657183"/>
    <w:rsid w:val="00657711"/>
    <w:rsid w:val="0065782D"/>
    <w:rsid w:val="00657950"/>
    <w:rsid w:val="00657AAD"/>
    <w:rsid w:val="00657C5E"/>
    <w:rsid w:val="00657CE6"/>
    <w:rsid w:val="00657CEF"/>
    <w:rsid w:val="00657E50"/>
    <w:rsid w:val="00657F2D"/>
    <w:rsid w:val="00657FE8"/>
    <w:rsid w:val="006601C6"/>
    <w:rsid w:val="006602FC"/>
    <w:rsid w:val="0066033A"/>
    <w:rsid w:val="00660647"/>
    <w:rsid w:val="00660DD1"/>
    <w:rsid w:val="00660DD7"/>
    <w:rsid w:val="00660E28"/>
    <w:rsid w:val="00660F8F"/>
    <w:rsid w:val="00660FA9"/>
    <w:rsid w:val="0066106F"/>
    <w:rsid w:val="006610DA"/>
    <w:rsid w:val="00661183"/>
    <w:rsid w:val="0066121F"/>
    <w:rsid w:val="006612B1"/>
    <w:rsid w:val="00661334"/>
    <w:rsid w:val="0066139E"/>
    <w:rsid w:val="006613A6"/>
    <w:rsid w:val="006613DB"/>
    <w:rsid w:val="006614A8"/>
    <w:rsid w:val="006615D2"/>
    <w:rsid w:val="006616B9"/>
    <w:rsid w:val="006617F0"/>
    <w:rsid w:val="006618A5"/>
    <w:rsid w:val="006618C1"/>
    <w:rsid w:val="00661AA0"/>
    <w:rsid w:val="00661AAF"/>
    <w:rsid w:val="00661C14"/>
    <w:rsid w:val="00661D15"/>
    <w:rsid w:val="00661D2C"/>
    <w:rsid w:val="00661E0A"/>
    <w:rsid w:val="00661E11"/>
    <w:rsid w:val="00661F29"/>
    <w:rsid w:val="00661F65"/>
    <w:rsid w:val="006620D0"/>
    <w:rsid w:val="00662225"/>
    <w:rsid w:val="00662326"/>
    <w:rsid w:val="00662498"/>
    <w:rsid w:val="006624A3"/>
    <w:rsid w:val="006624BC"/>
    <w:rsid w:val="006624FD"/>
    <w:rsid w:val="00662779"/>
    <w:rsid w:val="006627C9"/>
    <w:rsid w:val="00662C4E"/>
    <w:rsid w:val="00662E85"/>
    <w:rsid w:val="00662EB5"/>
    <w:rsid w:val="00662ED1"/>
    <w:rsid w:val="006634AD"/>
    <w:rsid w:val="006634DA"/>
    <w:rsid w:val="00663625"/>
    <w:rsid w:val="00663723"/>
    <w:rsid w:val="006637FB"/>
    <w:rsid w:val="00663B34"/>
    <w:rsid w:val="00663D24"/>
    <w:rsid w:val="00663DE5"/>
    <w:rsid w:val="00664005"/>
    <w:rsid w:val="00664046"/>
    <w:rsid w:val="00664135"/>
    <w:rsid w:val="0066433E"/>
    <w:rsid w:val="00664440"/>
    <w:rsid w:val="0066454E"/>
    <w:rsid w:val="006645F0"/>
    <w:rsid w:val="00664622"/>
    <w:rsid w:val="00664719"/>
    <w:rsid w:val="006647F1"/>
    <w:rsid w:val="00664B7C"/>
    <w:rsid w:val="00664CEB"/>
    <w:rsid w:val="00664D39"/>
    <w:rsid w:val="00664D61"/>
    <w:rsid w:val="00664E5D"/>
    <w:rsid w:val="00664F45"/>
    <w:rsid w:val="00664F6F"/>
    <w:rsid w:val="00664FA3"/>
    <w:rsid w:val="00665085"/>
    <w:rsid w:val="006650D1"/>
    <w:rsid w:val="006652C1"/>
    <w:rsid w:val="00665353"/>
    <w:rsid w:val="006653A0"/>
    <w:rsid w:val="00665472"/>
    <w:rsid w:val="0066570F"/>
    <w:rsid w:val="00665900"/>
    <w:rsid w:val="00665AF4"/>
    <w:rsid w:val="00665BF6"/>
    <w:rsid w:val="00665C61"/>
    <w:rsid w:val="00665CAF"/>
    <w:rsid w:val="00665DB4"/>
    <w:rsid w:val="00665EA6"/>
    <w:rsid w:val="00665F18"/>
    <w:rsid w:val="00665F54"/>
    <w:rsid w:val="00665F55"/>
    <w:rsid w:val="00666079"/>
    <w:rsid w:val="006664C9"/>
    <w:rsid w:val="0066652E"/>
    <w:rsid w:val="0066669C"/>
    <w:rsid w:val="006667B4"/>
    <w:rsid w:val="00666A4D"/>
    <w:rsid w:val="00666AE3"/>
    <w:rsid w:val="00666BA5"/>
    <w:rsid w:val="00666BAA"/>
    <w:rsid w:val="00666DDB"/>
    <w:rsid w:val="00667138"/>
    <w:rsid w:val="0066729A"/>
    <w:rsid w:val="00667371"/>
    <w:rsid w:val="0066737A"/>
    <w:rsid w:val="00667504"/>
    <w:rsid w:val="0066753A"/>
    <w:rsid w:val="006675B1"/>
    <w:rsid w:val="00667909"/>
    <w:rsid w:val="006679AC"/>
    <w:rsid w:val="006679CA"/>
    <w:rsid w:val="00667B66"/>
    <w:rsid w:val="00667CE8"/>
    <w:rsid w:val="00667DE9"/>
    <w:rsid w:val="00667FBA"/>
    <w:rsid w:val="00670025"/>
    <w:rsid w:val="0067044F"/>
    <w:rsid w:val="0067058F"/>
    <w:rsid w:val="00670996"/>
    <w:rsid w:val="006709BD"/>
    <w:rsid w:val="00670AC9"/>
    <w:rsid w:val="00670ADE"/>
    <w:rsid w:val="00670DD7"/>
    <w:rsid w:val="00670F1E"/>
    <w:rsid w:val="00670FFD"/>
    <w:rsid w:val="0067131E"/>
    <w:rsid w:val="006713B9"/>
    <w:rsid w:val="006715EE"/>
    <w:rsid w:val="006717E0"/>
    <w:rsid w:val="0067192F"/>
    <w:rsid w:val="00671C56"/>
    <w:rsid w:val="0067210F"/>
    <w:rsid w:val="0067214E"/>
    <w:rsid w:val="00672198"/>
    <w:rsid w:val="006721FE"/>
    <w:rsid w:val="0067230B"/>
    <w:rsid w:val="0067253A"/>
    <w:rsid w:val="006725C6"/>
    <w:rsid w:val="00672813"/>
    <w:rsid w:val="006728A4"/>
    <w:rsid w:val="00672AED"/>
    <w:rsid w:val="00672B7D"/>
    <w:rsid w:val="00673047"/>
    <w:rsid w:val="00673117"/>
    <w:rsid w:val="00673186"/>
    <w:rsid w:val="0067362D"/>
    <w:rsid w:val="00673752"/>
    <w:rsid w:val="00673757"/>
    <w:rsid w:val="00673C07"/>
    <w:rsid w:val="00673D6E"/>
    <w:rsid w:val="006741B6"/>
    <w:rsid w:val="0067421D"/>
    <w:rsid w:val="00674935"/>
    <w:rsid w:val="0067498D"/>
    <w:rsid w:val="00674B1E"/>
    <w:rsid w:val="00674C11"/>
    <w:rsid w:val="00674DFF"/>
    <w:rsid w:val="00674E96"/>
    <w:rsid w:val="00675090"/>
    <w:rsid w:val="006752EB"/>
    <w:rsid w:val="006757F4"/>
    <w:rsid w:val="00675958"/>
    <w:rsid w:val="00675C63"/>
    <w:rsid w:val="00675CA4"/>
    <w:rsid w:val="00675D0B"/>
    <w:rsid w:val="00675EA8"/>
    <w:rsid w:val="00675F95"/>
    <w:rsid w:val="00676082"/>
    <w:rsid w:val="00676567"/>
    <w:rsid w:val="006765D4"/>
    <w:rsid w:val="006767E0"/>
    <w:rsid w:val="00676A27"/>
    <w:rsid w:val="00676BE3"/>
    <w:rsid w:val="00676DE5"/>
    <w:rsid w:val="00676F81"/>
    <w:rsid w:val="0067723E"/>
    <w:rsid w:val="006774FD"/>
    <w:rsid w:val="00677527"/>
    <w:rsid w:val="006775E4"/>
    <w:rsid w:val="0067766C"/>
    <w:rsid w:val="00677680"/>
    <w:rsid w:val="006777A8"/>
    <w:rsid w:val="006777E1"/>
    <w:rsid w:val="00677853"/>
    <w:rsid w:val="00677A2A"/>
    <w:rsid w:val="00677E47"/>
    <w:rsid w:val="00677F6B"/>
    <w:rsid w:val="006802B8"/>
    <w:rsid w:val="00680384"/>
    <w:rsid w:val="00680494"/>
    <w:rsid w:val="006804D9"/>
    <w:rsid w:val="006806D1"/>
    <w:rsid w:val="0068089E"/>
    <w:rsid w:val="00680C2B"/>
    <w:rsid w:val="00680D2F"/>
    <w:rsid w:val="00680DAF"/>
    <w:rsid w:val="00680DE3"/>
    <w:rsid w:val="00680EB6"/>
    <w:rsid w:val="006810A5"/>
    <w:rsid w:val="006810E7"/>
    <w:rsid w:val="00681366"/>
    <w:rsid w:val="00681394"/>
    <w:rsid w:val="00681485"/>
    <w:rsid w:val="00681611"/>
    <w:rsid w:val="0068163E"/>
    <w:rsid w:val="00681688"/>
    <w:rsid w:val="00681743"/>
    <w:rsid w:val="00681A4F"/>
    <w:rsid w:val="00681AF0"/>
    <w:rsid w:val="00681B50"/>
    <w:rsid w:val="00681BE2"/>
    <w:rsid w:val="00681BE5"/>
    <w:rsid w:val="00681C2B"/>
    <w:rsid w:val="00681C7B"/>
    <w:rsid w:val="006826C9"/>
    <w:rsid w:val="0068270A"/>
    <w:rsid w:val="006827B9"/>
    <w:rsid w:val="00682993"/>
    <w:rsid w:val="00682A85"/>
    <w:rsid w:val="00682BA5"/>
    <w:rsid w:val="00682C52"/>
    <w:rsid w:val="00682C8C"/>
    <w:rsid w:val="00683121"/>
    <w:rsid w:val="0068323C"/>
    <w:rsid w:val="006834DA"/>
    <w:rsid w:val="006836DA"/>
    <w:rsid w:val="0068387E"/>
    <w:rsid w:val="0068399D"/>
    <w:rsid w:val="00683A98"/>
    <w:rsid w:val="00683D49"/>
    <w:rsid w:val="00683ED5"/>
    <w:rsid w:val="00684099"/>
    <w:rsid w:val="006841A6"/>
    <w:rsid w:val="006841F1"/>
    <w:rsid w:val="006842C4"/>
    <w:rsid w:val="00684620"/>
    <w:rsid w:val="00684706"/>
    <w:rsid w:val="00684730"/>
    <w:rsid w:val="006847F7"/>
    <w:rsid w:val="006848FE"/>
    <w:rsid w:val="00684A5A"/>
    <w:rsid w:val="00684C0A"/>
    <w:rsid w:val="00684C6F"/>
    <w:rsid w:val="0068520D"/>
    <w:rsid w:val="006853F5"/>
    <w:rsid w:val="00685643"/>
    <w:rsid w:val="00685732"/>
    <w:rsid w:val="0068580F"/>
    <w:rsid w:val="006858B8"/>
    <w:rsid w:val="00685BF0"/>
    <w:rsid w:val="00685BF7"/>
    <w:rsid w:val="00685CC0"/>
    <w:rsid w:val="00685D46"/>
    <w:rsid w:val="00685DAF"/>
    <w:rsid w:val="006860A9"/>
    <w:rsid w:val="006862C5"/>
    <w:rsid w:val="00686350"/>
    <w:rsid w:val="0068640A"/>
    <w:rsid w:val="00686507"/>
    <w:rsid w:val="006865D9"/>
    <w:rsid w:val="006865EA"/>
    <w:rsid w:val="00686720"/>
    <w:rsid w:val="006868C2"/>
    <w:rsid w:val="00686970"/>
    <w:rsid w:val="00686B43"/>
    <w:rsid w:val="00686B4F"/>
    <w:rsid w:val="00686BC6"/>
    <w:rsid w:val="00686C4B"/>
    <w:rsid w:val="00686D91"/>
    <w:rsid w:val="00686DB2"/>
    <w:rsid w:val="00686E9D"/>
    <w:rsid w:val="00686F8B"/>
    <w:rsid w:val="006871D8"/>
    <w:rsid w:val="0068721B"/>
    <w:rsid w:val="00687239"/>
    <w:rsid w:val="00687351"/>
    <w:rsid w:val="006875AB"/>
    <w:rsid w:val="0068768F"/>
    <w:rsid w:val="00687A22"/>
    <w:rsid w:val="00687BA4"/>
    <w:rsid w:val="00687DAE"/>
    <w:rsid w:val="00687DD1"/>
    <w:rsid w:val="00687F9D"/>
    <w:rsid w:val="00690024"/>
    <w:rsid w:val="006900DA"/>
    <w:rsid w:val="0069016C"/>
    <w:rsid w:val="00690217"/>
    <w:rsid w:val="00690419"/>
    <w:rsid w:val="00690490"/>
    <w:rsid w:val="0069067F"/>
    <w:rsid w:val="006907DB"/>
    <w:rsid w:val="00690AEF"/>
    <w:rsid w:val="00690F01"/>
    <w:rsid w:val="0069108E"/>
    <w:rsid w:val="006913A7"/>
    <w:rsid w:val="006915EA"/>
    <w:rsid w:val="006915FE"/>
    <w:rsid w:val="00691689"/>
    <w:rsid w:val="006916EC"/>
    <w:rsid w:val="006917A3"/>
    <w:rsid w:val="00691A7A"/>
    <w:rsid w:val="00691B70"/>
    <w:rsid w:val="00691C18"/>
    <w:rsid w:val="00691E2E"/>
    <w:rsid w:val="00691F00"/>
    <w:rsid w:val="00692454"/>
    <w:rsid w:val="0069247F"/>
    <w:rsid w:val="0069253F"/>
    <w:rsid w:val="00692997"/>
    <w:rsid w:val="00692A21"/>
    <w:rsid w:val="00692A56"/>
    <w:rsid w:val="00692A89"/>
    <w:rsid w:val="00692ABE"/>
    <w:rsid w:val="00692AE7"/>
    <w:rsid w:val="00692AE8"/>
    <w:rsid w:val="00692BE4"/>
    <w:rsid w:val="00692C59"/>
    <w:rsid w:val="00692E3C"/>
    <w:rsid w:val="00692E57"/>
    <w:rsid w:val="00692E79"/>
    <w:rsid w:val="00692ED3"/>
    <w:rsid w:val="00692F3C"/>
    <w:rsid w:val="00693002"/>
    <w:rsid w:val="0069339A"/>
    <w:rsid w:val="0069356A"/>
    <w:rsid w:val="006936CC"/>
    <w:rsid w:val="00693835"/>
    <w:rsid w:val="006939EE"/>
    <w:rsid w:val="00693C22"/>
    <w:rsid w:val="00693CA0"/>
    <w:rsid w:val="00693E32"/>
    <w:rsid w:val="00693F95"/>
    <w:rsid w:val="00694306"/>
    <w:rsid w:val="006943E0"/>
    <w:rsid w:val="0069443A"/>
    <w:rsid w:val="006944BE"/>
    <w:rsid w:val="006944D0"/>
    <w:rsid w:val="0069457E"/>
    <w:rsid w:val="00694719"/>
    <w:rsid w:val="00694727"/>
    <w:rsid w:val="00694776"/>
    <w:rsid w:val="00694855"/>
    <w:rsid w:val="00694886"/>
    <w:rsid w:val="00694931"/>
    <w:rsid w:val="00694A5B"/>
    <w:rsid w:val="00694BA7"/>
    <w:rsid w:val="00694D27"/>
    <w:rsid w:val="00694DCA"/>
    <w:rsid w:val="00694EE2"/>
    <w:rsid w:val="00694FA3"/>
    <w:rsid w:val="00695292"/>
    <w:rsid w:val="0069549F"/>
    <w:rsid w:val="00695542"/>
    <w:rsid w:val="006956EF"/>
    <w:rsid w:val="006957BC"/>
    <w:rsid w:val="00695846"/>
    <w:rsid w:val="00695893"/>
    <w:rsid w:val="006958E1"/>
    <w:rsid w:val="006959C9"/>
    <w:rsid w:val="00695A5C"/>
    <w:rsid w:val="00695C77"/>
    <w:rsid w:val="00695D1C"/>
    <w:rsid w:val="006961D0"/>
    <w:rsid w:val="0069625A"/>
    <w:rsid w:val="006963E1"/>
    <w:rsid w:val="006964A2"/>
    <w:rsid w:val="00696598"/>
    <w:rsid w:val="006965CA"/>
    <w:rsid w:val="00696614"/>
    <w:rsid w:val="0069664C"/>
    <w:rsid w:val="006966EF"/>
    <w:rsid w:val="006969DF"/>
    <w:rsid w:val="00696B3E"/>
    <w:rsid w:val="00696B61"/>
    <w:rsid w:val="00696BCD"/>
    <w:rsid w:val="00696D12"/>
    <w:rsid w:val="00696D3D"/>
    <w:rsid w:val="00696E8A"/>
    <w:rsid w:val="00696ED3"/>
    <w:rsid w:val="00697384"/>
    <w:rsid w:val="006976F8"/>
    <w:rsid w:val="00697916"/>
    <w:rsid w:val="0069799F"/>
    <w:rsid w:val="00697A4F"/>
    <w:rsid w:val="00697BA1"/>
    <w:rsid w:val="00697D18"/>
    <w:rsid w:val="00697F9B"/>
    <w:rsid w:val="006A0054"/>
    <w:rsid w:val="006A0085"/>
    <w:rsid w:val="006A03A3"/>
    <w:rsid w:val="006A03C9"/>
    <w:rsid w:val="006A05E4"/>
    <w:rsid w:val="006A0627"/>
    <w:rsid w:val="006A0639"/>
    <w:rsid w:val="006A07A0"/>
    <w:rsid w:val="006A0C21"/>
    <w:rsid w:val="006A0CED"/>
    <w:rsid w:val="006A0E2A"/>
    <w:rsid w:val="006A0EA2"/>
    <w:rsid w:val="006A0EEA"/>
    <w:rsid w:val="006A0EFE"/>
    <w:rsid w:val="006A1217"/>
    <w:rsid w:val="006A1225"/>
    <w:rsid w:val="006A14A5"/>
    <w:rsid w:val="006A14B5"/>
    <w:rsid w:val="006A14FC"/>
    <w:rsid w:val="006A1511"/>
    <w:rsid w:val="006A16D9"/>
    <w:rsid w:val="006A1831"/>
    <w:rsid w:val="006A18DC"/>
    <w:rsid w:val="006A1A6C"/>
    <w:rsid w:val="006A1A71"/>
    <w:rsid w:val="006A1A8A"/>
    <w:rsid w:val="006A1B11"/>
    <w:rsid w:val="006A1DAC"/>
    <w:rsid w:val="006A1DBE"/>
    <w:rsid w:val="006A1E9A"/>
    <w:rsid w:val="006A1FB3"/>
    <w:rsid w:val="006A1FB6"/>
    <w:rsid w:val="006A216F"/>
    <w:rsid w:val="006A2312"/>
    <w:rsid w:val="006A231B"/>
    <w:rsid w:val="006A23C9"/>
    <w:rsid w:val="006A25BD"/>
    <w:rsid w:val="006A26E7"/>
    <w:rsid w:val="006A28C9"/>
    <w:rsid w:val="006A290B"/>
    <w:rsid w:val="006A29C2"/>
    <w:rsid w:val="006A2B69"/>
    <w:rsid w:val="006A2D0A"/>
    <w:rsid w:val="006A2F48"/>
    <w:rsid w:val="006A309A"/>
    <w:rsid w:val="006A3476"/>
    <w:rsid w:val="006A357B"/>
    <w:rsid w:val="006A3891"/>
    <w:rsid w:val="006A3980"/>
    <w:rsid w:val="006A3D2C"/>
    <w:rsid w:val="006A3E8E"/>
    <w:rsid w:val="006A3FDD"/>
    <w:rsid w:val="006A4025"/>
    <w:rsid w:val="006A4093"/>
    <w:rsid w:val="006A40D2"/>
    <w:rsid w:val="006A411A"/>
    <w:rsid w:val="006A420C"/>
    <w:rsid w:val="006A42A4"/>
    <w:rsid w:val="006A42C7"/>
    <w:rsid w:val="006A42F0"/>
    <w:rsid w:val="006A4339"/>
    <w:rsid w:val="006A43F4"/>
    <w:rsid w:val="006A4565"/>
    <w:rsid w:val="006A461D"/>
    <w:rsid w:val="006A46BA"/>
    <w:rsid w:val="006A481E"/>
    <w:rsid w:val="006A4A6B"/>
    <w:rsid w:val="006A4A6E"/>
    <w:rsid w:val="006A4A89"/>
    <w:rsid w:val="006A4B54"/>
    <w:rsid w:val="006A4D59"/>
    <w:rsid w:val="006A4DE8"/>
    <w:rsid w:val="006A512A"/>
    <w:rsid w:val="006A518F"/>
    <w:rsid w:val="006A527F"/>
    <w:rsid w:val="006A5540"/>
    <w:rsid w:val="006A565D"/>
    <w:rsid w:val="006A5718"/>
    <w:rsid w:val="006A5798"/>
    <w:rsid w:val="006A5876"/>
    <w:rsid w:val="006A595A"/>
    <w:rsid w:val="006A5B26"/>
    <w:rsid w:val="006A5BC3"/>
    <w:rsid w:val="006A5C0A"/>
    <w:rsid w:val="006A5CA2"/>
    <w:rsid w:val="006A5CDE"/>
    <w:rsid w:val="006A5D7E"/>
    <w:rsid w:val="006A5E30"/>
    <w:rsid w:val="006A5F32"/>
    <w:rsid w:val="006A6085"/>
    <w:rsid w:val="006A61A4"/>
    <w:rsid w:val="006A61BF"/>
    <w:rsid w:val="006A6279"/>
    <w:rsid w:val="006A62CB"/>
    <w:rsid w:val="006A639C"/>
    <w:rsid w:val="006A63B8"/>
    <w:rsid w:val="006A66E7"/>
    <w:rsid w:val="006A6713"/>
    <w:rsid w:val="006A678C"/>
    <w:rsid w:val="006A6A23"/>
    <w:rsid w:val="006A6A95"/>
    <w:rsid w:val="006A6AAC"/>
    <w:rsid w:val="006A6B40"/>
    <w:rsid w:val="006A6B83"/>
    <w:rsid w:val="006A6D8E"/>
    <w:rsid w:val="006A715D"/>
    <w:rsid w:val="006A7228"/>
    <w:rsid w:val="006A725A"/>
    <w:rsid w:val="006A72E6"/>
    <w:rsid w:val="006A74F8"/>
    <w:rsid w:val="006A7520"/>
    <w:rsid w:val="006A7567"/>
    <w:rsid w:val="006A7620"/>
    <w:rsid w:val="006A790D"/>
    <w:rsid w:val="006A794B"/>
    <w:rsid w:val="006A7999"/>
    <w:rsid w:val="006A7A02"/>
    <w:rsid w:val="006A7A2C"/>
    <w:rsid w:val="006A7A33"/>
    <w:rsid w:val="006A7B76"/>
    <w:rsid w:val="006A7C80"/>
    <w:rsid w:val="006A7C86"/>
    <w:rsid w:val="006A7F03"/>
    <w:rsid w:val="006B007A"/>
    <w:rsid w:val="006B008F"/>
    <w:rsid w:val="006B0135"/>
    <w:rsid w:val="006B0226"/>
    <w:rsid w:val="006B033B"/>
    <w:rsid w:val="006B0429"/>
    <w:rsid w:val="006B0470"/>
    <w:rsid w:val="006B0655"/>
    <w:rsid w:val="006B0930"/>
    <w:rsid w:val="006B0940"/>
    <w:rsid w:val="006B09D9"/>
    <w:rsid w:val="006B0A64"/>
    <w:rsid w:val="006B0BCB"/>
    <w:rsid w:val="006B0C08"/>
    <w:rsid w:val="006B0C26"/>
    <w:rsid w:val="006B0C90"/>
    <w:rsid w:val="006B0F94"/>
    <w:rsid w:val="006B1047"/>
    <w:rsid w:val="006B10DD"/>
    <w:rsid w:val="006B1275"/>
    <w:rsid w:val="006B1377"/>
    <w:rsid w:val="006B13AE"/>
    <w:rsid w:val="006B16BA"/>
    <w:rsid w:val="006B17A8"/>
    <w:rsid w:val="006B1832"/>
    <w:rsid w:val="006B1A56"/>
    <w:rsid w:val="006B1B02"/>
    <w:rsid w:val="006B1B2A"/>
    <w:rsid w:val="006B1C28"/>
    <w:rsid w:val="006B1EA5"/>
    <w:rsid w:val="006B1F2E"/>
    <w:rsid w:val="006B1F61"/>
    <w:rsid w:val="006B2190"/>
    <w:rsid w:val="006B23A9"/>
    <w:rsid w:val="006B25C3"/>
    <w:rsid w:val="006B263E"/>
    <w:rsid w:val="006B2689"/>
    <w:rsid w:val="006B26A6"/>
    <w:rsid w:val="006B27BC"/>
    <w:rsid w:val="006B2C5A"/>
    <w:rsid w:val="006B2C95"/>
    <w:rsid w:val="006B2CF6"/>
    <w:rsid w:val="006B2DB9"/>
    <w:rsid w:val="006B2F6D"/>
    <w:rsid w:val="006B3025"/>
    <w:rsid w:val="006B3353"/>
    <w:rsid w:val="006B33DA"/>
    <w:rsid w:val="006B34DE"/>
    <w:rsid w:val="006B36E3"/>
    <w:rsid w:val="006B379E"/>
    <w:rsid w:val="006B386A"/>
    <w:rsid w:val="006B3B37"/>
    <w:rsid w:val="006B3B44"/>
    <w:rsid w:val="006B3C44"/>
    <w:rsid w:val="006B3D68"/>
    <w:rsid w:val="006B3EF9"/>
    <w:rsid w:val="006B3F19"/>
    <w:rsid w:val="006B4163"/>
    <w:rsid w:val="006B43AF"/>
    <w:rsid w:val="006B448E"/>
    <w:rsid w:val="006B4570"/>
    <w:rsid w:val="006B485A"/>
    <w:rsid w:val="006B4BB9"/>
    <w:rsid w:val="006B4C7C"/>
    <w:rsid w:val="006B4CA8"/>
    <w:rsid w:val="006B4CC0"/>
    <w:rsid w:val="006B4DD0"/>
    <w:rsid w:val="006B4FF4"/>
    <w:rsid w:val="006B5141"/>
    <w:rsid w:val="006B51CB"/>
    <w:rsid w:val="006B5225"/>
    <w:rsid w:val="006B52E9"/>
    <w:rsid w:val="006B53C9"/>
    <w:rsid w:val="006B55D5"/>
    <w:rsid w:val="006B5BDA"/>
    <w:rsid w:val="006B5CF2"/>
    <w:rsid w:val="006B5D34"/>
    <w:rsid w:val="006B600C"/>
    <w:rsid w:val="006B61B6"/>
    <w:rsid w:val="006B635C"/>
    <w:rsid w:val="006B66CA"/>
    <w:rsid w:val="006B675F"/>
    <w:rsid w:val="006B6805"/>
    <w:rsid w:val="006B685C"/>
    <w:rsid w:val="006B68C7"/>
    <w:rsid w:val="006B6ACC"/>
    <w:rsid w:val="006B6B97"/>
    <w:rsid w:val="006B6C68"/>
    <w:rsid w:val="006B6C8B"/>
    <w:rsid w:val="006B6CD0"/>
    <w:rsid w:val="006B6D7F"/>
    <w:rsid w:val="006B6E4C"/>
    <w:rsid w:val="006B72B8"/>
    <w:rsid w:val="006B72CE"/>
    <w:rsid w:val="006B7392"/>
    <w:rsid w:val="006B73BF"/>
    <w:rsid w:val="006B73EE"/>
    <w:rsid w:val="006B75D6"/>
    <w:rsid w:val="006B79F2"/>
    <w:rsid w:val="006B7A0C"/>
    <w:rsid w:val="006B7A6F"/>
    <w:rsid w:val="006B7BA8"/>
    <w:rsid w:val="006B7C54"/>
    <w:rsid w:val="006B7F20"/>
    <w:rsid w:val="006C007B"/>
    <w:rsid w:val="006C02E7"/>
    <w:rsid w:val="006C03C7"/>
    <w:rsid w:val="006C04BB"/>
    <w:rsid w:val="006C055A"/>
    <w:rsid w:val="006C05DB"/>
    <w:rsid w:val="006C07A2"/>
    <w:rsid w:val="006C07C3"/>
    <w:rsid w:val="006C0C2F"/>
    <w:rsid w:val="006C0ECD"/>
    <w:rsid w:val="006C0F43"/>
    <w:rsid w:val="006C11A0"/>
    <w:rsid w:val="006C11A6"/>
    <w:rsid w:val="006C1438"/>
    <w:rsid w:val="006C1583"/>
    <w:rsid w:val="006C1735"/>
    <w:rsid w:val="006C179A"/>
    <w:rsid w:val="006C1ACC"/>
    <w:rsid w:val="006C2007"/>
    <w:rsid w:val="006C20AC"/>
    <w:rsid w:val="006C2427"/>
    <w:rsid w:val="006C2434"/>
    <w:rsid w:val="006C255B"/>
    <w:rsid w:val="006C26CE"/>
    <w:rsid w:val="006C2796"/>
    <w:rsid w:val="006C29E2"/>
    <w:rsid w:val="006C2A79"/>
    <w:rsid w:val="006C2E14"/>
    <w:rsid w:val="006C2F48"/>
    <w:rsid w:val="006C2F81"/>
    <w:rsid w:val="006C3370"/>
    <w:rsid w:val="006C34B3"/>
    <w:rsid w:val="006C357A"/>
    <w:rsid w:val="006C35D9"/>
    <w:rsid w:val="006C3620"/>
    <w:rsid w:val="006C36AC"/>
    <w:rsid w:val="006C3715"/>
    <w:rsid w:val="006C373C"/>
    <w:rsid w:val="006C3921"/>
    <w:rsid w:val="006C3AAF"/>
    <w:rsid w:val="006C3AC8"/>
    <w:rsid w:val="006C3D07"/>
    <w:rsid w:val="006C3EF4"/>
    <w:rsid w:val="006C40F8"/>
    <w:rsid w:val="006C41A7"/>
    <w:rsid w:val="006C425C"/>
    <w:rsid w:val="006C44BF"/>
    <w:rsid w:val="006C4515"/>
    <w:rsid w:val="006C45EA"/>
    <w:rsid w:val="006C4780"/>
    <w:rsid w:val="006C4878"/>
    <w:rsid w:val="006C4B14"/>
    <w:rsid w:val="006C4B94"/>
    <w:rsid w:val="006C4BA0"/>
    <w:rsid w:val="006C4BE6"/>
    <w:rsid w:val="006C4E06"/>
    <w:rsid w:val="006C4F16"/>
    <w:rsid w:val="006C4FC1"/>
    <w:rsid w:val="006C4FD9"/>
    <w:rsid w:val="006C509F"/>
    <w:rsid w:val="006C510D"/>
    <w:rsid w:val="006C5190"/>
    <w:rsid w:val="006C5198"/>
    <w:rsid w:val="006C5200"/>
    <w:rsid w:val="006C5274"/>
    <w:rsid w:val="006C52C8"/>
    <w:rsid w:val="006C5611"/>
    <w:rsid w:val="006C5BDB"/>
    <w:rsid w:val="006C5E14"/>
    <w:rsid w:val="006C6053"/>
    <w:rsid w:val="006C60FD"/>
    <w:rsid w:val="006C6278"/>
    <w:rsid w:val="006C6341"/>
    <w:rsid w:val="006C6500"/>
    <w:rsid w:val="006C661E"/>
    <w:rsid w:val="006C6675"/>
    <w:rsid w:val="006C67CD"/>
    <w:rsid w:val="006C681F"/>
    <w:rsid w:val="006C6B66"/>
    <w:rsid w:val="006C6BC7"/>
    <w:rsid w:val="006C6C0F"/>
    <w:rsid w:val="006C6C37"/>
    <w:rsid w:val="006C6D9C"/>
    <w:rsid w:val="006C6FE7"/>
    <w:rsid w:val="006C7476"/>
    <w:rsid w:val="006C758E"/>
    <w:rsid w:val="006C761C"/>
    <w:rsid w:val="006C76B4"/>
    <w:rsid w:val="006C76FD"/>
    <w:rsid w:val="006C774E"/>
    <w:rsid w:val="006C7820"/>
    <w:rsid w:val="006C786D"/>
    <w:rsid w:val="006C799B"/>
    <w:rsid w:val="006C7C13"/>
    <w:rsid w:val="006C7D15"/>
    <w:rsid w:val="006C7F35"/>
    <w:rsid w:val="006C7F6D"/>
    <w:rsid w:val="006C7FEE"/>
    <w:rsid w:val="006D0199"/>
    <w:rsid w:val="006D01AE"/>
    <w:rsid w:val="006D02C4"/>
    <w:rsid w:val="006D05DF"/>
    <w:rsid w:val="006D071A"/>
    <w:rsid w:val="006D0986"/>
    <w:rsid w:val="006D0A39"/>
    <w:rsid w:val="006D0AAE"/>
    <w:rsid w:val="006D0B1F"/>
    <w:rsid w:val="006D0D29"/>
    <w:rsid w:val="006D0EBD"/>
    <w:rsid w:val="006D0F7D"/>
    <w:rsid w:val="006D0FDD"/>
    <w:rsid w:val="006D0FDF"/>
    <w:rsid w:val="006D1073"/>
    <w:rsid w:val="006D10C1"/>
    <w:rsid w:val="006D11DB"/>
    <w:rsid w:val="006D125F"/>
    <w:rsid w:val="006D1264"/>
    <w:rsid w:val="006D143C"/>
    <w:rsid w:val="006D1465"/>
    <w:rsid w:val="006D14BB"/>
    <w:rsid w:val="006D152C"/>
    <w:rsid w:val="006D1674"/>
    <w:rsid w:val="006D1895"/>
    <w:rsid w:val="006D1A31"/>
    <w:rsid w:val="006D1D4C"/>
    <w:rsid w:val="006D1DF6"/>
    <w:rsid w:val="006D1E8D"/>
    <w:rsid w:val="006D1EFC"/>
    <w:rsid w:val="006D20D3"/>
    <w:rsid w:val="006D218A"/>
    <w:rsid w:val="006D2375"/>
    <w:rsid w:val="006D241A"/>
    <w:rsid w:val="006D2592"/>
    <w:rsid w:val="006D2640"/>
    <w:rsid w:val="006D287C"/>
    <w:rsid w:val="006D28E9"/>
    <w:rsid w:val="006D28FE"/>
    <w:rsid w:val="006D2B66"/>
    <w:rsid w:val="006D3042"/>
    <w:rsid w:val="006D3160"/>
    <w:rsid w:val="006D3377"/>
    <w:rsid w:val="006D3449"/>
    <w:rsid w:val="006D3773"/>
    <w:rsid w:val="006D3869"/>
    <w:rsid w:val="006D38AF"/>
    <w:rsid w:val="006D3A39"/>
    <w:rsid w:val="006D3B77"/>
    <w:rsid w:val="006D3CA1"/>
    <w:rsid w:val="006D40C6"/>
    <w:rsid w:val="006D41AB"/>
    <w:rsid w:val="006D423F"/>
    <w:rsid w:val="006D4286"/>
    <w:rsid w:val="006D4341"/>
    <w:rsid w:val="006D442E"/>
    <w:rsid w:val="006D45B0"/>
    <w:rsid w:val="006D45E7"/>
    <w:rsid w:val="006D48E6"/>
    <w:rsid w:val="006D48F2"/>
    <w:rsid w:val="006D4901"/>
    <w:rsid w:val="006D4A89"/>
    <w:rsid w:val="006D4A9D"/>
    <w:rsid w:val="006D4B62"/>
    <w:rsid w:val="006D4E9D"/>
    <w:rsid w:val="006D4EBF"/>
    <w:rsid w:val="006D4EF0"/>
    <w:rsid w:val="006D4FE9"/>
    <w:rsid w:val="006D5161"/>
    <w:rsid w:val="006D517B"/>
    <w:rsid w:val="006D51C4"/>
    <w:rsid w:val="006D5554"/>
    <w:rsid w:val="006D576A"/>
    <w:rsid w:val="006D578B"/>
    <w:rsid w:val="006D579B"/>
    <w:rsid w:val="006D58D6"/>
    <w:rsid w:val="006D59D1"/>
    <w:rsid w:val="006D59F3"/>
    <w:rsid w:val="006D5AC3"/>
    <w:rsid w:val="006D5C0B"/>
    <w:rsid w:val="006D5C84"/>
    <w:rsid w:val="006D5D12"/>
    <w:rsid w:val="006D5E62"/>
    <w:rsid w:val="006D5F32"/>
    <w:rsid w:val="006D6236"/>
    <w:rsid w:val="006D6285"/>
    <w:rsid w:val="006D62A0"/>
    <w:rsid w:val="006D641E"/>
    <w:rsid w:val="006D64AC"/>
    <w:rsid w:val="006D6615"/>
    <w:rsid w:val="006D6858"/>
    <w:rsid w:val="006D686F"/>
    <w:rsid w:val="006D6ADD"/>
    <w:rsid w:val="006D6AE2"/>
    <w:rsid w:val="006D6B39"/>
    <w:rsid w:val="006D6DCF"/>
    <w:rsid w:val="006D6E58"/>
    <w:rsid w:val="006D6F47"/>
    <w:rsid w:val="006D709B"/>
    <w:rsid w:val="006D71A5"/>
    <w:rsid w:val="006D7316"/>
    <w:rsid w:val="006D752C"/>
    <w:rsid w:val="006D7575"/>
    <w:rsid w:val="006D7590"/>
    <w:rsid w:val="006D76CC"/>
    <w:rsid w:val="006D79DA"/>
    <w:rsid w:val="006D7F00"/>
    <w:rsid w:val="006D7F6F"/>
    <w:rsid w:val="006E0003"/>
    <w:rsid w:val="006E0188"/>
    <w:rsid w:val="006E0252"/>
    <w:rsid w:val="006E040C"/>
    <w:rsid w:val="006E04C6"/>
    <w:rsid w:val="006E04D9"/>
    <w:rsid w:val="006E0627"/>
    <w:rsid w:val="006E0831"/>
    <w:rsid w:val="006E0936"/>
    <w:rsid w:val="006E098E"/>
    <w:rsid w:val="006E0A0B"/>
    <w:rsid w:val="006E0A8C"/>
    <w:rsid w:val="006E0F6E"/>
    <w:rsid w:val="006E0F94"/>
    <w:rsid w:val="006E1004"/>
    <w:rsid w:val="006E1145"/>
    <w:rsid w:val="006E124E"/>
    <w:rsid w:val="006E1505"/>
    <w:rsid w:val="006E1527"/>
    <w:rsid w:val="006E15F4"/>
    <w:rsid w:val="006E161E"/>
    <w:rsid w:val="006E16B1"/>
    <w:rsid w:val="006E184E"/>
    <w:rsid w:val="006E189C"/>
    <w:rsid w:val="006E18B8"/>
    <w:rsid w:val="006E1AF5"/>
    <w:rsid w:val="006E1D07"/>
    <w:rsid w:val="006E1EB8"/>
    <w:rsid w:val="006E2076"/>
    <w:rsid w:val="006E21AB"/>
    <w:rsid w:val="006E21F4"/>
    <w:rsid w:val="006E2230"/>
    <w:rsid w:val="006E2264"/>
    <w:rsid w:val="006E2522"/>
    <w:rsid w:val="006E26D3"/>
    <w:rsid w:val="006E26DA"/>
    <w:rsid w:val="006E26FE"/>
    <w:rsid w:val="006E2753"/>
    <w:rsid w:val="006E2B30"/>
    <w:rsid w:val="006E2C42"/>
    <w:rsid w:val="006E2C7D"/>
    <w:rsid w:val="006E2DDC"/>
    <w:rsid w:val="006E2EBC"/>
    <w:rsid w:val="006E2FD3"/>
    <w:rsid w:val="006E30A2"/>
    <w:rsid w:val="006E3211"/>
    <w:rsid w:val="006E346E"/>
    <w:rsid w:val="006E3904"/>
    <w:rsid w:val="006E3926"/>
    <w:rsid w:val="006E399E"/>
    <w:rsid w:val="006E39C7"/>
    <w:rsid w:val="006E3ADE"/>
    <w:rsid w:val="006E3B80"/>
    <w:rsid w:val="006E3CF1"/>
    <w:rsid w:val="006E3E2A"/>
    <w:rsid w:val="006E4189"/>
    <w:rsid w:val="006E41D2"/>
    <w:rsid w:val="006E42AC"/>
    <w:rsid w:val="006E42BB"/>
    <w:rsid w:val="006E4363"/>
    <w:rsid w:val="006E444D"/>
    <w:rsid w:val="006E45DA"/>
    <w:rsid w:val="006E46AC"/>
    <w:rsid w:val="006E489B"/>
    <w:rsid w:val="006E48E5"/>
    <w:rsid w:val="006E48F3"/>
    <w:rsid w:val="006E4924"/>
    <w:rsid w:val="006E49BE"/>
    <w:rsid w:val="006E4B0C"/>
    <w:rsid w:val="006E5497"/>
    <w:rsid w:val="006E54BD"/>
    <w:rsid w:val="006E54EE"/>
    <w:rsid w:val="006E5554"/>
    <w:rsid w:val="006E5756"/>
    <w:rsid w:val="006E57F8"/>
    <w:rsid w:val="006E5918"/>
    <w:rsid w:val="006E5985"/>
    <w:rsid w:val="006E5B01"/>
    <w:rsid w:val="006E5BA5"/>
    <w:rsid w:val="006E5C91"/>
    <w:rsid w:val="006E5E47"/>
    <w:rsid w:val="006E5E7B"/>
    <w:rsid w:val="006E6366"/>
    <w:rsid w:val="006E6398"/>
    <w:rsid w:val="006E679A"/>
    <w:rsid w:val="006E67E1"/>
    <w:rsid w:val="006E6A88"/>
    <w:rsid w:val="006E6B96"/>
    <w:rsid w:val="006E6EA2"/>
    <w:rsid w:val="006E6EAC"/>
    <w:rsid w:val="006E6EE2"/>
    <w:rsid w:val="006E6FD2"/>
    <w:rsid w:val="006E70FC"/>
    <w:rsid w:val="006E7323"/>
    <w:rsid w:val="006E76C6"/>
    <w:rsid w:val="006E7734"/>
    <w:rsid w:val="006E7842"/>
    <w:rsid w:val="006E7958"/>
    <w:rsid w:val="006E7C04"/>
    <w:rsid w:val="006E7D63"/>
    <w:rsid w:val="006E7F61"/>
    <w:rsid w:val="006F0100"/>
    <w:rsid w:val="006F0359"/>
    <w:rsid w:val="006F048C"/>
    <w:rsid w:val="006F0568"/>
    <w:rsid w:val="006F0651"/>
    <w:rsid w:val="006F07DB"/>
    <w:rsid w:val="006F0801"/>
    <w:rsid w:val="006F0802"/>
    <w:rsid w:val="006F0806"/>
    <w:rsid w:val="006F0A1C"/>
    <w:rsid w:val="006F0B85"/>
    <w:rsid w:val="006F0BFB"/>
    <w:rsid w:val="006F0C7C"/>
    <w:rsid w:val="006F0C8C"/>
    <w:rsid w:val="006F0CFC"/>
    <w:rsid w:val="006F0F30"/>
    <w:rsid w:val="006F0FC5"/>
    <w:rsid w:val="006F115F"/>
    <w:rsid w:val="006F14BE"/>
    <w:rsid w:val="006F1683"/>
    <w:rsid w:val="006F1A28"/>
    <w:rsid w:val="006F1B34"/>
    <w:rsid w:val="006F1CC1"/>
    <w:rsid w:val="006F1E6C"/>
    <w:rsid w:val="006F1E95"/>
    <w:rsid w:val="006F1EE9"/>
    <w:rsid w:val="006F2041"/>
    <w:rsid w:val="006F21C5"/>
    <w:rsid w:val="006F21EC"/>
    <w:rsid w:val="006F2246"/>
    <w:rsid w:val="006F2298"/>
    <w:rsid w:val="006F22B5"/>
    <w:rsid w:val="006F2305"/>
    <w:rsid w:val="006F2698"/>
    <w:rsid w:val="006F27E8"/>
    <w:rsid w:val="006F28AB"/>
    <w:rsid w:val="006F2918"/>
    <w:rsid w:val="006F294F"/>
    <w:rsid w:val="006F2A0F"/>
    <w:rsid w:val="006F2C77"/>
    <w:rsid w:val="006F2D84"/>
    <w:rsid w:val="006F2E77"/>
    <w:rsid w:val="006F3071"/>
    <w:rsid w:val="006F307C"/>
    <w:rsid w:val="006F33C3"/>
    <w:rsid w:val="006F3411"/>
    <w:rsid w:val="006F3499"/>
    <w:rsid w:val="006F3736"/>
    <w:rsid w:val="006F37B8"/>
    <w:rsid w:val="006F37CA"/>
    <w:rsid w:val="006F37DB"/>
    <w:rsid w:val="006F3801"/>
    <w:rsid w:val="006F38F1"/>
    <w:rsid w:val="006F3A10"/>
    <w:rsid w:val="006F3A1C"/>
    <w:rsid w:val="006F3AD1"/>
    <w:rsid w:val="006F3B69"/>
    <w:rsid w:val="006F3BB3"/>
    <w:rsid w:val="006F3CC4"/>
    <w:rsid w:val="006F3D4D"/>
    <w:rsid w:val="006F3DE6"/>
    <w:rsid w:val="006F4169"/>
    <w:rsid w:val="006F42D1"/>
    <w:rsid w:val="006F4378"/>
    <w:rsid w:val="006F447D"/>
    <w:rsid w:val="006F44A8"/>
    <w:rsid w:val="006F45F4"/>
    <w:rsid w:val="006F49DE"/>
    <w:rsid w:val="006F4BFA"/>
    <w:rsid w:val="006F4DA3"/>
    <w:rsid w:val="006F4FB4"/>
    <w:rsid w:val="006F5207"/>
    <w:rsid w:val="006F525C"/>
    <w:rsid w:val="006F5304"/>
    <w:rsid w:val="006F53E9"/>
    <w:rsid w:val="006F5476"/>
    <w:rsid w:val="006F5539"/>
    <w:rsid w:val="006F588A"/>
    <w:rsid w:val="006F5BF4"/>
    <w:rsid w:val="006F5D5F"/>
    <w:rsid w:val="006F5DF7"/>
    <w:rsid w:val="006F5F33"/>
    <w:rsid w:val="006F5F84"/>
    <w:rsid w:val="006F6161"/>
    <w:rsid w:val="006F61E0"/>
    <w:rsid w:val="006F6551"/>
    <w:rsid w:val="006F6574"/>
    <w:rsid w:val="006F65BB"/>
    <w:rsid w:val="006F67F5"/>
    <w:rsid w:val="006F6900"/>
    <w:rsid w:val="006F697E"/>
    <w:rsid w:val="006F6BD8"/>
    <w:rsid w:val="006F6C17"/>
    <w:rsid w:val="006F6D25"/>
    <w:rsid w:val="006F6DBA"/>
    <w:rsid w:val="006F6E1E"/>
    <w:rsid w:val="006F6E76"/>
    <w:rsid w:val="006F6EA2"/>
    <w:rsid w:val="006F6FB2"/>
    <w:rsid w:val="006F706E"/>
    <w:rsid w:val="006F70D0"/>
    <w:rsid w:val="006F7281"/>
    <w:rsid w:val="006F72A6"/>
    <w:rsid w:val="006F72A7"/>
    <w:rsid w:val="006F72AA"/>
    <w:rsid w:val="006F72C5"/>
    <w:rsid w:val="006F7403"/>
    <w:rsid w:val="006F7731"/>
    <w:rsid w:val="006F7797"/>
    <w:rsid w:val="006F790A"/>
    <w:rsid w:val="006F79CF"/>
    <w:rsid w:val="006F7A67"/>
    <w:rsid w:val="006F7A75"/>
    <w:rsid w:val="006F7B17"/>
    <w:rsid w:val="006F7B26"/>
    <w:rsid w:val="006F7CDC"/>
    <w:rsid w:val="006F7E9D"/>
    <w:rsid w:val="006F7F2D"/>
    <w:rsid w:val="006F7F9F"/>
    <w:rsid w:val="00700459"/>
    <w:rsid w:val="00700464"/>
    <w:rsid w:val="00700699"/>
    <w:rsid w:val="007006D1"/>
    <w:rsid w:val="007007C8"/>
    <w:rsid w:val="007007CD"/>
    <w:rsid w:val="007007F2"/>
    <w:rsid w:val="007008FE"/>
    <w:rsid w:val="007009C0"/>
    <w:rsid w:val="00700BD7"/>
    <w:rsid w:val="00700CC0"/>
    <w:rsid w:val="00700D8A"/>
    <w:rsid w:val="00700DDB"/>
    <w:rsid w:val="00700FCE"/>
    <w:rsid w:val="0070103A"/>
    <w:rsid w:val="00701095"/>
    <w:rsid w:val="007010D7"/>
    <w:rsid w:val="007014CE"/>
    <w:rsid w:val="0070150F"/>
    <w:rsid w:val="00701682"/>
    <w:rsid w:val="007016A3"/>
    <w:rsid w:val="007017C2"/>
    <w:rsid w:val="007018C8"/>
    <w:rsid w:val="00701A3A"/>
    <w:rsid w:val="00701ADB"/>
    <w:rsid w:val="00701B3E"/>
    <w:rsid w:val="00701BD0"/>
    <w:rsid w:val="00701C20"/>
    <w:rsid w:val="00701D42"/>
    <w:rsid w:val="00702401"/>
    <w:rsid w:val="00702423"/>
    <w:rsid w:val="007026BA"/>
    <w:rsid w:val="00702795"/>
    <w:rsid w:val="0070287E"/>
    <w:rsid w:val="0070289F"/>
    <w:rsid w:val="007029FD"/>
    <w:rsid w:val="00702A0E"/>
    <w:rsid w:val="00702A26"/>
    <w:rsid w:val="00702AAA"/>
    <w:rsid w:val="00702B22"/>
    <w:rsid w:val="00702D79"/>
    <w:rsid w:val="00702F62"/>
    <w:rsid w:val="0070348D"/>
    <w:rsid w:val="007035BC"/>
    <w:rsid w:val="007038C0"/>
    <w:rsid w:val="007039B5"/>
    <w:rsid w:val="007039EB"/>
    <w:rsid w:val="00703F16"/>
    <w:rsid w:val="00703FC7"/>
    <w:rsid w:val="0070411C"/>
    <w:rsid w:val="0070418F"/>
    <w:rsid w:val="0070433B"/>
    <w:rsid w:val="007044E4"/>
    <w:rsid w:val="00704605"/>
    <w:rsid w:val="00704717"/>
    <w:rsid w:val="007047B5"/>
    <w:rsid w:val="00704BA7"/>
    <w:rsid w:val="00704C93"/>
    <w:rsid w:val="00704FAD"/>
    <w:rsid w:val="0070515A"/>
    <w:rsid w:val="00705160"/>
    <w:rsid w:val="00705233"/>
    <w:rsid w:val="007052A6"/>
    <w:rsid w:val="0070556F"/>
    <w:rsid w:val="007056FE"/>
    <w:rsid w:val="00705BB6"/>
    <w:rsid w:val="00705C8F"/>
    <w:rsid w:val="00705FEF"/>
    <w:rsid w:val="0070621D"/>
    <w:rsid w:val="00706382"/>
    <w:rsid w:val="00706459"/>
    <w:rsid w:val="007065A8"/>
    <w:rsid w:val="00706628"/>
    <w:rsid w:val="007067BE"/>
    <w:rsid w:val="00706921"/>
    <w:rsid w:val="00706981"/>
    <w:rsid w:val="007069D1"/>
    <w:rsid w:val="00706AC4"/>
    <w:rsid w:val="00706AE0"/>
    <w:rsid w:val="00706B5F"/>
    <w:rsid w:val="00706C38"/>
    <w:rsid w:val="00706CCA"/>
    <w:rsid w:val="00706D44"/>
    <w:rsid w:val="00706DA6"/>
    <w:rsid w:val="00706EAF"/>
    <w:rsid w:val="00707027"/>
    <w:rsid w:val="0070707B"/>
    <w:rsid w:val="007074B0"/>
    <w:rsid w:val="007074B1"/>
    <w:rsid w:val="0070775B"/>
    <w:rsid w:val="007078E8"/>
    <w:rsid w:val="00707A4E"/>
    <w:rsid w:val="00707E0F"/>
    <w:rsid w:val="00707E24"/>
    <w:rsid w:val="00710029"/>
    <w:rsid w:val="007104D2"/>
    <w:rsid w:val="00710542"/>
    <w:rsid w:val="007106C1"/>
    <w:rsid w:val="00710A35"/>
    <w:rsid w:val="00710A3F"/>
    <w:rsid w:val="00710D8B"/>
    <w:rsid w:val="00710F2E"/>
    <w:rsid w:val="00710F41"/>
    <w:rsid w:val="00710FDA"/>
    <w:rsid w:val="007111FD"/>
    <w:rsid w:val="007113C0"/>
    <w:rsid w:val="0071149E"/>
    <w:rsid w:val="0071150E"/>
    <w:rsid w:val="007116B1"/>
    <w:rsid w:val="007119A8"/>
    <w:rsid w:val="007119F7"/>
    <w:rsid w:val="00711A24"/>
    <w:rsid w:val="00711AA9"/>
    <w:rsid w:val="00711B6B"/>
    <w:rsid w:val="00711BA9"/>
    <w:rsid w:val="00711BB0"/>
    <w:rsid w:val="00711C69"/>
    <w:rsid w:val="00711F20"/>
    <w:rsid w:val="00711FF1"/>
    <w:rsid w:val="00712097"/>
    <w:rsid w:val="0071212B"/>
    <w:rsid w:val="0071219F"/>
    <w:rsid w:val="0071231C"/>
    <w:rsid w:val="00712361"/>
    <w:rsid w:val="00712376"/>
    <w:rsid w:val="0071246C"/>
    <w:rsid w:val="00712629"/>
    <w:rsid w:val="007126E5"/>
    <w:rsid w:val="00712797"/>
    <w:rsid w:val="0071285D"/>
    <w:rsid w:val="00712951"/>
    <w:rsid w:val="00712C77"/>
    <w:rsid w:val="00712D02"/>
    <w:rsid w:val="00712D91"/>
    <w:rsid w:val="00712DA2"/>
    <w:rsid w:val="00712DFF"/>
    <w:rsid w:val="00712E31"/>
    <w:rsid w:val="00712E9A"/>
    <w:rsid w:val="00712FB2"/>
    <w:rsid w:val="007130A2"/>
    <w:rsid w:val="007136CF"/>
    <w:rsid w:val="007137EF"/>
    <w:rsid w:val="007138CA"/>
    <w:rsid w:val="00713913"/>
    <w:rsid w:val="00713938"/>
    <w:rsid w:val="00713B40"/>
    <w:rsid w:val="00713C28"/>
    <w:rsid w:val="00713D07"/>
    <w:rsid w:val="00713D77"/>
    <w:rsid w:val="00713E5E"/>
    <w:rsid w:val="00713E94"/>
    <w:rsid w:val="00713EB7"/>
    <w:rsid w:val="00713EC3"/>
    <w:rsid w:val="00713F68"/>
    <w:rsid w:val="00714154"/>
    <w:rsid w:val="007142EA"/>
    <w:rsid w:val="00714375"/>
    <w:rsid w:val="00714533"/>
    <w:rsid w:val="00714901"/>
    <w:rsid w:val="0071498A"/>
    <w:rsid w:val="00714BF0"/>
    <w:rsid w:val="00714C68"/>
    <w:rsid w:val="00714DA9"/>
    <w:rsid w:val="00714EEF"/>
    <w:rsid w:val="00715022"/>
    <w:rsid w:val="0071505B"/>
    <w:rsid w:val="007150E8"/>
    <w:rsid w:val="00715573"/>
    <w:rsid w:val="0071575C"/>
    <w:rsid w:val="007158FA"/>
    <w:rsid w:val="00715ADE"/>
    <w:rsid w:val="00715B2B"/>
    <w:rsid w:val="00715B48"/>
    <w:rsid w:val="00715BC8"/>
    <w:rsid w:val="00715DF1"/>
    <w:rsid w:val="00715ECB"/>
    <w:rsid w:val="00715F0A"/>
    <w:rsid w:val="007160FA"/>
    <w:rsid w:val="0071630E"/>
    <w:rsid w:val="00716440"/>
    <w:rsid w:val="00716511"/>
    <w:rsid w:val="0071655C"/>
    <w:rsid w:val="00716589"/>
    <w:rsid w:val="00716624"/>
    <w:rsid w:val="0071667E"/>
    <w:rsid w:val="0071676A"/>
    <w:rsid w:val="0071679F"/>
    <w:rsid w:val="007168EE"/>
    <w:rsid w:val="007169CD"/>
    <w:rsid w:val="007169F2"/>
    <w:rsid w:val="00716A82"/>
    <w:rsid w:val="00716C08"/>
    <w:rsid w:val="00716C9D"/>
    <w:rsid w:val="00716D91"/>
    <w:rsid w:val="007170C3"/>
    <w:rsid w:val="007172B1"/>
    <w:rsid w:val="007174B0"/>
    <w:rsid w:val="00717534"/>
    <w:rsid w:val="00717590"/>
    <w:rsid w:val="0071788B"/>
    <w:rsid w:val="007178A8"/>
    <w:rsid w:val="00717A92"/>
    <w:rsid w:val="00717DCE"/>
    <w:rsid w:val="00717E0A"/>
    <w:rsid w:val="00717E5A"/>
    <w:rsid w:val="00717FAF"/>
    <w:rsid w:val="00717FDC"/>
    <w:rsid w:val="00720057"/>
    <w:rsid w:val="00720182"/>
    <w:rsid w:val="00720619"/>
    <w:rsid w:val="007207E5"/>
    <w:rsid w:val="00720981"/>
    <w:rsid w:val="00720A44"/>
    <w:rsid w:val="00720A7E"/>
    <w:rsid w:val="00720B6F"/>
    <w:rsid w:val="00720D29"/>
    <w:rsid w:val="00720DA5"/>
    <w:rsid w:val="00720F59"/>
    <w:rsid w:val="00720F5B"/>
    <w:rsid w:val="00720FA8"/>
    <w:rsid w:val="007211C4"/>
    <w:rsid w:val="007213A4"/>
    <w:rsid w:val="007213AE"/>
    <w:rsid w:val="0072156E"/>
    <w:rsid w:val="007215E0"/>
    <w:rsid w:val="0072165C"/>
    <w:rsid w:val="00721797"/>
    <w:rsid w:val="0072195C"/>
    <w:rsid w:val="007219FD"/>
    <w:rsid w:val="00721A71"/>
    <w:rsid w:val="00721D69"/>
    <w:rsid w:val="00721DA2"/>
    <w:rsid w:val="00721DB5"/>
    <w:rsid w:val="00721E04"/>
    <w:rsid w:val="00721E98"/>
    <w:rsid w:val="0072207E"/>
    <w:rsid w:val="007220A1"/>
    <w:rsid w:val="007220F9"/>
    <w:rsid w:val="0072233F"/>
    <w:rsid w:val="0072235B"/>
    <w:rsid w:val="00722439"/>
    <w:rsid w:val="00722465"/>
    <w:rsid w:val="00722564"/>
    <w:rsid w:val="0072267B"/>
    <w:rsid w:val="00722689"/>
    <w:rsid w:val="0072279C"/>
    <w:rsid w:val="0072282F"/>
    <w:rsid w:val="00722834"/>
    <w:rsid w:val="00722B21"/>
    <w:rsid w:val="00722B26"/>
    <w:rsid w:val="00722C88"/>
    <w:rsid w:val="00722E2F"/>
    <w:rsid w:val="00722E39"/>
    <w:rsid w:val="00722F25"/>
    <w:rsid w:val="0072313F"/>
    <w:rsid w:val="00723246"/>
    <w:rsid w:val="0072326E"/>
    <w:rsid w:val="007232F6"/>
    <w:rsid w:val="007233E4"/>
    <w:rsid w:val="007233E7"/>
    <w:rsid w:val="007235E4"/>
    <w:rsid w:val="0072366F"/>
    <w:rsid w:val="0072373D"/>
    <w:rsid w:val="007238F5"/>
    <w:rsid w:val="00723B2F"/>
    <w:rsid w:val="00723DFF"/>
    <w:rsid w:val="0072443B"/>
    <w:rsid w:val="00724675"/>
    <w:rsid w:val="00724872"/>
    <w:rsid w:val="0072492D"/>
    <w:rsid w:val="00724B8A"/>
    <w:rsid w:val="00724E85"/>
    <w:rsid w:val="00724FEB"/>
    <w:rsid w:val="00725075"/>
    <w:rsid w:val="00725123"/>
    <w:rsid w:val="0072512A"/>
    <w:rsid w:val="00725297"/>
    <w:rsid w:val="00725303"/>
    <w:rsid w:val="007253E4"/>
    <w:rsid w:val="0072542E"/>
    <w:rsid w:val="00725574"/>
    <w:rsid w:val="00725614"/>
    <w:rsid w:val="00725671"/>
    <w:rsid w:val="00725683"/>
    <w:rsid w:val="0072580E"/>
    <w:rsid w:val="007258DA"/>
    <w:rsid w:val="00725E3D"/>
    <w:rsid w:val="0072614B"/>
    <w:rsid w:val="00726189"/>
    <w:rsid w:val="007261FA"/>
    <w:rsid w:val="007263A8"/>
    <w:rsid w:val="007265B4"/>
    <w:rsid w:val="0072687F"/>
    <w:rsid w:val="0072690D"/>
    <w:rsid w:val="007269BC"/>
    <w:rsid w:val="00726A86"/>
    <w:rsid w:val="00726AB8"/>
    <w:rsid w:val="00726BB5"/>
    <w:rsid w:val="00726DB9"/>
    <w:rsid w:val="00726E2B"/>
    <w:rsid w:val="00726FA5"/>
    <w:rsid w:val="00726FDC"/>
    <w:rsid w:val="00727284"/>
    <w:rsid w:val="0072782E"/>
    <w:rsid w:val="0072790E"/>
    <w:rsid w:val="00727922"/>
    <w:rsid w:val="00727B10"/>
    <w:rsid w:val="00727CF4"/>
    <w:rsid w:val="00727CFA"/>
    <w:rsid w:val="00727D04"/>
    <w:rsid w:val="00727DDC"/>
    <w:rsid w:val="00727ECE"/>
    <w:rsid w:val="00730002"/>
    <w:rsid w:val="00730126"/>
    <w:rsid w:val="0073032D"/>
    <w:rsid w:val="0073034D"/>
    <w:rsid w:val="00730694"/>
    <w:rsid w:val="00730710"/>
    <w:rsid w:val="0073084A"/>
    <w:rsid w:val="007309C3"/>
    <w:rsid w:val="007309DB"/>
    <w:rsid w:val="00730A7D"/>
    <w:rsid w:val="00730BDA"/>
    <w:rsid w:val="00730C06"/>
    <w:rsid w:val="00730EC3"/>
    <w:rsid w:val="00731109"/>
    <w:rsid w:val="007313C4"/>
    <w:rsid w:val="0073142B"/>
    <w:rsid w:val="00731450"/>
    <w:rsid w:val="007314FD"/>
    <w:rsid w:val="00731558"/>
    <w:rsid w:val="00731829"/>
    <w:rsid w:val="0073198C"/>
    <w:rsid w:val="00731D40"/>
    <w:rsid w:val="00731DD4"/>
    <w:rsid w:val="00731E57"/>
    <w:rsid w:val="00731F73"/>
    <w:rsid w:val="00732080"/>
    <w:rsid w:val="0073225F"/>
    <w:rsid w:val="007322A2"/>
    <w:rsid w:val="007323AA"/>
    <w:rsid w:val="007323F0"/>
    <w:rsid w:val="00732430"/>
    <w:rsid w:val="007324A4"/>
    <w:rsid w:val="0073283E"/>
    <w:rsid w:val="007328B0"/>
    <w:rsid w:val="007329E0"/>
    <w:rsid w:val="00732BD8"/>
    <w:rsid w:val="00732C08"/>
    <w:rsid w:val="00732CD7"/>
    <w:rsid w:val="00732D85"/>
    <w:rsid w:val="00733129"/>
    <w:rsid w:val="007331F0"/>
    <w:rsid w:val="0073324C"/>
    <w:rsid w:val="007332A4"/>
    <w:rsid w:val="007333C0"/>
    <w:rsid w:val="007334A9"/>
    <w:rsid w:val="007334DC"/>
    <w:rsid w:val="007334F4"/>
    <w:rsid w:val="0073355A"/>
    <w:rsid w:val="00733755"/>
    <w:rsid w:val="007338C4"/>
    <w:rsid w:val="00733D71"/>
    <w:rsid w:val="00733DFF"/>
    <w:rsid w:val="00733E2D"/>
    <w:rsid w:val="00733EF8"/>
    <w:rsid w:val="007340EF"/>
    <w:rsid w:val="0073413E"/>
    <w:rsid w:val="0073415F"/>
    <w:rsid w:val="007341AC"/>
    <w:rsid w:val="00734457"/>
    <w:rsid w:val="007344DA"/>
    <w:rsid w:val="007346B8"/>
    <w:rsid w:val="007346D2"/>
    <w:rsid w:val="0073497F"/>
    <w:rsid w:val="00734985"/>
    <w:rsid w:val="00734D06"/>
    <w:rsid w:val="00734F7A"/>
    <w:rsid w:val="00734FEA"/>
    <w:rsid w:val="00735142"/>
    <w:rsid w:val="00735217"/>
    <w:rsid w:val="0073527E"/>
    <w:rsid w:val="0073533F"/>
    <w:rsid w:val="00735355"/>
    <w:rsid w:val="00735933"/>
    <w:rsid w:val="007359B7"/>
    <w:rsid w:val="007359CC"/>
    <w:rsid w:val="007359F2"/>
    <w:rsid w:val="00735B5B"/>
    <w:rsid w:val="00735B61"/>
    <w:rsid w:val="00735CBD"/>
    <w:rsid w:val="00735CCE"/>
    <w:rsid w:val="00735D18"/>
    <w:rsid w:val="00735F06"/>
    <w:rsid w:val="00735FCE"/>
    <w:rsid w:val="00736026"/>
    <w:rsid w:val="007360EE"/>
    <w:rsid w:val="0073614B"/>
    <w:rsid w:val="007361B3"/>
    <w:rsid w:val="0073628C"/>
    <w:rsid w:val="0073641E"/>
    <w:rsid w:val="00736643"/>
    <w:rsid w:val="00736760"/>
    <w:rsid w:val="00736946"/>
    <w:rsid w:val="00736C05"/>
    <w:rsid w:val="007370C1"/>
    <w:rsid w:val="00737140"/>
    <w:rsid w:val="007371EA"/>
    <w:rsid w:val="0073727D"/>
    <w:rsid w:val="00737334"/>
    <w:rsid w:val="0073741B"/>
    <w:rsid w:val="0073748F"/>
    <w:rsid w:val="00737543"/>
    <w:rsid w:val="00737904"/>
    <w:rsid w:val="00737AAB"/>
    <w:rsid w:val="00737AF5"/>
    <w:rsid w:val="00737B25"/>
    <w:rsid w:val="00737CD2"/>
    <w:rsid w:val="00737D3A"/>
    <w:rsid w:val="00737DDC"/>
    <w:rsid w:val="00737F13"/>
    <w:rsid w:val="007401D2"/>
    <w:rsid w:val="00740294"/>
    <w:rsid w:val="007403CC"/>
    <w:rsid w:val="007404C8"/>
    <w:rsid w:val="007406FC"/>
    <w:rsid w:val="007407C7"/>
    <w:rsid w:val="007407D1"/>
    <w:rsid w:val="00740807"/>
    <w:rsid w:val="00740854"/>
    <w:rsid w:val="007408EF"/>
    <w:rsid w:val="00740959"/>
    <w:rsid w:val="00740A64"/>
    <w:rsid w:val="00740A91"/>
    <w:rsid w:val="00740B40"/>
    <w:rsid w:val="00740BD3"/>
    <w:rsid w:val="00740C4B"/>
    <w:rsid w:val="00740EF9"/>
    <w:rsid w:val="00740F00"/>
    <w:rsid w:val="00740F48"/>
    <w:rsid w:val="00740FC5"/>
    <w:rsid w:val="00741087"/>
    <w:rsid w:val="007410D5"/>
    <w:rsid w:val="00741387"/>
    <w:rsid w:val="0074156B"/>
    <w:rsid w:val="0074175B"/>
    <w:rsid w:val="007417C8"/>
    <w:rsid w:val="00741A0B"/>
    <w:rsid w:val="00741A43"/>
    <w:rsid w:val="00741B67"/>
    <w:rsid w:val="00741BC7"/>
    <w:rsid w:val="00741BE1"/>
    <w:rsid w:val="00741C01"/>
    <w:rsid w:val="00741C35"/>
    <w:rsid w:val="00741CCD"/>
    <w:rsid w:val="00741D5E"/>
    <w:rsid w:val="00741D6A"/>
    <w:rsid w:val="00741DF4"/>
    <w:rsid w:val="0074202A"/>
    <w:rsid w:val="007420E2"/>
    <w:rsid w:val="0074213E"/>
    <w:rsid w:val="00742162"/>
    <w:rsid w:val="007421CB"/>
    <w:rsid w:val="007422DA"/>
    <w:rsid w:val="0074255B"/>
    <w:rsid w:val="0074265E"/>
    <w:rsid w:val="0074294B"/>
    <w:rsid w:val="00742A8F"/>
    <w:rsid w:val="00742AD4"/>
    <w:rsid w:val="00742B43"/>
    <w:rsid w:val="00742C56"/>
    <w:rsid w:val="00742CEA"/>
    <w:rsid w:val="0074304F"/>
    <w:rsid w:val="007432F1"/>
    <w:rsid w:val="00743367"/>
    <w:rsid w:val="007435E4"/>
    <w:rsid w:val="00743636"/>
    <w:rsid w:val="007437CA"/>
    <w:rsid w:val="007438E4"/>
    <w:rsid w:val="007439B4"/>
    <w:rsid w:val="00743AE8"/>
    <w:rsid w:val="00743B94"/>
    <w:rsid w:val="00743BFF"/>
    <w:rsid w:val="00743C0D"/>
    <w:rsid w:val="00743F11"/>
    <w:rsid w:val="00743F37"/>
    <w:rsid w:val="00744138"/>
    <w:rsid w:val="00744244"/>
    <w:rsid w:val="00744260"/>
    <w:rsid w:val="007442EB"/>
    <w:rsid w:val="007445C6"/>
    <w:rsid w:val="007447AF"/>
    <w:rsid w:val="00744901"/>
    <w:rsid w:val="00744D2F"/>
    <w:rsid w:val="00744DD2"/>
    <w:rsid w:val="00744FCE"/>
    <w:rsid w:val="00745088"/>
    <w:rsid w:val="00745193"/>
    <w:rsid w:val="00745B49"/>
    <w:rsid w:val="00745D2E"/>
    <w:rsid w:val="00745D60"/>
    <w:rsid w:val="00745D78"/>
    <w:rsid w:val="00745F3E"/>
    <w:rsid w:val="007461E6"/>
    <w:rsid w:val="00746383"/>
    <w:rsid w:val="007464E9"/>
    <w:rsid w:val="007464FB"/>
    <w:rsid w:val="00746549"/>
    <w:rsid w:val="007466A6"/>
    <w:rsid w:val="007466E8"/>
    <w:rsid w:val="007468E4"/>
    <w:rsid w:val="00746929"/>
    <w:rsid w:val="00746A6E"/>
    <w:rsid w:val="00746B6B"/>
    <w:rsid w:val="00746BA4"/>
    <w:rsid w:val="00746D26"/>
    <w:rsid w:val="00746D3D"/>
    <w:rsid w:val="00746EE4"/>
    <w:rsid w:val="00746FD6"/>
    <w:rsid w:val="00747007"/>
    <w:rsid w:val="0074723D"/>
    <w:rsid w:val="00747240"/>
    <w:rsid w:val="007472A2"/>
    <w:rsid w:val="007472BC"/>
    <w:rsid w:val="00747467"/>
    <w:rsid w:val="00747660"/>
    <w:rsid w:val="00747683"/>
    <w:rsid w:val="00747715"/>
    <w:rsid w:val="0074773D"/>
    <w:rsid w:val="007477FC"/>
    <w:rsid w:val="007478EA"/>
    <w:rsid w:val="00747965"/>
    <w:rsid w:val="00747D77"/>
    <w:rsid w:val="00747DC3"/>
    <w:rsid w:val="00747EC6"/>
    <w:rsid w:val="00747F0A"/>
    <w:rsid w:val="00747FBF"/>
    <w:rsid w:val="00747FEF"/>
    <w:rsid w:val="0075001A"/>
    <w:rsid w:val="0075012C"/>
    <w:rsid w:val="00750266"/>
    <w:rsid w:val="007502E9"/>
    <w:rsid w:val="00750326"/>
    <w:rsid w:val="007503C2"/>
    <w:rsid w:val="00750703"/>
    <w:rsid w:val="00750910"/>
    <w:rsid w:val="00750A42"/>
    <w:rsid w:val="00750B60"/>
    <w:rsid w:val="00750BFE"/>
    <w:rsid w:val="00750C05"/>
    <w:rsid w:val="00750C84"/>
    <w:rsid w:val="00750D7E"/>
    <w:rsid w:val="00750FD0"/>
    <w:rsid w:val="0075107B"/>
    <w:rsid w:val="007511C4"/>
    <w:rsid w:val="007511EE"/>
    <w:rsid w:val="00751227"/>
    <w:rsid w:val="00751320"/>
    <w:rsid w:val="007513A9"/>
    <w:rsid w:val="007513D2"/>
    <w:rsid w:val="007516AB"/>
    <w:rsid w:val="007516B2"/>
    <w:rsid w:val="0075178B"/>
    <w:rsid w:val="007518BF"/>
    <w:rsid w:val="007518F5"/>
    <w:rsid w:val="0075197F"/>
    <w:rsid w:val="00751AA6"/>
    <w:rsid w:val="00751BA6"/>
    <w:rsid w:val="00751D32"/>
    <w:rsid w:val="00751D60"/>
    <w:rsid w:val="00751EB0"/>
    <w:rsid w:val="00751F2D"/>
    <w:rsid w:val="00751FBD"/>
    <w:rsid w:val="007521E0"/>
    <w:rsid w:val="007521E8"/>
    <w:rsid w:val="00752211"/>
    <w:rsid w:val="0075226E"/>
    <w:rsid w:val="00752296"/>
    <w:rsid w:val="00752416"/>
    <w:rsid w:val="007524E3"/>
    <w:rsid w:val="0075275A"/>
    <w:rsid w:val="00752D3D"/>
    <w:rsid w:val="00752DAE"/>
    <w:rsid w:val="00752E9A"/>
    <w:rsid w:val="00752F30"/>
    <w:rsid w:val="00753209"/>
    <w:rsid w:val="00753298"/>
    <w:rsid w:val="007532F0"/>
    <w:rsid w:val="0075360A"/>
    <w:rsid w:val="0075362C"/>
    <w:rsid w:val="007536A6"/>
    <w:rsid w:val="007538A8"/>
    <w:rsid w:val="00753924"/>
    <w:rsid w:val="00753A03"/>
    <w:rsid w:val="00753C5A"/>
    <w:rsid w:val="00753F19"/>
    <w:rsid w:val="00753F54"/>
    <w:rsid w:val="00754005"/>
    <w:rsid w:val="0075413D"/>
    <w:rsid w:val="00754435"/>
    <w:rsid w:val="007545D5"/>
    <w:rsid w:val="00754689"/>
    <w:rsid w:val="00754778"/>
    <w:rsid w:val="007547EC"/>
    <w:rsid w:val="00754AEE"/>
    <w:rsid w:val="00754CC3"/>
    <w:rsid w:val="00754DCA"/>
    <w:rsid w:val="00754E7E"/>
    <w:rsid w:val="007553B9"/>
    <w:rsid w:val="0075565C"/>
    <w:rsid w:val="007556C9"/>
    <w:rsid w:val="00755838"/>
    <w:rsid w:val="0075591A"/>
    <w:rsid w:val="007559F4"/>
    <w:rsid w:val="00755A79"/>
    <w:rsid w:val="00755B70"/>
    <w:rsid w:val="00755D06"/>
    <w:rsid w:val="00755F0F"/>
    <w:rsid w:val="00755F71"/>
    <w:rsid w:val="00755F9D"/>
    <w:rsid w:val="0075612F"/>
    <w:rsid w:val="00756217"/>
    <w:rsid w:val="00756278"/>
    <w:rsid w:val="0075627B"/>
    <w:rsid w:val="007562D8"/>
    <w:rsid w:val="0075637A"/>
    <w:rsid w:val="0075638E"/>
    <w:rsid w:val="00756403"/>
    <w:rsid w:val="007565CD"/>
    <w:rsid w:val="00756653"/>
    <w:rsid w:val="0075679A"/>
    <w:rsid w:val="00756875"/>
    <w:rsid w:val="00756B3A"/>
    <w:rsid w:val="00756BB0"/>
    <w:rsid w:val="00756BC4"/>
    <w:rsid w:val="00756D06"/>
    <w:rsid w:val="00756E47"/>
    <w:rsid w:val="00756EFF"/>
    <w:rsid w:val="00756F72"/>
    <w:rsid w:val="007570C5"/>
    <w:rsid w:val="00757126"/>
    <w:rsid w:val="007571A9"/>
    <w:rsid w:val="00757239"/>
    <w:rsid w:val="00757353"/>
    <w:rsid w:val="00757392"/>
    <w:rsid w:val="00757754"/>
    <w:rsid w:val="0075775D"/>
    <w:rsid w:val="007577C9"/>
    <w:rsid w:val="007579AF"/>
    <w:rsid w:val="007579B1"/>
    <w:rsid w:val="00757D4B"/>
    <w:rsid w:val="00757EF8"/>
    <w:rsid w:val="00757F7F"/>
    <w:rsid w:val="007600F6"/>
    <w:rsid w:val="00760192"/>
    <w:rsid w:val="007601BE"/>
    <w:rsid w:val="00760263"/>
    <w:rsid w:val="007602E5"/>
    <w:rsid w:val="007604E9"/>
    <w:rsid w:val="0076050D"/>
    <w:rsid w:val="00760596"/>
    <w:rsid w:val="0076086B"/>
    <w:rsid w:val="00760A03"/>
    <w:rsid w:val="00760AD1"/>
    <w:rsid w:val="00760B96"/>
    <w:rsid w:val="00760C1C"/>
    <w:rsid w:val="00760E0E"/>
    <w:rsid w:val="00760E3D"/>
    <w:rsid w:val="007611AE"/>
    <w:rsid w:val="007611E1"/>
    <w:rsid w:val="00761244"/>
    <w:rsid w:val="0076130F"/>
    <w:rsid w:val="007613FB"/>
    <w:rsid w:val="0076154C"/>
    <w:rsid w:val="007617CB"/>
    <w:rsid w:val="00761EDE"/>
    <w:rsid w:val="00761F91"/>
    <w:rsid w:val="00762452"/>
    <w:rsid w:val="007624C2"/>
    <w:rsid w:val="00762518"/>
    <w:rsid w:val="00762553"/>
    <w:rsid w:val="007625D4"/>
    <w:rsid w:val="007627AA"/>
    <w:rsid w:val="00762911"/>
    <w:rsid w:val="00762979"/>
    <w:rsid w:val="00762A41"/>
    <w:rsid w:val="00762A6D"/>
    <w:rsid w:val="00762BC9"/>
    <w:rsid w:val="00762C9F"/>
    <w:rsid w:val="00762D52"/>
    <w:rsid w:val="00762F0B"/>
    <w:rsid w:val="00762F79"/>
    <w:rsid w:val="0076301D"/>
    <w:rsid w:val="00763082"/>
    <w:rsid w:val="00763185"/>
    <w:rsid w:val="0076328A"/>
    <w:rsid w:val="00763500"/>
    <w:rsid w:val="00763612"/>
    <w:rsid w:val="00763674"/>
    <w:rsid w:val="007636A5"/>
    <w:rsid w:val="00763803"/>
    <w:rsid w:val="007639BE"/>
    <w:rsid w:val="00763BBC"/>
    <w:rsid w:val="00763EA3"/>
    <w:rsid w:val="00763F1D"/>
    <w:rsid w:val="00763F38"/>
    <w:rsid w:val="007640DD"/>
    <w:rsid w:val="007642F4"/>
    <w:rsid w:val="007643D5"/>
    <w:rsid w:val="00764507"/>
    <w:rsid w:val="00764551"/>
    <w:rsid w:val="007645BD"/>
    <w:rsid w:val="007645DC"/>
    <w:rsid w:val="0076479D"/>
    <w:rsid w:val="007647B6"/>
    <w:rsid w:val="00764A6B"/>
    <w:rsid w:val="00764B76"/>
    <w:rsid w:val="00764C8A"/>
    <w:rsid w:val="00764CB3"/>
    <w:rsid w:val="00764D3E"/>
    <w:rsid w:val="00764D62"/>
    <w:rsid w:val="00765025"/>
    <w:rsid w:val="00765064"/>
    <w:rsid w:val="00765085"/>
    <w:rsid w:val="00765132"/>
    <w:rsid w:val="0076517D"/>
    <w:rsid w:val="007652C4"/>
    <w:rsid w:val="007653E6"/>
    <w:rsid w:val="00765425"/>
    <w:rsid w:val="00765565"/>
    <w:rsid w:val="007655A5"/>
    <w:rsid w:val="0076561B"/>
    <w:rsid w:val="007656D2"/>
    <w:rsid w:val="007656EE"/>
    <w:rsid w:val="0076575A"/>
    <w:rsid w:val="007657A6"/>
    <w:rsid w:val="00765851"/>
    <w:rsid w:val="007658FF"/>
    <w:rsid w:val="0076594B"/>
    <w:rsid w:val="007659B9"/>
    <w:rsid w:val="00765AAF"/>
    <w:rsid w:val="00765B53"/>
    <w:rsid w:val="00765BD9"/>
    <w:rsid w:val="00765D27"/>
    <w:rsid w:val="00765D2A"/>
    <w:rsid w:val="00765D71"/>
    <w:rsid w:val="00765E87"/>
    <w:rsid w:val="00765F48"/>
    <w:rsid w:val="00765FAD"/>
    <w:rsid w:val="0076606C"/>
    <w:rsid w:val="00766121"/>
    <w:rsid w:val="00766295"/>
    <w:rsid w:val="007662B3"/>
    <w:rsid w:val="00766318"/>
    <w:rsid w:val="00766357"/>
    <w:rsid w:val="00766393"/>
    <w:rsid w:val="007663BB"/>
    <w:rsid w:val="007663CC"/>
    <w:rsid w:val="0076646C"/>
    <w:rsid w:val="007664F8"/>
    <w:rsid w:val="00766555"/>
    <w:rsid w:val="007665F4"/>
    <w:rsid w:val="007666A8"/>
    <w:rsid w:val="007668CF"/>
    <w:rsid w:val="007669DC"/>
    <w:rsid w:val="00766A84"/>
    <w:rsid w:val="00766AF3"/>
    <w:rsid w:val="00766B59"/>
    <w:rsid w:val="00766DB0"/>
    <w:rsid w:val="00766E17"/>
    <w:rsid w:val="00766E1D"/>
    <w:rsid w:val="0076705A"/>
    <w:rsid w:val="0076740E"/>
    <w:rsid w:val="0076749D"/>
    <w:rsid w:val="0076756B"/>
    <w:rsid w:val="00767690"/>
    <w:rsid w:val="007676CC"/>
    <w:rsid w:val="00767819"/>
    <w:rsid w:val="00767D9F"/>
    <w:rsid w:val="00767E44"/>
    <w:rsid w:val="0077005B"/>
    <w:rsid w:val="00770247"/>
    <w:rsid w:val="007703F3"/>
    <w:rsid w:val="0077047D"/>
    <w:rsid w:val="007704E9"/>
    <w:rsid w:val="00770857"/>
    <w:rsid w:val="00770888"/>
    <w:rsid w:val="007709ED"/>
    <w:rsid w:val="00770C78"/>
    <w:rsid w:val="00770C7D"/>
    <w:rsid w:val="00770DE1"/>
    <w:rsid w:val="00770EFA"/>
    <w:rsid w:val="00770F24"/>
    <w:rsid w:val="00770F87"/>
    <w:rsid w:val="007710BB"/>
    <w:rsid w:val="00771501"/>
    <w:rsid w:val="0077159A"/>
    <w:rsid w:val="007715C0"/>
    <w:rsid w:val="00771779"/>
    <w:rsid w:val="00771820"/>
    <w:rsid w:val="00771A4E"/>
    <w:rsid w:val="00771C72"/>
    <w:rsid w:val="00771CE6"/>
    <w:rsid w:val="00771D87"/>
    <w:rsid w:val="00772128"/>
    <w:rsid w:val="0077213E"/>
    <w:rsid w:val="0077217A"/>
    <w:rsid w:val="0077221C"/>
    <w:rsid w:val="00772258"/>
    <w:rsid w:val="00772358"/>
    <w:rsid w:val="00772437"/>
    <w:rsid w:val="00772635"/>
    <w:rsid w:val="007726B3"/>
    <w:rsid w:val="007728CA"/>
    <w:rsid w:val="007729D2"/>
    <w:rsid w:val="00772A16"/>
    <w:rsid w:val="00772C84"/>
    <w:rsid w:val="00772CEF"/>
    <w:rsid w:val="00772D43"/>
    <w:rsid w:val="00772E0D"/>
    <w:rsid w:val="00772FEE"/>
    <w:rsid w:val="0077307E"/>
    <w:rsid w:val="007730AF"/>
    <w:rsid w:val="00773163"/>
    <w:rsid w:val="007731B4"/>
    <w:rsid w:val="007732BA"/>
    <w:rsid w:val="007732EB"/>
    <w:rsid w:val="007735C1"/>
    <w:rsid w:val="007738B7"/>
    <w:rsid w:val="007738FB"/>
    <w:rsid w:val="00773964"/>
    <w:rsid w:val="007739B3"/>
    <w:rsid w:val="00773AB3"/>
    <w:rsid w:val="00773C1A"/>
    <w:rsid w:val="00773EB7"/>
    <w:rsid w:val="00773F22"/>
    <w:rsid w:val="00773F4F"/>
    <w:rsid w:val="007742DE"/>
    <w:rsid w:val="007742E2"/>
    <w:rsid w:val="007744A5"/>
    <w:rsid w:val="0077453B"/>
    <w:rsid w:val="007745D9"/>
    <w:rsid w:val="00774657"/>
    <w:rsid w:val="007747A6"/>
    <w:rsid w:val="00774955"/>
    <w:rsid w:val="00774A02"/>
    <w:rsid w:val="00774B0A"/>
    <w:rsid w:val="00774BC8"/>
    <w:rsid w:val="00774E61"/>
    <w:rsid w:val="00774F82"/>
    <w:rsid w:val="00775000"/>
    <w:rsid w:val="0077510D"/>
    <w:rsid w:val="00775202"/>
    <w:rsid w:val="007752AF"/>
    <w:rsid w:val="0077560F"/>
    <w:rsid w:val="007756AB"/>
    <w:rsid w:val="007759E5"/>
    <w:rsid w:val="00775AD3"/>
    <w:rsid w:val="00775D22"/>
    <w:rsid w:val="00775DBA"/>
    <w:rsid w:val="00776154"/>
    <w:rsid w:val="00776294"/>
    <w:rsid w:val="007762A1"/>
    <w:rsid w:val="007762E9"/>
    <w:rsid w:val="0077637D"/>
    <w:rsid w:val="007763BD"/>
    <w:rsid w:val="00776433"/>
    <w:rsid w:val="00776677"/>
    <w:rsid w:val="00776765"/>
    <w:rsid w:val="007768BB"/>
    <w:rsid w:val="00776963"/>
    <w:rsid w:val="00776C6E"/>
    <w:rsid w:val="00776D23"/>
    <w:rsid w:val="00776E50"/>
    <w:rsid w:val="00776F3F"/>
    <w:rsid w:val="00777001"/>
    <w:rsid w:val="0077706B"/>
    <w:rsid w:val="0077714A"/>
    <w:rsid w:val="007771BD"/>
    <w:rsid w:val="007771D2"/>
    <w:rsid w:val="007772B8"/>
    <w:rsid w:val="00777445"/>
    <w:rsid w:val="007776F1"/>
    <w:rsid w:val="0077771F"/>
    <w:rsid w:val="007778AE"/>
    <w:rsid w:val="00777983"/>
    <w:rsid w:val="007779A0"/>
    <w:rsid w:val="00777A03"/>
    <w:rsid w:val="00777D42"/>
    <w:rsid w:val="00777DAA"/>
    <w:rsid w:val="00777E14"/>
    <w:rsid w:val="007800B1"/>
    <w:rsid w:val="00780140"/>
    <w:rsid w:val="00780292"/>
    <w:rsid w:val="007804C2"/>
    <w:rsid w:val="00780976"/>
    <w:rsid w:val="00780AA4"/>
    <w:rsid w:val="007812C6"/>
    <w:rsid w:val="00781443"/>
    <w:rsid w:val="007815A7"/>
    <w:rsid w:val="007815E1"/>
    <w:rsid w:val="007815EF"/>
    <w:rsid w:val="00781785"/>
    <w:rsid w:val="007817E5"/>
    <w:rsid w:val="00781963"/>
    <w:rsid w:val="0078197B"/>
    <w:rsid w:val="00781BA5"/>
    <w:rsid w:val="00781BAC"/>
    <w:rsid w:val="00781C59"/>
    <w:rsid w:val="00781C65"/>
    <w:rsid w:val="00781C79"/>
    <w:rsid w:val="00782063"/>
    <w:rsid w:val="007820AE"/>
    <w:rsid w:val="007822B2"/>
    <w:rsid w:val="0078233F"/>
    <w:rsid w:val="00782492"/>
    <w:rsid w:val="00782505"/>
    <w:rsid w:val="00782706"/>
    <w:rsid w:val="00782798"/>
    <w:rsid w:val="007828D6"/>
    <w:rsid w:val="0078295F"/>
    <w:rsid w:val="00782A53"/>
    <w:rsid w:val="00782B3A"/>
    <w:rsid w:val="00782B40"/>
    <w:rsid w:val="00782D2F"/>
    <w:rsid w:val="00782FD9"/>
    <w:rsid w:val="00783025"/>
    <w:rsid w:val="00783130"/>
    <w:rsid w:val="00783281"/>
    <w:rsid w:val="00783376"/>
    <w:rsid w:val="0078344D"/>
    <w:rsid w:val="007837E8"/>
    <w:rsid w:val="007837EF"/>
    <w:rsid w:val="0078382B"/>
    <w:rsid w:val="00783A59"/>
    <w:rsid w:val="00783A6B"/>
    <w:rsid w:val="00783B35"/>
    <w:rsid w:val="00783D1C"/>
    <w:rsid w:val="00783D96"/>
    <w:rsid w:val="00783DC4"/>
    <w:rsid w:val="00783DED"/>
    <w:rsid w:val="00783E96"/>
    <w:rsid w:val="00783FD3"/>
    <w:rsid w:val="00784017"/>
    <w:rsid w:val="00784209"/>
    <w:rsid w:val="007842B6"/>
    <w:rsid w:val="007844C2"/>
    <w:rsid w:val="007845C9"/>
    <w:rsid w:val="00784793"/>
    <w:rsid w:val="007847B4"/>
    <w:rsid w:val="0078486A"/>
    <w:rsid w:val="00784AAB"/>
    <w:rsid w:val="00784B5A"/>
    <w:rsid w:val="00784BC6"/>
    <w:rsid w:val="00784C5A"/>
    <w:rsid w:val="00784C98"/>
    <w:rsid w:val="00784E73"/>
    <w:rsid w:val="00784F02"/>
    <w:rsid w:val="00784F60"/>
    <w:rsid w:val="00784F7E"/>
    <w:rsid w:val="00784F8C"/>
    <w:rsid w:val="00784FC2"/>
    <w:rsid w:val="00784FDF"/>
    <w:rsid w:val="007850B6"/>
    <w:rsid w:val="0078510D"/>
    <w:rsid w:val="00785160"/>
    <w:rsid w:val="007851C1"/>
    <w:rsid w:val="00785253"/>
    <w:rsid w:val="00785360"/>
    <w:rsid w:val="007853F8"/>
    <w:rsid w:val="00785456"/>
    <w:rsid w:val="007854B0"/>
    <w:rsid w:val="0078554E"/>
    <w:rsid w:val="007858C0"/>
    <w:rsid w:val="00785A5E"/>
    <w:rsid w:val="00785A8B"/>
    <w:rsid w:val="00785B5C"/>
    <w:rsid w:val="00785CCC"/>
    <w:rsid w:val="00785DEE"/>
    <w:rsid w:val="00786055"/>
    <w:rsid w:val="007861B9"/>
    <w:rsid w:val="00786257"/>
    <w:rsid w:val="00786470"/>
    <w:rsid w:val="007864FA"/>
    <w:rsid w:val="00786594"/>
    <w:rsid w:val="007865C3"/>
    <w:rsid w:val="0078676B"/>
    <w:rsid w:val="00786DD8"/>
    <w:rsid w:val="00786F3A"/>
    <w:rsid w:val="00787469"/>
    <w:rsid w:val="007874B8"/>
    <w:rsid w:val="007877D5"/>
    <w:rsid w:val="0078795D"/>
    <w:rsid w:val="00787A6B"/>
    <w:rsid w:val="00787B22"/>
    <w:rsid w:val="00787DF0"/>
    <w:rsid w:val="00787E2C"/>
    <w:rsid w:val="00787F62"/>
    <w:rsid w:val="00787FCD"/>
    <w:rsid w:val="00790037"/>
    <w:rsid w:val="00790074"/>
    <w:rsid w:val="00790121"/>
    <w:rsid w:val="007901B0"/>
    <w:rsid w:val="00790249"/>
    <w:rsid w:val="007903F6"/>
    <w:rsid w:val="00790558"/>
    <w:rsid w:val="007905F5"/>
    <w:rsid w:val="007907F9"/>
    <w:rsid w:val="00790874"/>
    <w:rsid w:val="0079087C"/>
    <w:rsid w:val="0079087D"/>
    <w:rsid w:val="00790AC8"/>
    <w:rsid w:val="00790B35"/>
    <w:rsid w:val="00790BB6"/>
    <w:rsid w:val="00790CEC"/>
    <w:rsid w:val="00790DF9"/>
    <w:rsid w:val="007910C9"/>
    <w:rsid w:val="007911A8"/>
    <w:rsid w:val="00791253"/>
    <w:rsid w:val="00791299"/>
    <w:rsid w:val="007912C2"/>
    <w:rsid w:val="007912D2"/>
    <w:rsid w:val="007913B9"/>
    <w:rsid w:val="007915DB"/>
    <w:rsid w:val="0079164B"/>
    <w:rsid w:val="00791785"/>
    <w:rsid w:val="00791823"/>
    <w:rsid w:val="0079194C"/>
    <w:rsid w:val="00791B08"/>
    <w:rsid w:val="00791B29"/>
    <w:rsid w:val="00791C4F"/>
    <w:rsid w:val="007921A0"/>
    <w:rsid w:val="0079227E"/>
    <w:rsid w:val="0079242B"/>
    <w:rsid w:val="007924C5"/>
    <w:rsid w:val="0079277D"/>
    <w:rsid w:val="00792A70"/>
    <w:rsid w:val="00792ACF"/>
    <w:rsid w:val="00792B72"/>
    <w:rsid w:val="00792BD9"/>
    <w:rsid w:val="00792C4A"/>
    <w:rsid w:val="00792C76"/>
    <w:rsid w:val="007930D6"/>
    <w:rsid w:val="007933D0"/>
    <w:rsid w:val="007933F9"/>
    <w:rsid w:val="00793549"/>
    <w:rsid w:val="0079359F"/>
    <w:rsid w:val="007936C6"/>
    <w:rsid w:val="00793730"/>
    <w:rsid w:val="007937A5"/>
    <w:rsid w:val="007939DA"/>
    <w:rsid w:val="00793CA1"/>
    <w:rsid w:val="00793D95"/>
    <w:rsid w:val="00793EAB"/>
    <w:rsid w:val="007940A0"/>
    <w:rsid w:val="007940C7"/>
    <w:rsid w:val="0079430F"/>
    <w:rsid w:val="0079443A"/>
    <w:rsid w:val="00794586"/>
    <w:rsid w:val="007947EE"/>
    <w:rsid w:val="007948D6"/>
    <w:rsid w:val="00794D02"/>
    <w:rsid w:val="00794D33"/>
    <w:rsid w:val="00794E02"/>
    <w:rsid w:val="00794E0E"/>
    <w:rsid w:val="00795169"/>
    <w:rsid w:val="00795232"/>
    <w:rsid w:val="007954B5"/>
    <w:rsid w:val="0079554C"/>
    <w:rsid w:val="00795598"/>
    <w:rsid w:val="00795730"/>
    <w:rsid w:val="00795751"/>
    <w:rsid w:val="00795921"/>
    <w:rsid w:val="00795AF7"/>
    <w:rsid w:val="00795D08"/>
    <w:rsid w:val="00795D69"/>
    <w:rsid w:val="00795EB9"/>
    <w:rsid w:val="00795EFC"/>
    <w:rsid w:val="00795F77"/>
    <w:rsid w:val="007960D3"/>
    <w:rsid w:val="00796239"/>
    <w:rsid w:val="0079629E"/>
    <w:rsid w:val="007962FA"/>
    <w:rsid w:val="0079635E"/>
    <w:rsid w:val="00796463"/>
    <w:rsid w:val="0079673D"/>
    <w:rsid w:val="00796777"/>
    <w:rsid w:val="00796A8B"/>
    <w:rsid w:val="00796B31"/>
    <w:rsid w:val="00796CD3"/>
    <w:rsid w:val="00796D1D"/>
    <w:rsid w:val="00796ECE"/>
    <w:rsid w:val="00797151"/>
    <w:rsid w:val="00797164"/>
    <w:rsid w:val="007971C1"/>
    <w:rsid w:val="007971E3"/>
    <w:rsid w:val="00797376"/>
    <w:rsid w:val="0079740F"/>
    <w:rsid w:val="00797437"/>
    <w:rsid w:val="00797458"/>
    <w:rsid w:val="00797484"/>
    <w:rsid w:val="007974C9"/>
    <w:rsid w:val="0079761D"/>
    <w:rsid w:val="00797683"/>
    <w:rsid w:val="007978AA"/>
    <w:rsid w:val="0079794F"/>
    <w:rsid w:val="007979A1"/>
    <w:rsid w:val="00797B61"/>
    <w:rsid w:val="00797BA3"/>
    <w:rsid w:val="00797C70"/>
    <w:rsid w:val="00797D1C"/>
    <w:rsid w:val="00797E7F"/>
    <w:rsid w:val="00797F42"/>
    <w:rsid w:val="007A0183"/>
    <w:rsid w:val="007A047D"/>
    <w:rsid w:val="007A054F"/>
    <w:rsid w:val="007A078E"/>
    <w:rsid w:val="007A08DE"/>
    <w:rsid w:val="007A08E0"/>
    <w:rsid w:val="007A094C"/>
    <w:rsid w:val="007A0C76"/>
    <w:rsid w:val="007A10D5"/>
    <w:rsid w:val="007A1279"/>
    <w:rsid w:val="007A12DB"/>
    <w:rsid w:val="007A13EC"/>
    <w:rsid w:val="007A144C"/>
    <w:rsid w:val="007A14A5"/>
    <w:rsid w:val="007A1509"/>
    <w:rsid w:val="007A15CB"/>
    <w:rsid w:val="007A1664"/>
    <w:rsid w:val="007A199E"/>
    <w:rsid w:val="007A1A19"/>
    <w:rsid w:val="007A1F64"/>
    <w:rsid w:val="007A2016"/>
    <w:rsid w:val="007A208D"/>
    <w:rsid w:val="007A211D"/>
    <w:rsid w:val="007A2275"/>
    <w:rsid w:val="007A2753"/>
    <w:rsid w:val="007A2758"/>
    <w:rsid w:val="007A2792"/>
    <w:rsid w:val="007A27D2"/>
    <w:rsid w:val="007A2846"/>
    <w:rsid w:val="007A2A41"/>
    <w:rsid w:val="007A2A62"/>
    <w:rsid w:val="007A2AF9"/>
    <w:rsid w:val="007A2B88"/>
    <w:rsid w:val="007A2E61"/>
    <w:rsid w:val="007A2FA5"/>
    <w:rsid w:val="007A304D"/>
    <w:rsid w:val="007A306A"/>
    <w:rsid w:val="007A30A5"/>
    <w:rsid w:val="007A3194"/>
    <w:rsid w:val="007A3228"/>
    <w:rsid w:val="007A36F7"/>
    <w:rsid w:val="007A3736"/>
    <w:rsid w:val="007A379E"/>
    <w:rsid w:val="007A3991"/>
    <w:rsid w:val="007A39A8"/>
    <w:rsid w:val="007A3AA3"/>
    <w:rsid w:val="007A3ADB"/>
    <w:rsid w:val="007A3E50"/>
    <w:rsid w:val="007A404C"/>
    <w:rsid w:val="007A4658"/>
    <w:rsid w:val="007A46EC"/>
    <w:rsid w:val="007A4749"/>
    <w:rsid w:val="007A495E"/>
    <w:rsid w:val="007A4AD5"/>
    <w:rsid w:val="007A4AE0"/>
    <w:rsid w:val="007A4C5A"/>
    <w:rsid w:val="007A4C8A"/>
    <w:rsid w:val="007A4CEC"/>
    <w:rsid w:val="007A4D68"/>
    <w:rsid w:val="007A4E37"/>
    <w:rsid w:val="007A4E41"/>
    <w:rsid w:val="007A4EC7"/>
    <w:rsid w:val="007A4F5F"/>
    <w:rsid w:val="007A4F7D"/>
    <w:rsid w:val="007A4FBE"/>
    <w:rsid w:val="007A4FC8"/>
    <w:rsid w:val="007A501A"/>
    <w:rsid w:val="007A51C5"/>
    <w:rsid w:val="007A51CD"/>
    <w:rsid w:val="007A53D5"/>
    <w:rsid w:val="007A54A1"/>
    <w:rsid w:val="007A55AF"/>
    <w:rsid w:val="007A5747"/>
    <w:rsid w:val="007A58E1"/>
    <w:rsid w:val="007A58E2"/>
    <w:rsid w:val="007A58FD"/>
    <w:rsid w:val="007A5A25"/>
    <w:rsid w:val="007A5B98"/>
    <w:rsid w:val="007A5CF8"/>
    <w:rsid w:val="007A5DDF"/>
    <w:rsid w:val="007A5E7C"/>
    <w:rsid w:val="007A5F0B"/>
    <w:rsid w:val="007A5FD4"/>
    <w:rsid w:val="007A6055"/>
    <w:rsid w:val="007A61B5"/>
    <w:rsid w:val="007A68D8"/>
    <w:rsid w:val="007A6992"/>
    <w:rsid w:val="007A69E9"/>
    <w:rsid w:val="007A6DAF"/>
    <w:rsid w:val="007A6F31"/>
    <w:rsid w:val="007A7040"/>
    <w:rsid w:val="007A704A"/>
    <w:rsid w:val="007A75C2"/>
    <w:rsid w:val="007A77D0"/>
    <w:rsid w:val="007A782E"/>
    <w:rsid w:val="007A796B"/>
    <w:rsid w:val="007A7AA5"/>
    <w:rsid w:val="007A7B3F"/>
    <w:rsid w:val="007A7B88"/>
    <w:rsid w:val="007A7C9C"/>
    <w:rsid w:val="007A7D01"/>
    <w:rsid w:val="007A7D04"/>
    <w:rsid w:val="007A7DA0"/>
    <w:rsid w:val="007A7DC6"/>
    <w:rsid w:val="007A7F44"/>
    <w:rsid w:val="007A7F5C"/>
    <w:rsid w:val="007B0040"/>
    <w:rsid w:val="007B005F"/>
    <w:rsid w:val="007B0188"/>
    <w:rsid w:val="007B0235"/>
    <w:rsid w:val="007B0243"/>
    <w:rsid w:val="007B05F6"/>
    <w:rsid w:val="007B064C"/>
    <w:rsid w:val="007B06E7"/>
    <w:rsid w:val="007B07C5"/>
    <w:rsid w:val="007B0958"/>
    <w:rsid w:val="007B0A39"/>
    <w:rsid w:val="007B0A5B"/>
    <w:rsid w:val="007B0A70"/>
    <w:rsid w:val="007B0B90"/>
    <w:rsid w:val="007B0BED"/>
    <w:rsid w:val="007B0EA8"/>
    <w:rsid w:val="007B0FA0"/>
    <w:rsid w:val="007B101A"/>
    <w:rsid w:val="007B10E3"/>
    <w:rsid w:val="007B1159"/>
    <w:rsid w:val="007B1257"/>
    <w:rsid w:val="007B140A"/>
    <w:rsid w:val="007B14B3"/>
    <w:rsid w:val="007B1633"/>
    <w:rsid w:val="007B163F"/>
    <w:rsid w:val="007B17EA"/>
    <w:rsid w:val="007B19B3"/>
    <w:rsid w:val="007B1BB4"/>
    <w:rsid w:val="007B1C93"/>
    <w:rsid w:val="007B1E09"/>
    <w:rsid w:val="007B1F3D"/>
    <w:rsid w:val="007B20AB"/>
    <w:rsid w:val="007B212E"/>
    <w:rsid w:val="007B2175"/>
    <w:rsid w:val="007B2216"/>
    <w:rsid w:val="007B2995"/>
    <w:rsid w:val="007B2A25"/>
    <w:rsid w:val="007B2DDC"/>
    <w:rsid w:val="007B2F39"/>
    <w:rsid w:val="007B321F"/>
    <w:rsid w:val="007B339D"/>
    <w:rsid w:val="007B3404"/>
    <w:rsid w:val="007B34F1"/>
    <w:rsid w:val="007B362D"/>
    <w:rsid w:val="007B3780"/>
    <w:rsid w:val="007B3783"/>
    <w:rsid w:val="007B37C8"/>
    <w:rsid w:val="007B392A"/>
    <w:rsid w:val="007B3A4E"/>
    <w:rsid w:val="007B3A6C"/>
    <w:rsid w:val="007B3C61"/>
    <w:rsid w:val="007B3D7F"/>
    <w:rsid w:val="007B3DED"/>
    <w:rsid w:val="007B3E1C"/>
    <w:rsid w:val="007B3E4A"/>
    <w:rsid w:val="007B3FEF"/>
    <w:rsid w:val="007B4057"/>
    <w:rsid w:val="007B41D4"/>
    <w:rsid w:val="007B46CA"/>
    <w:rsid w:val="007B47CA"/>
    <w:rsid w:val="007B4849"/>
    <w:rsid w:val="007B49BF"/>
    <w:rsid w:val="007B4A7E"/>
    <w:rsid w:val="007B4B06"/>
    <w:rsid w:val="007B4BA1"/>
    <w:rsid w:val="007B4BE6"/>
    <w:rsid w:val="007B4C61"/>
    <w:rsid w:val="007B4DE1"/>
    <w:rsid w:val="007B4E93"/>
    <w:rsid w:val="007B53B1"/>
    <w:rsid w:val="007B54B2"/>
    <w:rsid w:val="007B556B"/>
    <w:rsid w:val="007B598A"/>
    <w:rsid w:val="007B598E"/>
    <w:rsid w:val="007B5AF5"/>
    <w:rsid w:val="007B5DBB"/>
    <w:rsid w:val="007B5ECC"/>
    <w:rsid w:val="007B5F93"/>
    <w:rsid w:val="007B64AA"/>
    <w:rsid w:val="007B6636"/>
    <w:rsid w:val="007B669A"/>
    <w:rsid w:val="007B68EB"/>
    <w:rsid w:val="007B6950"/>
    <w:rsid w:val="007B6AA2"/>
    <w:rsid w:val="007B6AA5"/>
    <w:rsid w:val="007B6AB3"/>
    <w:rsid w:val="007B6C85"/>
    <w:rsid w:val="007B6F59"/>
    <w:rsid w:val="007B70E1"/>
    <w:rsid w:val="007B7148"/>
    <w:rsid w:val="007B7488"/>
    <w:rsid w:val="007B74F7"/>
    <w:rsid w:val="007B758B"/>
    <w:rsid w:val="007B78ED"/>
    <w:rsid w:val="007B79D4"/>
    <w:rsid w:val="007B7A9E"/>
    <w:rsid w:val="007B7CB5"/>
    <w:rsid w:val="007B7EAE"/>
    <w:rsid w:val="007B7F82"/>
    <w:rsid w:val="007C00DF"/>
    <w:rsid w:val="007C024B"/>
    <w:rsid w:val="007C03AA"/>
    <w:rsid w:val="007C090F"/>
    <w:rsid w:val="007C0B23"/>
    <w:rsid w:val="007C0B83"/>
    <w:rsid w:val="007C0C65"/>
    <w:rsid w:val="007C0CFA"/>
    <w:rsid w:val="007C1050"/>
    <w:rsid w:val="007C11E7"/>
    <w:rsid w:val="007C11FD"/>
    <w:rsid w:val="007C12F1"/>
    <w:rsid w:val="007C1550"/>
    <w:rsid w:val="007C15A6"/>
    <w:rsid w:val="007C17E8"/>
    <w:rsid w:val="007C18AE"/>
    <w:rsid w:val="007C1B6C"/>
    <w:rsid w:val="007C1E0A"/>
    <w:rsid w:val="007C1FCD"/>
    <w:rsid w:val="007C2111"/>
    <w:rsid w:val="007C2197"/>
    <w:rsid w:val="007C2333"/>
    <w:rsid w:val="007C2342"/>
    <w:rsid w:val="007C23BC"/>
    <w:rsid w:val="007C2484"/>
    <w:rsid w:val="007C2493"/>
    <w:rsid w:val="007C24F8"/>
    <w:rsid w:val="007C26DC"/>
    <w:rsid w:val="007C273F"/>
    <w:rsid w:val="007C278C"/>
    <w:rsid w:val="007C27EB"/>
    <w:rsid w:val="007C2970"/>
    <w:rsid w:val="007C29C1"/>
    <w:rsid w:val="007C2A7F"/>
    <w:rsid w:val="007C2B42"/>
    <w:rsid w:val="007C2BD5"/>
    <w:rsid w:val="007C2BE1"/>
    <w:rsid w:val="007C3528"/>
    <w:rsid w:val="007C3584"/>
    <w:rsid w:val="007C358E"/>
    <w:rsid w:val="007C39A4"/>
    <w:rsid w:val="007C3BA3"/>
    <w:rsid w:val="007C3FDB"/>
    <w:rsid w:val="007C415C"/>
    <w:rsid w:val="007C42F2"/>
    <w:rsid w:val="007C437A"/>
    <w:rsid w:val="007C4459"/>
    <w:rsid w:val="007C4556"/>
    <w:rsid w:val="007C4647"/>
    <w:rsid w:val="007C4AA1"/>
    <w:rsid w:val="007C4B6B"/>
    <w:rsid w:val="007C4B99"/>
    <w:rsid w:val="007C4C2C"/>
    <w:rsid w:val="007C5059"/>
    <w:rsid w:val="007C51C0"/>
    <w:rsid w:val="007C5319"/>
    <w:rsid w:val="007C5350"/>
    <w:rsid w:val="007C548C"/>
    <w:rsid w:val="007C551F"/>
    <w:rsid w:val="007C5648"/>
    <w:rsid w:val="007C5A55"/>
    <w:rsid w:val="007C5CB0"/>
    <w:rsid w:val="007C5CF4"/>
    <w:rsid w:val="007C5DC8"/>
    <w:rsid w:val="007C5DF6"/>
    <w:rsid w:val="007C5E47"/>
    <w:rsid w:val="007C5EF0"/>
    <w:rsid w:val="007C5F55"/>
    <w:rsid w:val="007C613F"/>
    <w:rsid w:val="007C61F0"/>
    <w:rsid w:val="007C61F3"/>
    <w:rsid w:val="007C623B"/>
    <w:rsid w:val="007C6459"/>
    <w:rsid w:val="007C67EB"/>
    <w:rsid w:val="007C6888"/>
    <w:rsid w:val="007C6974"/>
    <w:rsid w:val="007C69E0"/>
    <w:rsid w:val="007C69F1"/>
    <w:rsid w:val="007C6A2C"/>
    <w:rsid w:val="007C6A8F"/>
    <w:rsid w:val="007C6CD3"/>
    <w:rsid w:val="007C6CE0"/>
    <w:rsid w:val="007C6E6B"/>
    <w:rsid w:val="007C73B3"/>
    <w:rsid w:val="007C7442"/>
    <w:rsid w:val="007C775D"/>
    <w:rsid w:val="007C78D7"/>
    <w:rsid w:val="007C7B3E"/>
    <w:rsid w:val="007C7DCB"/>
    <w:rsid w:val="007C7E54"/>
    <w:rsid w:val="007D0037"/>
    <w:rsid w:val="007D0516"/>
    <w:rsid w:val="007D05E5"/>
    <w:rsid w:val="007D064B"/>
    <w:rsid w:val="007D0721"/>
    <w:rsid w:val="007D098E"/>
    <w:rsid w:val="007D0BFE"/>
    <w:rsid w:val="007D0C85"/>
    <w:rsid w:val="007D0E10"/>
    <w:rsid w:val="007D0E3E"/>
    <w:rsid w:val="007D0EBB"/>
    <w:rsid w:val="007D1055"/>
    <w:rsid w:val="007D1141"/>
    <w:rsid w:val="007D11A3"/>
    <w:rsid w:val="007D1548"/>
    <w:rsid w:val="007D154D"/>
    <w:rsid w:val="007D167B"/>
    <w:rsid w:val="007D18F8"/>
    <w:rsid w:val="007D1AE7"/>
    <w:rsid w:val="007D1B58"/>
    <w:rsid w:val="007D1F2A"/>
    <w:rsid w:val="007D209B"/>
    <w:rsid w:val="007D21D7"/>
    <w:rsid w:val="007D2293"/>
    <w:rsid w:val="007D2299"/>
    <w:rsid w:val="007D258D"/>
    <w:rsid w:val="007D2703"/>
    <w:rsid w:val="007D278D"/>
    <w:rsid w:val="007D28D9"/>
    <w:rsid w:val="007D291B"/>
    <w:rsid w:val="007D2962"/>
    <w:rsid w:val="007D29CA"/>
    <w:rsid w:val="007D2A05"/>
    <w:rsid w:val="007D2AB0"/>
    <w:rsid w:val="007D2C32"/>
    <w:rsid w:val="007D2D8C"/>
    <w:rsid w:val="007D2E3F"/>
    <w:rsid w:val="007D2E9C"/>
    <w:rsid w:val="007D2FD4"/>
    <w:rsid w:val="007D3159"/>
    <w:rsid w:val="007D3214"/>
    <w:rsid w:val="007D34C5"/>
    <w:rsid w:val="007D355B"/>
    <w:rsid w:val="007D3A54"/>
    <w:rsid w:val="007D42A7"/>
    <w:rsid w:val="007D42DF"/>
    <w:rsid w:val="007D42FB"/>
    <w:rsid w:val="007D44AF"/>
    <w:rsid w:val="007D44C3"/>
    <w:rsid w:val="007D4541"/>
    <w:rsid w:val="007D46A2"/>
    <w:rsid w:val="007D475D"/>
    <w:rsid w:val="007D47E4"/>
    <w:rsid w:val="007D4AE8"/>
    <w:rsid w:val="007D4CD2"/>
    <w:rsid w:val="007D4D51"/>
    <w:rsid w:val="007D4F18"/>
    <w:rsid w:val="007D4F23"/>
    <w:rsid w:val="007D4F2F"/>
    <w:rsid w:val="007D4F3A"/>
    <w:rsid w:val="007D4F49"/>
    <w:rsid w:val="007D52D1"/>
    <w:rsid w:val="007D53D6"/>
    <w:rsid w:val="007D54A8"/>
    <w:rsid w:val="007D5568"/>
    <w:rsid w:val="007D55A5"/>
    <w:rsid w:val="007D5600"/>
    <w:rsid w:val="007D566A"/>
    <w:rsid w:val="007D5705"/>
    <w:rsid w:val="007D5751"/>
    <w:rsid w:val="007D587C"/>
    <w:rsid w:val="007D58F8"/>
    <w:rsid w:val="007D59A7"/>
    <w:rsid w:val="007D5AA2"/>
    <w:rsid w:val="007D5B69"/>
    <w:rsid w:val="007D5BFE"/>
    <w:rsid w:val="007D613E"/>
    <w:rsid w:val="007D622C"/>
    <w:rsid w:val="007D62A1"/>
    <w:rsid w:val="007D652A"/>
    <w:rsid w:val="007D657B"/>
    <w:rsid w:val="007D65B2"/>
    <w:rsid w:val="007D65CF"/>
    <w:rsid w:val="007D677D"/>
    <w:rsid w:val="007D67CE"/>
    <w:rsid w:val="007D6813"/>
    <w:rsid w:val="007D686C"/>
    <w:rsid w:val="007D690F"/>
    <w:rsid w:val="007D6A3E"/>
    <w:rsid w:val="007D6D01"/>
    <w:rsid w:val="007D6D13"/>
    <w:rsid w:val="007D6D1F"/>
    <w:rsid w:val="007D6E81"/>
    <w:rsid w:val="007D6E9A"/>
    <w:rsid w:val="007D6F52"/>
    <w:rsid w:val="007D6F56"/>
    <w:rsid w:val="007D6F79"/>
    <w:rsid w:val="007D701E"/>
    <w:rsid w:val="007D703C"/>
    <w:rsid w:val="007D7089"/>
    <w:rsid w:val="007D7261"/>
    <w:rsid w:val="007D750B"/>
    <w:rsid w:val="007D7594"/>
    <w:rsid w:val="007D7598"/>
    <w:rsid w:val="007D773E"/>
    <w:rsid w:val="007D7837"/>
    <w:rsid w:val="007D78A0"/>
    <w:rsid w:val="007D78A9"/>
    <w:rsid w:val="007D7A46"/>
    <w:rsid w:val="007D7B6C"/>
    <w:rsid w:val="007D7C9E"/>
    <w:rsid w:val="007D7F42"/>
    <w:rsid w:val="007E0102"/>
    <w:rsid w:val="007E0114"/>
    <w:rsid w:val="007E018E"/>
    <w:rsid w:val="007E0215"/>
    <w:rsid w:val="007E0365"/>
    <w:rsid w:val="007E043B"/>
    <w:rsid w:val="007E0855"/>
    <w:rsid w:val="007E0937"/>
    <w:rsid w:val="007E0B23"/>
    <w:rsid w:val="007E0BFC"/>
    <w:rsid w:val="007E0C51"/>
    <w:rsid w:val="007E0DB6"/>
    <w:rsid w:val="007E1004"/>
    <w:rsid w:val="007E1046"/>
    <w:rsid w:val="007E117C"/>
    <w:rsid w:val="007E12D4"/>
    <w:rsid w:val="007E12E5"/>
    <w:rsid w:val="007E1300"/>
    <w:rsid w:val="007E1386"/>
    <w:rsid w:val="007E14FB"/>
    <w:rsid w:val="007E15FF"/>
    <w:rsid w:val="007E165B"/>
    <w:rsid w:val="007E1742"/>
    <w:rsid w:val="007E1EF9"/>
    <w:rsid w:val="007E21C2"/>
    <w:rsid w:val="007E22EC"/>
    <w:rsid w:val="007E24D4"/>
    <w:rsid w:val="007E2539"/>
    <w:rsid w:val="007E265F"/>
    <w:rsid w:val="007E27A3"/>
    <w:rsid w:val="007E27A9"/>
    <w:rsid w:val="007E2914"/>
    <w:rsid w:val="007E29E8"/>
    <w:rsid w:val="007E2B73"/>
    <w:rsid w:val="007E2D6B"/>
    <w:rsid w:val="007E306A"/>
    <w:rsid w:val="007E30F6"/>
    <w:rsid w:val="007E330B"/>
    <w:rsid w:val="007E3387"/>
    <w:rsid w:val="007E34AC"/>
    <w:rsid w:val="007E34FD"/>
    <w:rsid w:val="007E3D29"/>
    <w:rsid w:val="007E3D56"/>
    <w:rsid w:val="007E3E43"/>
    <w:rsid w:val="007E3E51"/>
    <w:rsid w:val="007E3E74"/>
    <w:rsid w:val="007E4357"/>
    <w:rsid w:val="007E4480"/>
    <w:rsid w:val="007E44AA"/>
    <w:rsid w:val="007E473C"/>
    <w:rsid w:val="007E47FB"/>
    <w:rsid w:val="007E4881"/>
    <w:rsid w:val="007E4911"/>
    <w:rsid w:val="007E4972"/>
    <w:rsid w:val="007E4B6C"/>
    <w:rsid w:val="007E4CB6"/>
    <w:rsid w:val="007E4DCC"/>
    <w:rsid w:val="007E4DD0"/>
    <w:rsid w:val="007E4EE8"/>
    <w:rsid w:val="007E4F1B"/>
    <w:rsid w:val="007E504B"/>
    <w:rsid w:val="007E5133"/>
    <w:rsid w:val="007E5187"/>
    <w:rsid w:val="007E5311"/>
    <w:rsid w:val="007E5446"/>
    <w:rsid w:val="007E59E3"/>
    <w:rsid w:val="007E5ABA"/>
    <w:rsid w:val="007E5B3C"/>
    <w:rsid w:val="007E5B81"/>
    <w:rsid w:val="007E5C09"/>
    <w:rsid w:val="007E5CDB"/>
    <w:rsid w:val="007E5E7E"/>
    <w:rsid w:val="007E6084"/>
    <w:rsid w:val="007E6122"/>
    <w:rsid w:val="007E6199"/>
    <w:rsid w:val="007E629E"/>
    <w:rsid w:val="007E63C5"/>
    <w:rsid w:val="007E660D"/>
    <w:rsid w:val="007E66A5"/>
    <w:rsid w:val="007E6742"/>
    <w:rsid w:val="007E69E4"/>
    <w:rsid w:val="007E6A49"/>
    <w:rsid w:val="007E6C39"/>
    <w:rsid w:val="007E6D74"/>
    <w:rsid w:val="007E6DC4"/>
    <w:rsid w:val="007E6EB2"/>
    <w:rsid w:val="007E711B"/>
    <w:rsid w:val="007E7226"/>
    <w:rsid w:val="007E72B0"/>
    <w:rsid w:val="007E7583"/>
    <w:rsid w:val="007E7603"/>
    <w:rsid w:val="007E761D"/>
    <w:rsid w:val="007E7740"/>
    <w:rsid w:val="007E782D"/>
    <w:rsid w:val="007E7978"/>
    <w:rsid w:val="007E7BDC"/>
    <w:rsid w:val="007E7BDE"/>
    <w:rsid w:val="007E7D84"/>
    <w:rsid w:val="007E7DC1"/>
    <w:rsid w:val="007E7EA5"/>
    <w:rsid w:val="007F0000"/>
    <w:rsid w:val="007F01A1"/>
    <w:rsid w:val="007F035D"/>
    <w:rsid w:val="007F05A9"/>
    <w:rsid w:val="007F070D"/>
    <w:rsid w:val="007F0841"/>
    <w:rsid w:val="007F08F7"/>
    <w:rsid w:val="007F098A"/>
    <w:rsid w:val="007F09F8"/>
    <w:rsid w:val="007F09F9"/>
    <w:rsid w:val="007F0BCC"/>
    <w:rsid w:val="007F0C98"/>
    <w:rsid w:val="007F0DCD"/>
    <w:rsid w:val="007F1003"/>
    <w:rsid w:val="007F1191"/>
    <w:rsid w:val="007F11EC"/>
    <w:rsid w:val="007F1270"/>
    <w:rsid w:val="007F1362"/>
    <w:rsid w:val="007F153A"/>
    <w:rsid w:val="007F19CA"/>
    <w:rsid w:val="007F1A92"/>
    <w:rsid w:val="007F1A9A"/>
    <w:rsid w:val="007F1AE2"/>
    <w:rsid w:val="007F1CF0"/>
    <w:rsid w:val="007F1DC4"/>
    <w:rsid w:val="007F1F2F"/>
    <w:rsid w:val="007F1FCA"/>
    <w:rsid w:val="007F2122"/>
    <w:rsid w:val="007F216F"/>
    <w:rsid w:val="007F22F6"/>
    <w:rsid w:val="007F2420"/>
    <w:rsid w:val="007F25B5"/>
    <w:rsid w:val="007F2658"/>
    <w:rsid w:val="007F26F5"/>
    <w:rsid w:val="007F27D2"/>
    <w:rsid w:val="007F2952"/>
    <w:rsid w:val="007F2AB1"/>
    <w:rsid w:val="007F2D3A"/>
    <w:rsid w:val="007F2ED3"/>
    <w:rsid w:val="007F2F2F"/>
    <w:rsid w:val="007F3055"/>
    <w:rsid w:val="007F3251"/>
    <w:rsid w:val="007F3332"/>
    <w:rsid w:val="007F36A6"/>
    <w:rsid w:val="007F3768"/>
    <w:rsid w:val="007F38A4"/>
    <w:rsid w:val="007F38E8"/>
    <w:rsid w:val="007F390F"/>
    <w:rsid w:val="007F39DA"/>
    <w:rsid w:val="007F3A61"/>
    <w:rsid w:val="007F3B36"/>
    <w:rsid w:val="007F3CE0"/>
    <w:rsid w:val="007F3D09"/>
    <w:rsid w:val="007F3D79"/>
    <w:rsid w:val="007F3DA6"/>
    <w:rsid w:val="007F3DD4"/>
    <w:rsid w:val="007F3FB3"/>
    <w:rsid w:val="007F4012"/>
    <w:rsid w:val="007F4090"/>
    <w:rsid w:val="007F42A7"/>
    <w:rsid w:val="007F4338"/>
    <w:rsid w:val="007F43A8"/>
    <w:rsid w:val="007F43AA"/>
    <w:rsid w:val="007F44BE"/>
    <w:rsid w:val="007F456C"/>
    <w:rsid w:val="007F45F7"/>
    <w:rsid w:val="007F463C"/>
    <w:rsid w:val="007F46C3"/>
    <w:rsid w:val="007F47B2"/>
    <w:rsid w:val="007F47DA"/>
    <w:rsid w:val="007F4819"/>
    <w:rsid w:val="007F4AEB"/>
    <w:rsid w:val="007F4BE1"/>
    <w:rsid w:val="007F4F10"/>
    <w:rsid w:val="007F5045"/>
    <w:rsid w:val="007F548E"/>
    <w:rsid w:val="007F5659"/>
    <w:rsid w:val="007F56E4"/>
    <w:rsid w:val="007F5B8E"/>
    <w:rsid w:val="007F5D55"/>
    <w:rsid w:val="007F5D70"/>
    <w:rsid w:val="007F61AC"/>
    <w:rsid w:val="007F631B"/>
    <w:rsid w:val="007F632C"/>
    <w:rsid w:val="007F63DD"/>
    <w:rsid w:val="007F63F5"/>
    <w:rsid w:val="007F6481"/>
    <w:rsid w:val="007F661B"/>
    <w:rsid w:val="007F6C36"/>
    <w:rsid w:val="007F6EA6"/>
    <w:rsid w:val="007F6F20"/>
    <w:rsid w:val="007F7066"/>
    <w:rsid w:val="007F72C0"/>
    <w:rsid w:val="007F73B5"/>
    <w:rsid w:val="007F73D2"/>
    <w:rsid w:val="007F74EC"/>
    <w:rsid w:val="007F75E6"/>
    <w:rsid w:val="007F75F5"/>
    <w:rsid w:val="007F7643"/>
    <w:rsid w:val="007F77B1"/>
    <w:rsid w:val="007F788F"/>
    <w:rsid w:val="007F7983"/>
    <w:rsid w:val="007F7A24"/>
    <w:rsid w:val="007F7BDB"/>
    <w:rsid w:val="007F7D30"/>
    <w:rsid w:val="007F7D32"/>
    <w:rsid w:val="007F7E74"/>
    <w:rsid w:val="008000FD"/>
    <w:rsid w:val="00800114"/>
    <w:rsid w:val="00800223"/>
    <w:rsid w:val="00800402"/>
    <w:rsid w:val="00800703"/>
    <w:rsid w:val="00800835"/>
    <w:rsid w:val="0080092E"/>
    <w:rsid w:val="0080097B"/>
    <w:rsid w:val="00800A4E"/>
    <w:rsid w:val="00800ACB"/>
    <w:rsid w:val="00800BC6"/>
    <w:rsid w:val="00800DD0"/>
    <w:rsid w:val="00800DDC"/>
    <w:rsid w:val="008010D7"/>
    <w:rsid w:val="008011AE"/>
    <w:rsid w:val="00801203"/>
    <w:rsid w:val="00801392"/>
    <w:rsid w:val="008014E3"/>
    <w:rsid w:val="00801590"/>
    <w:rsid w:val="008015EB"/>
    <w:rsid w:val="008017B8"/>
    <w:rsid w:val="00801843"/>
    <w:rsid w:val="0080193B"/>
    <w:rsid w:val="00801A53"/>
    <w:rsid w:val="00801ACB"/>
    <w:rsid w:val="00801AE7"/>
    <w:rsid w:val="00801B15"/>
    <w:rsid w:val="00801C92"/>
    <w:rsid w:val="00801F2E"/>
    <w:rsid w:val="00801FE6"/>
    <w:rsid w:val="0080206A"/>
    <w:rsid w:val="008020A8"/>
    <w:rsid w:val="00802122"/>
    <w:rsid w:val="008021C0"/>
    <w:rsid w:val="008021FF"/>
    <w:rsid w:val="0080228D"/>
    <w:rsid w:val="008025D2"/>
    <w:rsid w:val="00802716"/>
    <w:rsid w:val="008027B0"/>
    <w:rsid w:val="00802835"/>
    <w:rsid w:val="00802863"/>
    <w:rsid w:val="00802ADB"/>
    <w:rsid w:val="00802C2C"/>
    <w:rsid w:val="00802E3C"/>
    <w:rsid w:val="00802E77"/>
    <w:rsid w:val="00803094"/>
    <w:rsid w:val="008031F7"/>
    <w:rsid w:val="0080368A"/>
    <w:rsid w:val="00803716"/>
    <w:rsid w:val="0080373E"/>
    <w:rsid w:val="008038A5"/>
    <w:rsid w:val="008038B0"/>
    <w:rsid w:val="00803932"/>
    <w:rsid w:val="00803B5F"/>
    <w:rsid w:val="00803BA3"/>
    <w:rsid w:val="00803DA2"/>
    <w:rsid w:val="00803E9E"/>
    <w:rsid w:val="0080409C"/>
    <w:rsid w:val="008040E6"/>
    <w:rsid w:val="00804260"/>
    <w:rsid w:val="0080434D"/>
    <w:rsid w:val="00804379"/>
    <w:rsid w:val="008043D9"/>
    <w:rsid w:val="0080441A"/>
    <w:rsid w:val="00804609"/>
    <w:rsid w:val="008046C6"/>
    <w:rsid w:val="00804953"/>
    <w:rsid w:val="008049BA"/>
    <w:rsid w:val="00804A83"/>
    <w:rsid w:val="00804AA5"/>
    <w:rsid w:val="00804C54"/>
    <w:rsid w:val="00804C9E"/>
    <w:rsid w:val="00804D59"/>
    <w:rsid w:val="00804DC4"/>
    <w:rsid w:val="008050CD"/>
    <w:rsid w:val="0080537E"/>
    <w:rsid w:val="008054FD"/>
    <w:rsid w:val="00805584"/>
    <w:rsid w:val="008055CA"/>
    <w:rsid w:val="008057A7"/>
    <w:rsid w:val="0080586A"/>
    <w:rsid w:val="00805892"/>
    <w:rsid w:val="008058C2"/>
    <w:rsid w:val="00805A89"/>
    <w:rsid w:val="00805AE2"/>
    <w:rsid w:val="00805D67"/>
    <w:rsid w:val="00805EDF"/>
    <w:rsid w:val="008060BD"/>
    <w:rsid w:val="0080618E"/>
    <w:rsid w:val="0080619C"/>
    <w:rsid w:val="00806297"/>
    <w:rsid w:val="008063BD"/>
    <w:rsid w:val="008063D1"/>
    <w:rsid w:val="0080659D"/>
    <w:rsid w:val="008068AA"/>
    <w:rsid w:val="00806917"/>
    <w:rsid w:val="00806B1D"/>
    <w:rsid w:val="00806C97"/>
    <w:rsid w:val="00806D10"/>
    <w:rsid w:val="00806ECD"/>
    <w:rsid w:val="00806F18"/>
    <w:rsid w:val="00806F91"/>
    <w:rsid w:val="0080727B"/>
    <w:rsid w:val="008072C9"/>
    <w:rsid w:val="00807388"/>
    <w:rsid w:val="00807435"/>
    <w:rsid w:val="00807496"/>
    <w:rsid w:val="00807527"/>
    <w:rsid w:val="00807531"/>
    <w:rsid w:val="0080766D"/>
    <w:rsid w:val="008076EB"/>
    <w:rsid w:val="008078F3"/>
    <w:rsid w:val="00807A9F"/>
    <w:rsid w:val="00807BF1"/>
    <w:rsid w:val="00807C41"/>
    <w:rsid w:val="00807C94"/>
    <w:rsid w:val="00807D06"/>
    <w:rsid w:val="00807E12"/>
    <w:rsid w:val="00810091"/>
    <w:rsid w:val="008100BB"/>
    <w:rsid w:val="0081022B"/>
    <w:rsid w:val="008102B6"/>
    <w:rsid w:val="008102BF"/>
    <w:rsid w:val="008103A3"/>
    <w:rsid w:val="0081050B"/>
    <w:rsid w:val="00810564"/>
    <w:rsid w:val="00810566"/>
    <w:rsid w:val="0081076F"/>
    <w:rsid w:val="00810845"/>
    <w:rsid w:val="0081088D"/>
    <w:rsid w:val="00810900"/>
    <w:rsid w:val="0081097A"/>
    <w:rsid w:val="00810A68"/>
    <w:rsid w:val="00810C53"/>
    <w:rsid w:val="00810F7E"/>
    <w:rsid w:val="00810FC8"/>
    <w:rsid w:val="00811130"/>
    <w:rsid w:val="008111AF"/>
    <w:rsid w:val="00811249"/>
    <w:rsid w:val="00811252"/>
    <w:rsid w:val="0081131C"/>
    <w:rsid w:val="008113AC"/>
    <w:rsid w:val="008113F2"/>
    <w:rsid w:val="00811655"/>
    <w:rsid w:val="0081168A"/>
    <w:rsid w:val="00811726"/>
    <w:rsid w:val="008118FC"/>
    <w:rsid w:val="0081195B"/>
    <w:rsid w:val="00811A9E"/>
    <w:rsid w:val="00811BE7"/>
    <w:rsid w:val="00811FCF"/>
    <w:rsid w:val="008120A7"/>
    <w:rsid w:val="0081219B"/>
    <w:rsid w:val="008122A3"/>
    <w:rsid w:val="008126A1"/>
    <w:rsid w:val="00812722"/>
    <w:rsid w:val="00812AFE"/>
    <w:rsid w:val="00812B10"/>
    <w:rsid w:val="0081311F"/>
    <w:rsid w:val="0081327C"/>
    <w:rsid w:val="008132E5"/>
    <w:rsid w:val="00813513"/>
    <w:rsid w:val="0081363B"/>
    <w:rsid w:val="008139AF"/>
    <w:rsid w:val="008139B9"/>
    <w:rsid w:val="00813A44"/>
    <w:rsid w:val="00813BAF"/>
    <w:rsid w:val="00813CA4"/>
    <w:rsid w:val="00813E02"/>
    <w:rsid w:val="00814309"/>
    <w:rsid w:val="00814350"/>
    <w:rsid w:val="00814361"/>
    <w:rsid w:val="008143E1"/>
    <w:rsid w:val="008144A2"/>
    <w:rsid w:val="00814507"/>
    <w:rsid w:val="0081462E"/>
    <w:rsid w:val="00814630"/>
    <w:rsid w:val="0081483C"/>
    <w:rsid w:val="0081483E"/>
    <w:rsid w:val="00814901"/>
    <w:rsid w:val="0081495B"/>
    <w:rsid w:val="00814D7B"/>
    <w:rsid w:val="00814EF1"/>
    <w:rsid w:val="00814FE4"/>
    <w:rsid w:val="00814FE9"/>
    <w:rsid w:val="00815101"/>
    <w:rsid w:val="00815328"/>
    <w:rsid w:val="0081533F"/>
    <w:rsid w:val="00815554"/>
    <w:rsid w:val="00815E5D"/>
    <w:rsid w:val="00816169"/>
    <w:rsid w:val="00816328"/>
    <w:rsid w:val="00816379"/>
    <w:rsid w:val="0081653C"/>
    <w:rsid w:val="0081655B"/>
    <w:rsid w:val="008165CA"/>
    <w:rsid w:val="008168CF"/>
    <w:rsid w:val="00816955"/>
    <w:rsid w:val="00816AE0"/>
    <w:rsid w:val="00816BBC"/>
    <w:rsid w:val="00816C57"/>
    <w:rsid w:val="00816F6C"/>
    <w:rsid w:val="00816FC2"/>
    <w:rsid w:val="00817023"/>
    <w:rsid w:val="0081706A"/>
    <w:rsid w:val="0081728D"/>
    <w:rsid w:val="00817407"/>
    <w:rsid w:val="00817420"/>
    <w:rsid w:val="008174E0"/>
    <w:rsid w:val="00817508"/>
    <w:rsid w:val="00817755"/>
    <w:rsid w:val="00817826"/>
    <w:rsid w:val="00817934"/>
    <w:rsid w:val="00817B44"/>
    <w:rsid w:val="00817C27"/>
    <w:rsid w:val="00817C79"/>
    <w:rsid w:val="00817D91"/>
    <w:rsid w:val="00817DE6"/>
    <w:rsid w:val="00817EB3"/>
    <w:rsid w:val="00817FAC"/>
    <w:rsid w:val="00817FE3"/>
    <w:rsid w:val="008201F7"/>
    <w:rsid w:val="008203C5"/>
    <w:rsid w:val="008203E0"/>
    <w:rsid w:val="008207D8"/>
    <w:rsid w:val="00820ADB"/>
    <w:rsid w:val="00820D27"/>
    <w:rsid w:val="00820F33"/>
    <w:rsid w:val="00821050"/>
    <w:rsid w:val="008211D2"/>
    <w:rsid w:val="00821203"/>
    <w:rsid w:val="00821332"/>
    <w:rsid w:val="00821453"/>
    <w:rsid w:val="0082148B"/>
    <w:rsid w:val="00821494"/>
    <w:rsid w:val="008214FC"/>
    <w:rsid w:val="00821515"/>
    <w:rsid w:val="0082165A"/>
    <w:rsid w:val="0082178B"/>
    <w:rsid w:val="00821B53"/>
    <w:rsid w:val="00821EB2"/>
    <w:rsid w:val="00821EC3"/>
    <w:rsid w:val="0082233D"/>
    <w:rsid w:val="00822349"/>
    <w:rsid w:val="00822531"/>
    <w:rsid w:val="0082257F"/>
    <w:rsid w:val="00822715"/>
    <w:rsid w:val="00822878"/>
    <w:rsid w:val="00822889"/>
    <w:rsid w:val="008228C5"/>
    <w:rsid w:val="008229E9"/>
    <w:rsid w:val="00822BF2"/>
    <w:rsid w:val="00822EB7"/>
    <w:rsid w:val="00823123"/>
    <w:rsid w:val="008233F5"/>
    <w:rsid w:val="00823409"/>
    <w:rsid w:val="00823475"/>
    <w:rsid w:val="0082348F"/>
    <w:rsid w:val="00823631"/>
    <w:rsid w:val="008236C5"/>
    <w:rsid w:val="00823721"/>
    <w:rsid w:val="00823798"/>
    <w:rsid w:val="008237E5"/>
    <w:rsid w:val="00823A61"/>
    <w:rsid w:val="00823C15"/>
    <w:rsid w:val="00823C86"/>
    <w:rsid w:val="00823E83"/>
    <w:rsid w:val="00823EA8"/>
    <w:rsid w:val="00823F32"/>
    <w:rsid w:val="00824012"/>
    <w:rsid w:val="00824124"/>
    <w:rsid w:val="0082432A"/>
    <w:rsid w:val="00824537"/>
    <w:rsid w:val="00824D00"/>
    <w:rsid w:val="00824F8F"/>
    <w:rsid w:val="008251D1"/>
    <w:rsid w:val="0082521B"/>
    <w:rsid w:val="0082523F"/>
    <w:rsid w:val="0082542D"/>
    <w:rsid w:val="008256DB"/>
    <w:rsid w:val="008256EF"/>
    <w:rsid w:val="00825925"/>
    <w:rsid w:val="00825947"/>
    <w:rsid w:val="0082594F"/>
    <w:rsid w:val="00825A52"/>
    <w:rsid w:val="00825D12"/>
    <w:rsid w:val="00825DA2"/>
    <w:rsid w:val="00825DB9"/>
    <w:rsid w:val="00825F7E"/>
    <w:rsid w:val="00826234"/>
    <w:rsid w:val="00826327"/>
    <w:rsid w:val="008263D7"/>
    <w:rsid w:val="00826488"/>
    <w:rsid w:val="00826600"/>
    <w:rsid w:val="008268F7"/>
    <w:rsid w:val="0082694D"/>
    <w:rsid w:val="00826AD7"/>
    <w:rsid w:val="00826B04"/>
    <w:rsid w:val="00826BAB"/>
    <w:rsid w:val="00826C1E"/>
    <w:rsid w:val="00826C7F"/>
    <w:rsid w:val="00826D27"/>
    <w:rsid w:val="00826D86"/>
    <w:rsid w:val="00826EE0"/>
    <w:rsid w:val="00826FC5"/>
    <w:rsid w:val="00826FCB"/>
    <w:rsid w:val="00826FEB"/>
    <w:rsid w:val="00827031"/>
    <w:rsid w:val="008270B4"/>
    <w:rsid w:val="0082717F"/>
    <w:rsid w:val="0082742C"/>
    <w:rsid w:val="00827692"/>
    <w:rsid w:val="00827755"/>
    <w:rsid w:val="008277EB"/>
    <w:rsid w:val="008277EC"/>
    <w:rsid w:val="00827900"/>
    <w:rsid w:val="00827914"/>
    <w:rsid w:val="00827A72"/>
    <w:rsid w:val="00827AA9"/>
    <w:rsid w:val="00827D81"/>
    <w:rsid w:val="00827D8B"/>
    <w:rsid w:val="00830182"/>
    <w:rsid w:val="00830221"/>
    <w:rsid w:val="008302EC"/>
    <w:rsid w:val="008303A1"/>
    <w:rsid w:val="00830408"/>
    <w:rsid w:val="00830415"/>
    <w:rsid w:val="008304D5"/>
    <w:rsid w:val="0083084A"/>
    <w:rsid w:val="00830962"/>
    <w:rsid w:val="00830ED8"/>
    <w:rsid w:val="00830EF6"/>
    <w:rsid w:val="00831113"/>
    <w:rsid w:val="0083121A"/>
    <w:rsid w:val="0083123B"/>
    <w:rsid w:val="00831331"/>
    <w:rsid w:val="0083133A"/>
    <w:rsid w:val="00831599"/>
    <w:rsid w:val="008315C5"/>
    <w:rsid w:val="00831615"/>
    <w:rsid w:val="008316AD"/>
    <w:rsid w:val="008316FE"/>
    <w:rsid w:val="00831BA0"/>
    <w:rsid w:val="00832008"/>
    <w:rsid w:val="0083213B"/>
    <w:rsid w:val="00832282"/>
    <w:rsid w:val="0083230B"/>
    <w:rsid w:val="00832571"/>
    <w:rsid w:val="00832627"/>
    <w:rsid w:val="008326CD"/>
    <w:rsid w:val="00832827"/>
    <w:rsid w:val="008328F0"/>
    <w:rsid w:val="00832927"/>
    <w:rsid w:val="008329DB"/>
    <w:rsid w:val="008329FF"/>
    <w:rsid w:val="00832CB5"/>
    <w:rsid w:val="00832F40"/>
    <w:rsid w:val="00833178"/>
    <w:rsid w:val="00833325"/>
    <w:rsid w:val="008333C0"/>
    <w:rsid w:val="008334B5"/>
    <w:rsid w:val="008334F1"/>
    <w:rsid w:val="00833623"/>
    <w:rsid w:val="0083363D"/>
    <w:rsid w:val="00833823"/>
    <w:rsid w:val="0083394B"/>
    <w:rsid w:val="008339C0"/>
    <w:rsid w:val="008339E7"/>
    <w:rsid w:val="00833B43"/>
    <w:rsid w:val="00833BAA"/>
    <w:rsid w:val="00833C10"/>
    <w:rsid w:val="00833D0A"/>
    <w:rsid w:val="00833F56"/>
    <w:rsid w:val="008342D9"/>
    <w:rsid w:val="0083430E"/>
    <w:rsid w:val="0083434C"/>
    <w:rsid w:val="0083435A"/>
    <w:rsid w:val="0083455F"/>
    <w:rsid w:val="00834633"/>
    <w:rsid w:val="00834708"/>
    <w:rsid w:val="00834750"/>
    <w:rsid w:val="00834801"/>
    <w:rsid w:val="008349F3"/>
    <w:rsid w:val="00834AB6"/>
    <w:rsid w:val="00834B98"/>
    <w:rsid w:val="00834BB2"/>
    <w:rsid w:val="00834F08"/>
    <w:rsid w:val="00835279"/>
    <w:rsid w:val="008352C2"/>
    <w:rsid w:val="00835302"/>
    <w:rsid w:val="0083533C"/>
    <w:rsid w:val="0083535A"/>
    <w:rsid w:val="00835449"/>
    <w:rsid w:val="0083544C"/>
    <w:rsid w:val="00835595"/>
    <w:rsid w:val="0083584A"/>
    <w:rsid w:val="008359E3"/>
    <w:rsid w:val="008359E6"/>
    <w:rsid w:val="00835A59"/>
    <w:rsid w:val="00835CFA"/>
    <w:rsid w:val="00835EC4"/>
    <w:rsid w:val="00835F17"/>
    <w:rsid w:val="0083613C"/>
    <w:rsid w:val="0083617E"/>
    <w:rsid w:val="00836366"/>
    <w:rsid w:val="00836378"/>
    <w:rsid w:val="00836460"/>
    <w:rsid w:val="0083672B"/>
    <w:rsid w:val="0083678D"/>
    <w:rsid w:val="008368DE"/>
    <w:rsid w:val="00836964"/>
    <w:rsid w:val="008369F3"/>
    <w:rsid w:val="00836CDD"/>
    <w:rsid w:val="008372C1"/>
    <w:rsid w:val="00837578"/>
    <w:rsid w:val="00837695"/>
    <w:rsid w:val="00837951"/>
    <w:rsid w:val="00837A92"/>
    <w:rsid w:val="00837AE0"/>
    <w:rsid w:val="00837B57"/>
    <w:rsid w:val="00837B93"/>
    <w:rsid w:val="00837BDA"/>
    <w:rsid w:val="00837F11"/>
    <w:rsid w:val="008400D1"/>
    <w:rsid w:val="008402FC"/>
    <w:rsid w:val="0084041B"/>
    <w:rsid w:val="0084043F"/>
    <w:rsid w:val="00840555"/>
    <w:rsid w:val="0084079C"/>
    <w:rsid w:val="0084081E"/>
    <w:rsid w:val="008408B7"/>
    <w:rsid w:val="00840946"/>
    <w:rsid w:val="00840A57"/>
    <w:rsid w:val="00840B02"/>
    <w:rsid w:val="00840CA1"/>
    <w:rsid w:val="00840EC9"/>
    <w:rsid w:val="00840FA8"/>
    <w:rsid w:val="0084101E"/>
    <w:rsid w:val="008412F8"/>
    <w:rsid w:val="00841550"/>
    <w:rsid w:val="00841599"/>
    <w:rsid w:val="0084167C"/>
    <w:rsid w:val="008416B2"/>
    <w:rsid w:val="0084173B"/>
    <w:rsid w:val="0084180D"/>
    <w:rsid w:val="00841AD6"/>
    <w:rsid w:val="00841D2F"/>
    <w:rsid w:val="00841E58"/>
    <w:rsid w:val="00841EAD"/>
    <w:rsid w:val="00842196"/>
    <w:rsid w:val="008423FB"/>
    <w:rsid w:val="008428E8"/>
    <w:rsid w:val="008429C9"/>
    <w:rsid w:val="00842AEA"/>
    <w:rsid w:val="00842C28"/>
    <w:rsid w:val="00842CD5"/>
    <w:rsid w:val="00842D0B"/>
    <w:rsid w:val="00842F86"/>
    <w:rsid w:val="00842F8A"/>
    <w:rsid w:val="0084315C"/>
    <w:rsid w:val="008435A6"/>
    <w:rsid w:val="008436F2"/>
    <w:rsid w:val="0084391F"/>
    <w:rsid w:val="00843A41"/>
    <w:rsid w:val="00843CE3"/>
    <w:rsid w:val="00844009"/>
    <w:rsid w:val="008440CA"/>
    <w:rsid w:val="0084417F"/>
    <w:rsid w:val="008441AF"/>
    <w:rsid w:val="008445DB"/>
    <w:rsid w:val="008447BF"/>
    <w:rsid w:val="008447D6"/>
    <w:rsid w:val="008448CE"/>
    <w:rsid w:val="00844995"/>
    <w:rsid w:val="008449D8"/>
    <w:rsid w:val="00844A22"/>
    <w:rsid w:val="00844C6A"/>
    <w:rsid w:val="00844C92"/>
    <w:rsid w:val="0084520A"/>
    <w:rsid w:val="00845213"/>
    <w:rsid w:val="008452D6"/>
    <w:rsid w:val="00845455"/>
    <w:rsid w:val="008455E6"/>
    <w:rsid w:val="008456AF"/>
    <w:rsid w:val="00845780"/>
    <w:rsid w:val="008459F1"/>
    <w:rsid w:val="00845A5D"/>
    <w:rsid w:val="00845C54"/>
    <w:rsid w:val="00845C92"/>
    <w:rsid w:val="00845D17"/>
    <w:rsid w:val="00845DD1"/>
    <w:rsid w:val="00845DFF"/>
    <w:rsid w:val="00845F08"/>
    <w:rsid w:val="008460FA"/>
    <w:rsid w:val="0084610F"/>
    <w:rsid w:val="008461E3"/>
    <w:rsid w:val="00846347"/>
    <w:rsid w:val="00846558"/>
    <w:rsid w:val="00846714"/>
    <w:rsid w:val="0084673D"/>
    <w:rsid w:val="00846753"/>
    <w:rsid w:val="008467D7"/>
    <w:rsid w:val="00846B5F"/>
    <w:rsid w:val="00846DDE"/>
    <w:rsid w:val="00847006"/>
    <w:rsid w:val="00847290"/>
    <w:rsid w:val="0084729E"/>
    <w:rsid w:val="008476C2"/>
    <w:rsid w:val="008478BA"/>
    <w:rsid w:val="00847952"/>
    <w:rsid w:val="00847A22"/>
    <w:rsid w:val="00847AA2"/>
    <w:rsid w:val="00847B2E"/>
    <w:rsid w:val="00847C67"/>
    <w:rsid w:val="00847F4E"/>
    <w:rsid w:val="00850111"/>
    <w:rsid w:val="00850128"/>
    <w:rsid w:val="00850391"/>
    <w:rsid w:val="0085039E"/>
    <w:rsid w:val="00850449"/>
    <w:rsid w:val="00850498"/>
    <w:rsid w:val="00850512"/>
    <w:rsid w:val="008506E7"/>
    <w:rsid w:val="00850800"/>
    <w:rsid w:val="00850BB9"/>
    <w:rsid w:val="00850C2A"/>
    <w:rsid w:val="00850DC4"/>
    <w:rsid w:val="00850EFF"/>
    <w:rsid w:val="00850FCB"/>
    <w:rsid w:val="00851101"/>
    <w:rsid w:val="0085115E"/>
    <w:rsid w:val="0085133A"/>
    <w:rsid w:val="008515B9"/>
    <w:rsid w:val="008517A5"/>
    <w:rsid w:val="0085184C"/>
    <w:rsid w:val="008518BC"/>
    <w:rsid w:val="00851BB8"/>
    <w:rsid w:val="00851CA6"/>
    <w:rsid w:val="00851DB9"/>
    <w:rsid w:val="00851DC0"/>
    <w:rsid w:val="00851DCD"/>
    <w:rsid w:val="00851DFB"/>
    <w:rsid w:val="00852017"/>
    <w:rsid w:val="008523D1"/>
    <w:rsid w:val="0085240A"/>
    <w:rsid w:val="008526A1"/>
    <w:rsid w:val="008528CB"/>
    <w:rsid w:val="0085295A"/>
    <w:rsid w:val="00852B62"/>
    <w:rsid w:val="00852F0E"/>
    <w:rsid w:val="008530DB"/>
    <w:rsid w:val="008532C5"/>
    <w:rsid w:val="008533C0"/>
    <w:rsid w:val="00853514"/>
    <w:rsid w:val="008539D2"/>
    <w:rsid w:val="00853CBE"/>
    <w:rsid w:val="00853D3E"/>
    <w:rsid w:val="00853D55"/>
    <w:rsid w:val="00853D99"/>
    <w:rsid w:val="00853E61"/>
    <w:rsid w:val="00853EB9"/>
    <w:rsid w:val="00853F4E"/>
    <w:rsid w:val="0085408A"/>
    <w:rsid w:val="008540C6"/>
    <w:rsid w:val="008541A4"/>
    <w:rsid w:val="008545C9"/>
    <w:rsid w:val="00854957"/>
    <w:rsid w:val="00854A8C"/>
    <w:rsid w:val="00854ABB"/>
    <w:rsid w:val="00854B52"/>
    <w:rsid w:val="00854BD2"/>
    <w:rsid w:val="00854F00"/>
    <w:rsid w:val="00854F3F"/>
    <w:rsid w:val="00854F59"/>
    <w:rsid w:val="00854F5F"/>
    <w:rsid w:val="00855014"/>
    <w:rsid w:val="008550A3"/>
    <w:rsid w:val="0085511D"/>
    <w:rsid w:val="0085520D"/>
    <w:rsid w:val="008553AF"/>
    <w:rsid w:val="00855805"/>
    <w:rsid w:val="008558A5"/>
    <w:rsid w:val="00855C18"/>
    <w:rsid w:val="00855CE0"/>
    <w:rsid w:val="00855D30"/>
    <w:rsid w:val="0085609B"/>
    <w:rsid w:val="00856215"/>
    <w:rsid w:val="008565E4"/>
    <w:rsid w:val="00856799"/>
    <w:rsid w:val="008568F7"/>
    <w:rsid w:val="0085693A"/>
    <w:rsid w:val="00856990"/>
    <w:rsid w:val="00856C5B"/>
    <w:rsid w:val="00856D3C"/>
    <w:rsid w:val="00856F57"/>
    <w:rsid w:val="008570E2"/>
    <w:rsid w:val="008571D3"/>
    <w:rsid w:val="00857206"/>
    <w:rsid w:val="0085721C"/>
    <w:rsid w:val="008572C3"/>
    <w:rsid w:val="008572F2"/>
    <w:rsid w:val="00857425"/>
    <w:rsid w:val="0085748E"/>
    <w:rsid w:val="0085762B"/>
    <w:rsid w:val="00857679"/>
    <w:rsid w:val="0085778D"/>
    <w:rsid w:val="008579AA"/>
    <w:rsid w:val="008579E8"/>
    <w:rsid w:val="00857A07"/>
    <w:rsid w:val="00857A5F"/>
    <w:rsid w:val="00857B70"/>
    <w:rsid w:val="00857B74"/>
    <w:rsid w:val="00857C2F"/>
    <w:rsid w:val="00857C71"/>
    <w:rsid w:val="00857ECB"/>
    <w:rsid w:val="00857F12"/>
    <w:rsid w:val="0086003E"/>
    <w:rsid w:val="00860150"/>
    <w:rsid w:val="008601F0"/>
    <w:rsid w:val="0086034A"/>
    <w:rsid w:val="008604D8"/>
    <w:rsid w:val="008604FB"/>
    <w:rsid w:val="008605C9"/>
    <w:rsid w:val="00860684"/>
    <w:rsid w:val="00860904"/>
    <w:rsid w:val="00860BD3"/>
    <w:rsid w:val="00860D9E"/>
    <w:rsid w:val="00860E45"/>
    <w:rsid w:val="00860F7F"/>
    <w:rsid w:val="0086133E"/>
    <w:rsid w:val="0086144A"/>
    <w:rsid w:val="008616C7"/>
    <w:rsid w:val="008616FF"/>
    <w:rsid w:val="0086177E"/>
    <w:rsid w:val="008618D0"/>
    <w:rsid w:val="00861AC7"/>
    <w:rsid w:val="00861BB4"/>
    <w:rsid w:val="00861D59"/>
    <w:rsid w:val="0086208D"/>
    <w:rsid w:val="00862170"/>
    <w:rsid w:val="008623F7"/>
    <w:rsid w:val="008624AA"/>
    <w:rsid w:val="00862578"/>
    <w:rsid w:val="00862601"/>
    <w:rsid w:val="00862668"/>
    <w:rsid w:val="00862832"/>
    <w:rsid w:val="008629CD"/>
    <w:rsid w:val="00862BC2"/>
    <w:rsid w:val="00862C86"/>
    <w:rsid w:val="00862D96"/>
    <w:rsid w:val="00862DCB"/>
    <w:rsid w:val="00862E3C"/>
    <w:rsid w:val="00862E3D"/>
    <w:rsid w:val="00862E4D"/>
    <w:rsid w:val="00862F4C"/>
    <w:rsid w:val="00863063"/>
    <w:rsid w:val="0086311A"/>
    <w:rsid w:val="008633F7"/>
    <w:rsid w:val="00863480"/>
    <w:rsid w:val="008634F9"/>
    <w:rsid w:val="008635C9"/>
    <w:rsid w:val="0086367E"/>
    <w:rsid w:val="00863706"/>
    <w:rsid w:val="0086374F"/>
    <w:rsid w:val="0086376A"/>
    <w:rsid w:val="00863B18"/>
    <w:rsid w:val="00863B97"/>
    <w:rsid w:val="00863BA1"/>
    <w:rsid w:val="00863C8A"/>
    <w:rsid w:val="00863D61"/>
    <w:rsid w:val="00863DCE"/>
    <w:rsid w:val="00863E59"/>
    <w:rsid w:val="00863F51"/>
    <w:rsid w:val="0086409B"/>
    <w:rsid w:val="00864182"/>
    <w:rsid w:val="008641EE"/>
    <w:rsid w:val="008644D9"/>
    <w:rsid w:val="008645EE"/>
    <w:rsid w:val="0086463A"/>
    <w:rsid w:val="008648D4"/>
    <w:rsid w:val="00864999"/>
    <w:rsid w:val="00864A04"/>
    <w:rsid w:val="00864B0E"/>
    <w:rsid w:val="00864BEC"/>
    <w:rsid w:val="00864DA7"/>
    <w:rsid w:val="00864DD0"/>
    <w:rsid w:val="00864F69"/>
    <w:rsid w:val="00865198"/>
    <w:rsid w:val="00865268"/>
    <w:rsid w:val="008652EA"/>
    <w:rsid w:val="0086531E"/>
    <w:rsid w:val="008653F5"/>
    <w:rsid w:val="00865477"/>
    <w:rsid w:val="008655D2"/>
    <w:rsid w:val="008656B3"/>
    <w:rsid w:val="008656D8"/>
    <w:rsid w:val="00865787"/>
    <w:rsid w:val="0086582C"/>
    <w:rsid w:val="00865BB5"/>
    <w:rsid w:val="00865C35"/>
    <w:rsid w:val="00865D2C"/>
    <w:rsid w:val="00865E49"/>
    <w:rsid w:val="00866028"/>
    <w:rsid w:val="008660C8"/>
    <w:rsid w:val="00866344"/>
    <w:rsid w:val="008663EE"/>
    <w:rsid w:val="0086645F"/>
    <w:rsid w:val="008665BA"/>
    <w:rsid w:val="008665D5"/>
    <w:rsid w:val="00866609"/>
    <w:rsid w:val="0086689D"/>
    <w:rsid w:val="008669E1"/>
    <w:rsid w:val="00866A0C"/>
    <w:rsid w:val="00866A95"/>
    <w:rsid w:val="00866B95"/>
    <w:rsid w:val="00866C9D"/>
    <w:rsid w:val="00866DFB"/>
    <w:rsid w:val="00866F3D"/>
    <w:rsid w:val="0086708E"/>
    <w:rsid w:val="0086721A"/>
    <w:rsid w:val="00867266"/>
    <w:rsid w:val="008676BC"/>
    <w:rsid w:val="00867722"/>
    <w:rsid w:val="00867729"/>
    <w:rsid w:val="00867884"/>
    <w:rsid w:val="008678C2"/>
    <w:rsid w:val="008679D4"/>
    <w:rsid w:val="00867A4E"/>
    <w:rsid w:val="00867E5A"/>
    <w:rsid w:val="00867F24"/>
    <w:rsid w:val="008700F4"/>
    <w:rsid w:val="00870111"/>
    <w:rsid w:val="00870233"/>
    <w:rsid w:val="00870373"/>
    <w:rsid w:val="00870380"/>
    <w:rsid w:val="00870B38"/>
    <w:rsid w:val="00870B83"/>
    <w:rsid w:val="00870B88"/>
    <w:rsid w:val="00870BB6"/>
    <w:rsid w:val="008710B1"/>
    <w:rsid w:val="008710DA"/>
    <w:rsid w:val="00871123"/>
    <w:rsid w:val="008714AD"/>
    <w:rsid w:val="008714E6"/>
    <w:rsid w:val="008715C0"/>
    <w:rsid w:val="00871828"/>
    <w:rsid w:val="00871B75"/>
    <w:rsid w:val="00871C03"/>
    <w:rsid w:val="00871D6F"/>
    <w:rsid w:val="00871D92"/>
    <w:rsid w:val="00871E05"/>
    <w:rsid w:val="00871FFD"/>
    <w:rsid w:val="00872225"/>
    <w:rsid w:val="00872292"/>
    <w:rsid w:val="008722E3"/>
    <w:rsid w:val="008723A7"/>
    <w:rsid w:val="00872648"/>
    <w:rsid w:val="00872661"/>
    <w:rsid w:val="00872965"/>
    <w:rsid w:val="008729FA"/>
    <w:rsid w:val="00872A88"/>
    <w:rsid w:val="00872B33"/>
    <w:rsid w:val="00873108"/>
    <w:rsid w:val="0087357D"/>
    <w:rsid w:val="008737AA"/>
    <w:rsid w:val="008737EE"/>
    <w:rsid w:val="0087384D"/>
    <w:rsid w:val="00873943"/>
    <w:rsid w:val="00873A8A"/>
    <w:rsid w:val="00873B81"/>
    <w:rsid w:val="00873D3D"/>
    <w:rsid w:val="00873D3E"/>
    <w:rsid w:val="00873D72"/>
    <w:rsid w:val="00873DB2"/>
    <w:rsid w:val="00873DE3"/>
    <w:rsid w:val="008740F0"/>
    <w:rsid w:val="00874162"/>
    <w:rsid w:val="00874327"/>
    <w:rsid w:val="00874356"/>
    <w:rsid w:val="00874657"/>
    <w:rsid w:val="008746E0"/>
    <w:rsid w:val="008747DB"/>
    <w:rsid w:val="008748E5"/>
    <w:rsid w:val="00874CCB"/>
    <w:rsid w:val="00874DFC"/>
    <w:rsid w:val="00874E0D"/>
    <w:rsid w:val="00874EC4"/>
    <w:rsid w:val="00874F00"/>
    <w:rsid w:val="008750CE"/>
    <w:rsid w:val="008750F1"/>
    <w:rsid w:val="0087535B"/>
    <w:rsid w:val="008753A6"/>
    <w:rsid w:val="008753F9"/>
    <w:rsid w:val="0087552E"/>
    <w:rsid w:val="00875923"/>
    <w:rsid w:val="00875A3A"/>
    <w:rsid w:val="00875D77"/>
    <w:rsid w:val="00875E63"/>
    <w:rsid w:val="00875ECC"/>
    <w:rsid w:val="00875F3A"/>
    <w:rsid w:val="00875F66"/>
    <w:rsid w:val="00875F7C"/>
    <w:rsid w:val="00876204"/>
    <w:rsid w:val="0087634D"/>
    <w:rsid w:val="008763EF"/>
    <w:rsid w:val="008764D5"/>
    <w:rsid w:val="0087655B"/>
    <w:rsid w:val="0087663A"/>
    <w:rsid w:val="008766E1"/>
    <w:rsid w:val="0087674A"/>
    <w:rsid w:val="00876755"/>
    <w:rsid w:val="0087686E"/>
    <w:rsid w:val="0087697F"/>
    <w:rsid w:val="00876A32"/>
    <w:rsid w:val="00876C3A"/>
    <w:rsid w:val="00876D97"/>
    <w:rsid w:val="008770EF"/>
    <w:rsid w:val="00877233"/>
    <w:rsid w:val="00877367"/>
    <w:rsid w:val="008775B1"/>
    <w:rsid w:val="008777A4"/>
    <w:rsid w:val="00877872"/>
    <w:rsid w:val="008778C9"/>
    <w:rsid w:val="00877A05"/>
    <w:rsid w:val="00877AB1"/>
    <w:rsid w:val="00877BB8"/>
    <w:rsid w:val="00877C65"/>
    <w:rsid w:val="00877D39"/>
    <w:rsid w:val="00877F3A"/>
    <w:rsid w:val="0088002B"/>
    <w:rsid w:val="00880138"/>
    <w:rsid w:val="008801BD"/>
    <w:rsid w:val="008801C2"/>
    <w:rsid w:val="0088035B"/>
    <w:rsid w:val="008803CB"/>
    <w:rsid w:val="0088052C"/>
    <w:rsid w:val="00880AB7"/>
    <w:rsid w:val="00880C78"/>
    <w:rsid w:val="00880D9F"/>
    <w:rsid w:val="00880E45"/>
    <w:rsid w:val="00880F7D"/>
    <w:rsid w:val="00881075"/>
    <w:rsid w:val="008810CB"/>
    <w:rsid w:val="0088129C"/>
    <w:rsid w:val="0088134B"/>
    <w:rsid w:val="0088147E"/>
    <w:rsid w:val="008815F7"/>
    <w:rsid w:val="008816C7"/>
    <w:rsid w:val="00881785"/>
    <w:rsid w:val="00881808"/>
    <w:rsid w:val="00881967"/>
    <w:rsid w:val="00881D29"/>
    <w:rsid w:val="00881DB7"/>
    <w:rsid w:val="00881E5A"/>
    <w:rsid w:val="00881EDE"/>
    <w:rsid w:val="00881FB9"/>
    <w:rsid w:val="00882019"/>
    <w:rsid w:val="00882192"/>
    <w:rsid w:val="00882288"/>
    <w:rsid w:val="00882540"/>
    <w:rsid w:val="00882924"/>
    <w:rsid w:val="008829AF"/>
    <w:rsid w:val="00882C3F"/>
    <w:rsid w:val="00882D61"/>
    <w:rsid w:val="00882FE9"/>
    <w:rsid w:val="0088307A"/>
    <w:rsid w:val="00883178"/>
    <w:rsid w:val="00883203"/>
    <w:rsid w:val="00883225"/>
    <w:rsid w:val="00883339"/>
    <w:rsid w:val="0088336A"/>
    <w:rsid w:val="0088356F"/>
    <w:rsid w:val="0088375F"/>
    <w:rsid w:val="00883796"/>
    <w:rsid w:val="008839C0"/>
    <w:rsid w:val="00883DC6"/>
    <w:rsid w:val="00883EFE"/>
    <w:rsid w:val="00883F2F"/>
    <w:rsid w:val="008842A5"/>
    <w:rsid w:val="0088454F"/>
    <w:rsid w:val="00884AE3"/>
    <w:rsid w:val="00884CFB"/>
    <w:rsid w:val="00884D9C"/>
    <w:rsid w:val="00884F1B"/>
    <w:rsid w:val="008850F9"/>
    <w:rsid w:val="0088510E"/>
    <w:rsid w:val="0088526E"/>
    <w:rsid w:val="00885294"/>
    <w:rsid w:val="00885322"/>
    <w:rsid w:val="008853FD"/>
    <w:rsid w:val="00885716"/>
    <w:rsid w:val="008857A8"/>
    <w:rsid w:val="00885948"/>
    <w:rsid w:val="00885AA0"/>
    <w:rsid w:val="00885BCE"/>
    <w:rsid w:val="00885DB6"/>
    <w:rsid w:val="00886063"/>
    <w:rsid w:val="00886073"/>
    <w:rsid w:val="00886114"/>
    <w:rsid w:val="0088616E"/>
    <w:rsid w:val="00886302"/>
    <w:rsid w:val="00886439"/>
    <w:rsid w:val="008864E4"/>
    <w:rsid w:val="0088661A"/>
    <w:rsid w:val="008866C5"/>
    <w:rsid w:val="00886766"/>
    <w:rsid w:val="0088677E"/>
    <w:rsid w:val="008868DA"/>
    <w:rsid w:val="008868E3"/>
    <w:rsid w:val="0088691C"/>
    <w:rsid w:val="008869BC"/>
    <w:rsid w:val="008869F0"/>
    <w:rsid w:val="00886A7C"/>
    <w:rsid w:val="00886A81"/>
    <w:rsid w:val="00886AD9"/>
    <w:rsid w:val="00886CC6"/>
    <w:rsid w:val="00886F34"/>
    <w:rsid w:val="0088712E"/>
    <w:rsid w:val="00887188"/>
    <w:rsid w:val="008871A4"/>
    <w:rsid w:val="00887249"/>
    <w:rsid w:val="00887272"/>
    <w:rsid w:val="008873A3"/>
    <w:rsid w:val="00887587"/>
    <w:rsid w:val="00887C51"/>
    <w:rsid w:val="00887CA5"/>
    <w:rsid w:val="008900C2"/>
    <w:rsid w:val="00890151"/>
    <w:rsid w:val="00890249"/>
    <w:rsid w:val="00890445"/>
    <w:rsid w:val="008906F7"/>
    <w:rsid w:val="00890994"/>
    <w:rsid w:val="008909C4"/>
    <w:rsid w:val="00890BFF"/>
    <w:rsid w:val="00890D3D"/>
    <w:rsid w:val="00890DDE"/>
    <w:rsid w:val="008910DF"/>
    <w:rsid w:val="00891104"/>
    <w:rsid w:val="0089132E"/>
    <w:rsid w:val="00891341"/>
    <w:rsid w:val="00891356"/>
    <w:rsid w:val="008913D4"/>
    <w:rsid w:val="0089147E"/>
    <w:rsid w:val="0089177B"/>
    <w:rsid w:val="00891DBC"/>
    <w:rsid w:val="00891E14"/>
    <w:rsid w:val="00891E61"/>
    <w:rsid w:val="00891F12"/>
    <w:rsid w:val="00891F34"/>
    <w:rsid w:val="008922BA"/>
    <w:rsid w:val="00892467"/>
    <w:rsid w:val="00892484"/>
    <w:rsid w:val="008925C0"/>
    <w:rsid w:val="00892983"/>
    <w:rsid w:val="008929F4"/>
    <w:rsid w:val="00892A5C"/>
    <w:rsid w:val="00892A85"/>
    <w:rsid w:val="00892AAA"/>
    <w:rsid w:val="00892D3B"/>
    <w:rsid w:val="00892E2A"/>
    <w:rsid w:val="00892F37"/>
    <w:rsid w:val="0089300E"/>
    <w:rsid w:val="00893239"/>
    <w:rsid w:val="0089331B"/>
    <w:rsid w:val="00893407"/>
    <w:rsid w:val="008935DA"/>
    <w:rsid w:val="0089372C"/>
    <w:rsid w:val="0089378F"/>
    <w:rsid w:val="008937C4"/>
    <w:rsid w:val="00893854"/>
    <w:rsid w:val="008938CB"/>
    <w:rsid w:val="00893BE8"/>
    <w:rsid w:val="00893F2D"/>
    <w:rsid w:val="00893F96"/>
    <w:rsid w:val="0089406F"/>
    <w:rsid w:val="008941A5"/>
    <w:rsid w:val="0089488D"/>
    <w:rsid w:val="008949FD"/>
    <w:rsid w:val="00894D19"/>
    <w:rsid w:val="00894D1F"/>
    <w:rsid w:val="00894F18"/>
    <w:rsid w:val="00895175"/>
    <w:rsid w:val="008953C7"/>
    <w:rsid w:val="008954F1"/>
    <w:rsid w:val="008957A8"/>
    <w:rsid w:val="008957D3"/>
    <w:rsid w:val="00895BA3"/>
    <w:rsid w:val="00895C55"/>
    <w:rsid w:val="00895D5B"/>
    <w:rsid w:val="00895FF4"/>
    <w:rsid w:val="0089615A"/>
    <w:rsid w:val="00896203"/>
    <w:rsid w:val="0089647D"/>
    <w:rsid w:val="0089668A"/>
    <w:rsid w:val="008966B2"/>
    <w:rsid w:val="00896720"/>
    <w:rsid w:val="008967FB"/>
    <w:rsid w:val="00896855"/>
    <w:rsid w:val="008968CA"/>
    <w:rsid w:val="00896A09"/>
    <w:rsid w:val="00896A1B"/>
    <w:rsid w:val="00896A3D"/>
    <w:rsid w:val="00896B4B"/>
    <w:rsid w:val="00896C41"/>
    <w:rsid w:val="00896CFA"/>
    <w:rsid w:val="00896DDC"/>
    <w:rsid w:val="00896E57"/>
    <w:rsid w:val="00897028"/>
    <w:rsid w:val="00897095"/>
    <w:rsid w:val="008973CF"/>
    <w:rsid w:val="00897449"/>
    <w:rsid w:val="0089746C"/>
    <w:rsid w:val="00897565"/>
    <w:rsid w:val="0089760A"/>
    <w:rsid w:val="0089768E"/>
    <w:rsid w:val="00897703"/>
    <w:rsid w:val="008977BD"/>
    <w:rsid w:val="008977D7"/>
    <w:rsid w:val="0089785F"/>
    <w:rsid w:val="0089787B"/>
    <w:rsid w:val="008979A2"/>
    <w:rsid w:val="00897C3E"/>
    <w:rsid w:val="00897F84"/>
    <w:rsid w:val="008A00AF"/>
    <w:rsid w:val="008A012C"/>
    <w:rsid w:val="008A0527"/>
    <w:rsid w:val="008A06D2"/>
    <w:rsid w:val="008A0886"/>
    <w:rsid w:val="008A09CE"/>
    <w:rsid w:val="008A0A26"/>
    <w:rsid w:val="008A0AD4"/>
    <w:rsid w:val="008A0B15"/>
    <w:rsid w:val="008A0D9B"/>
    <w:rsid w:val="008A0F0A"/>
    <w:rsid w:val="008A0F2E"/>
    <w:rsid w:val="008A0FEB"/>
    <w:rsid w:val="008A1029"/>
    <w:rsid w:val="008A1169"/>
    <w:rsid w:val="008A11DA"/>
    <w:rsid w:val="008A16DD"/>
    <w:rsid w:val="008A1706"/>
    <w:rsid w:val="008A18E7"/>
    <w:rsid w:val="008A19FF"/>
    <w:rsid w:val="008A1B7C"/>
    <w:rsid w:val="008A1BF8"/>
    <w:rsid w:val="008A1CED"/>
    <w:rsid w:val="008A1DBC"/>
    <w:rsid w:val="008A1F72"/>
    <w:rsid w:val="008A1F80"/>
    <w:rsid w:val="008A2270"/>
    <w:rsid w:val="008A22FB"/>
    <w:rsid w:val="008A25E1"/>
    <w:rsid w:val="008A2618"/>
    <w:rsid w:val="008A272B"/>
    <w:rsid w:val="008A2D0D"/>
    <w:rsid w:val="008A2D86"/>
    <w:rsid w:val="008A2D8D"/>
    <w:rsid w:val="008A2E0D"/>
    <w:rsid w:val="008A2E34"/>
    <w:rsid w:val="008A2EDD"/>
    <w:rsid w:val="008A2FB0"/>
    <w:rsid w:val="008A30EB"/>
    <w:rsid w:val="008A32D7"/>
    <w:rsid w:val="008A3772"/>
    <w:rsid w:val="008A37BE"/>
    <w:rsid w:val="008A3879"/>
    <w:rsid w:val="008A3AC9"/>
    <w:rsid w:val="008A3F90"/>
    <w:rsid w:val="008A4027"/>
    <w:rsid w:val="008A40D8"/>
    <w:rsid w:val="008A40D9"/>
    <w:rsid w:val="008A4154"/>
    <w:rsid w:val="008A415C"/>
    <w:rsid w:val="008A41D2"/>
    <w:rsid w:val="008A4238"/>
    <w:rsid w:val="008A4321"/>
    <w:rsid w:val="008A4405"/>
    <w:rsid w:val="008A48CC"/>
    <w:rsid w:val="008A48E3"/>
    <w:rsid w:val="008A48FE"/>
    <w:rsid w:val="008A49DA"/>
    <w:rsid w:val="008A4AB9"/>
    <w:rsid w:val="008A4C92"/>
    <w:rsid w:val="008A4E9D"/>
    <w:rsid w:val="008A5094"/>
    <w:rsid w:val="008A529A"/>
    <w:rsid w:val="008A5360"/>
    <w:rsid w:val="008A53A8"/>
    <w:rsid w:val="008A53A9"/>
    <w:rsid w:val="008A5424"/>
    <w:rsid w:val="008A54C3"/>
    <w:rsid w:val="008A576F"/>
    <w:rsid w:val="008A5975"/>
    <w:rsid w:val="008A5A1F"/>
    <w:rsid w:val="008A5A2B"/>
    <w:rsid w:val="008A5B49"/>
    <w:rsid w:val="008A5B64"/>
    <w:rsid w:val="008A5C08"/>
    <w:rsid w:val="008A5D97"/>
    <w:rsid w:val="008A5E4A"/>
    <w:rsid w:val="008A5E75"/>
    <w:rsid w:val="008A5EE2"/>
    <w:rsid w:val="008A5F47"/>
    <w:rsid w:val="008A60E1"/>
    <w:rsid w:val="008A61C6"/>
    <w:rsid w:val="008A62BB"/>
    <w:rsid w:val="008A63A9"/>
    <w:rsid w:val="008A63C4"/>
    <w:rsid w:val="008A6497"/>
    <w:rsid w:val="008A64A8"/>
    <w:rsid w:val="008A65F0"/>
    <w:rsid w:val="008A6701"/>
    <w:rsid w:val="008A6739"/>
    <w:rsid w:val="008A67F6"/>
    <w:rsid w:val="008A68FA"/>
    <w:rsid w:val="008A6994"/>
    <w:rsid w:val="008A6A92"/>
    <w:rsid w:val="008A6CDB"/>
    <w:rsid w:val="008A6D1C"/>
    <w:rsid w:val="008A6E0F"/>
    <w:rsid w:val="008A6E64"/>
    <w:rsid w:val="008A6EED"/>
    <w:rsid w:val="008A721A"/>
    <w:rsid w:val="008A7513"/>
    <w:rsid w:val="008A75FD"/>
    <w:rsid w:val="008A7626"/>
    <w:rsid w:val="008A77A8"/>
    <w:rsid w:val="008A77CA"/>
    <w:rsid w:val="008A7AC2"/>
    <w:rsid w:val="008A7B3A"/>
    <w:rsid w:val="008A7BD6"/>
    <w:rsid w:val="008A7FEC"/>
    <w:rsid w:val="008B00C0"/>
    <w:rsid w:val="008B00CF"/>
    <w:rsid w:val="008B00D2"/>
    <w:rsid w:val="008B03F1"/>
    <w:rsid w:val="008B061B"/>
    <w:rsid w:val="008B0644"/>
    <w:rsid w:val="008B0763"/>
    <w:rsid w:val="008B07A4"/>
    <w:rsid w:val="008B0937"/>
    <w:rsid w:val="008B09F3"/>
    <w:rsid w:val="008B0A07"/>
    <w:rsid w:val="008B0AD7"/>
    <w:rsid w:val="008B0BD8"/>
    <w:rsid w:val="008B0E69"/>
    <w:rsid w:val="008B0EC5"/>
    <w:rsid w:val="008B0EDD"/>
    <w:rsid w:val="008B0FC0"/>
    <w:rsid w:val="008B100F"/>
    <w:rsid w:val="008B11BD"/>
    <w:rsid w:val="008B1244"/>
    <w:rsid w:val="008B1367"/>
    <w:rsid w:val="008B1371"/>
    <w:rsid w:val="008B155D"/>
    <w:rsid w:val="008B156C"/>
    <w:rsid w:val="008B1632"/>
    <w:rsid w:val="008B166B"/>
    <w:rsid w:val="008B171C"/>
    <w:rsid w:val="008B175E"/>
    <w:rsid w:val="008B1763"/>
    <w:rsid w:val="008B1810"/>
    <w:rsid w:val="008B182B"/>
    <w:rsid w:val="008B1A94"/>
    <w:rsid w:val="008B1A99"/>
    <w:rsid w:val="008B1E91"/>
    <w:rsid w:val="008B1F7F"/>
    <w:rsid w:val="008B2019"/>
    <w:rsid w:val="008B2223"/>
    <w:rsid w:val="008B240B"/>
    <w:rsid w:val="008B2468"/>
    <w:rsid w:val="008B254F"/>
    <w:rsid w:val="008B257F"/>
    <w:rsid w:val="008B25AF"/>
    <w:rsid w:val="008B265D"/>
    <w:rsid w:val="008B26C0"/>
    <w:rsid w:val="008B278B"/>
    <w:rsid w:val="008B2A01"/>
    <w:rsid w:val="008B2A73"/>
    <w:rsid w:val="008B2B72"/>
    <w:rsid w:val="008B2B82"/>
    <w:rsid w:val="008B2BE9"/>
    <w:rsid w:val="008B2E21"/>
    <w:rsid w:val="008B2F43"/>
    <w:rsid w:val="008B314D"/>
    <w:rsid w:val="008B31DF"/>
    <w:rsid w:val="008B3450"/>
    <w:rsid w:val="008B3572"/>
    <w:rsid w:val="008B36EF"/>
    <w:rsid w:val="008B38B1"/>
    <w:rsid w:val="008B38BC"/>
    <w:rsid w:val="008B39C4"/>
    <w:rsid w:val="008B3CC9"/>
    <w:rsid w:val="008B3D4D"/>
    <w:rsid w:val="008B3D89"/>
    <w:rsid w:val="008B3DC8"/>
    <w:rsid w:val="008B3EB9"/>
    <w:rsid w:val="008B4008"/>
    <w:rsid w:val="008B4194"/>
    <w:rsid w:val="008B421D"/>
    <w:rsid w:val="008B4423"/>
    <w:rsid w:val="008B453C"/>
    <w:rsid w:val="008B45B6"/>
    <w:rsid w:val="008B4763"/>
    <w:rsid w:val="008B4818"/>
    <w:rsid w:val="008B49A5"/>
    <w:rsid w:val="008B4AD6"/>
    <w:rsid w:val="008B4C7A"/>
    <w:rsid w:val="008B4D2D"/>
    <w:rsid w:val="008B4D89"/>
    <w:rsid w:val="008B4E09"/>
    <w:rsid w:val="008B4E53"/>
    <w:rsid w:val="008B4E71"/>
    <w:rsid w:val="008B4F6A"/>
    <w:rsid w:val="008B50A8"/>
    <w:rsid w:val="008B50C5"/>
    <w:rsid w:val="008B50C9"/>
    <w:rsid w:val="008B520C"/>
    <w:rsid w:val="008B53BA"/>
    <w:rsid w:val="008B552A"/>
    <w:rsid w:val="008B56C6"/>
    <w:rsid w:val="008B56DD"/>
    <w:rsid w:val="008B57D7"/>
    <w:rsid w:val="008B595B"/>
    <w:rsid w:val="008B5B3B"/>
    <w:rsid w:val="008B5B9C"/>
    <w:rsid w:val="008B5C12"/>
    <w:rsid w:val="008B5D92"/>
    <w:rsid w:val="008B5EF3"/>
    <w:rsid w:val="008B6069"/>
    <w:rsid w:val="008B60FF"/>
    <w:rsid w:val="008B636A"/>
    <w:rsid w:val="008B65E5"/>
    <w:rsid w:val="008B680F"/>
    <w:rsid w:val="008B6938"/>
    <w:rsid w:val="008B6A0B"/>
    <w:rsid w:val="008B6A5F"/>
    <w:rsid w:val="008B6B7B"/>
    <w:rsid w:val="008B6C99"/>
    <w:rsid w:val="008B6D04"/>
    <w:rsid w:val="008B6DE4"/>
    <w:rsid w:val="008B6DFB"/>
    <w:rsid w:val="008B6E0E"/>
    <w:rsid w:val="008B7050"/>
    <w:rsid w:val="008B7559"/>
    <w:rsid w:val="008B75D1"/>
    <w:rsid w:val="008B7690"/>
    <w:rsid w:val="008B7818"/>
    <w:rsid w:val="008B79AE"/>
    <w:rsid w:val="008B7BA8"/>
    <w:rsid w:val="008B7D09"/>
    <w:rsid w:val="008B7EA0"/>
    <w:rsid w:val="008B7F47"/>
    <w:rsid w:val="008C00DF"/>
    <w:rsid w:val="008C00E3"/>
    <w:rsid w:val="008C014C"/>
    <w:rsid w:val="008C01E5"/>
    <w:rsid w:val="008C0261"/>
    <w:rsid w:val="008C0314"/>
    <w:rsid w:val="008C032D"/>
    <w:rsid w:val="008C0366"/>
    <w:rsid w:val="008C04A8"/>
    <w:rsid w:val="008C0695"/>
    <w:rsid w:val="008C0933"/>
    <w:rsid w:val="008C0958"/>
    <w:rsid w:val="008C09B1"/>
    <w:rsid w:val="008C0B30"/>
    <w:rsid w:val="008C0BCC"/>
    <w:rsid w:val="008C0C16"/>
    <w:rsid w:val="008C0C38"/>
    <w:rsid w:val="008C0F92"/>
    <w:rsid w:val="008C120E"/>
    <w:rsid w:val="008C127C"/>
    <w:rsid w:val="008C13CB"/>
    <w:rsid w:val="008C16A4"/>
    <w:rsid w:val="008C1A61"/>
    <w:rsid w:val="008C1A78"/>
    <w:rsid w:val="008C1A8C"/>
    <w:rsid w:val="008C1AB2"/>
    <w:rsid w:val="008C1BA7"/>
    <w:rsid w:val="008C1CCA"/>
    <w:rsid w:val="008C1CCE"/>
    <w:rsid w:val="008C1D4E"/>
    <w:rsid w:val="008C1D75"/>
    <w:rsid w:val="008C1D8B"/>
    <w:rsid w:val="008C1DBE"/>
    <w:rsid w:val="008C1E87"/>
    <w:rsid w:val="008C1ECA"/>
    <w:rsid w:val="008C1ECF"/>
    <w:rsid w:val="008C2062"/>
    <w:rsid w:val="008C20DE"/>
    <w:rsid w:val="008C22CC"/>
    <w:rsid w:val="008C2336"/>
    <w:rsid w:val="008C2466"/>
    <w:rsid w:val="008C2560"/>
    <w:rsid w:val="008C25F1"/>
    <w:rsid w:val="008C2636"/>
    <w:rsid w:val="008C272C"/>
    <w:rsid w:val="008C27C4"/>
    <w:rsid w:val="008C2914"/>
    <w:rsid w:val="008C2950"/>
    <w:rsid w:val="008C2AAC"/>
    <w:rsid w:val="008C2AB5"/>
    <w:rsid w:val="008C2B9F"/>
    <w:rsid w:val="008C2BBB"/>
    <w:rsid w:val="008C2D13"/>
    <w:rsid w:val="008C2E28"/>
    <w:rsid w:val="008C2F2C"/>
    <w:rsid w:val="008C2F7B"/>
    <w:rsid w:val="008C2FAD"/>
    <w:rsid w:val="008C2FF3"/>
    <w:rsid w:val="008C2FFB"/>
    <w:rsid w:val="008C3085"/>
    <w:rsid w:val="008C3438"/>
    <w:rsid w:val="008C34E9"/>
    <w:rsid w:val="008C3571"/>
    <w:rsid w:val="008C3595"/>
    <w:rsid w:val="008C35AF"/>
    <w:rsid w:val="008C35DA"/>
    <w:rsid w:val="008C361B"/>
    <w:rsid w:val="008C36BD"/>
    <w:rsid w:val="008C37AB"/>
    <w:rsid w:val="008C37D5"/>
    <w:rsid w:val="008C3926"/>
    <w:rsid w:val="008C395B"/>
    <w:rsid w:val="008C3D1B"/>
    <w:rsid w:val="008C3D36"/>
    <w:rsid w:val="008C3E00"/>
    <w:rsid w:val="008C3E71"/>
    <w:rsid w:val="008C3E87"/>
    <w:rsid w:val="008C3F11"/>
    <w:rsid w:val="008C3F8F"/>
    <w:rsid w:val="008C400A"/>
    <w:rsid w:val="008C40C5"/>
    <w:rsid w:val="008C4278"/>
    <w:rsid w:val="008C4298"/>
    <w:rsid w:val="008C42ED"/>
    <w:rsid w:val="008C43AC"/>
    <w:rsid w:val="008C43C0"/>
    <w:rsid w:val="008C449F"/>
    <w:rsid w:val="008C44C7"/>
    <w:rsid w:val="008C4708"/>
    <w:rsid w:val="008C4750"/>
    <w:rsid w:val="008C4860"/>
    <w:rsid w:val="008C4899"/>
    <w:rsid w:val="008C48AD"/>
    <w:rsid w:val="008C4C65"/>
    <w:rsid w:val="008C4E87"/>
    <w:rsid w:val="008C52FA"/>
    <w:rsid w:val="008C5377"/>
    <w:rsid w:val="008C53A9"/>
    <w:rsid w:val="008C56CD"/>
    <w:rsid w:val="008C5788"/>
    <w:rsid w:val="008C5827"/>
    <w:rsid w:val="008C5857"/>
    <w:rsid w:val="008C58D0"/>
    <w:rsid w:val="008C5A2B"/>
    <w:rsid w:val="008C5D61"/>
    <w:rsid w:val="008C5E18"/>
    <w:rsid w:val="008C6074"/>
    <w:rsid w:val="008C6181"/>
    <w:rsid w:val="008C618D"/>
    <w:rsid w:val="008C61DC"/>
    <w:rsid w:val="008C642E"/>
    <w:rsid w:val="008C6547"/>
    <w:rsid w:val="008C67B7"/>
    <w:rsid w:val="008C67FA"/>
    <w:rsid w:val="008C6820"/>
    <w:rsid w:val="008C68A2"/>
    <w:rsid w:val="008C690E"/>
    <w:rsid w:val="008C6A0E"/>
    <w:rsid w:val="008C6C06"/>
    <w:rsid w:val="008C6CDD"/>
    <w:rsid w:val="008C6E79"/>
    <w:rsid w:val="008C6FFF"/>
    <w:rsid w:val="008C7010"/>
    <w:rsid w:val="008C70D2"/>
    <w:rsid w:val="008C722A"/>
    <w:rsid w:val="008C726D"/>
    <w:rsid w:val="008C7273"/>
    <w:rsid w:val="008C7283"/>
    <w:rsid w:val="008C7330"/>
    <w:rsid w:val="008C733B"/>
    <w:rsid w:val="008C76AA"/>
    <w:rsid w:val="008C772F"/>
    <w:rsid w:val="008C78EA"/>
    <w:rsid w:val="008C7984"/>
    <w:rsid w:val="008C7B13"/>
    <w:rsid w:val="008C7CF3"/>
    <w:rsid w:val="008C7D1F"/>
    <w:rsid w:val="008C7D5F"/>
    <w:rsid w:val="008C7D61"/>
    <w:rsid w:val="008C7D92"/>
    <w:rsid w:val="008D00C3"/>
    <w:rsid w:val="008D07B9"/>
    <w:rsid w:val="008D0A99"/>
    <w:rsid w:val="008D0AA0"/>
    <w:rsid w:val="008D0C30"/>
    <w:rsid w:val="008D0DBF"/>
    <w:rsid w:val="008D0E4B"/>
    <w:rsid w:val="008D0E63"/>
    <w:rsid w:val="008D0EBA"/>
    <w:rsid w:val="008D0F73"/>
    <w:rsid w:val="008D1001"/>
    <w:rsid w:val="008D1285"/>
    <w:rsid w:val="008D1367"/>
    <w:rsid w:val="008D1412"/>
    <w:rsid w:val="008D1499"/>
    <w:rsid w:val="008D194D"/>
    <w:rsid w:val="008D19D2"/>
    <w:rsid w:val="008D1EBE"/>
    <w:rsid w:val="008D1F3F"/>
    <w:rsid w:val="008D1F42"/>
    <w:rsid w:val="008D1FD6"/>
    <w:rsid w:val="008D2083"/>
    <w:rsid w:val="008D2095"/>
    <w:rsid w:val="008D2259"/>
    <w:rsid w:val="008D2282"/>
    <w:rsid w:val="008D235A"/>
    <w:rsid w:val="008D2503"/>
    <w:rsid w:val="008D2664"/>
    <w:rsid w:val="008D2701"/>
    <w:rsid w:val="008D2847"/>
    <w:rsid w:val="008D2B7C"/>
    <w:rsid w:val="008D2C00"/>
    <w:rsid w:val="008D2C0A"/>
    <w:rsid w:val="008D2E91"/>
    <w:rsid w:val="008D2F9C"/>
    <w:rsid w:val="008D2FE7"/>
    <w:rsid w:val="008D3213"/>
    <w:rsid w:val="008D34A4"/>
    <w:rsid w:val="008D3786"/>
    <w:rsid w:val="008D3881"/>
    <w:rsid w:val="008D38A8"/>
    <w:rsid w:val="008D3BCC"/>
    <w:rsid w:val="008D3C33"/>
    <w:rsid w:val="008D3E03"/>
    <w:rsid w:val="008D3E59"/>
    <w:rsid w:val="008D40C3"/>
    <w:rsid w:val="008D4129"/>
    <w:rsid w:val="008D4214"/>
    <w:rsid w:val="008D4234"/>
    <w:rsid w:val="008D4296"/>
    <w:rsid w:val="008D42AA"/>
    <w:rsid w:val="008D442D"/>
    <w:rsid w:val="008D453F"/>
    <w:rsid w:val="008D4674"/>
    <w:rsid w:val="008D4689"/>
    <w:rsid w:val="008D471E"/>
    <w:rsid w:val="008D47C4"/>
    <w:rsid w:val="008D48D1"/>
    <w:rsid w:val="008D4E35"/>
    <w:rsid w:val="008D4EAC"/>
    <w:rsid w:val="008D4F08"/>
    <w:rsid w:val="008D50F0"/>
    <w:rsid w:val="008D5189"/>
    <w:rsid w:val="008D5438"/>
    <w:rsid w:val="008D543D"/>
    <w:rsid w:val="008D5558"/>
    <w:rsid w:val="008D56B9"/>
    <w:rsid w:val="008D5720"/>
    <w:rsid w:val="008D5781"/>
    <w:rsid w:val="008D57B1"/>
    <w:rsid w:val="008D57C3"/>
    <w:rsid w:val="008D583C"/>
    <w:rsid w:val="008D58CC"/>
    <w:rsid w:val="008D58FE"/>
    <w:rsid w:val="008D59A7"/>
    <w:rsid w:val="008D5A0F"/>
    <w:rsid w:val="008D5AAD"/>
    <w:rsid w:val="008D5AEA"/>
    <w:rsid w:val="008D5C98"/>
    <w:rsid w:val="008D5D3B"/>
    <w:rsid w:val="008D5D97"/>
    <w:rsid w:val="008D5F59"/>
    <w:rsid w:val="008D60B7"/>
    <w:rsid w:val="008D60E1"/>
    <w:rsid w:val="008D62A5"/>
    <w:rsid w:val="008D6332"/>
    <w:rsid w:val="008D63D4"/>
    <w:rsid w:val="008D6403"/>
    <w:rsid w:val="008D6426"/>
    <w:rsid w:val="008D6445"/>
    <w:rsid w:val="008D6606"/>
    <w:rsid w:val="008D6696"/>
    <w:rsid w:val="008D689C"/>
    <w:rsid w:val="008D6B25"/>
    <w:rsid w:val="008D6B48"/>
    <w:rsid w:val="008D6CE4"/>
    <w:rsid w:val="008D6F8D"/>
    <w:rsid w:val="008D70D0"/>
    <w:rsid w:val="008D7174"/>
    <w:rsid w:val="008D71F2"/>
    <w:rsid w:val="008D723C"/>
    <w:rsid w:val="008D733E"/>
    <w:rsid w:val="008D77A6"/>
    <w:rsid w:val="008D787E"/>
    <w:rsid w:val="008D7B8B"/>
    <w:rsid w:val="008D7BE2"/>
    <w:rsid w:val="008D7E72"/>
    <w:rsid w:val="008D7ED2"/>
    <w:rsid w:val="008D7EEF"/>
    <w:rsid w:val="008E0019"/>
    <w:rsid w:val="008E006A"/>
    <w:rsid w:val="008E0080"/>
    <w:rsid w:val="008E01D2"/>
    <w:rsid w:val="008E02A6"/>
    <w:rsid w:val="008E032B"/>
    <w:rsid w:val="008E0376"/>
    <w:rsid w:val="008E07E5"/>
    <w:rsid w:val="008E08D4"/>
    <w:rsid w:val="008E0B61"/>
    <w:rsid w:val="008E0DAF"/>
    <w:rsid w:val="008E0E28"/>
    <w:rsid w:val="008E1023"/>
    <w:rsid w:val="008E1214"/>
    <w:rsid w:val="008E12FF"/>
    <w:rsid w:val="008E14D7"/>
    <w:rsid w:val="008E1758"/>
    <w:rsid w:val="008E1878"/>
    <w:rsid w:val="008E1AC8"/>
    <w:rsid w:val="008E1CF7"/>
    <w:rsid w:val="008E1F1A"/>
    <w:rsid w:val="008E202C"/>
    <w:rsid w:val="008E20AB"/>
    <w:rsid w:val="008E21FD"/>
    <w:rsid w:val="008E2242"/>
    <w:rsid w:val="008E2385"/>
    <w:rsid w:val="008E23F6"/>
    <w:rsid w:val="008E2597"/>
    <w:rsid w:val="008E2600"/>
    <w:rsid w:val="008E26CB"/>
    <w:rsid w:val="008E27A9"/>
    <w:rsid w:val="008E28D2"/>
    <w:rsid w:val="008E2999"/>
    <w:rsid w:val="008E29F2"/>
    <w:rsid w:val="008E2A7A"/>
    <w:rsid w:val="008E2B94"/>
    <w:rsid w:val="008E2BB5"/>
    <w:rsid w:val="008E2CE9"/>
    <w:rsid w:val="008E302C"/>
    <w:rsid w:val="008E30A0"/>
    <w:rsid w:val="008E30F6"/>
    <w:rsid w:val="008E314B"/>
    <w:rsid w:val="008E3187"/>
    <w:rsid w:val="008E323C"/>
    <w:rsid w:val="008E326D"/>
    <w:rsid w:val="008E328C"/>
    <w:rsid w:val="008E32CD"/>
    <w:rsid w:val="008E360E"/>
    <w:rsid w:val="008E368A"/>
    <w:rsid w:val="008E3762"/>
    <w:rsid w:val="008E3847"/>
    <w:rsid w:val="008E38F8"/>
    <w:rsid w:val="008E393F"/>
    <w:rsid w:val="008E3B91"/>
    <w:rsid w:val="008E3CBC"/>
    <w:rsid w:val="008E3D01"/>
    <w:rsid w:val="008E3D4D"/>
    <w:rsid w:val="008E3D9D"/>
    <w:rsid w:val="008E3E1F"/>
    <w:rsid w:val="008E3F92"/>
    <w:rsid w:val="008E4054"/>
    <w:rsid w:val="008E40A5"/>
    <w:rsid w:val="008E4107"/>
    <w:rsid w:val="008E43AC"/>
    <w:rsid w:val="008E4AF7"/>
    <w:rsid w:val="008E4C03"/>
    <w:rsid w:val="008E4D1C"/>
    <w:rsid w:val="008E4E63"/>
    <w:rsid w:val="008E4E9C"/>
    <w:rsid w:val="008E5337"/>
    <w:rsid w:val="008E5651"/>
    <w:rsid w:val="008E5889"/>
    <w:rsid w:val="008E5A18"/>
    <w:rsid w:val="008E5D22"/>
    <w:rsid w:val="008E5D80"/>
    <w:rsid w:val="008E5DF1"/>
    <w:rsid w:val="008E5F26"/>
    <w:rsid w:val="008E5FA0"/>
    <w:rsid w:val="008E5FFE"/>
    <w:rsid w:val="008E6348"/>
    <w:rsid w:val="008E63A3"/>
    <w:rsid w:val="008E640A"/>
    <w:rsid w:val="008E646C"/>
    <w:rsid w:val="008E649B"/>
    <w:rsid w:val="008E65BD"/>
    <w:rsid w:val="008E65E9"/>
    <w:rsid w:val="008E673E"/>
    <w:rsid w:val="008E67A5"/>
    <w:rsid w:val="008E6830"/>
    <w:rsid w:val="008E6867"/>
    <w:rsid w:val="008E6955"/>
    <w:rsid w:val="008E6AFC"/>
    <w:rsid w:val="008E6BA4"/>
    <w:rsid w:val="008E6F45"/>
    <w:rsid w:val="008E700A"/>
    <w:rsid w:val="008E70B3"/>
    <w:rsid w:val="008E7130"/>
    <w:rsid w:val="008E72F5"/>
    <w:rsid w:val="008E74EB"/>
    <w:rsid w:val="008E761A"/>
    <w:rsid w:val="008E78A9"/>
    <w:rsid w:val="008E7AF8"/>
    <w:rsid w:val="008E7BC7"/>
    <w:rsid w:val="008E7BF4"/>
    <w:rsid w:val="008E7CA4"/>
    <w:rsid w:val="008F003C"/>
    <w:rsid w:val="008F008F"/>
    <w:rsid w:val="008F0246"/>
    <w:rsid w:val="008F02B3"/>
    <w:rsid w:val="008F03E3"/>
    <w:rsid w:val="008F040E"/>
    <w:rsid w:val="008F040F"/>
    <w:rsid w:val="008F0766"/>
    <w:rsid w:val="008F0944"/>
    <w:rsid w:val="008F0946"/>
    <w:rsid w:val="008F0958"/>
    <w:rsid w:val="008F0998"/>
    <w:rsid w:val="008F09A7"/>
    <w:rsid w:val="008F09CB"/>
    <w:rsid w:val="008F09DD"/>
    <w:rsid w:val="008F0A20"/>
    <w:rsid w:val="008F0A2E"/>
    <w:rsid w:val="008F0B29"/>
    <w:rsid w:val="008F0C05"/>
    <w:rsid w:val="008F0CAB"/>
    <w:rsid w:val="008F0D1B"/>
    <w:rsid w:val="008F0D20"/>
    <w:rsid w:val="008F0E26"/>
    <w:rsid w:val="008F1056"/>
    <w:rsid w:val="008F10DA"/>
    <w:rsid w:val="008F117A"/>
    <w:rsid w:val="008F1181"/>
    <w:rsid w:val="008F1304"/>
    <w:rsid w:val="008F1456"/>
    <w:rsid w:val="008F1468"/>
    <w:rsid w:val="008F14CB"/>
    <w:rsid w:val="008F16A8"/>
    <w:rsid w:val="008F16B5"/>
    <w:rsid w:val="008F1A05"/>
    <w:rsid w:val="008F1AA7"/>
    <w:rsid w:val="008F1BCE"/>
    <w:rsid w:val="008F1CDB"/>
    <w:rsid w:val="008F1E23"/>
    <w:rsid w:val="008F1EEB"/>
    <w:rsid w:val="008F21D7"/>
    <w:rsid w:val="008F2298"/>
    <w:rsid w:val="008F22A6"/>
    <w:rsid w:val="008F25DD"/>
    <w:rsid w:val="008F263A"/>
    <w:rsid w:val="008F2697"/>
    <w:rsid w:val="008F26A6"/>
    <w:rsid w:val="008F26C1"/>
    <w:rsid w:val="008F270A"/>
    <w:rsid w:val="008F2C71"/>
    <w:rsid w:val="008F2CE5"/>
    <w:rsid w:val="008F2D67"/>
    <w:rsid w:val="008F30A9"/>
    <w:rsid w:val="008F3302"/>
    <w:rsid w:val="008F338B"/>
    <w:rsid w:val="008F34D2"/>
    <w:rsid w:val="008F37AF"/>
    <w:rsid w:val="008F3811"/>
    <w:rsid w:val="008F39E6"/>
    <w:rsid w:val="008F3CDF"/>
    <w:rsid w:val="008F3D95"/>
    <w:rsid w:val="008F3DB8"/>
    <w:rsid w:val="008F3E8C"/>
    <w:rsid w:val="008F3F3B"/>
    <w:rsid w:val="008F3FC8"/>
    <w:rsid w:val="008F40D2"/>
    <w:rsid w:val="008F411E"/>
    <w:rsid w:val="008F4170"/>
    <w:rsid w:val="008F428E"/>
    <w:rsid w:val="008F4694"/>
    <w:rsid w:val="008F4729"/>
    <w:rsid w:val="008F49D3"/>
    <w:rsid w:val="008F4B47"/>
    <w:rsid w:val="008F4D5D"/>
    <w:rsid w:val="008F4E5A"/>
    <w:rsid w:val="008F50DC"/>
    <w:rsid w:val="008F5125"/>
    <w:rsid w:val="008F5218"/>
    <w:rsid w:val="008F54A2"/>
    <w:rsid w:val="008F551A"/>
    <w:rsid w:val="008F571F"/>
    <w:rsid w:val="008F5777"/>
    <w:rsid w:val="008F5825"/>
    <w:rsid w:val="008F5889"/>
    <w:rsid w:val="008F59AE"/>
    <w:rsid w:val="008F5B7E"/>
    <w:rsid w:val="008F5D55"/>
    <w:rsid w:val="008F636A"/>
    <w:rsid w:val="008F63FF"/>
    <w:rsid w:val="008F64D3"/>
    <w:rsid w:val="008F67DC"/>
    <w:rsid w:val="008F695A"/>
    <w:rsid w:val="008F6962"/>
    <w:rsid w:val="008F69C2"/>
    <w:rsid w:val="008F6A4B"/>
    <w:rsid w:val="008F6BBD"/>
    <w:rsid w:val="008F6CED"/>
    <w:rsid w:val="008F6EBF"/>
    <w:rsid w:val="008F6EDD"/>
    <w:rsid w:val="008F7086"/>
    <w:rsid w:val="008F70D1"/>
    <w:rsid w:val="008F722C"/>
    <w:rsid w:val="008F732A"/>
    <w:rsid w:val="008F73C7"/>
    <w:rsid w:val="008F7458"/>
    <w:rsid w:val="008F7510"/>
    <w:rsid w:val="008F75FF"/>
    <w:rsid w:val="008F776B"/>
    <w:rsid w:val="008F77D1"/>
    <w:rsid w:val="008F79DA"/>
    <w:rsid w:val="008F7A98"/>
    <w:rsid w:val="008F7BE9"/>
    <w:rsid w:val="008F7BFC"/>
    <w:rsid w:val="00900168"/>
    <w:rsid w:val="0090019F"/>
    <w:rsid w:val="009001B0"/>
    <w:rsid w:val="009003EA"/>
    <w:rsid w:val="00900696"/>
    <w:rsid w:val="009006CE"/>
    <w:rsid w:val="009007F2"/>
    <w:rsid w:val="0090096B"/>
    <w:rsid w:val="00900995"/>
    <w:rsid w:val="009009CA"/>
    <w:rsid w:val="00900AD5"/>
    <w:rsid w:val="00900BB7"/>
    <w:rsid w:val="00900BC0"/>
    <w:rsid w:val="00900E3C"/>
    <w:rsid w:val="00900E73"/>
    <w:rsid w:val="00900EFE"/>
    <w:rsid w:val="00901045"/>
    <w:rsid w:val="00901072"/>
    <w:rsid w:val="009010A4"/>
    <w:rsid w:val="009012D7"/>
    <w:rsid w:val="009013E2"/>
    <w:rsid w:val="009015CC"/>
    <w:rsid w:val="009015D0"/>
    <w:rsid w:val="00901676"/>
    <w:rsid w:val="009016B7"/>
    <w:rsid w:val="00901740"/>
    <w:rsid w:val="009017F4"/>
    <w:rsid w:val="00901866"/>
    <w:rsid w:val="00901E53"/>
    <w:rsid w:val="00901F2E"/>
    <w:rsid w:val="00902121"/>
    <w:rsid w:val="00902143"/>
    <w:rsid w:val="00902221"/>
    <w:rsid w:val="00902389"/>
    <w:rsid w:val="009024D3"/>
    <w:rsid w:val="009027E3"/>
    <w:rsid w:val="00902A91"/>
    <w:rsid w:val="00902AC8"/>
    <w:rsid w:val="00902C8C"/>
    <w:rsid w:val="00902EF8"/>
    <w:rsid w:val="00902F30"/>
    <w:rsid w:val="009030E2"/>
    <w:rsid w:val="00903173"/>
    <w:rsid w:val="009033DA"/>
    <w:rsid w:val="00903509"/>
    <w:rsid w:val="00903801"/>
    <w:rsid w:val="00903857"/>
    <w:rsid w:val="009038E4"/>
    <w:rsid w:val="009038EA"/>
    <w:rsid w:val="009038F8"/>
    <w:rsid w:val="0090397D"/>
    <w:rsid w:val="00903A12"/>
    <w:rsid w:val="00903A74"/>
    <w:rsid w:val="00903B3A"/>
    <w:rsid w:val="00903F30"/>
    <w:rsid w:val="00903F6F"/>
    <w:rsid w:val="00903FA1"/>
    <w:rsid w:val="00903FF6"/>
    <w:rsid w:val="00904017"/>
    <w:rsid w:val="0090439D"/>
    <w:rsid w:val="00904531"/>
    <w:rsid w:val="00904897"/>
    <w:rsid w:val="00904943"/>
    <w:rsid w:val="0090495B"/>
    <w:rsid w:val="009049FD"/>
    <w:rsid w:val="00904B1D"/>
    <w:rsid w:val="00904D69"/>
    <w:rsid w:val="00904E2E"/>
    <w:rsid w:val="00904E3E"/>
    <w:rsid w:val="00904EFD"/>
    <w:rsid w:val="00904FEB"/>
    <w:rsid w:val="009051F9"/>
    <w:rsid w:val="0090534C"/>
    <w:rsid w:val="00905384"/>
    <w:rsid w:val="009053E7"/>
    <w:rsid w:val="0090542C"/>
    <w:rsid w:val="009054A7"/>
    <w:rsid w:val="009055A2"/>
    <w:rsid w:val="0090574A"/>
    <w:rsid w:val="009057BD"/>
    <w:rsid w:val="00905C46"/>
    <w:rsid w:val="00905C7F"/>
    <w:rsid w:val="00905CE9"/>
    <w:rsid w:val="00905E5B"/>
    <w:rsid w:val="00905ED4"/>
    <w:rsid w:val="00905F5F"/>
    <w:rsid w:val="00905FF4"/>
    <w:rsid w:val="0090612C"/>
    <w:rsid w:val="009063B3"/>
    <w:rsid w:val="009063CF"/>
    <w:rsid w:val="009067E0"/>
    <w:rsid w:val="0090684F"/>
    <w:rsid w:val="00906855"/>
    <w:rsid w:val="00906856"/>
    <w:rsid w:val="0090688F"/>
    <w:rsid w:val="00906A91"/>
    <w:rsid w:val="00906B78"/>
    <w:rsid w:val="00906BA8"/>
    <w:rsid w:val="00906C06"/>
    <w:rsid w:val="009070CD"/>
    <w:rsid w:val="00907209"/>
    <w:rsid w:val="00907387"/>
    <w:rsid w:val="009074D1"/>
    <w:rsid w:val="009075D9"/>
    <w:rsid w:val="00907638"/>
    <w:rsid w:val="009076AA"/>
    <w:rsid w:val="00907E10"/>
    <w:rsid w:val="00907E35"/>
    <w:rsid w:val="00907E57"/>
    <w:rsid w:val="00907FF5"/>
    <w:rsid w:val="009100B5"/>
    <w:rsid w:val="00910225"/>
    <w:rsid w:val="009105A4"/>
    <w:rsid w:val="00910974"/>
    <w:rsid w:val="009109A0"/>
    <w:rsid w:val="009109EB"/>
    <w:rsid w:val="00910B3E"/>
    <w:rsid w:val="00910B86"/>
    <w:rsid w:val="00910BE4"/>
    <w:rsid w:val="00910D0E"/>
    <w:rsid w:val="00910DE8"/>
    <w:rsid w:val="00910ECC"/>
    <w:rsid w:val="00910F23"/>
    <w:rsid w:val="0091104D"/>
    <w:rsid w:val="00911059"/>
    <w:rsid w:val="009110E2"/>
    <w:rsid w:val="0091120E"/>
    <w:rsid w:val="009114FB"/>
    <w:rsid w:val="009116AA"/>
    <w:rsid w:val="0091186B"/>
    <w:rsid w:val="00911941"/>
    <w:rsid w:val="00911A1C"/>
    <w:rsid w:val="00911AAB"/>
    <w:rsid w:val="00911B2B"/>
    <w:rsid w:val="00911B50"/>
    <w:rsid w:val="00911CE2"/>
    <w:rsid w:val="00911D0A"/>
    <w:rsid w:val="00911FE1"/>
    <w:rsid w:val="00912079"/>
    <w:rsid w:val="00912098"/>
    <w:rsid w:val="00912134"/>
    <w:rsid w:val="00912714"/>
    <w:rsid w:val="009127EC"/>
    <w:rsid w:val="00912A11"/>
    <w:rsid w:val="00912A6E"/>
    <w:rsid w:val="00912AF8"/>
    <w:rsid w:val="00912D6C"/>
    <w:rsid w:val="00912DCF"/>
    <w:rsid w:val="00912DF2"/>
    <w:rsid w:val="009130BB"/>
    <w:rsid w:val="0091310B"/>
    <w:rsid w:val="0091329F"/>
    <w:rsid w:val="009132CC"/>
    <w:rsid w:val="0091338D"/>
    <w:rsid w:val="009133D0"/>
    <w:rsid w:val="00913409"/>
    <w:rsid w:val="00913557"/>
    <w:rsid w:val="0091365F"/>
    <w:rsid w:val="00913852"/>
    <w:rsid w:val="00913866"/>
    <w:rsid w:val="00913891"/>
    <w:rsid w:val="00913945"/>
    <w:rsid w:val="00913A35"/>
    <w:rsid w:val="00913A6F"/>
    <w:rsid w:val="00913C12"/>
    <w:rsid w:val="00913F25"/>
    <w:rsid w:val="00913F4F"/>
    <w:rsid w:val="00914008"/>
    <w:rsid w:val="00914183"/>
    <w:rsid w:val="00914196"/>
    <w:rsid w:val="009141DA"/>
    <w:rsid w:val="0091421C"/>
    <w:rsid w:val="00914385"/>
    <w:rsid w:val="009143A2"/>
    <w:rsid w:val="00914414"/>
    <w:rsid w:val="009149B3"/>
    <w:rsid w:val="009149D0"/>
    <w:rsid w:val="00914E9F"/>
    <w:rsid w:val="00914F3C"/>
    <w:rsid w:val="00915046"/>
    <w:rsid w:val="00915072"/>
    <w:rsid w:val="009152FC"/>
    <w:rsid w:val="00915305"/>
    <w:rsid w:val="0091537A"/>
    <w:rsid w:val="00915387"/>
    <w:rsid w:val="009154AE"/>
    <w:rsid w:val="009155D7"/>
    <w:rsid w:val="009155EF"/>
    <w:rsid w:val="00915735"/>
    <w:rsid w:val="0091589E"/>
    <w:rsid w:val="00915907"/>
    <w:rsid w:val="00915D97"/>
    <w:rsid w:val="00915E48"/>
    <w:rsid w:val="009161E5"/>
    <w:rsid w:val="009163DC"/>
    <w:rsid w:val="0091640B"/>
    <w:rsid w:val="00916467"/>
    <w:rsid w:val="009165C0"/>
    <w:rsid w:val="009165D2"/>
    <w:rsid w:val="00916770"/>
    <w:rsid w:val="00916785"/>
    <w:rsid w:val="00916854"/>
    <w:rsid w:val="0091693C"/>
    <w:rsid w:val="009169AC"/>
    <w:rsid w:val="00916A30"/>
    <w:rsid w:val="00916E3E"/>
    <w:rsid w:val="00916EBF"/>
    <w:rsid w:val="00916F4B"/>
    <w:rsid w:val="0091707B"/>
    <w:rsid w:val="009170B0"/>
    <w:rsid w:val="0091711E"/>
    <w:rsid w:val="009171AA"/>
    <w:rsid w:val="009171D0"/>
    <w:rsid w:val="009171DF"/>
    <w:rsid w:val="00917419"/>
    <w:rsid w:val="009174A3"/>
    <w:rsid w:val="009175BA"/>
    <w:rsid w:val="00917731"/>
    <w:rsid w:val="00917DA2"/>
    <w:rsid w:val="00917E04"/>
    <w:rsid w:val="00917EEF"/>
    <w:rsid w:val="009200C5"/>
    <w:rsid w:val="009200CA"/>
    <w:rsid w:val="00920120"/>
    <w:rsid w:val="00920288"/>
    <w:rsid w:val="00920517"/>
    <w:rsid w:val="009205BD"/>
    <w:rsid w:val="00920739"/>
    <w:rsid w:val="0092075A"/>
    <w:rsid w:val="0092077F"/>
    <w:rsid w:val="009207C0"/>
    <w:rsid w:val="009209DA"/>
    <w:rsid w:val="00920A20"/>
    <w:rsid w:val="00920BB0"/>
    <w:rsid w:val="00920C3A"/>
    <w:rsid w:val="00920C4E"/>
    <w:rsid w:val="00920E7C"/>
    <w:rsid w:val="00920ED6"/>
    <w:rsid w:val="00920F35"/>
    <w:rsid w:val="0092101D"/>
    <w:rsid w:val="009210A9"/>
    <w:rsid w:val="009211BB"/>
    <w:rsid w:val="00921348"/>
    <w:rsid w:val="00921514"/>
    <w:rsid w:val="00921628"/>
    <w:rsid w:val="0092168A"/>
    <w:rsid w:val="0092173D"/>
    <w:rsid w:val="009217E3"/>
    <w:rsid w:val="009219B4"/>
    <w:rsid w:val="00921D49"/>
    <w:rsid w:val="00921D79"/>
    <w:rsid w:val="00921E85"/>
    <w:rsid w:val="00922004"/>
    <w:rsid w:val="009224B7"/>
    <w:rsid w:val="00922757"/>
    <w:rsid w:val="00922805"/>
    <w:rsid w:val="00922917"/>
    <w:rsid w:val="0092292A"/>
    <w:rsid w:val="0092294F"/>
    <w:rsid w:val="009229D2"/>
    <w:rsid w:val="00922AB5"/>
    <w:rsid w:val="00922B14"/>
    <w:rsid w:val="00922CF7"/>
    <w:rsid w:val="00922F5A"/>
    <w:rsid w:val="00922FCD"/>
    <w:rsid w:val="0092314A"/>
    <w:rsid w:val="009232B2"/>
    <w:rsid w:val="009233C8"/>
    <w:rsid w:val="00923405"/>
    <w:rsid w:val="0092347E"/>
    <w:rsid w:val="0092348A"/>
    <w:rsid w:val="0092350A"/>
    <w:rsid w:val="00923806"/>
    <w:rsid w:val="00923845"/>
    <w:rsid w:val="009239E0"/>
    <w:rsid w:val="009239FD"/>
    <w:rsid w:val="00923E4E"/>
    <w:rsid w:val="00923F3F"/>
    <w:rsid w:val="00923F4E"/>
    <w:rsid w:val="009240C0"/>
    <w:rsid w:val="009241F9"/>
    <w:rsid w:val="009244E4"/>
    <w:rsid w:val="00924521"/>
    <w:rsid w:val="0092466E"/>
    <w:rsid w:val="009246A2"/>
    <w:rsid w:val="009247D1"/>
    <w:rsid w:val="009247F5"/>
    <w:rsid w:val="009247FC"/>
    <w:rsid w:val="009249E5"/>
    <w:rsid w:val="00924B10"/>
    <w:rsid w:val="00924B21"/>
    <w:rsid w:val="00924D8A"/>
    <w:rsid w:val="00924EF3"/>
    <w:rsid w:val="00924F03"/>
    <w:rsid w:val="00924F29"/>
    <w:rsid w:val="00924F45"/>
    <w:rsid w:val="0092524E"/>
    <w:rsid w:val="009256C8"/>
    <w:rsid w:val="00925825"/>
    <w:rsid w:val="00925949"/>
    <w:rsid w:val="00925977"/>
    <w:rsid w:val="009259B7"/>
    <w:rsid w:val="00925D6B"/>
    <w:rsid w:val="00925F25"/>
    <w:rsid w:val="00926098"/>
    <w:rsid w:val="0092634C"/>
    <w:rsid w:val="0092645B"/>
    <w:rsid w:val="009264EC"/>
    <w:rsid w:val="0092653A"/>
    <w:rsid w:val="00926620"/>
    <w:rsid w:val="009266B9"/>
    <w:rsid w:val="009266D0"/>
    <w:rsid w:val="009266F9"/>
    <w:rsid w:val="00926867"/>
    <w:rsid w:val="0092696D"/>
    <w:rsid w:val="00926977"/>
    <w:rsid w:val="009269E1"/>
    <w:rsid w:val="00926B78"/>
    <w:rsid w:val="00926B9D"/>
    <w:rsid w:val="00926CAA"/>
    <w:rsid w:val="00926DBD"/>
    <w:rsid w:val="00926DD6"/>
    <w:rsid w:val="00926EC5"/>
    <w:rsid w:val="009271A3"/>
    <w:rsid w:val="009272B0"/>
    <w:rsid w:val="0092735A"/>
    <w:rsid w:val="009273B5"/>
    <w:rsid w:val="009273F3"/>
    <w:rsid w:val="00927912"/>
    <w:rsid w:val="009279D7"/>
    <w:rsid w:val="00927B03"/>
    <w:rsid w:val="00927D6F"/>
    <w:rsid w:val="00927DF0"/>
    <w:rsid w:val="00927EAD"/>
    <w:rsid w:val="00927F45"/>
    <w:rsid w:val="009301E0"/>
    <w:rsid w:val="009302E4"/>
    <w:rsid w:val="00930465"/>
    <w:rsid w:val="0093068B"/>
    <w:rsid w:val="009306F2"/>
    <w:rsid w:val="00930944"/>
    <w:rsid w:val="00930999"/>
    <w:rsid w:val="00930A40"/>
    <w:rsid w:val="00930BC2"/>
    <w:rsid w:val="00930EA8"/>
    <w:rsid w:val="00931052"/>
    <w:rsid w:val="00931096"/>
    <w:rsid w:val="009310B2"/>
    <w:rsid w:val="00931278"/>
    <w:rsid w:val="00931597"/>
    <w:rsid w:val="0093163B"/>
    <w:rsid w:val="0093179C"/>
    <w:rsid w:val="00931A3D"/>
    <w:rsid w:val="00931B48"/>
    <w:rsid w:val="00931E15"/>
    <w:rsid w:val="00931E3A"/>
    <w:rsid w:val="00931E74"/>
    <w:rsid w:val="00931F37"/>
    <w:rsid w:val="0093218E"/>
    <w:rsid w:val="00932489"/>
    <w:rsid w:val="00932D03"/>
    <w:rsid w:val="00932D63"/>
    <w:rsid w:val="00932E31"/>
    <w:rsid w:val="00932EAF"/>
    <w:rsid w:val="00932F36"/>
    <w:rsid w:val="00932F6F"/>
    <w:rsid w:val="00933047"/>
    <w:rsid w:val="009331D6"/>
    <w:rsid w:val="00933684"/>
    <w:rsid w:val="009336A1"/>
    <w:rsid w:val="00933701"/>
    <w:rsid w:val="00933720"/>
    <w:rsid w:val="009337C8"/>
    <w:rsid w:val="0093382D"/>
    <w:rsid w:val="00933883"/>
    <w:rsid w:val="009338DC"/>
    <w:rsid w:val="00933965"/>
    <w:rsid w:val="00933C2B"/>
    <w:rsid w:val="00933C7A"/>
    <w:rsid w:val="00933D4B"/>
    <w:rsid w:val="00933E6E"/>
    <w:rsid w:val="00933FFD"/>
    <w:rsid w:val="00934081"/>
    <w:rsid w:val="00934471"/>
    <w:rsid w:val="0093450E"/>
    <w:rsid w:val="009346E9"/>
    <w:rsid w:val="00934769"/>
    <w:rsid w:val="00934851"/>
    <w:rsid w:val="00934B09"/>
    <w:rsid w:val="00934D83"/>
    <w:rsid w:val="00934D85"/>
    <w:rsid w:val="00934E37"/>
    <w:rsid w:val="00934E5B"/>
    <w:rsid w:val="00934E91"/>
    <w:rsid w:val="00934F4F"/>
    <w:rsid w:val="00934F9C"/>
    <w:rsid w:val="009352B4"/>
    <w:rsid w:val="009354E2"/>
    <w:rsid w:val="00935531"/>
    <w:rsid w:val="0093567E"/>
    <w:rsid w:val="00935720"/>
    <w:rsid w:val="0093580D"/>
    <w:rsid w:val="0093581E"/>
    <w:rsid w:val="009358BF"/>
    <w:rsid w:val="00935956"/>
    <w:rsid w:val="00935B40"/>
    <w:rsid w:val="00935B5D"/>
    <w:rsid w:val="00935C11"/>
    <w:rsid w:val="00935D71"/>
    <w:rsid w:val="00935F83"/>
    <w:rsid w:val="009360DF"/>
    <w:rsid w:val="00936364"/>
    <w:rsid w:val="009363D5"/>
    <w:rsid w:val="00936448"/>
    <w:rsid w:val="00936551"/>
    <w:rsid w:val="0093677E"/>
    <w:rsid w:val="00936871"/>
    <w:rsid w:val="009369CA"/>
    <w:rsid w:val="00936BC7"/>
    <w:rsid w:val="00936DCF"/>
    <w:rsid w:val="00936DDE"/>
    <w:rsid w:val="00936DF0"/>
    <w:rsid w:val="00936EA7"/>
    <w:rsid w:val="00936EB0"/>
    <w:rsid w:val="00936F7D"/>
    <w:rsid w:val="00936F96"/>
    <w:rsid w:val="009370FD"/>
    <w:rsid w:val="00937184"/>
    <w:rsid w:val="00937445"/>
    <w:rsid w:val="00937500"/>
    <w:rsid w:val="00937876"/>
    <w:rsid w:val="009378AD"/>
    <w:rsid w:val="0093790D"/>
    <w:rsid w:val="0093798A"/>
    <w:rsid w:val="00937AD5"/>
    <w:rsid w:val="00937B98"/>
    <w:rsid w:val="00937BE2"/>
    <w:rsid w:val="00937C02"/>
    <w:rsid w:val="009403EC"/>
    <w:rsid w:val="0094057E"/>
    <w:rsid w:val="009406C0"/>
    <w:rsid w:val="00940776"/>
    <w:rsid w:val="00940827"/>
    <w:rsid w:val="00940B76"/>
    <w:rsid w:val="00940BC6"/>
    <w:rsid w:val="00940C4E"/>
    <w:rsid w:val="00940CA8"/>
    <w:rsid w:val="00940DB7"/>
    <w:rsid w:val="00940E53"/>
    <w:rsid w:val="0094120E"/>
    <w:rsid w:val="00941BA8"/>
    <w:rsid w:val="00941C0A"/>
    <w:rsid w:val="00941C75"/>
    <w:rsid w:val="00941EC1"/>
    <w:rsid w:val="00941ED7"/>
    <w:rsid w:val="00941F36"/>
    <w:rsid w:val="00941FBF"/>
    <w:rsid w:val="00942046"/>
    <w:rsid w:val="009423AA"/>
    <w:rsid w:val="009424A1"/>
    <w:rsid w:val="0094255D"/>
    <w:rsid w:val="00942583"/>
    <w:rsid w:val="0094260B"/>
    <w:rsid w:val="0094298C"/>
    <w:rsid w:val="00942A4E"/>
    <w:rsid w:val="00942ABB"/>
    <w:rsid w:val="00942AF0"/>
    <w:rsid w:val="00942D8F"/>
    <w:rsid w:val="00942E28"/>
    <w:rsid w:val="00942E64"/>
    <w:rsid w:val="0094309F"/>
    <w:rsid w:val="0094317E"/>
    <w:rsid w:val="0094337E"/>
    <w:rsid w:val="00943457"/>
    <w:rsid w:val="0094346C"/>
    <w:rsid w:val="009436C7"/>
    <w:rsid w:val="00943786"/>
    <w:rsid w:val="0094380C"/>
    <w:rsid w:val="00943A60"/>
    <w:rsid w:val="00943AEC"/>
    <w:rsid w:val="00943C94"/>
    <w:rsid w:val="00943CDC"/>
    <w:rsid w:val="00943CE5"/>
    <w:rsid w:val="00943D2A"/>
    <w:rsid w:val="00943F37"/>
    <w:rsid w:val="00944136"/>
    <w:rsid w:val="00944145"/>
    <w:rsid w:val="009441B6"/>
    <w:rsid w:val="009443AE"/>
    <w:rsid w:val="0094445E"/>
    <w:rsid w:val="009447D6"/>
    <w:rsid w:val="00944875"/>
    <w:rsid w:val="009448C4"/>
    <w:rsid w:val="00944A99"/>
    <w:rsid w:val="00944B18"/>
    <w:rsid w:val="00944C08"/>
    <w:rsid w:val="00944E18"/>
    <w:rsid w:val="00944E85"/>
    <w:rsid w:val="009450AE"/>
    <w:rsid w:val="0094515F"/>
    <w:rsid w:val="00945331"/>
    <w:rsid w:val="00945349"/>
    <w:rsid w:val="00945419"/>
    <w:rsid w:val="0094549F"/>
    <w:rsid w:val="00945520"/>
    <w:rsid w:val="00945754"/>
    <w:rsid w:val="009457CD"/>
    <w:rsid w:val="00945A3D"/>
    <w:rsid w:val="00945B01"/>
    <w:rsid w:val="00945B3C"/>
    <w:rsid w:val="00945C1E"/>
    <w:rsid w:val="00945C7F"/>
    <w:rsid w:val="00945DAE"/>
    <w:rsid w:val="00945F34"/>
    <w:rsid w:val="00945F5D"/>
    <w:rsid w:val="00946007"/>
    <w:rsid w:val="00946038"/>
    <w:rsid w:val="00946422"/>
    <w:rsid w:val="00946669"/>
    <w:rsid w:val="0094672F"/>
    <w:rsid w:val="00946B2B"/>
    <w:rsid w:val="00946DE6"/>
    <w:rsid w:val="00946F4E"/>
    <w:rsid w:val="00946F99"/>
    <w:rsid w:val="00946FA7"/>
    <w:rsid w:val="0094708C"/>
    <w:rsid w:val="009471FA"/>
    <w:rsid w:val="009474FE"/>
    <w:rsid w:val="00947549"/>
    <w:rsid w:val="00947627"/>
    <w:rsid w:val="00947761"/>
    <w:rsid w:val="0094782C"/>
    <w:rsid w:val="0094784C"/>
    <w:rsid w:val="00947917"/>
    <w:rsid w:val="00947C1F"/>
    <w:rsid w:val="00947D04"/>
    <w:rsid w:val="00947E4C"/>
    <w:rsid w:val="00947F1D"/>
    <w:rsid w:val="00947FD4"/>
    <w:rsid w:val="00950018"/>
    <w:rsid w:val="009500B6"/>
    <w:rsid w:val="00950148"/>
    <w:rsid w:val="00950381"/>
    <w:rsid w:val="009503AD"/>
    <w:rsid w:val="0095060D"/>
    <w:rsid w:val="009506F8"/>
    <w:rsid w:val="00950709"/>
    <w:rsid w:val="009508B7"/>
    <w:rsid w:val="0095096F"/>
    <w:rsid w:val="00950BAB"/>
    <w:rsid w:val="00950E23"/>
    <w:rsid w:val="00950E48"/>
    <w:rsid w:val="009510F2"/>
    <w:rsid w:val="00951252"/>
    <w:rsid w:val="00951337"/>
    <w:rsid w:val="00951354"/>
    <w:rsid w:val="0095140A"/>
    <w:rsid w:val="009515F6"/>
    <w:rsid w:val="009516A7"/>
    <w:rsid w:val="00951764"/>
    <w:rsid w:val="00951798"/>
    <w:rsid w:val="009517E2"/>
    <w:rsid w:val="00951872"/>
    <w:rsid w:val="00951979"/>
    <w:rsid w:val="00951C47"/>
    <w:rsid w:val="00951CD8"/>
    <w:rsid w:val="00951D20"/>
    <w:rsid w:val="00951D31"/>
    <w:rsid w:val="00951DE8"/>
    <w:rsid w:val="00951E22"/>
    <w:rsid w:val="00951EB8"/>
    <w:rsid w:val="00952072"/>
    <w:rsid w:val="00952103"/>
    <w:rsid w:val="00952150"/>
    <w:rsid w:val="009521C7"/>
    <w:rsid w:val="009521C9"/>
    <w:rsid w:val="00952268"/>
    <w:rsid w:val="00952377"/>
    <w:rsid w:val="0095237A"/>
    <w:rsid w:val="00952414"/>
    <w:rsid w:val="0095243C"/>
    <w:rsid w:val="0095295C"/>
    <w:rsid w:val="00952AD7"/>
    <w:rsid w:val="00952B4D"/>
    <w:rsid w:val="00952BAD"/>
    <w:rsid w:val="00952E25"/>
    <w:rsid w:val="00952FAE"/>
    <w:rsid w:val="009530C9"/>
    <w:rsid w:val="00953648"/>
    <w:rsid w:val="009536C5"/>
    <w:rsid w:val="009536C9"/>
    <w:rsid w:val="009536EA"/>
    <w:rsid w:val="00953860"/>
    <w:rsid w:val="009538AF"/>
    <w:rsid w:val="009538D8"/>
    <w:rsid w:val="009538DC"/>
    <w:rsid w:val="00953A18"/>
    <w:rsid w:val="00953A7E"/>
    <w:rsid w:val="00953A9E"/>
    <w:rsid w:val="00953B88"/>
    <w:rsid w:val="00953BC7"/>
    <w:rsid w:val="00953E01"/>
    <w:rsid w:val="00953EEF"/>
    <w:rsid w:val="0095404B"/>
    <w:rsid w:val="0095406C"/>
    <w:rsid w:val="009540E0"/>
    <w:rsid w:val="009541AB"/>
    <w:rsid w:val="009542D7"/>
    <w:rsid w:val="009543D7"/>
    <w:rsid w:val="00954523"/>
    <w:rsid w:val="0095475E"/>
    <w:rsid w:val="00954B2D"/>
    <w:rsid w:val="00954C6A"/>
    <w:rsid w:val="00954DB8"/>
    <w:rsid w:val="00954DF7"/>
    <w:rsid w:val="00954F52"/>
    <w:rsid w:val="0095504A"/>
    <w:rsid w:val="0095507A"/>
    <w:rsid w:val="00955091"/>
    <w:rsid w:val="009550F0"/>
    <w:rsid w:val="0095520B"/>
    <w:rsid w:val="0095527E"/>
    <w:rsid w:val="009552C2"/>
    <w:rsid w:val="009554D4"/>
    <w:rsid w:val="009557A5"/>
    <w:rsid w:val="009557B9"/>
    <w:rsid w:val="00955A9D"/>
    <w:rsid w:val="00955CCE"/>
    <w:rsid w:val="009560E6"/>
    <w:rsid w:val="009561A9"/>
    <w:rsid w:val="009562E9"/>
    <w:rsid w:val="0095642A"/>
    <w:rsid w:val="009564BE"/>
    <w:rsid w:val="009566F5"/>
    <w:rsid w:val="00956752"/>
    <w:rsid w:val="009568B2"/>
    <w:rsid w:val="00956AD0"/>
    <w:rsid w:val="00956BBE"/>
    <w:rsid w:val="00956BCB"/>
    <w:rsid w:val="00956D8B"/>
    <w:rsid w:val="00956EDD"/>
    <w:rsid w:val="00957066"/>
    <w:rsid w:val="00957382"/>
    <w:rsid w:val="0095762B"/>
    <w:rsid w:val="009579AB"/>
    <w:rsid w:val="00957A30"/>
    <w:rsid w:val="00957A42"/>
    <w:rsid w:val="00957AF8"/>
    <w:rsid w:val="00957E39"/>
    <w:rsid w:val="00957E92"/>
    <w:rsid w:val="00957F4B"/>
    <w:rsid w:val="00960016"/>
    <w:rsid w:val="0096011A"/>
    <w:rsid w:val="009601A1"/>
    <w:rsid w:val="009601D2"/>
    <w:rsid w:val="00960294"/>
    <w:rsid w:val="00960389"/>
    <w:rsid w:val="00960480"/>
    <w:rsid w:val="00960591"/>
    <w:rsid w:val="009605B5"/>
    <w:rsid w:val="009605FB"/>
    <w:rsid w:val="00960883"/>
    <w:rsid w:val="009608B0"/>
    <w:rsid w:val="00960994"/>
    <w:rsid w:val="00960C18"/>
    <w:rsid w:val="00960CD3"/>
    <w:rsid w:val="00960CF4"/>
    <w:rsid w:val="00960D1F"/>
    <w:rsid w:val="00960D6E"/>
    <w:rsid w:val="00961142"/>
    <w:rsid w:val="009611D7"/>
    <w:rsid w:val="00961401"/>
    <w:rsid w:val="009615AF"/>
    <w:rsid w:val="009615FD"/>
    <w:rsid w:val="0096160D"/>
    <w:rsid w:val="0096190C"/>
    <w:rsid w:val="00961937"/>
    <w:rsid w:val="00961A40"/>
    <w:rsid w:val="00961ADA"/>
    <w:rsid w:val="00961B4B"/>
    <w:rsid w:val="00961BF6"/>
    <w:rsid w:val="00961C11"/>
    <w:rsid w:val="00961C4F"/>
    <w:rsid w:val="00961C57"/>
    <w:rsid w:val="00961D52"/>
    <w:rsid w:val="0096215F"/>
    <w:rsid w:val="009622B9"/>
    <w:rsid w:val="00962642"/>
    <w:rsid w:val="00962676"/>
    <w:rsid w:val="009627ED"/>
    <w:rsid w:val="0096296A"/>
    <w:rsid w:val="00962A5B"/>
    <w:rsid w:val="00962B64"/>
    <w:rsid w:val="00962F5D"/>
    <w:rsid w:val="00963173"/>
    <w:rsid w:val="00963256"/>
    <w:rsid w:val="009632C3"/>
    <w:rsid w:val="0096334A"/>
    <w:rsid w:val="00963380"/>
    <w:rsid w:val="00963406"/>
    <w:rsid w:val="00963610"/>
    <w:rsid w:val="0096376F"/>
    <w:rsid w:val="0096378B"/>
    <w:rsid w:val="0096387A"/>
    <w:rsid w:val="00963898"/>
    <w:rsid w:val="009638E6"/>
    <w:rsid w:val="00963918"/>
    <w:rsid w:val="00963958"/>
    <w:rsid w:val="00963B4B"/>
    <w:rsid w:val="00963C3F"/>
    <w:rsid w:val="00963C88"/>
    <w:rsid w:val="00963EB1"/>
    <w:rsid w:val="00963EB3"/>
    <w:rsid w:val="00963F55"/>
    <w:rsid w:val="009640F7"/>
    <w:rsid w:val="009642BF"/>
    <w:rsid w:val="009642F8"/>
    <w:rsid w:val="00964318"/>
    <w:rsid w:val="00964404"/>
    <w:rsid w:val="009644C1"/>
    <w:rsid w:val="009645DF"/>
    <w:rsid w:val="009645E3"/>
    <w:rsid w:val="0096460A"/>
    <w:rsid w:val="0096462C"/>
    <w:rsid w:val="00964737"/>
    <w:rsid w:val="00964748"/>
    <w:rsid w:val="009648E1"/>
    <w:rsid w:val="00964905"/>
    <w:rsid w:val="00964963"/>
    <w:rsid w:val="00964A37"/>
    <w:rsid w:val="00964C2C"/>
    <w:rsid w:val="00964C58"/>
    <w:rsid w:val="00964EA6"/>
    <w:rsid w:val="009650D8"/>
    <w:rsid w:val="0096516F"/>
    <w:rsid w:val="009653F3"/>
    <w:rsid w:val="009655C7"/>
    <w:rsid w:val="009656CE"/>
    <w:rsid w:val="00965740"/>
    <w:rsid w:val="009658BD"/>
    <w:rsid w:val="00965914"/>
    <w:rsid w:val="0096594A"/>
    <w:rsid w:val="009659CA"/>
    <w:rsid w:val="00965CA5"/>
    <w:rsid w:val="00965E1A"/>
    <w:rsid w:val="00965E21"/>
    <w:rsid w:val="00965F55"/>
    <w:rsid w:val="00965F82"/>
    <w:rsid w:val="00965FDE"/>
    <w:rsid w:val="00966087"/>
    <w:rsid w:val="00966165"/>
    <w:rsid w:val="009661EF"/>
    <w:rsid w:val="00966226"/>
    <w:rsid w:val="00966484"/>
    <w:rsid w:val="00966642"/>
    <w:rsid w:val="00966797"/>
    <w:rsid w:val="00966861"/>
    <w:rsid w:val="009668C7"/>
    <w:rsid w:val="00966901"/>
    <w:rsid w:val="00966958"/>
    <w:rsid w:val="00966A6C"/>
    <w:rsid w:val="00966A90"/>
    <w:rsid w:val="00966D0F"/>
    <w:rsid w:val="0096706D"/>
    <w:rsid w:val="00967201"/>
    <w:rsid w:val="00967291"/>
    <w:rsid w:val="0096742A"/>
    <w:rsid w:val="00967632"/>
    <w:rsid w:val="009676D0"/>
    <w:rsid w:val="00967706"/>
    <w:rsid w:val="00967722"/>
    <w:rsid w:val="00967727"/>
    <w:rsid w:val="00967A37"/>
    <w:rsid w:val="00967ABC"/>
    <w:rsid w:val="00967AC6"/>
    <w:rsid w:val="00967B43"/>
    <w:rsid w:val="00967D9D"/>
    <w:rsid w:val="00967F57"/>
    <w:rsid w:val="00967F5D"/>
    <w:rsid w:val="00967F85"/>
    <w:rsid w:val="00967FC7"/>
    <w:rsid w:val="009700B4"/>
    <w:rsid w:val="00970260"/>
    <w:rsid w:val="009703E7"/>
    <w:rsid w:val="00970459"/>
    <w:rsid w:val="00970545"/>
    <w:rsid w:val="00970576"/>
    <w:rsid w:val="009705B6"/>
    <w:rsid w:val="009705CA"/>
    <w:rsid w:val="009707CC"/>
    <w:rsid w:val="00970910"/>
    <w:rsid w:val="00970974"/>
    <w:rsid w:val="0097099E"/>
    <w:rsid w:val="00970B35"/>
    <w:rsid w:val="00970CAE"/>
    <w:rsid w:val="00970D5E"/>
    <w:rsid w:val="00970DB3"/>
    <w:rsid w:val="00970DC0"/>
    <w:rsid w:val="00970EBB"/>
    <w:rsid w:val="00970F21"/>
    <w:rsid w:val="00970F7F"/>
    <w:rsid w:val="0097117D"/>
    <w:rsid w:val="0097119C"/>
    <w:rsid w:val="0097119D"/>
    <w:rsid w:val="00971245"/>
    <w:rsid w:val="00971419"/>
    <w:rsid w:val="0097149F"/>
    <w:rsid w:val="009714CF"/>
    <w:rsid w:val="009717B4"/>
    <w:rsid w:val="00971A0D"/>
    <w:rsid w:val="00971B4D"/>
    <w:rsid w:val="00971E86"/>
    <w:rsid w:val="00971EBE"/>
    <w:rsid w:val="00971F3C"/>
    <w:rsid w:val="00972222"/>
    <w:rsid w:val="0097260B"/>
    <w:rsid w:val="0097280C"/>
    <w:rsid w:val="00972BC4"/>
    <w:rsid w:val="00972D58"/>
    <w:rsid w:val="00972EB2"/>
    <w:rsid w:val="00972F33"/>
    <w:rsid w:val="0097312F"/>
    <w:rsid w:val="0097322B"/>
    <w:rsid w:val="009734B7"/>
    <w:rsid w:val="009734D2"/>
    <w:rsid w:val="009737BE"/>
    <w:rsid w:val="009737DC"/>
    <w:rsid w:val="00973996"/>
    <w:rsid w:val="00973C97"/>
    <w:rsid w:val="00973CDE"/>
    <w:rsid w:val="00973FC4"/>
    <w:rsid w:val="00974079"/>
    <w:rsid w:val="00974171"/>
    <w:rsid w:val="009741EA"/>
    <w:rsid w:val="009742CC"/>
    <w:rsid w:val="00974336"/>
    <w:rsid w:val="0097440E"/>
    <w:rsid w:val="009744E1"/>
    <w:rsid w:val="0097462B"/>
    <w:rsid w:val="00974C1E"/>
    <w:rsid w:val="00974D2E"/>
    <w:rsid w:val="00974D3D"/>
    <w:rsid w:val="00974D52"/>
    <w:rsid w:val="00974DC7"/>
    <w:rsid w:val="00974DF3"/>
    <w:rsid w:val="00974EDF"/>
    <w:rsid w:val="00974FD2"/>
    <w:rsid w:val="00975214"/>
    <w:rsid w:val="0097535D"/>
    <w:rsid w:val="0097540B"/>
    <w:rsid w:val="0097540F"/>
    <w:rsid w:val="009755DD"/>
    <w:rsid w:val="00975654"/>
    <w:rsid w:val="00975746"/>
    <w:rsid w:val="00975B47"/>
    <w:rsid w:val="00975D20"/>
    <w:rsid w:val="00975D37"/>
    <w:rsid w:val="00975D47"/>
    <w:rsid w:val="00975DED"/>
    <w:rsid w:val="00975F53"/>
    <w:rsid w:val="00975F5D"/>
    <w:rsid w:val="009760C8"/>
    <w:rsid w:val="0097623A"/>
    <w:rsid w:val="0097635B"/>
    <w:rsid w:val="009763C1"/>
    <w:rsid w:val="009763CF"/>
    <w:rsid w:val="009765B5"/>
    <w:rsid w:val="009765DF"/>
    <w:rsid w:val="0097663E"/>
    <w:rsid w:val="009766FE"/>
    <w:rsid w:val="00976772"/>
    <w:rsid w:val="00976A99"/>
    <w:rsid w:val="00976AA6"/>
    <w:rsid w:val="00976B3A"/>
    <w:rsid w:val="00976C45"/>
    <w:rsid w:val="00976CF4"/>
    <w:rsid w:val="00976F2C"/>
    <w:rsid w:val="0097717B"/>
    <w:rsid w:val="009771F7"/>
    <w:rsid w:val="00977493"/>
    <w:rsid w:val="00977657"/>
    <w:rsid w:val="009778F5"/>
    <w:rsid w:val="00977997"/>
    <w:rsid w:val="00977E82"/>
    <w:rsid w:val="00977F96"/>
    <w:rsid w:val="009800C5"/>
    <w:rsid w:val="009800E2"/>
    <w:rsid w:val="009802F3"/>
    <w:rsid w:val="00980514"/>
    <w:rsid w:val="0098051B"/>
    <w:rsid w:val="009807E0"/>
    <w:rsid w:val="00980AEE"/>
    <w:rsid w:val="00980B19"/>
    <w:rsid w:val="00980B8A"/>
    <w:rsid w:val="00980BFF"/>
    <w:rsid w:val="00980CE8"/>
    <w:rsid w:val="00980F73"/>
    <w:rsid w:val="00981079"/>
    <w:rsid w:val="00981202"/>
    <w:rsid w:val="0098132F"/>
    <w:rsid w:val="0098136D"/>
    <w:rsid w:val="009813F6"/>
    <w:rsid w:val="009813FF"/>
    <w:rsid w:val="00981576"/>
    <w:rsid w:val="0098176B"/>
    <w:rsid w:val="0098192A"/>
    <w:rsid w:val="00981985"/>
    <w:rsid w:val="00981998"/>
    <w:rsid w:val="009819F4"/>
    <w:rsid w:val="00981AAA"/>
    <w:rsid w:val="00981C45"/>
    <w:rsid w:val="00981D9F"/>
    <w:rsid w:val="00981E39"/>
    <w:rsid w:val="00982062"/>
    <w:rsid w:val="0098215E"/>
    <w:rsid w:val="0098225D"/>
    <w:rsid w:val="00982496"/>
    <w:rsid w:val="0098251B"/>
    <w:rsid w:val="009825D7"/>
    <w:rsid w:val="009827AD"/>
    <w:rsid w:val="00982946"/>
    <w:rsid w:val="00982A0E"/>
    <w:rsid w:val="00982A1C"/>
    <w:rsid w:val="00982A2D"/>
    <w:rsid w:val="00982BCB"/>
    <w:rsid w:val="00982C90"/>
    <w:rsid w:val="00982D15"/>
    <w:rsid w:val="00982D51"/>
    <w:rsid w:val="00983075"/>
    <w:rsid w:val="009832A6"/>
    <w:rsid w:val="009832FF"/>
    <w:rsid w:val="009833FD"/>
    <w:rsid w:val="009834EF"/>
    <w:rsid w:val="00983850"/>
    <w:rsid w:val="0098396F"/>
    <w:rsid w:val="00983A48"/>
    <w:rsid w:val="00983A98"/>
    <w:rsid w:val="00983CFB"/>
    <w:rsid w:val="00983F68"/>
    <w:rsid w:val="00983FD5"/>
    <w:rsid w:val="00983FFD"/>
    <w:rsid w:val="0098417B"/>
    <w:rsid w:val="009841AC"/>
    <w:rsid w:val="009842F9"/>
    <w:rsid w:val="00984330"/>
    <w:rsid w:val="0098433C"/>
    <w:rsid w:val="00984377"/>
    <w:rsid w:val="00984617"/>
    <w:rsid w:val="009846FB"/>
    <w:rsid w:val="00984784"/>
    <w:rsid w:val="0098487A"/>
    <w:rsid w:val="00984A46"/>
    <w:rsid w:val="00984A73"/>
    <w:rsid w:val="00984A76"/>
    <w:rsid w:val="00984BD3"/>
    <w:rsid w:val="00984C2C"/>
    <w:rsid w:val="00984C44"/>
    <w:rsid w:val="00984D97"/>
    <w:rsid w:val="00984E5F"/>
    <w:rsid w:val="00984EC9"/>
    <w:rsid w:val="00985088"/>
    <w:rsid w:val="009852BA"/>
    <w:rsid w:val="00985370"/>
    <w:rsid w:val="009854D5"/>
    <w:rsid w:val="00985511"/>
    <w:rsid w:val="00985597"/>
    <w:rsid w:val="009856EF"/>
    <w:rsid w:val="00985869"/>
    <w:rsid w:val="00985977"/>
    <w:rsid w:val="00985B08"/>
    <w:rsid w:val="00985E54"/>
    <w:rsid w:val="009861BC"/>
    <w:rsid w:val="0098622C"/>
    <w:rsid w:val="00986384"/>
    <w:rsid w:val="00986896"/>
    <w:rsid w:val="00986A91"/>
    <w:rsid w:val="00986CDD"/>
    <w:rsid w:val="00986E23"/>
    <w:rsid w:val="00986FE2"/>
    <w:rsid w:val="0098764A"/>
    <w:rsid w:val="00987684"/>
    <w:rsid w:val="0098784E"/>
    <w:rsid w:val="00987A0D"/>
    <w:rsid w:val="00987A31"/>
    <w:rsid w:val="00987B40"/>
    <w:rsid w:val="00987B52"/>
    <w:rsid w:val="00987C30"/>
    <w:rsid w:val="00987CEB"/>
    <w:rsid w:val="00987D30"/>
    <w:rsid w:val="00987D56"/>
    <w:rsid w:val="00987E5D"/>
    <w:rsid w:val="00990180"/>
    <w:rsid w:val="00990220"/>
    <w:rsid w:val="009907E1"/>
    <w:rsid w:val="00990891"/>
    <w:rsid w:val="009909A5"/>
    <w:rsid w:val="00990B79"/>
    <w:rsid w:val="00990B9D"/>
    <w:rsid w:val="00990C3F"/>
    <w:rsid w:val="00990C98"/>
    <w:rsid w:val="00990CC8"/>
    <w:rsid w:val="00990E3F"/>
    <w:rsid w:val="009915A5"/>
    <w:rsid w:val="0099167D"/>
    <w:rsid w:val="00991730"/>
    <w:rsid w:val="009917BA"/>
    <w:rsid w:val="00991809"/>
    <w:rsid w:val="009918AC"/>
    <w:rsid w:val="00991C97"/>
    <w:rsid w:val="00991CBE"/>
    <w:rsid w:val="00991CC8"/>
    <w:rsid w:val="00991EBE"/>
    <w:rsid w:val="00991EF6"/>
    <w:rsid w:val="0099223A"/>
    <w:rsid w:val="00992247"/>
    <w:rsid w:val="009922A9"/>
    <w:rsid w:val="0099246B"/>
    <w:rsid w:val="0099270A"/>
    <w:rsid w:val="00992710"/>
    <w:rsid w:val="0099276C"/>
    <w:rsid w:val="0099278A"/>
    <w:rsid w:val="009927D7"/>
    <w:rsid w:val="00992852"/>
    <w:rsid w:val="0099286E"/>
    <w:rsid w:val="009929C6"/>
    <w:rsid w:val="00992AEF"/>
    <w:rsid w:val="00992C68"/>
    <w:rsid w:val="00992CFF"/>
    <w:rsid w:val="00992D19"/>
    <w:rsid w:val="00992D6D"/>
    <w:rsid w:val="00992DA1"/>
    <w:rsid w:val="00992DE8"/>
    <w:rsid w:val="00992E2B"/>
    <w:rsid w:val="00992E50"/>
    <w:rsid w:val="00993077"/>
    <w:rsid w:val="009930BF"/>
    <w:rsid w:val="00993121"/>
    <w:rsid w:val="009931C6"/>
    <w:rsid w:val="0099332D"/>
    <w:rsid w:val="009933BF"/>
    <w:rsid w:val="009934C3"/>
    <w:rsid w:val="009934D1"/>
    <w:rsid w:val="009934E4"/>
    <w:rsid w:val="00993661"/>
    <w:rsid w:val="009936DA"/>
    <w:rsid w:val="00993776"/>
    <w:rsid w:val="0099390F"/>
    <w:rsid w:val="009939B8"/>
    <w:rsid w:val="00993DDA"/>
    <w:rsid w:val="00993E77"/>
    <w:rsid w:val="009941C1"/>
    <w:rsid w:val="00994315"/>
    <w:rsid w:val="00994471"/>
    <w:rsid w:val="0099456C"/>
    <w:rsid w:val="009946F2"/>
    <w:rsid w:val="009947EF"/>
    <w:rsid w:val="00994922"/>
    <w:rsid w:val="00994C0B"/>
    <w:rsid w:val="00994E33"/>
    <w:rsid w:val="00994F41"/>
    <w:rsid w:val="00995020"/>
    <w:rsid w:val="0099503C"/>
    <w:rsid w:val="00995175"/>
    <w:rsid w:val="009952AC"/>
    <w:rsid w:val="009955B3"/>
    <w:rsid w:val="00995659"/>
    <w:rsid w:val="00995928"/>
    <w:rsid w:val="0099598F"/>
    <w:rsid w:val="009959D8"/>
    <w:rsid w:val="00995ACF"/>
    <w:rsid w:val="00995C05"/>
    <w:rsid w:val="00995C44"/>
    <w:rsid w:val="00995CDB"/>
    <w:rsid w:val="00995D57"/>
    <w:rsid w:val="00995DDC"/>
    <w:rsid w:val="00995E12"/>
    <w:rsid w:val="00995E89"/>
    <w:rsid w:val="00996121"/>
    <w:rsid w:val="00996127"/>
    <w:rsid w:val="00996149"/>
    <w:rsid w:val="00996469"/>
    <w:rsid w:val="00996618"/>
    <w:rsid w:val="009967A8"/>
    <w:rsid w:val="009968A4"/>
    <w:rsid w:val="00996B27"/>
    <w:rsid w:val="00996BC9"/>
    <w:rsid w:val="00996DA6"/>
    <w:rsid w:val="00996E58"/>
    <w:rsid w:val="00996F6A"/>
    <w:rsid w:val="00997183"/>
    <w:rsid w:val="00997415"/>
    <w:rsid w:val="00997495"/>
    <w:rsid w:val="0099759F"/>
    <w:rsid w:val="009975E6"/>
    <w:rsid w:val="0099765D"/>
    <w:rsid w:val="00997692"/>
    <w:rsid w:val="009976F1"/>
    <w:rsid w:val="00997727"/>
    <w:rsid w:val="00997970"/>
    <w:rsid w:val="00997A8F"/>
    <w:rsid w:val="00997B62"/>
    <w:rsid w:val="00997C35"/>
    <w:rsid w:val="00997E13"/>
    <w:rsid w:val="00997E49"/>
    <w:rsid w:val="00997EE2"/>
    <w:rsid w:val="009A010D"/>
    <w:rsid w:val="009A0140"/>
    <w:rsid w:val="009A0713"/>
    <w:rsid w:val="009A0A1D"/>
    <w:rsid w:val="009A0A29"/>
    <w:rsid w:val="009A0C1F"/>
    <w:rsid w:val="009A0C20"/>
    <w:rsid w:val="009A0C84"/>
    <w:rsid w:val="009A0DCE"/>
    <w:rsid w:val="009A0E15"/>
    <w:rsid w:val="009A106B"/>
    <w:rsid w:val="009A10D7"/>
    <w:rsid w:val="009A11EE"/>
    <w:rsid w:val="009A124D"/>
    <w:rsid w:val="009A12A5"/>
    <w:rsid w:val="009A12AA"/>
    <w:rsid w:val="009A148C"/>
    <w:rsid w:val="009A14D1"/>
    <w:rsid w:val="009A164D"/>
    <w:rsid w:val="009A195A"/>
    <w:rsid w:val="009A1986"/>
    <w:rsid w:val="009A1A29"/>
    <w:rsid w:val="009A1A39"/>
    <w:rsid w:val="009A1B4D"/>
    <w:rsid w:val="009A1BB6"/>
    <w:rsid w:val="009A1D5F"/>
    <w:rsid w:val="009A1F2E"/>
    <w:rsid w:val="009A1FE0"/>
    <w:rsid w:val="009A20AA"/>
    <w:rsid w:val="009A20C3"/>
    <w:rsid w:val="009A22A7"/>
    <w:rsid w:val="009A2533"/>
    <w:rsid w:val="009A25CA"/>
    <w:rsid w:val="009A2662"/>
    <w:rsid w:val="009A2710"/>
    <w:rsid w:val="009A2787"/>
    <w:rsid w:val="009A2818"/>
    <w:rsid w:val="009A281B"/>
    <w:rsid w:val="009A2A06"/>
    <w:rsid w:val="009A2A4E"/>
    <w:rsid w:val="009A2AAE"/>
    <w:rsid w:val="009A2B0F"/>
    <w:rsid w:val="009A2B72"/>
    <w:rsid w:val="009A2D2D"/>
    <w:rsid w:val="009A2D82"/>
    <w:rsid w:val="009A3262"/>
    <w:rsid w:val="009A327C"/>
    <w:rsid w:val="009A3486"/>
    <w:rsid w:val="009A34F7"/>
    <w:rsid w:val="009A3837"/>
    <w:rsid w:val="009A3854"/>
    <w:rsid w:val="009A389A"/>
    <w:rsid w:val="009A39BC"/>
    <w:rsid w:val="009A3C40"/>
    <w:rsid w:val="009A3CF5"/>
    <w:rsid w:val="009A3D66"/>
    <w:rsid w:val="009A3D75"/>
    <w:rsid w:val="009A3EE9"/>
    <w:rsid w:val="009A40D4"/>
    <w:rsid w:val="009A428C"/>
    <w:rsid w:val="009A4354"/>
    <w:rsid w:val="009A43C6"/>
    <w:rsid w:val="009A444D"/>
    <w:rsid w:val="009A45E3"/>
    <w:rsid w:val="009A4646"/>
    <w:rsid w:val="009A475C"/>
    <w:rsid w:val="009A4A2C"/>
    <w:rsid w:val="009A4E6D"/>
    <w:rsid w:val="009A50CD"/>
    <w:rsid w:val="009A5354"/>
    <w:rsid w:val="009A5520"/>
    <w:rsid w:val="009A5574"/>
    <w:rsid w:val="009A56B2"/>
    <w:rsid w:val="009A570A"/>
    <w:rsid w:val="009A5A19"/>
    <w:rsid w:val="009A5B50"/>
    <w:rsid w:val="009A5B7E"/>
    <w:rsid w:val="009A5F35"/>
    <w:rsid w:val="009A5FB9"/>
    <w:rsid w:val="009A6033"/>
    <w:rsid w:val="009A6149"/>
    <w:rsid w:val="009A6263"/>
    <w:rsid w:val="009A627B"/>
    <w:rsid w:val="009A6586"/>
    <w:rsid w:val="009A667E"/>
    <w:rsid w:val="009A676E"/>
    <w:rsid w:val="009A682B"/>
    <w:rsid w:val="009A6937"/>
    <w:rsid w:val="009A69C6"/>
    <w:rsid w:val="009A6BF7"/>
    <w:rsid w:val="009A6C56"/>
    <w:rsid w:val="009A6DF4"/>
    <w:rsid w:val="009A6F4D"/>
    <w:rsid w:val="009A6F53"/>
    <w:rsid w:val="009A6F8E"/>
    <w:rsid w:val="009A6F9E"/>
    <w:rsid w:val="009A6FE2"/>
    <w:rsid w:val="009A700C"/>
    <w:rsid w:val="009A716E"/>
    <w:rsid w:val="009A736F"/>
    <w:rsid w:val="009A75DA"/>
    <w:rsid w:val="009A775D"/>
    <w:rsid w:val="009A7799"/>
    <w:rsid w:val="009A789D"/>
    <w:rsid w:val="009A7A49"/>
    <w:rsid w:val="009A7A8F"/>
    <w:rsid w:val="009A7D62"/>
    <w:rsid w:val="009A7EB5"/>
    <w:rsid w:val="009B0054"/>
    <w:rsid w:val="009B019D"/>
    <w:rsid w:val="009B02AE"/>
    <w:rsid w:val="009B0333"/>
    <w:rsid w:val="009B03C5"/>
    <w:rsid w:val="009B045E"/>
    <w:rsid w:val="009B04AF"/>
    <w:rsid w:val="009B0768"/>
    <w:rsid w:val="009B0CB9"/>
    <w:rsid w:val="009B0DAB"/>
    <w:rsid w:val="009B1038"/>
    <w:rsid w:val="009B129D"/>
    <w:rsid w:val="009B15E5"/>
    <w:rsid w:val="009B1627"/>
    <w:rsid w:val="009B1649"/>
    <w:rsid w:val="009B1782"/>
    <w:rsid w:val="009B18D7"/>
    <w:rsid w:val="009B1CDC"/>
    <w:rsid w:val="009B1D4D"/>
    <w:rsid w:val="009B1D78"/>
    <w:rsid w:val="009B1FB2"/>
    <w:rsid w:val="009B21AB"/>
    <w:rsid w:val="009B223F"/>
    <w:rsid w:val="009B23B6"/>
    <w:rsid w:val="009B2697"/>
    <w:rsid w:val="009B28D3"/>
    <w:rsid w:val="009B295A"/>
    <w:rsid w:val="009B29C3"/>
    <w:rsid w:val="009B29FA"/>
    <w:rsid w:val="009B2A19"/>
    <w:rsid w:val="009B3027"/>
    <w:rsid w:val="009B3064"/>
    <w:rsid w:val="009B3328"/>
    <w:rsid w:val="009B3350"/>
    <w:rsid w:val="009B344F"/>
    <w:rsid w:val="009B3495"/>
    <w:rsid w:val="009B34F5"/>
    <w:rsid w:val="009B36C1"/>
    <w:rsid w:val="009B3992"/>
    <w:rsid w:val="009B39DF"/>
    <w:rsid w:val="009B3AC5"/>
    <w:rsid w:val="009B3AD7"/>
    <w:rsid w:val="009B3AEF"/>
    <w:rsid w:val="009B3AF2"/>
    <w:rsid w:val="009B3B40"/>
    <w:rsid w:val="009B3B66"/>
    <w:rsid w:val="009B3BF7"/>
    <w:rsid w:val="009B3C9E"/>
    <w:rsid w:val="009B3D55"/>
    <w:rsid w:val="009B3D5D"/>
    <w:rsid w:val="009B3D65"/>
    <w:rsid w:val="009B3D8B"/>
    <w:rsid w:val="009B3DAC"/>
    <w:rsid w:val="009B3F8C"/>
    <w:rsid w:val="009B409D"/>
    <w:rsid w:val="009B410B"/>
    <w:rsid w:val="009B4381"/>
    <w:rsid w:val="009B47B5"/>
    <w:rsid w:val="009B4839"/>
    <w:rsid w:val="009B4EA8"/>
    <w:rsid w:val="009B4FF4"/>
    <w:rsid w:val="009B4FFA"/>
    <w:rsid w:val="009B5283"/>
    <w:rsid w:val="009B5433"/>
    <w:rsid w:val="009B55E2"/>
    <w:rsid w:val="009B57ED"/>
    <w:rsid w:val="009B5BD5"/>
    <w:rsid w:val="009B5C1C"/>
    <w:rsid w:val="009B5D70"/>
    <w:rsid w:val="009B5F57"/>
    <w:rsid w:val="009B5FF5"/>
    <w:rsid w:val="009B6110"/>
    <w:rsid w:val="009B6343"/>
    <w:rsid w:val="009B644C"/>
    <w:rsid w:val="009B6491"/>
    <w:rsid w:val="009B6524"/>
    <w:rsid w:val="009B67B1"/>
    <w:rsid w:val="009B6821"/>
    <w:rsid w:val="009B682B"/>
    <w:rsid w:val="009B6914"/>
    <w:rsid w:val="009B69FB"/>
    <w:rsid w:val="009B6C3F"/>
    <w:rsid w:val="009B6F2E"/>
    <w:rsid w:val="009B6F4D"/>
    <w:rsid w:val="009B73C7"/>
    <w:rsid w:val="009B7510"/>
    <w:rsid w:val="009B79A8"/>
    <w:rsid w:val="009B79E6"/>
    <w:rsid w:val="009B7A08"/>
    <w:rsid w:val="009B7AA7"/>
    <w:rsid w:val="009B7B20"/>
    <w:rsid w:val="009C012D"/>
    <w:rsid w:val="009C013F"/>
    <w:rsid w:val="009C021B"/>
    <w:rsid w:val="009C0596"/>
    <w:rsid w:val="009C05D0"/>
    <w:rsid w:val="009C06A4"/>
    <w:rsid w:val="009C087F"/>
    <w:rsid w:val="009C0AE2"/>
    <w:rsid w:val="009C0AEF"/>
    <w:rsid w:val="009C0B85"/>
    <w:rsid w:val="009C0C13"/>
    <w:rsid w:val="009C0C9E"/>
    <w:rsid w:val="009C0ED0"/>
    <w:rsid w:val="009C0F71"/>
    <w:rsid w:val="009C1238"/>
    <w:rsid w:val="009C152F"/>
    <w:rsid w:val="009C17E7"/>
    <w:rsid w:val="009C1A28"/>
    <w:rsid w:val="009C1B22"/>
    <w:rsid w:val="009C1C8F"/>
    <w:rsid w:val="009C1D2C"/>
    <w:rsid w:val="009C1DC7"/>
    <w:rsid w:val="009C2217"/>
    <w:rsid w:val="009C2332"/>
    <w:rsid w:val="009C2483"/>
    <w:rsid w:val="009C2549"/>
    <w:rsid w:val="009C2831"/>
    <w:rsid w:val="009C2B1C"/>
    <w:rsid w:val="009C2C47"/>
    <w:rsid w:val="009C2CA3"/>
    <w:rsid w:val="009C2CB8"/>
    <w:rsid w:val="009C2E39"/>
    <w:rsid w:val="009C2EBB"/>
    <w:rsid w:val="009C2F5D"/>
    <w:rsid w:val="009C2FAB"/>
    <w:rsid w:val="009C3596"/>
    <w:rsid w:val="009C3653"/>
    <w:rsid w:val="009C3669"/>
    <w:rsid w:val="009C368D"/>
    <w:rsid w:val="009C36D6"/>
    <w:rsid w:val="009C3911"/>
    <w:rsid w:val="009C3928"/>
    <w:rsid w:val="009C3985"/>
    <w:rsid w:val="009C3C43"/>
    <w:rsid w:val="009C3E3C"/>
    <w:rsid w:val="009C3E8F"/>
    <w:rsid w:val="009C3F9A"/>
    <w:rsid w:val="009C435D"/>
    <w:rsid w:val="009C4497"/>
    <w:rsid w:val="009C449C"/>
    <w:rsid w:val="009C44A8"/>
    <w:rsid w:val="009C45A5"/>
    <w:rsid w:val="009C482B"/>
    <w:rsid w:val="009C4856"/>
    <w:rsid w:val="009C48E6"/>
    <w:rsid w:val="009C49A1"/>
    <w:rsid w:val="009C4A8E"/>
    <w:rsid w:val="009C4CBD"/>
    <w:rsid w:val="009C4CC3"/>
    <w:rsid w:val="009C4D27"/>
    <w:rsid w:val="009C4EF2"/>
    <w:rsid w:val="009C5195"/>
    <w:rsid w:val="009C527A"/>
    <w:rsid w:val="009C5AB7"/>
    <w:rsid w:val="009C5AB8"/>
    <w:rsid w:val="009C5C94"/>
    <w:rsid w:val="009C5D3A"/>
    <w:rsid w:val="009C607D"/>
    <w:rsid w:val="009C618A"/>
    <w:rsid w:val="009C61B1"/>
    <w:rsid w:val="009C621D"/>
    <w:rsid w:val="009C6289"/>
    <w:rsid w:val="009C62E0"/>
    <w:rsid w:val="009C65EA"/>
    <w:rsid w:val="009C676B"/>
    <w:rsid w:val="009C6778"/>
    <w:rsid w:val="009C6852"/>
    <w:rsid w:val="009C6910"/>
    <w:rsid w:val="009C6B7C"/>
    <w:rsid w:val="009C6BBE"/>
    <w:rsid w:val="009C6BCF"/>
    <w:rsid w:val="009C6D17"/>
    <w:rsid w:val="009C6D71"/>
    <w:rsid w:val="009C6F84"/>
    <w:rsid w:val="009C6FC1"/>
    <w:rsid w:val="009C715E"/>
    <w:rsid w:val="009C71D4"/>
    <w:rsid w:val="009C72C5"/>
    <w:rsid w:val="009C7361"/>
    <w:rsid w:val="009C746B"/>
    <w:rsid w:val="009C74A1"/>
    <w:rsid w:val="009C76D0"/>
    <w:rsid w:val="009C778D"/>
    <w:rsid w:val="009C7A84"/>
    <w:rsid w:val="009C7AC5"/>
    <w:rsid w:val="009C7B43"/>
    <w:rsid w:val="009C7C34"/>
    <w:rsid w:val="009C7FC9"/>
    <w:rsid w:val="009D01A7"/>
    <w:rsid w:val="009D03EC"/>
    <w:rsid w:val="009D05C5"/>
    <w:rsid w:val="009D084F"/>
    <w:rsid w:val="009D0AE2"/>
    <w:rsid w:val="009D0D40"/>
    <w:rsid w:val="009D0DA3"/>
    <w:rsid w:val="009D0EAD"/>
    <w:rsid w:val="009D0EC9"/>
    <w:rsid w:val="009D0FB5"/>
    <w:rsid w:val="009D10D9"/>
    <w:rsid w:val="009D1132"/>
    <w:rsid w:val="009D13B3"/>
    <w:rsid w:val="009D13E7"/>
    <w:rsid w:val="009D1443"/>
    <w:rsid w:val="009D1446"/>
    <w:rsid w:val="009D1591"/>
    <w:rsid w:val="009D1599"/>
    <w:rsid w:val="009D178C"/>
    <w:rsid w:val="009D17E1"/>
    <w:rsid w:val="009D1F3D"/>
    <w:rsid w:val="009D1F98"/>
    <w:rsid w:val="009D2204"/>
    <w:rsid w:val="009D2436"/>
    <w:rsid w:val="009D25AA"/>
    <w:rsid w:val="009D26ED"/>
    <w:rsid w:val="009D27F9"/>
    <w:rsid w:val="009D2859"/>
    <w:rsid w:val="009D2C87"/>
    <w:rsid w:val="009D2CFF"/>
    <w:rsid w:val="009D2E98"/>
    <w:rsid w:val="009D2F37"/>
    <w:rsid w:val="009D326A"/>
    <w:rsid w:val="009D347D"/>
    <w:rsid w:val="009D34A7"/>
    <w:rsid w:val="009D3719"/>
    <w:rsid w:val="009D3923"/>
    <w:rsid w:val="009D3B06"/>
    <w:rsid w:val="009D3B8E"/>
    <w:rsid w:val="009D3B93"/>
    <w:rsid w:val="009D3C4E"/>
    <w:rsid w:val="009D3C5A"/>
    <w:rsid w:val="009D3DE3"/>
    <w:rsid w:val="009D3FAA"/>
    <w:rsid w:val="009D4005"/>
    <w:rsid w:val="009D4021"/>
    <w:rsid w:val="009D4113"/>
    <w:rsid w:val="009D4134"/>
    <w:rsid w:val="009D41B4"/>
    <w:rsid w:val="009D4295"/>
    <w:rsid w:val="009D42C1"/>
    <w:rsid w:val="009D4351"/>
    <w:rsid w:val="009D4485"/>
    <w:rsid w:val="009D457E"/>
    <w:rsid w:val="009D47FA"/>
    <w:rsid w:val="009D4980"/>
    <w:rsid w:val="009D4B4A"/>
    <w:rsid w:val="009D4E8F"/>
    <w:rsid w:val="009D4E93"/>
    <w:rsid w:val="009D4FA8"/>
    <w:rsid w:val="009D5396"/>
    <w:rsid w:val="009D53C3"/>
    <w:rsid w:val="009D558F"/>
    <w:rsid w:val="009D5595"/>
    <w:rsid w:val="009D55DA"/>
    <w:rsid w:val="009D5948"/>
    <w:rsid w:val="009D5E4D"/>
    <w:rsid w:val="009D5EAE"/>
    <w:rsid w:val="009D608E"/>
    <w:rsid w:val="009D60A4"/>
    <w:rsid w:val="009D60CC"/>
    <w:rsid w:val="009D6162"/>
    <w:rsid w:val="009D61EB"/>
    <w:rsid w:val="009D624B"/>
    <w:rsid w:val="009D63F6"/>
    <w:rsid w:val="009D642C"/>
    <w:rsid w:val="009D651A"/>
    <w:rsid w:val="009D68BD"/>
    <w:rsid w:val="009D69B7"/>
    <w:rsid w:val="009D6AB5"/>
    <w:rsid w:val="009D6B0F"/>
    <w:rsid w:val="009D6C72"/>
    <w:rsid w:val="009D6D6D"/>
    <w:rsid w:val="009D6E43"/>
    <w:rsid w:val="009D7079"/>
    <w:rsid w:val="009D7175"/>
    <w:rsid w:val="009D71D3"/>
    <w:rsid w:val="009D7289"/>
    <w:rsid w:val="009D72E6"/>
    <w:rsid w:val="009D74FD"/>
    <w:rsid w:val="009D7644"/>
    <w:rsid w:val="009D77C4"/>
    <w:rsid w:val="009D7B91"/>
    <w:rsid w:val="009D7C70"/>
    <w:rsid w:val="009D7C76"/>
    <w:rsid w:val="009D7DA1"/>
    <w:rsid w:val="009D7FE3"/>
    <w:rsid w:val="009E01E4"/>
    <w:rsid w:val="009E0369"/>
    <w:rsid w:val="009E041D"/>
    <w:rsid w:val="009E0423"/>
    <w:rsid w:val="009E0579"/>
    <w:rsid w:val="009E0603"/>
    <w:rsid w:val="009E06C1"/>
    <w:rsid w:val="009E0721"/>
    <w:rsid w:val="009E07F5"/>
    <w:rsid w:val="009E0A15"/>
    <w:rsid w:val="009E0C46"/>
    <w:rsid w:val="009E0DEC"/>
    <w:rsid w:val="009E100B"/>
    <w:rsid w:val="009E1188"/>
    <w:rsid w:val="009E12BA"/>
    <w:rsid w:val="009E12D8"/>
    <w:rsid w:val="009E13B3"/>
    <w:rsid w:val="009E148C"/>
    <w:rsid w:val="009E1630"/>
    <w:rsid w:val="009E1961"/>
    <w:rsid w:val="009E1A56"/>
    <w:rsid w:val="009E1AD4"/>
    <w:rsid w:val="009E1AEA"/>
    <w:rsid w:val="009E1BB2"/>
    <w:rsid w:val="009E1C3E"/>
    <w:rsid w:val="009E1EC1"/>
    <w:rsid w:val="009E1F09"/>
    <w:rsid w:val="009E1F3D"/>
    <w:rsid w:val="009E1F60"/>
    <w:rsid w:val="009E1F6A"/>
    <w:rsid w:val="009E215D"/>
    <w:rsid w:val="009E21B4"/>
    <w:rsid w:val="009E262D"/>
    <w:rsid w:val="009E26A2"/>
    <w:rsid w:val="009E27C3"/>
    <w:rsid w:val="009E2942"/>
    <w:rsid w:val="009E29A9"/>
    <w:rsid w:val="009E29F6"/>
    <w:rsid w:val="009E2A90"/>
    <w:rsid w:val="009E2B8D"/>
    <w:rsid w:val="009E2B9C"/>
    <w:rsid w:val="009E2D13"/>
    <w:rsid w:val="009E2EFF"/>
    <w:rsid w:val="009E326F"/>
    <w:rsid w:val="009E348D"/>
    <w:rsid w:val="009E356B"/>
    <w:rsid w:val="009E359A"/>
    <w:rsid w:val="009E36D3"/>
    <w:rsid w:val="009E39D3"/>
    <w:rsid w:val="009E3AAE"/>
    <w:rsid w:val="009E3BCE"/>
    <w:rsid w:val="009E3D40"/>
    <w:rsid w:val="009E3F8C"/>
    <w:rsid w:val="009E4069"/>
    <w:rsid w:val="009E443A"/>
    <w:rsid w:val="009E44DE"/>
    <w:rsid w:val="009E453A"/>
    <w:rsid w:val="009E4C39"/>
    <w:rsid w:val="009E4D81"/>
    <w:rsid w:val="009E4EB2"/>
    <w:rsid w:val="009E4F0F"/>
    <w:rsid w:val="009E4F97"/>
    <w:rsid w:val="009E51CA"/>
    <w:rsid w:val="009E564C"/>
    <w:rsid w:val="009E56E8"/>
    <w:rsid w:val="009E5BCD"/>
    <w:rsid w:val="009E60A8"/>
    <w:rsid w:val="009E62ED"/>
    <w:rsid w:val="009E634C"/>
    <w:rsid w:val="009E63B8"/>
    <w:rsid w:val="009E6452"/>
    <w:rsid w:val="009E6611"/>
    <w:rsid w:val="009E6808"/>
    <w:rsid w:val="009E68C7"/>
    <w:rsid w:val="009E68F9"/>
    <w:rsid w:val="009E6AAE"/>
    <w:rsid w:val="009E6B43"/>
    <w:rsid w:val="009E6BAA"/>
    <w:rsid w:val="009E6D94"/>
    <w:rsid w:val="009E6F46"/>
    <w:rsid w:val="009E6F53"/>
    <w:rsid w:val="009E7132"/>
    <w:rsid w:val="009E716F"/>
    <w:rsid w:val="009E71DC"/>
    <w:rsid w:val="009E743D"/>
    <w:rsid w:val="009E74FF"/>
    <w:rsid w:val="009E7541"/>
    <w:rsid w:val="009E75D2"/>
    <w:rsid w:val="009E7607"/>
    <w:rsid w:val="009E7615"/>
    <w:rsid w:val="009E7658"/>
    <w:rsid w:val="009E7866"/>
    <w:rsid w:val="009E797B"/>
    <w:rsid w:val="009E7B2C"/>
    <w:rsid w:val="009E7B58"/>
    <w:rsid w:val="009E7C8E"/>
    <w:rsid w:val="009E7CD9"/>
    <w:rsid w:val="009E7D16"/>
    <w:rsid w:val="009E7DCA"/>
    <w:rsid w:val="009E7F72"/>
    <w:rsid w:val="009F001F"/>
    <w:rsid w:val="009F00A4"/>
    <w:rsid w:val="009F0153"/>
    <w:rsid w:val="009F021F"/>
    <w:rsid w:val="009F02A6"/>
    <w:rsid w:val="009F02C2"/>
    <w:rsid w:val="009F039C"/>
    <w:rsid w:val="009F041A"/>
    <w:rsid w:val="009F0446"/>
    <w:rsid w:val="009F04D7"/>
    <w:rsid w:val="009F0694"/>
    <w:rsid w:val="009F07A1"/>
    <w:rsid w:val="009F080B"/>
    <w:rsid w:val="009F08B0"/>
    <w:rsid w:val="009F098A"/>
    <w:rsid w:val="009F0A32"/>
    <w:rsid w:val="009F0AC4"/>
    <w:rsid w:val="009F0E23"/>
    <w:rsid w:val="009F0EC7"/>
    <w:rsid w:val="009F1174"/>
    <w:rsid w:val="009F11CB"/>
    <w:rsid w:val="009F1285"/>
    <w:rsid w:val="009F1289"/>
    <w:rsid w:val="009F1668"/>
    <w:rsid w:val="009F16EA"/>
    <w:rsid w:val="009F171C"/>
    <w:rsid w:val="009F18AE"/>
    <w:rsid w:val="009F1B25"/>
    <w:rsid w:val="009F1C0C"/>
    <w:rsid w:val="009F1DAF"/>
    <w:rsid w:val="009F2150"/>
    <w:rsid w:val="009F21AD"/>
    <w:rsid w:val="009F222C"/>
    <w:rsid w:val="009F231C"/>
    <w:rsid w:val="009F2368"/>
    <w:rsid w:val="009F24BD"/>
    <w:rsid w:val="009F2569"/>
    <w:rsid w:val="009F258C"/>
    <w:rsid w:val="009F25A9"/>
    <w:rsid w:val="009F26E6"/>
    <w:rsid w:val="009F2A0D"/>
    <w:rsid w:val="009F2B23"/>
    <w:rsid w:val="009F2C4E"/>
    <w:rsid w:val="009F2CD4"/>
    <w:rsid w:val="009F2CF2"/>
    <w:rsid w:val="009F2DF6"/>
    <w:rsid w:val="009F2EAB"/>
    <w:rsid w:val="009F2F33"/>
    <w:rsid w:val="009F2FE2"/>
    <w:rsid w:val="009F3171"/>
    <w:rsid w:val="009F31C4"/>
    <w:rsid w:val="009F35B5"/>
    <w:rsid w:val="009F3612"/>
    <w:rsid w:val="009F3723"/>
    <w:rsid w:val="009F3862"/>
    <w:rsid w:val="009F3A6D"/>
    <w:rsid w:val="009F3BE9"/>
    <w:rsid w:val="009F3E40"/>
    <w:rsid w:val="009F3FAA"/>
    <w:rsid w:val="009F436F"/>
    <w:rsid w:val="009F4549"/>
    <w:rsid w:val="009F4627"/>
    <w:rsid w:val="009F4668"/>
    <w:rsid w:val="009F46E7"/>
    <w:rsid w:val="009F4760"/>
    <w:rsid w:val="009F4868"/>
    <w:rsid w:val="009F489A"/>
    <w:rsid w:val="009F49A8"/>
    <w:rsid w:val="009F49F0"/>
    <w:rsid w:val="009F4B31"/>
    <w:rsid w:val="009F4B68"/>
    <w:rsid w:val="009F4BBA"/>
    <w:rsid w:val="009F4D0F"/>
    <w:rsid w:val="009F4E69"/>
    <w:rsid w:val="009F4FFC"/>
    <w:rsid w:val="009F5019"/>
    <w:rsid w:val="009F508B"/>
    <w:rsid w:val="009F5247"/>
    <w:rsid w:val="009F529C"/>
    <w:rsid w:val="009F5321"/>
    <w:rsid w:val="009F547B"/>
    <w:rsid w:val="009F5570"/>
    <w:rsid w:val="009F5752"/>
    <w:rsid w:val="009F5A34"/>
    <w:rsid w:val="009F5A6B"/>
    <w:rsid w:val="009F5BB3"/>
    <w:rsid w:val="009F5D2C"/>
    <w:rsid w:val="009F5DA2"/>
    <w:rsid w:val="009F5F48"/>
    <w:rsid w:val="009F6050"/>
    <w:rsid w:val="009F63A5"/>
    <w:rsid w:val="009F63C1"/>
    <w:rsid w:val="009F63E4"/>
    <w:rsid w:val="009F6530"/>
    <w:rsid w:val="009F65EE"/>
    <w:rsid w:val="009F66BD"/>
    <w:rsid w:val="009F680E"/>
    <w:rsid w:val="009F68A8"/>
    <w:rsid w:val="009F6963"/>
    <w:rsid w:val="009F6A13"/>
    <w:rsid w:val="009F6A1F"/>
    <w:rsid w:val="009F6B59"/>
    <w:rsid w:val="009F6B95"/>
    <w:rsid w:val="009F6CCB"/>
    <w:rsid w:val="009F6CD7"/>
    <w:rsid w:val="009F6DD4"/>
    <w:rsid w:val="009F6EE1"/>
    <w:rsid w:val="009F6F72"/>
    <w:rsid w:val="009F70E0"/>
    <w:rsid w:val="009F712B"/>
    <w:rsid w:val="009F71A8"/>
    <w:rsid w:val="009F7536"/>
    <w:rsid w:val="009F7673"/>
    <w:rsid w:val="009F78D8"/>
    <w:rsid w:val="009F798E"/>
    <w:rsid w:val="009F7998"/>
    <w:rsid w:val="009F7A8F"/>
    <w:rsid w:val="009F7AF1"/>
    <w:rsid w:val="009F7BD4"/>
    <w:rsid w:val="009F7C1E"/>
    <w:rsid w:val="009F7CBB"/>
    <w:rsid w:val="009F7CC8"/>
    <w:rsid w:val="009F7D54"/>
    <w:rsid w:val="009F7E20"/>
    <w:rsid w:val="00A00024"/>
    <w:rsid w:val="00A00037"/>
    <w:rsid w:val="00A00060"/>
    <w:rsid w:val="00A002DA"/>
    <w:rsid w:val="00A0042C"/>
    <w:rsid w:val="00A00470"/>
    <w:rsid w:val="00A004A7"/>
    <w:rsid w:val="00A00536"/>
    <w:rsid w:val="00A005DC"/>
    <w:rsid w:val="00A00A4F"/>
    <w:rsid w:val="00A00A9D"/>
    <w:rsid w:val="00A00B53"/>
    <w:rsid w:val="00A00C4E"/>
    <w:rsid w:val="00A00CFB"/>
    <w:rsid w:val="00A00FF1"/>
    <w:rsid w:val="00A01028"/>
    <w:rsid w:val="00A012A5"/>
    <w:rsid w:val="00A0133C"/>
    <w:rsid w:val="00A01605"/>
    <w:rsid w:val="00A01946"/>
    <w:rsid w:val="00A019C3"/>
    <w:rsid w:val="00A01C0E"/>
    <w:rsid w:val="00A01D2E"/>
    <w:rsid w:val="00A01E38"/>
    <w:rsid w:val="00A02033"/>
    <w:rsid w:val="00A02320"/>
    <w:rsid w:val="00A023B9"/>
    <w:rsid w:val="00A02448"/>
    <w:rsid w:val="00A026D6"/>
    <w:rsid w:val="00A02817"/>
    <w:rsid w:val="00A02826"/>
    <w:rsid w:val="00A0291D"/>
    <w:rsid w:val="00A02B10"/>
    <w:rsid w:val="00A02CC2"/>
    <w:rsid w:val="00A02D04"/>
    <w:rsid w:val="00A02D48"/>
    <w:rsid w:val="00A02E96"/>
    <w:rsid w:val="00A02EB0"/>
    <w:rsid w:val="00A02EF4"/>
    <w:rsid w:val="00A031FC"/>
    <w:rsid w:val="00A0359F"/>
    <w:rsid w:val="00A0378A"/>
    <w:rsid w:val="00A037D6"/>
    <w:rsid w:val="00A03A1D"/>
    <w:rsid w:val="00A03A4C"/>
    <w:rsid w:val="00A03B55"/>
    <w:rsid w:val="00A03CDE"/>
    <w:rsid w:val="00A03D71"/>
    <w:rsid w:val="00A03ED5"/>
    <w:rsid w:val="00A03EF8"/>
    <w:rsid w:val="00A03F9B"/>
    <w:rsid w:val="00A041D9"/>
    <w:rsid w:val="00A0421F"/>
    <w:rsid w:val="00A044EA"/>
    <w:rsid w:val="00A046C7"/>
    <w:rsid w:val="00A04713"/>
    <w:rsid w:val="00A0477D"/>
    <w:rsid w:val="00A047E1"/>
    <w:rsid w:val="00A04844"/>
    <w:rsid w:val="00A04938"/>
    <w:rsid w:val="00A04A48"/>
    <w:rsid w:val="00A04A50"/>
    <w:rsid w:val="00A04B5B"/>
    <w:rsid w:val="00A04B73"/>
    <w:rsid w:val="00A04DDB"/>
    <w:rsid w:val="00A04F95"/>
    <w:rsid w:val="00A05044"/>
    <w:rsid w:val="00A05190"/>
    <w:rsid w:val="00A05236"/>
    <w:rsid w:val="00A053C3"/>
    <w:rsid w:val="00A05413"/>
    <w:rsid w:val="00A05569"/>
    <w:rsid w:val="00A056C2"/>
    <w:rsid w:val="00A0589D"/>
    <w:rsid w:val="00A05959"/>
    <w:rsid w:val="00A05988"/>
    <w:rsid w:val="00A05AC7"/>
    <w:rsid w:val="00A05CDC"/>
    <w:rsid w:val="00A05F4F"/>
    <w:rsid w:val="00A060F5"/>
    <w:rsid w:val="00A064FB"/>
    <w:rsid w:val="00A06A79"/>
    <w:rsid w:val="00A06B54"/>
    <w:rsid w:val="00A06B69"/>
    <w:rsid w:val="00A06BDF"/>
    <w:rsid w:val="00A06E5A"/>
    <w:rsid w:val="00A06E7A"/>
    <w:rsid w:val="00A06EB8"/>
    <w:rsid w:val="00A06F32"/>
    <w:rsid w:val="00A0738D"/>
    <w:rsid w:val="00A0754B"/>
    <w:rsid w:val="00A075BA"/>
    <w:rsid w:val="00A076E2"/>
    <w:rsid w:val="00A07814"/>
    <w:rsid w:val="00A0781F"/>
    <w:rsid w:val="00A07B54"/>
    <w:rsid w:val="00A07EBC"/>
    <w:rsid w:val="00A10009"/>
    <w:rsid w:val="00A10098"/>
    <w:rsid w:val="00A10215"/>
    <w:rsid w:val="00A1029A"/>
    <w:rsid w:val="00A1061C"/>
    <w:rsid w:val="00A1091A"/>
    <w:rsid w:val="00A10CD3"/>
    <w:rsid w:val="00A10D2F"/>
    <w:rsid w:val="00A10D51"/>
    <w:rsid w:val="00A11092"/>
    <w:rsid w:val="00A111C4"/>
    <w:rsid w:val="00A11360"/>
    <w:rsid w:val="00A114BC"/>
    <w:rsid w:val="00A1161E"/>
    <w:rsid w:val="00A1176D"/>
    <w:rsid w:val="00A117F7"/>
    <w:rsid w:val="00A11AE4"/>
    <w:rsid w:val="00A11B6B"/>
    <w:rsid w:val="00A11C5D"/>
    <w:rsid w:val="00A11C9D"/>
    <w:rsid w:val="00A11CAA"/>
    <w:rsid w:val="00A11DD6"/>
    <w:rsid w:val="00A11DDD"/>
    <w:rsid w:val="00A11E13"/>
    <w:rsid w:val="00A11E34"/>
    <w:rsid w:val="00A11EE7"/>
    <w:rsid w:val="00A1202D"/>
    <w:rsid w:val="00A121F5"/>
    <w:rsid w:val="00A1227F"/>
    <w:rsid w:val="00A122ED"/>
    <w:rsid w:val="00A12316"/>
    <w:rsid w:val="00A124A8"/>
    <w:rsid w:val="00A125AC"/>
    <w:rsid w:val="00A12779"/>
    <w:rsid w:val="00A127C4"/>
    <w:rsid w:val="00A1284C"/>
    <w:rsid w:val="00A12996"/>
    <w:rsid w:val="00A12AFF"/>
    <w:rsid w:val="00A12CCE"/>
    <w:rsid w:val="00A12D4C"/>
    <w:rsid w:val="00A12DFC"/>
    <w:rsid w:val="00A13056"/>
    <w:rsid w:val="00A130A6"/>
    <w:rsid w:val="00A131A8"/>
    <w:rsid w:val="00A13249"/>
    <w:rsid w:val="00A133BC"/>
    <w:rsid w:val="00A133D7"/>
    <w:rsid w:val="00A133F0"/>
    <w:rsid w:val="00A13469"/>
    <w:rsid w:val="00A1351D"/>
    <w:rsid w:val="00A1385F"/>
    <w:rsid w:val="00A1391F"/>
    <w:rsid w:val="00A1395F"/>
    <w:rsid w:val="00A139CE"/>
    <w:rsid w:val="00A13C6F"/>
    <w:rsid w:val="00A13C7C"/>
    <w:rsid w:val="00A13EF4"/>
    <w:rsid w:val="00A13F42"/>
    <w:rsid w:val="00A14016"/>
    <w:rsid w:val="00A14217"/>
    <w:rsid w:val="00A14494"/>
    <w:rsid w:val="00A144BC"/>
    <w:rsid w:val="00A14793"/>
    <w:rsid w:val="00A147BF"/>
    <w:rsid w:val="00A1489B"/>
    <w:rsid w:val="00A149F2"/>
    <w:rsid w:val="00A14AF7"/>
    <w:rsid w:val="00A14B46"/>
    <w:rsid w:val="00A14BC7"/>
    <w:rsid w:val="00A14EC4"/>
    <w:rsid w:val="00A14F34"/>
    <w:rsid w:val="00A1506D"/>
    <w:rsid w:val="00A1523E"/>
    <w:rsid w:val="00A15499"/>
    <w:rsid w:val="00A156AA"/>
    <w:rsid w:val="00A157CF"/>
    <w:rsid w:val="00A15860"/>
    <w:rsid w:val="00A15925"/>
    <w:rsid w:val="00A15A33"/>
    <w:rsid w:val="00A15A4C"/>
    <w:rsid w:val="00A15BCA"/>
    <w:rsid w:val="00A15C38"/>
    <w:rsid w:val="00A15E87"/>
    <w:rsid w:val="00A1603C"/>
    <w:rsid w:val="00A1616F"/>
    <w:rsid w:val="00A16350"/>
    <w:rsid w:val="00A164C1"/>
    <w:rsid w:val="00A164F8"/>
    <w:rsid w:val="00A1687D"/>
    <w:rsid w:val="00A168F6"/>
    <w:rsid w:val="00A169A2"/>
    <w:rsid w:val="00A16CE0"/>
    <w:rsid w:val="00A16E59"/>
    <w:rsid w:val="00A16EBE"/>
    <w:rsid w:val="00A170A8"/>
    <w:rsid w:val="00A17272"/>
    <w:rsid w:val="00A173BC"/>
    <w:rsid w:val="00A1766A"/>
    <w:rsid w:val="00A1781B"/>
    <w:rsid w:val="00A17942"/>
    <w:rsid w:val="00A17B79"/>
    <w:rsid w:val="00A17B7D"/>
    <w:rsid w:val="00A17C1C"/>
    <w:rsid w:val="00A17C43"/>
    <w:rsid w:val="00A17C6B"/>
    <w:rsid w:val="00A20018"/>
    <w:rsid w:val="00A20043"/>
    <w:rsid w:val="00A20106"/>
    <w:rsid w:val="00A202F7"/>
    <w:rsid w:val="00A2038A"/>
    <w:rsid w:val="00A204A5"/>
    <w:rsid w:val="00A20585"/>
    <w:rsid w:val="00A205B1"/>
    <w:rsid w:val="00A206C7"/>
    <w:rsid w:val="00A20767"/>
    <w:rsid w:val="00A207BC"/>
    <w:rsid w:val="00A2082E"/>
    <w:rsid w:val="00A2090E"/>
    <w:rsid w:val="00A20AEE"/>
    <w:rsid w:val="00A20B29"/>
    <w:rsid w:val="00A20B98"/>
    <w:rsid w:val="00A20C29"/>
    <w:rsid w:val="00A20C4F"/>
    <w:rsid w:val="00A20DAA"/>
    <w:rsid w:val="00A20DF2"/>
    <w:rsid w:val="00A20EA2"/>
    <w:rsid w:val="00A20EAD"/>
    <w:rsid w:val="00A20EDE"/>
    <w:rsid w:val="00A21099"/>
    <w:rsid w:val="00A21187"/>
    <w:rsid w:val="00A21313"/>
    <w:rsid w:val="00A2139E"/>
    <w:rsid w:val="00A21550"/>
    <w:rsid w:val="00A215EE"/>
    <w:rsid w:val="00A21875"/>
    <w:rsid w:val="00A218C2"/>
    <w:rsid w:val="00A21969"/>
    <w:rsid w:val="00A2197F"/>
    <w:rsid w:val="00A21A20"/>
    <w:rsid w:val="00A21A44"/>
    <w:rsid w:val="00A21A5D"/>
    <w:rsid w:val="00A21DA0"/>
    <w:rsid w:val="00A224C0"/>
    <w:rsid w:val="00A224D7"/>
    <w:rsid w:val="00A22522"/>
    <w:rsid w:val="00A22597"/>
    <w:rsid w:val="00A225EB"/>
    <w:rsid w:val="00A227F9"/>
    <w:rsid w:val="00A228D8"/>
    <w:rsid w:val="00A2294C"/>
    <w:rsid w:val="00A22A1A"/>
    <w:rsid w:val="00A22CF9"/>
    <w:rsid w:val="00A22F7B"/>
    <w:rsid w:val="00A2301E"/>
    <w:rsid w:val="00A23099"/>
    <w:rsid w:val="00A2351F"/>
    <w:rsid w:val="00A23535"/>
    <w:rsid w:val="00A2363E"/>
    <w:rsid w:val="00A2386E"/>
    <w:rsid w:val="00A238DD"/>
    <w:rsid w:val="00A23C00"/>
    <w:rsid w:val="00A23C48"/>
    <w:rsid w:val="00A23CCE"/>
    <w:rsid w:val="00A23CD3"/>
    <w:rsid w:val="00A23F97"/>
    <w:rsid w:val="00A24049"/>
    <w:rsid w:val="00A24052"/>
    <w:rsid w:val="00A240DC"/>
    <w:rsid w:val="00A24156"/>
    <w:rsid w:val="00A24631"/>
    <w:rsid w:val="00A2466B"/>
    <w:rsid w:val="00A247C9"/>
    <w:rsid w:val="00A24ABD"/>
    <w:rsid w:val="00A24E25"/>
    <w:rsid w:val="00A24F69"/>
    <w:rsid w:val="00A25097"/>
    <w:rsid w:val="00A2511A"/>
    <w:rsid w:val="00A25258"/>
    <w:rsid w:val="00A253F4"/>
    <w:rsid w:val="00A2548C"/>
    <w:rsid w:val="00A254AD"/>
    <w:rsid w:val="00A25512"/>
    <w:rsid w:val="00A255B5"/>
    <w:rsid w:val="00A2592D"/>
    <w:rsid w:val="00A25A46"/>
    <w:rsid w:val="00A25B62"/>
    <w:rsid w:val="00A25C21"/>
    <w:rsid w:val="00A25E34"/>
    <w:rsid w:val="00A25E4C"/>
    <w:rsid w:val="00A25F31"/>
    <w:rsid w:val="00A2600B"/>
    <w:rsid w:val="00A2619D"/>
    <w:rsid w:val="00A26284"/>
    <w:rsid w:val="00A263A2"/>
    <w:rsid w:val="00A263C1"/>
    <w:rsid w:val="00A26407"/>
    <w:rsid w:val="00A2648F"/>
    <w:rsid w:val="00A2667F"/>
    <w:rsid w:val="00A266AA"/>
    <w:rsid w:val="00A2680B"/>
    <w:rsid w:val="00A26880"/>
    <w:rsid w:val="00A268AE"/>
    <w:rsid w:val="00A26AE3"/>
    <w:rsid w:val="00A26F91"/>
    <w:rsid w:val="00A26FCC"/>
    <w:rsid w:val="00A27082"/>
    <w:rsid w:val="00A2744C"/>
    <w:rsid w:val="00A27513"/>
    <w:rsid w:val="00A276BE"/>
    <w:rsid w:val="00A27735"/>
    <w:rsid w:val="00A27797"/>
    <w:rsid w:val="00A2780E"/>
    <w:rsid w:val="00A27826"/>
    <w:rsid w:val="00A27D40"/>
    <w:rsid w:val="00A27DBA"/>
    <w:rsid w:val="00A27F5A"/>
    <w:rsid w:val="00A27F61"/>
    <w:rsid w:val="00A27FC0"/>
    <w:rsid w:val="00A3018B"/>
    <w:rsid w:val="00A30229"/>
    <w:rsid w:val="00A304CD"/>
    <w:rsid w:val="00A305B0"/>
    <w:rsid w:val="00A3071F"/>
    <w:rsid w:val="00A307A8"/>
    <w:rsid w:val="00A308BA"/>
    <w:rsid w:val="00A30AE8"/>
    <w:rsid w:val="00A30C37"/>
    <w:rsid w:val="00A30C9D"/>
    <w:rsid w:val="00A30DFE"/>
    <w:rsid w:val="00A30EB5"/>
    <w:rsid w:val="00A30F49"/>
    <w:rsid w:val="00A30F68"/>
    <w:rsid w:val="00A3106D"/>
    <w:rsid w:val="00A31440"/>
    <w:rsid w:val="00A31585"/>
    <w:rsid w:val="00A3166B"/>
    <w:rsid w:val="00A31678"/>
    <w:rsid w:val="00A316A3"/>
    <w:rsid w:val="00A31934"/>
    <w:rsid w:val="00A31B95"/>
    <w:rsid w:val="00A31D78"/>
    <w:rsid w:val="00A31F75"/>
    <w:rsid w:val="00A3201F"/>
    <w:rsid w:val="00A3202B"/>
    <w:rsid w:val="00A3206A"/>
    <w:rsid w:val="00A321C3"/>
    <w:rsid w:val="00A32394"/>
    <w:rsid w:val="00A32467"/>
    <w:rsid w:val="00A32621"/>
    <w:rsid w:val="00A3262E"/>
    <w:rsid w:val="00A32660"/>
    <w:rsid w:val="00A3282E"/>
    <w:rsid w:val="00A32907"/>
    <w:rsid w:val="00A32934"/>
    <w:rsid w:val="00A329E5"/>
    <w:rsid w:val="00A32A96"/>
    <w:rsid w:val="00A32B1B"/>
    <w:rsid w:val="00A32C02"/>
    <w:rsid w:val="00A32D3B"/>
    <w:rsid w:val="00A3301B"/>
    <w:rsid w:val="00A33053"/>
    <w:rsid w:val="00A3312A"/>
    <w:rsid w:val="00A33432"/>
    <w:rsid w:val="00A33443"/>
    <w:rsid w:val="00A334A4"/>
    <w:rsid w:val="00A334C6"/>
    <w:rsid w:val="00A33686"/>
    <w:rsid w:val="00A336B9"/>
    <w:rsid w:val="00A3382C"/>
    <w:rsid w:val="00A3383B"/>
    <w:rsid w:val="00A33AB8"/>
    <w:rsid w:val="00A33AE8"/>
    <w:rsid w:val="00A33AEF"/>
    <w:rsid w:val="00A33B93"/>
    <w:rsid w:val="00A33DEE"/>
    <w:rsid w:val="00A33FA1"/>
    <w:rsid w:val="00A343BB"/>
    <w:rsid w:val="00A34430"/>
    <w:rsid w:val="00A34556"/>
    <w:rsid w:val="00A345FB"/>
    <w:rsid w:val="00A34715"/>
    <w:rsid w:val="00A3477C"/>
    <w:rsid w:val="00A349FA"/>
    <w:rsid w:val="00A34AD2"/>
    <w:rsid w:val="00A34B18"/>
    <w:rsid w:val="00A34BED"/>
    <w:rsid w:val="00A34F9F"/>
    <w:rsid w:val="00A34FE8"/>
    <w:rsid w:val="00A35152"/>
    <w:rsid w:val="00A353D0"/>
    <w:rsid w:val="00A3565C"/>
    <w:rsid w:val="00A35831"/>
    <w:rsid w:val="00A35969"/>
    <w:rsid w:val="00A359B0"/>
    <w:rsid w:val="00A35B59"/>
    <w:rsid w:val="00A35B63"/>
    <w:rsid w:val="00A35CFC"/>
    <w:rsid w:val="00A35D12"/>
    <w:rsid w:val="00A35ECE"/>
    <w:rsid w:val="00A35EE2"/>
    <w:rsid w:val="00A361B8"/>
    <w:rsid w:val="00A362CE"/>
    <w:rsid w:val="00A365F7"/>
    <w:rsid w:val="00A3683D"/>
    <w:rsid w:val="00A36989"/>
    <w:rsid w:val="00A36A51"/>
    <w:rsid w:val="00A36C6B"/>
    <w:rsid w:val="00A36D6D"/>
    <w:rsid w:val="00A3708B"/>
    <w:rsid w:val="00A370BD"/>
    <w:rsid w:val="00A37121"/>
    <w:rsid w:val="00A371EC"/>
    <w:rsid w:val="00A3731E"/>
    <w:rsid w:val="00A37667"/>
    <w:rsid w:val="00A37733"/>
    <w:rsid w:val="00A377C7"/>
    <w:rsid w:val="00A3788B"/>
    <w:rsid w:val="00A3790F"/>
    <w:rsid w:val="00A37AE4"/>
    <w:rsid w:val="00A37C03"/>
    <w:rsid w:val="00A37C99"/>
    <w:rsid w:val="00A37CE1"/>
    <w:rsid w:val="00A37DA4"/>
    <w:rsid w:val="00A37DFB"/>
    <w:rsid w:val="00A37F9E"/>
    <w:rsid w:val="00A400A2"/>
    <w:rsid w:val="00A400F9"/>
    <w:rsid w:val="00A401E6"/>
    <w:rsid w:val="00A4020C"/>
    <w:rsid w:val="00A40218"/>
    <w:rsid w:val="00A40499"/>
    <w:rsid w:val="00A40561"/>
    <w:rsid w:val="00A40751"/>
    <w:rsid w:val="00A40764"/>
    <w:rsid w:val="00A407A2"/>
    <w:rsid w:val="00A40822"/>
    <w:rsid w:val="00A408BF"/>
    <w:rsid w:val="00A40AB3"/>
    <w:rsid w:val="00A40D5D"/>
    <w:rsid w:val="00A40E07"/>
    <w:rsid w:val="00A40FF2"/>
    <w:rsid w:val="00A410F4"/>
    <w:rsid w:val="00A4145E"/>
    <w:rsid w:val="00A41650"/>
    <w:rsid w:val="00A41BDB"/>
    <w:rsid w:val="00A41C20"/>
    <w:rsid w:val="00A41E7D"/>
    <w:rsid w:val="00A41FC9"/>
    <w:rsid w:val="00A4205B"/>
    <w:rsid w:val="00A42410"/>
    <w:rsid w:val="00A42508"/>
    <w:rsid w:val="00A4255E"/>
    <w:rsid w:val="00A427AE"/>
    <w:rsid w:val="00A427D3"/>
    <w:rsid w:val="00A42811"/>
    <w:rsid w:val="00A4293D"/>
    <w:rsid w:val="00A42BCF"/>
    <w:rsid w:val="00A42D00"/>
    <w:rsid w:val="00A42DE8"/>
    <w:rsid w:val="00A430BA"/>
    <w:rsid w:val="00A430C3"/>
    <w:rsid w:val="00A43133"/>
    <w:rsid w:val="00A431BD"/>
    <w:rsid w:val="00A4330B"/>
    <w:rsid w:val="00A43460"/>
    <w:rsid w:val="00A434D9"/>
    <w:rsid w:val="00A4359A"/>
    <w:rsid w:val="00A43627"/>
    <w:rsid w:val="00A436EA"/>
    <w:rsid w:val="00A43938"/>
    <w:rsid w:val="00A43A14"/>
    <w:rsid w:val="00A43AFA"/>
    <w:rsid w:val="00A43B1A"/>
    <w:rsid w:val="00A43BF4"/>
    <w:rsid w:val="00A43D51"/>
    <w:rsid w:val="00A43DFD"/>
    <w:rsid w:val="00A4403E"/>
    <w:rsid w:val="00A4418F"/>
    <w:rsid w:val="00A441C2"/>
    <w:rsid w:val="00A443A6"/>
    <w:rsid w:val="00A44489"/>
    <w:rsid w:val="00A445C9"/>
    <w:rsid w:val="00A44885"/>
    <w:rsid w:val="00A449A0"/>
    <w:rsid w:val="00A44B79"/>
    <w:rsid w:val="00A44BC1"/>
    <w:rsid w:val="00A44BC8"/>
    <w:rsid w:val="00A44CE0"/>
    <w:rsid w:val="00A44FF8"/>
    <w:rsid w:val="00A45146"/>
    <w:rsid w:val="00A45232"/>
    <w:rsid w:val="00A453F7"/>
    <w:rsid w:val="00A45434"/>
    <w:rsid w:val="00A4554E"/>
    <w:rsid w:val="00A45586"/>
    <w:rsid w:val="00A45B85"/>
    <w:rsid w:val="00A45BDD"/>
    <w:rsid w:val="00A45BE9"/>
    <w:rsid w:val="00A45BF8"/>
    <w:rsid w:val="00A45C36"/>
    <w:rsid w:val="00A45D4E"/>
    <w:rsid w:val="00A45DA3"/>
    <w:rsid w:val="00A45E79"/>
    <w:rsid w:val="00A45EE5"/>
    <w:rsid w:val="00A46190"/>
    <w:rsid w:val="00A46207"/>
    <w:rsid w:val="00A462D1"/>
    <w:rsid w:val="00A464CB"/>
    <w:rsid w:val="00A464FA"/>
    <w:rsid w:val="00A46AF5"/>
    <w:rsid w:val="00A46B83"/>
    <w:rsid w:val="00A46B9C"/>
    <w:rsid w:val="00A46C13"/>
    <w:rsid w:val="00A46F41"/>
    <w:rsid w:val="00A46F95"/>
    <w:rsid w:val="00A4712B"/>
    <w:rsid w:val="00A47258"/>
    <w:rsid w:val="00A477A9"/>
    <w:rsid w:val="00A47931"/>
    <w:rsid w:val="00A5001F"/>
    <w:rsid w:val="00A500C6"/>
    <w:rsid w:val="00A501D6"/>
    <w:rsid w:val="00A50226"/>
    <w:rsid w:val="00A50418"/>
    <w:rsid w:val="00A5042E"/>
    <w:rsid w:val="00A50677"/>
    <w:rsid w:val="00A506FF"/>
    <w:rsid w:val="00A50CA9"/>
    <w:rsid w:val="00A50F85"/>
    <w:rsid w:val="00A5106B"/>
    <w:rsid w:val="00A5110C"/>
    <w:rsid w:val="00A51353"/>
    <w:rsid w:val="00A513A6"/>
    <w:rsid w:val="00A515A5"/>
    <w:rsid w:val="00A515A6"/>
    <w:rsid w:val="00A5161E"/>
    <w:rsid w:val="00A51625"/>
    <w:rsid w:val="00A5169F"/>
    <w:rsid w:val="00A517AF"/>
    <w:rsid w:val="00A518FD"/>
    <w:rsid w:val="00A51975"/>
    <w:rsid w:val="00A51ACE"/>
    <w:rsid w:val="00A51AEC"/>
    <w:rsid w:val="00A51C8F"/>
    <w:rsid w:val="00A51DD6"/>
    <w:rsid w:val="00A51F11"/>
    <w:rsid w:val="00A5200C"/>
    <w:rsid w:val="00A52035"/>
    <w:rsid w:val="00A5216F"/>
    <w:rsid w:val="00A5224E"/>
    <w:rsid w:val="00A5225B"/>
    <w:rsid w:val="00A52417"/>
    <w:rsid w:val="00A5260A"/>
    <w:rsid w:val="00A52969"/>
    <w:rsid w:val="00A529B3"/>
    <w:rsid w:val="00A53010"/>
    <w:rsid w:val="00A530AA"/>
    <w:rsid w:val="00A5313A"/>
    <w:rsid w:val="00A53157"/>
    <w:rsid w:val="00A531A7"/>
    <w:rsid w:val="00A531B6"/>
    <w:rsid w:val="00A531D8"/>
    <w:rsid w:val="00A53637"/>
    <w:rsid w:val="00A536B9"/>
    <w:rsid w:val="00A5383C"/>
    <w:rsid w:val="00A5387B"/>
    <w:rsid w:val="00A538DC"/>
    <w:rsid w:val="00A53A6B"/>
    <w:rsid w:val="00A53B86"/>
    <w:rsid w:val="00A53C8D"/>
    <w:rsid w:val="00A53EC6"/>
    <w:rsid w:val="00A53EE9"/>
    <w:rsid w:val="00A53F7C"/>
    <w:rsid w:val="00A540C9"/>
    <w:rsid w:val="00A54134"/>
    <w:rsid w:val="00A54239"/>
    <w:rsid w:val="00A545FA"/>
    <w:rsid w:val="00A54658"/>
    <w:rsid w:val="00A546E0"/>
    <w:rsid w:val="00A5479B"/>
    <w:rsid w:val="00A548B3"/>
    <w:rsid w:val="00A549B7"/>
    <w:rsid w:val="00A54A1B"/>
    <w:rsid w:val="00A54BDF"/>
    <w:rsid w:val="00A54CCE"/>
    <w:rsid w:val="00A54DEA"/>
    <w:rsid w:val="00A54EA3"/>
    <w:rsid w:val="00A54FAD"/>
    <w:rsid w:val="00A55023"/>
    <w:rsid w:val="00A551BB"/>
    <w:rsid w:val="00A554D2"/>
    <w:rsid w:val="00A554F3"/>
    <w:rsid w:val="00A55532"/>
    <w:rsid w:val="00A5561E"/>
    <w:rsid w:val="00A55731"/>
    <w:rsid w:val="00A5576F"/>
    <w:rsid w:val="00A558A5"/>
    <w:rsid w:val="00A55A92"/>
    <w:rsid w:val="00A55BEB"/>
    <w:rsid w:val="00A55E53"/>
    <w:rsid w:val="00A55ED5"/>
    <w:rsid w:val="00A55F1C"/>
    <w:rsid w:val="00A55FE8"/>
    <w:rsid w:val="00A56098"/>
    <w:rsid w:val="00A561EB"/>
    <w:rsid w:val="00A561FE"/>
    <w:rsid w:val="00A562AC"/>
    <w:rsid w:val="00A56415"/>
    <w:rsid w:val="00A564A0"/>
    <w:rsid w:val="00A564C5"/>
    <w:rsid w:val="00A5656D"/>
    <w:rsid w:val="00A56837"/>
    <w:rsid w:val="00A56854"/>
    <w:rsid w:val="00A569D5"/>
    <w:rsid w:val="00A569F4"/>
    <w:rsid w:val="00A56C1B"/>
    <w:rsid w:val="00A56C4A"/>
    <w:rsid w:val="00A56D51"/>
    <w:rsid w:val="00A56D7E"/>
    <w:rsid w:val="00A56E8C"/>
    <w:rsid w:val="00A56EC1"/>
    <w:rsid w:val="00A56FCA"/>
    <w:rsid w:val="00A570A4"/>
    <w:rsid w:val="00A57186"/>
    <w:rsid w:val="00A57224"/>
    <w:rsid w:val="00A5727E"/>
    <w:rsid w:val="00A573FA"/>
    <w:rsid w:val="00A5749F"/>
    <w:rsid w:val="00A5761A"/>
    <w:rsid w:val="00A57726"/>
    <w:rsid w:val="00A5789B"/>
    <w:rsid w:val="00A579FD"/>
    <w:rsid w:val="00A57B25"/>
    <w:rsid w:val="00A57BC9"/>
    <w:rsid w:val="00A57C9C"/>
    <w:rsid w:val="00A57D67"/>
    <w:rsid w:val="00A57F5C"/>
    <w:rsid w:val="00A57F76"/>
    <w:rsid w:val="00A57FBB"/>
    <w:rsid w:val="00A57FD7"/>
    <w:rsid w:val="00A601A6"/>
    <w:rsid w:val="00A602F6"/>
    <w:rsid w:val="00A607D2"/>
    <w:rsid w:val="00A608A6"/>
    <w:rsid w:val="00A60920"/>
    <w:rsid w:val="00A60A7E"/>
    <w:rsid w:val="00A60C31"/>
    <w:rsid w:val="00A60CB0"/>
    <w:rsid w:val="00A60DA0"/>
    <w:rsid w:val="00A61209"/>
    <w:rsid w:val="00A612A8"/>
    <w:rsid w:val="00A6152D"/>
    <w:rsid w:val="00A615C9"/>
    <w:rsid w:val="00A6179F"/>
    <w:rsid w:val="00A61818"/>
    <w:rsid w:val="00A619F5"/>
    <w:rsid w:val="00A61E38"/>
    <w:rsid w:val="00A61E78"/>
    <w:rsid w:val="00A61F61"/>
    <w:rsid w:val="00A62050"/>
    <w:rsid w:val="00A62089"/>
    <w:rsid w:val="00A620C9"/>
    <w:rsid w:val="00A62133"/>
    <w:rsid w:val="00A62249"/>
    <w:rsid w:val="00A6265D"/>
    <w:rsid w:val="00A6268D"/>
    <w:rsid w:val="00A627A3"/>
    <w:rsid w:val="00A627EF"/>
    <w:rsid w:val="00A62808"/>
    <w:rsid w:val="00A62A17"/>
    <w:rsid w:val="00A62A4E"/>
    <w:rsid w:val="00A62B4F"/>
    <w:rsid w:val="00A62C83"/>
    <w:rsid w:val="00A62D27"/>
    <w:rsid w:val="00A62DEC"/>
    <w:rsid w:val="00A6302E"/>
    <w:rsid w:val="00A63080"/>
    <w:rsid w:val="00A63155"/>
    <w:rsid w:val="00A6329A"/>
    <w:rsid w:val="00A6339E"/>
    <w:rsid w:val="00A637C1"/>
    <w:rsid w:val="00A6382E"/>
    <w:rsid w:val="00A63B36"/>
    <w:rsid w:val="00A63B79"/>
    <w:rsid w:val="00A63CA1"/>
    <w:rsid w:val="00A63D88"/>
    <w:rsid w:val="00A63EA7"/>
    <w:rsid w:val="00A63F87"/>
    <w:rsid w:val="00A64072"/>
    <w:rsid w:val="00A64075"/>
    <w:rsid w:val="00A64237"/>
    <w:rsid w:val="00A643A1"/>
    <w:rsid w:val="00A6440F"/>
    <w:rsid w:val="00A6443E"/>
    <w:rsid w:val="00A6451D"/>
    <w:rsid w:val="00A64665"/>
    <w:rsid w:val="00A646FB"/>
    <w:rsid w:val="00A64793"/>
    <w:rsid w:val="00A647B8"/>
    <w:rsid w:val="00A648C2"/>
    <w:rsid w:val="00A64905"/>
    <w:rsid w:val="00A64948"/>
    <w:rsid w:val="00A64AEA"/>
    <w:rsid w:val="00A64BB7"/>
    <w:rsid w:val="00A64E4B"/>
    <w:rsid w:val="00A6503E"/>
    <w:rsid w:val="00A65253"/>
    <w:rsid w:val="00A658B9"/>
    <w:rsid w:val="00A65B6D"/>
    <w:rsid w:val="00A65C02"/>
    <w:rsid w:val="00A65C24"/>
    <w:rsid w:val="00A65FDC"/>
    <w:rsid w:val="00A6609B"/>
    <w:rsid w:val="00A660D6"/>
    <w:rsid w:val="00A66305"/>
    <w:rsid w:val="00A6631D"/>
    <w:rsid w:val="00A66368"/>
    <w:rsid w:val="00A663D4"/>
    <w:rsid w:val="00A66540"/>
    <w:rsid w:val="00A665FC"/>
    <w:rsid w:val="00A6673E"/>
    <w:rsid w:val="00A66816"/>
    <w:rsid w:val="00A6681C"/>
    <w:rsid w:val="00A668A2"/>
    <w:rsid w:val="00A66928"/>
    <w:rsid w:val="00A66AFB"/>
    <w:rsid w:val="00A66C15"/>
    <w:rsid w:val="00A66C6E"/>
    <w:rsid w:val="00A66ED8"/>
    <w:rsid w:val="00A66F72"/>
    <w:rsid w:val="00A6710B"/>
    <w:rsid w:val="00A671F1"/>
    <w:rsid w:val="00A67243"/>
    <w:rsid w:val="00A67312"/>
    <w:rsid w:val="00A673A8"/>
    <w:rsid w:val="00A6753F"/>
    <w:rsid w:val="00A67AB7"/>
    <w:rsid w:val="00A67BEF"/>
    <w:rsid w:val="00A67D9F"/>
    <w:rsid w:val="00A67F16"/>
    <w:rsid w:val="00A701A5"/>
    <w:rsid w:val="00A701C2"/>
    <w:rsid w:val="00A701F5"/>
    <w:rsid w:val="00A7031F"/>
    <w:rsid w:val="00A7044C"/>
    <w:rsid w:val="00A70671"/>
    <w:rsid w:val="00A7073E"/>
    <w:rsid w:val="00A707C1"/>
    <w:rsid w:val="00A707D7"/>
    <w:rsid w:val="00A70862"/>
    <w:rsid w:val="00A70B0E"/>
    <w:rsid w:val="00A70E9D"/>
    <w:rsid w:val="00A70FB1"/>
    <w:rsid w:val="00A70FFB"/>
    <w:rsid w:val="00A7106F"/>
    <w:rsid w:val="00A712FB"/>
    <w:rsid w:val="00A71327"/>
    <w:rsid w:val="00A713AA"/>
    <w:rsid w:val="00A7149D"/>
    <w:rsid w:val="00A7151D"/>
    <w:rsid w:val="00A71686"/>
    <w:rsid w:val="00A7174A"/>
    <w:rsid w:val="00A71889"/>
    <w:rsid w:val="00A71A15"/>
    <w:rsid w:val="00A71B3B"/>
    <w:rsid w:val="00A71C4C"/>
    <w:rsid w:val="00A71E7D"/>
    <w:rsid w:val="00A7207B"/>
    <w:rsid w:val="00A7209B"/>
    <w:rsid w:val="00A721FE"/>
    <w:rsid w:val="00A72206"/>
    <w:rsid w:val="00A72213"/>
    <w:rsid w:val="00A72332"/>
    <w:rsid w:val="00A7233C"/>
    <w:rsid w:val="00A72582"/>
    <w:rsid w:val="00A726BF"/>
    <w:rsid w:val="00A72745"/>
    <w:rsid w:val="00A727D8"/>
    <w:rsid w:val="00A729B9"/>
    <w:rsid w:val="00A72AC4"/>
    <w:rsid w:val="00A72ACD"/>
    <w:rsid w:val="00A72B2A"/>
    <w:rsid w:val="00A72BFB"/>
    <w:rsid w:val="00A72D40"/>
    <w:rsid w:val="00A72FF0"/>
    <w:rsid w:val="00A73327"/>
    <w:rsid w:val="00A7334E"/>
    <w:rsid w:val="00A733E8"/>
    <w:rsid w:val="00A73456"/>
    <w:rsid w:val="00A73497"/>
    <w:rsid w:val="00A734BA"/>
    <w:rsid w:val="00A7359F"/>
    <w:rsid w:val="00A736C5"/>
    <w:rsid w:val="00A73721"/>
    <w:rsid w:val="00A738B2"/>
    <w:rsid w:val="00A73AA4"/>
    <w:rsid w:val="00A73B59"/>
    <w:rsid w:val="00A73B68"/>
    <w:rsid w:val="00A73CD9"/>
    <w:rsid w:val="00A73DCC"/>
    <w:rsid w:val="00A73E73"/>
    <w:rsid w:val="00A73EA2"/>
    <w:rsid w:val="00A73EF6"/>
    <w:rsid w:val="00A73F64"/>
    <w:rsid w:val="00A73FF4"/>
    <w:rsid w:val="00A741AD"/>
    <w:rsid w:val="00A7422C"/>
    <w:rsid w:val="00A74375"/>
    <w:rsid w:val="00A74400"/>
    <w:rsid w:val="00A745B2"/>
    <w:rsid w:val="00A745FA"/>
    <w:rsid w:val="00A747AE"/>
    <w:rsid w:val="00A74816"/>
    <w:rsid w:val="00A748C0"/>
    <w:rsid w:val="00A748E9"/>
    <w:rsid w:val="00A74A62"/>
    <w:rsid w:val="00A74B20"/>
    <w:rsid w:val="00A74BA2"/>
    <w:rsid w:val="00A74BCE"/>
    <w:rsid w:val="00A74C5B"/>
    <w:rsid w:val="00A74CCF"/>
    <w:rsid w:val="00A74CE1"/>
    <w:rsid w:val="00A74D93"/>
    <w:rsid w:val="00A75042"/>
    <w:rsid w:val="00A750CE"/>
    <w:rsid w:val="00A75127"/>
    <w:rsid w:val="00A7513C"/>
    <w:rsid w:val="00A7519D"/>
    <w:rsid w:val="00A751B0"/>
    <w:rsid w:val="00A75274"/>
    <w:rsid w:val="00A7551E"/>
    <w:rsid w:val="00A756AD"/>
    <w:rsid w:val="00A75721"/>
    <w:rsid w:val="00A757DC"/>
    <w:rsid w:val="00A75922"/>
    <w:rsid w:val="00A759CC"/>
    <w:rsid w:val="00A75AFC"/>
    <w:rsid w:val="00A75BB5"/>
    <w:rsid w:val="00A75BF9"/>
    <w:rsid w:val="00A75D09"/>
    <w:rsid w:val="00A75F58"/>
    <w:rsid w:val="00A76164"/>
    <w:rsid w:val="00A762B2"/>
    <w:rsid w:val="00A76501"/>
    <w:rsid w:val="00A76AE5"/>
    <w:rsid w:val="00A76C06"/>
    <w:rsid w:val="00A76E98"/>
    <w:rsid w:val="00A76F50"/>
    <w:rsid w:val="00A77040"/>
    <w:rsid w:val="00A77129"/>
    <w:rsid w:val="00A77151"/>
    <w:rsid w:val="00A772A7"/>
    <w:rsid w:val="00A77354"/>
    <w:rsid w:val="00A7745E"/>
    <w:rsid w:val="00A774B4"/>
    <w:rsid w:val="00A774EF"/>
    <w:rsid w:val="00A77708"/>
    <w:rsid w:val="00A77812"/>
    <w:rsid w:val="00A77910"/>
    <w:rsid w:val="00A77B2F"/>
    <w:rsid w:val="00A77B56"/>
    <w:rsid w:val="00A77B9A"/>
    <w:rsid w:val="00A77BEA"/>
    <w:rsid w:val="00A77BEF"/>
    <w:rsid w:val="00A77CDF"/>
    <w:rsid w:val="00A800C2"/>
    <w:rsid w:val="00A803D8"/>
    <w:rsid w:val="00A807E3"/>
    <w:rsid w:val="00A809FF"/>
    <w:rsid w:val="00A80A98"/>
    <w:rsid w:val="00A80AFC"/>
    <w:rsid w:val="00A80CEE"/>
    <w:rsid w:val="00A80EC0"/>
    <w:rsid w:val="00A8174C"/>
    <w:rsid w:val="00A81791"/>
    <w:rsid w:val="00A81795"/>
    <w:rsid w:val="00A817FB"/>
    <w:rsid w:val="00A818BF"/>
    <w:rsid w:val="00A8191C"/>
    <w:rsid w:val="00A8191F"/>
    <w:rsid w:val="00A81993"/>
    <w:rsid w:val="00A81ADC"/>
    <w:rsid w:val="00A81BAE"/>
    <w:rsid w:val="00A81CFA"/>
    <w:rsid w:val="00A81D3A"/>
    <w:rsid w:val="00A8209A"/>
    <w:rsid w:val="00A82142"/>
    <w:rsid w:val="00A821E9"/>
    <w:rsid w:val="00A82261"/>
    <w:rsid w:val="00A822E0"/>
    <w:rsid w:val="00A823A8"/>
    <w:rsid w:val="00A824B8"/>
    <w:rsid w:val="00A8251A"/>
    <w:rsid w:val="00A82618"/>
    <w:rsid w:val="00A82656"/>
    <w:rsid w:val="00A82817"/>
    <w:rsid w:val="00A82836"/>
    <w:rsid w:val="00A8295F"/>
    <w:rsid w:val="00A82968"/>
    <w:rsid w:val="00A82B05"/>
    <w:rsid w:val="00A82B6A"/>
    <w:rsid w:val="00A82BE8"/>
    <w:rsid w:val="00A82C0D"/>
    <w:rsid w:val="00A82C9D"/>
    <w:rsid w:val="00A82DF4"/>
    <w:rsid w:val="00A832CF"/>
    <w:rsid w:val="00A8342F"/>
    <w:rsid w:val="00A83568"/>
    <w:rsid w:val="00A83643"/>
    <w:rsid w:val="00A8369E"/>
    <w:rsid w:val="00A836C4"/>
    <w:rsid w:val="00A83724"/>
    <w:rsid w:val="00A8399F"/>
    <w:rsid w:val="00A83A49"/>
    <w:rsid w:val="00A83B30"/>
    <w:rsid w:val="00A83B3A"/>
    <w:rsid w:val="00A83CA8"/>
    <w:rsid w:val="00A83E81"/>
    <w:rsid w:val="00A83FF1"/>
    <w:rsid w:val="00A8402A"/>
    <w:rsid w:val="00A84049"/>
    <w:rsid w:val="00A843AD"/>
    <w:rsid w:val="00A843C9"/>
    <w:rsid w:val="00A847EC"/>
    <w:rsid w:val="00A847F5"/>
    <w:rsid w:val="00A84892"/>
    <w:rsid w:val="00A8495A"/>
    <w:rsid w:val="00A849C5"/>
    <w:rsid w:val="00A84B3B"/>
    <w:rsid w:val="00A84B6E"/>
    <w:rsid w:val="00A84C13"/>
    <w:rsid w:val="00A84CA2"/>
    <w:rsid w:val="00A84CAF"/>
    <w:rsid w:val="00A84F13"/>
    <w:rsid w:val="00A8517D"/>
    <w:rsid w:val="00A85244"/>
    <w:rsid w:val="00A852AC"/>
    <w:rsid w:val="00A85363"/>
    <w:rsid w:val="00A8536D"/>
    <w:rsid w:val="00A85478"/>
    <w:rsid w:val="00A854B5"/>
    <w:rsid w:val="00A85649"/>
    <w:rsid w:val="00A858A8"/>
    <w:rsid w:val="00A8595B"/>
    <w:rsid w:val="00A85BC1"/>
    <w:rsid w:val="00A860E7"/>
    <w:rsid w:val="00A86183"/>
    <w:rsid w:val="00A86470"/>
    <w:rsid w:val="00A8649E"/>
    <w:rsid w:val="00A86586"/>
    <w:rsid w:val="00A865DD"/>
    <w:rsid w:val="00A8677E"/>
    <w:rsid w:val="00A868E5"/>
    <w:rsid w:val="00A86905"/>
    <w:rsid w:val="00A86CC1"/>
    <w:rsid w:val="00A86CE8"/>
    <w:rsid w:val="00A86EB6"/>
    <w:rsid w:val="00A86FBD"/>
    <w:rsid w:val="00A870A5"/>
    <w:rsid w:val="00A872D7"/>
    <w:rsid w:val="00A87402"/>
    <w:rsid w:val="00A87572"/>
    <w:rsid w:val="00A875BA"/>
    <w:rsid w:val="00A87617"/>
    <w:rsid w:val="00A8777C"/>
    <w:rsid w:val="00A87A83"/>
    <w:rsid w:val="00A87C8B"/>
    <w:rsid w:val="00A87D39"/>
    <w:rsid w:val="00A87D48"/>
    <w:rsid w:val="00A87DCE"/>
    <w:rsid w:val="00A87EE1"/>
    <w:rsid w:val="00A87F00"/>
    <w:rsid w:val="00A87F95"/>
    <w:rsid w:val="00A9017B"/>
    <w:rsid w:val="00A90233"/>
    <w:rsid w:val="00A90254"/>
    <w:rsid w:val="00A90512"/>
    <w:rsid w:val="00A90524"/>
    <w:rsid w:val="00A90563"/>
    <w:rsid w:val="00A9069E"/>
    <w:rsid w:val="00A906FE"/>
    <w:rsid w:val="00A908D1"/>
    <w:rsid w:val="00A90903"/>
    <w:rsid w:val="00A90AFA"/>
    <w:rsid w:val="00A90D98"/>
    <w:rsid w:val="00A911FF"/>
    <w:rsid w:val="00A912A2"/>
    <w:rsid w:val="00A912ED"/>
    <w:rsid w:val="00A9130E"/>
    <w:rsid w:val="00A9133B"/>
    <w:rsid w:val="00A913BE"/>
    <w:rsid w:val="00A91484"/>
    <w:rsid w:val="00A914E3"/>
    <w:rsid w:val="00A91712"/>
    <w:rsid w:val="00A9181A"/>
    <w:rsid w:val="00A9185F"/>
    <w:rsid w:val="00A91942"/>
    <w:rsid w:val="00A91D71"/>
    <w:rsid w:val="00A9200A"/>
    <w:rsid w:val="00A922ED"/>
    <w:rsid w:val="00A923D5"/>
    <w:rsid w:val="00A92524"/>
    <w:rsid w:val="00A92559"/>
    <w:rsid w:val="00A925D2"/>
    <w:rsid w:val="00A926EC"/>
    <w:rsid w:val="00A929E2"/>
    <w:rsid w:val="00A92B8B"/>
    <w:rsid w:val="00A92D92"/>
    <w:rsid w:val="00A92EE1"/>
    <w:rsid w:val="00A92F4D"/>
    <w:rsid w:val="00A93005"/>
    <w:rsid w:val="00A93085"/>
    <w:rsid w:val="00A93231"/>
    <w:rsid w:val="00A9356D"/>
    <w:rsid w:val="00A93757"/>
    <w:rsid w:val="00A9375B"/>
    <w:rsid w:val="00A938D2"/>
    <w:rsid w:val="00A93B6E"/>
    <w:rsid w:val="00A93CEE"/>
    <w:rsid w:val="00A93D04"/>
    <w:rsid w:val="00A93D50"/>
    <w:rsid w:val="00A93D93"/>
    <w:rsid w:val="00A93DCD"/>
    <w:rsid w:val="00A9413B"/>
    <w:rsid w:val="00A943FD"/>
    <w:rsid w:val="00A94427"/>
    <w:rsid w:val="00A9448C"/>
    <w:rsid w:val="00A94523"/>
    <w:rsid w:val="00A94588"/>
    <w:rsid w:val="00A946B8"/>
    <w:rsid w:val="00A947E2"/>
    <w:rsid w:val="00A947E8"/>
    <w:rsid w:val="00A948FF"/>
    <w:rsid w:val="00A94931"/>
    <w:rsid w:val="00A94ABF"/>
    <w:rsid w:val="00A94D1E"/>
    <w:rsid w:val="00A94E59"/>
    <w:rsid w:val="00A950FE"/>
    <w:rsid w:val="00A952AB"/>
    <w:rsid w:val="00A9532A"/>
    <w:rsid w:val="00A95346"/>
    <w:rsid w:val="00A95361"/>
    <w:rsid w:val="00A953AF"/>
    <w:rsid w:val="00A9552C"/>
    <w:rsid w:val="00A956FF"/>
    <w:rsid w:val="00A9580E"/>
    <w:rsid w:val="00A958BE"/>
    <w:rsid w:val="00A95934"/>
    <w:rsid w:val="00A95938"/>
    <w:rsid w:val="00A95A39"/>
    <w:rsid w:val="00A95A9C"/>
    <w:rsid w:val="00A95B86"/>
    <w:rsid w:val="00A95C68"/>
    <w:rsid w:val="00A95C98"/>
    <w:rsid w:val="00A95D0F"/>
    <w:rsid w:val="00A95DB4"/>
    <w:rsid w:val="00A95FA7"/>
    <w:rsid w:val="00A961C5"/>
    <w:rsid w:val="00A9626A"/>
    <w:rsid w:val="00A963A0"/>
    <w:rsid w:val="00A963CD"/>
    <w:rsid w:val="00A963F3"/>
    <w:rsid w:val="00A965B1"/>
    <w:rsid w:val="00A9676E"/>
    <w:rsid w:val="00A96816"/>
    <w:rsid w:val="00A968A9"/>
    <w:rsid w:val="00A96932"/>
    <w:rsid w:val="00A96982"/>
    <w:rsid w:val="00A96AC1"/>
    <w:rsid w:val="00A96E58"/>
    <w:rsid w:val="00A96F09"/>
    <w:rsid w:val="00A97077"/>
    <w:rsid w:val="00A97289"/>
    <w:rsid w:val="00A97297"/>
    <w:rsid w:val="00A9737B"/>
    <w:rsid w:val="00A974C2"/>
    <w:rsid w:val="00A97A54"/>
    <w:rsid w:val="00A97B18"/>
    <w:rsid w:val="00A97C49"/>
    <w:rsid w:val="00A97D79"/>
    <w:rsid w:val="00A97F2D"/>
    <w:rsid w:val="00AA0160"/>
    <w:rsid w:val="00AA021F"/>
    <w:rsid w:val="00AA0324"/>
    <w:rsid w:val="00AA0434"/>
    <w:rsid w:val="00AA05B0"/>
    <w:rsid w:val="00AA073B"/>
    <w:rsid w:val="00AA0835"/>
    <w:rsid w:val="00AA0880"/>
    <w:rsid w:val="00AA0971"/>
    <w:rsid w:val="00AA0A2B"/>
    <w:rsid w:val="00AA0A4F"/>
    <w:rsid w:val="00AA0DB7"/>
    <w:rsid w:val="00AA0E44"/>
    <w:rsid w:val="00AA0EFA"/>
    <w:rsid w:val="00AA0F46"/>
    <w:rsid w:val="00AA0F57"/>
    <w:rsid w:val="00AA0F7F"/>
    <w:rsid w:val="00AA10A8"/>
    <w:rsid w:val="00AA1169"/>
    <w:rsid w:val="00AA123E"/>
    <w:rsid w:val="00AA12AA"/>
    <w:rsid w:val="00AA12CA"/>
    <w:rsid w:val="00AA138C"/>
    <w:rsid w:val="00AA1411"/>
    <w:rsid w:val="00AA1586"/>
    <w:rsid w:val="00AA1749"/>
    <w:rsid w:val="00AA18B1"/>
    <w:rsid w:val="00AA197E"/>
    <w:rsid w:val="00AA1AA4"/>
    <w:rsid w:val="00AA1AF1"/>
    <w:rsid w:val="00AA1CF2"/>
    <w:rsid w:val="00AA1D6F"/>
    <w:rsid w:val="00AA1E45"/>
    <w:rsid w:val="00AA2021"/>
    <w:rsid w:val="00AA20BF"/>
    <w:rsid w:val="00AA20C6"/>
    <w:rsid w:val="00AA229A"/>
    <w:rsid w:val="00AA2308"/>
    <w:rsid w:val="00AA2777"/>
    <w:rsid w:val="00AA27FA"/>
    <w:rsid w:val="00AA29AA"/>
    <w:rsid w:val="00AA2A05"/>
    <w:rsid w:val="00AA2BF7"/>
    <w:rsid w:val="00AA2C7D"/>
    <w:rsid w:val="00AA2D4E"/>
    <w:rsid w:val="00AA3045"/>
    <w:rsid w:val="00AA30E3"/>
    <w:rsid w:val="00AA30F8"/>
    <w:rsid w:val="00AA312D"/>
    <w:rsid w:val="00AA313E"/>
    <w:rsid w:val="00AA3385"/>
    <w:rsid w:val="00AA361D"/>
    <w:rsid w:val="00AA3700"/>
    <w:rsid w:val="00AA3849"/>
    <w:rsid w:val="00AA387A"/>
    <w:rsid w:val="00AA39F7"/>
    <w:rsid w:val="00AA3A2A"/>
    <w:rsid w:val="00AA3AC7"/>
    <w:rsid w:val="00AA3C7D"/>
    <w:rsid w:val="00AA3CB4"/>
    <w:rsid w:val="00AA3D00"/>
    <w:rsid w:val="00AA3F7A"/>
    <w:rsid w:val="00AA3F98"/>
    <w:rsid w:val="00AA3F9E"/>
    <w:rsid w:val="00AA40D2"/>
    <w:rsid w:val="00AA40D8"/>
    <w:rsid w:val="00AA418C"/>
    <w:rsid w:val="00AA41A2"/>
    <w:rsid w:val="00AA43DA"/>
    <w:rsid w:val="00AA451B"/>
    <w:rsid w:val="00AA46CE"/>
    <w:rsid w:val="00AA47D9"/>
    <w:rsid w:val="00AA47DA"/>
    <w:rsid w:val="00AA4CEF"/>
    <w:rsid w:val="00AA4E1F"/>
    <w:rsid w:val="00AA4EBC"/>
    <w:rsid w:val="00AA4F21"/>
    <w:rsid w:val="00AA50D9"/>
    <w:rsid w:val="00AA5106"/>
    <w:rsid w:val="00AA5181"/>
    <w:rsid w:val="00AA518E"/>
    <w:rsid w:val="00AA53CA"/>
    <w:rsid w:val="00AA5504"/>
    <w:rsid w:val="00AA58A4"/>
    <w:rsid w:val="00AA59BA"/>
    <w:rsid w:val="00AA5C45"/>
    <w:rsid w:val="00AA5D83"/>
    <w:rsid w:val="00AA60A8"/>
    <w:rsid w:val="00AA612F"/>
    <w:rsid w:val="00AA617E"/>
    <w:rsid w:val="00AA61CB"/>
    <w:rsid w:val="00AA644D"/>
    <w:rsid w:val="00AA646E"/>
    <w:rsid w:val="00AA64C2"/>
    <w:rsid w:val="00AA65A0"/>
    <w:rsid w:val="00AA65AE"/>
    <w:rsid w:val="00AA661F"/>
    <w:rsid w:val="00AA6625"/>
    <w:rsid w:val="00AA6732"/>
    <w:rsid w:val="00AA6A48"/>
    <w:rsid w:val="00AA6A67"/>
    <w:rsid w:val="00AA6AA1"/>
    <w:rsid w:val="00AA6CC6"/>
    <w:rsid w:val="00AA6D15"/>
    <w:rsid w:val="00AA6D4D"/>
    <w:rsid w:val="00AA6E00"/>
    <w:rsid w:val="00AA70B3"/>
    <w:rsid w:val="00AA7111"/>
    <w:rsid w:val="00AA71A4"/>
    <w:rsid w:val="00AA7307"/>
    <w:rsid w:val="00AA7705"/>
    <w:rsid w:val="00AA779D"/>
    <w:rsid w:val="00AA77E4"/>
    <w:rsid w:val="00AA7820"/>
    <w:rsid w:val="00AA78C5"/>
    <w:rsid w:val="00AA7BF3"/>
    <w:rsid w:val="00AB0024"/>
    <w:rsid w:val="00AB0094"/>
    <w:rsid w:val="00AB056F"/>
    <w:rsid w:val="00AB05C6"/>
    <w:rsid w:val="00AB0696"/>
    <w:rsid w:val="00AB0719"/>
    <w:rsid w:val="00AB0803"/>
    <w:rsid w:val="00AB094E"/>
    <w:rsid w:val="00AB0957"/>
    <w:rsid w:val="00AB0A21"/>
    <w:rsid w:val="00AB0C94"/>
    <w:rsid w:val="00AB0D02"/>
    <w:rsid w:val="00AB0D92"/>
    <w:rsid w:val="00AB0DA5"/>
    <w:rsid w:val="00AB0F7F"/>
    <w:rsid w:val="00AB10A4"/>
    <w:rsid w:val="00AB11F0"/>
    <w:rsid w:val="00AB1340"/>
    <w:rsid w:val="00AB1644"/>
    <w:rsid w:val="00AB1656"/>
    <w:rsid w:val="00AB1664"/>
    <w:rsid w:val="00AB16A4"/>
    <w:rsid w:val="00AB16C6"/>
    <w:rsid w:val="00AB174F"/>
    <w:rsid w:val="00AB1892"/>
    <w:rsid w:val="00AB1967"/>
    <w:rsid w:val="00AB1981"/>
    <w:rsid w:val="00AB199C"/>
    <w:rsid w:val="00AB1AC2"/>
    <w:rsid w:val="00AB1B1C"/>
    <w:rsid w:val="00AB1B84"/>
    <w:rsid w:val="00AB1CA9"/>
    <w:rsid w:val="00AB20F9"/>
    <w:rsid w:val="00AB228F"/>
    <w:rsid w:val="00AB2527"/>
    <w:rsid w:val="00AB2670"/>
    <w:rsid w:val="00AB27A5"/>
    <w:rsid w:val="00AB28CB"/>
    <w:rsid w:val="00AB28D1"/>
    <w:rsid w:val="00AB2A1E"/>
    <w:rsid w:val="00AB2A78"/>
    <w:rsid w:val="00AB2BAB"/>
    <w:rsid w:val="00AB2BD0"/>
    <w:rsid w:val="00AB2CA8"/>
    <w:rsid w:val="00AB2DD6"/>
    <w:rsid w:val="00AB2F0D"/>
    <w:rsid w:val="00AB30F2"/>
    <w:rsid w:val="00AB317D"/>
    <w:rsid w:val="00AB31AD"/>
    <w:rsid w:val="00AB33F9"/>
    <w:rsid w:val="00AB34E8"/>
    <w:rsid w:val="00AB356E"/>
    <w:rsid w:val="00AB35C7"/>
    <w:rsid w:val="00AB36ED"/>
    <w:rsid w:val="00AB3729"/>
    <w:rsid w:val="00AB3759"/>
    <w:rsid w:val="00AB38AC"/>
    <w:rsid w:val="00AB399E"/>
    <w:rsid w:val="00AB3AEB"/>
    <w:rsid w:val="00AB3CAF"/>
    <w:rsid w:val="00AB3DED"/>
    <w:rsid w:val="00AB3F8A"/>
    <w:rsid w:val="00AB4029"/>
    <w:rsid w:val="00AB406D"/>
    <w:rsid w:val="00AB4070"/>
    <w:rsid w:val="00AB40B0"/>
    <w:rsid w:val="00AB40F8"/>
    <w:rsid w:val="00AB424A"/>
    <w:rsid w:val="00AB4372"/>
    <w:rsid w:val="00AB46DD"/>
    <w:rsid w:val="00AB46EE"/>
    <w:rsid w:val="00AB4851"/>
    <w:rsid w:val="00AB4974"/>
    <w:rsid w:val="00AB4C50"/>
    <w:rsid w:val="00AB4C58"/>
    <w:rsid w:val="00AB4CE9"/>
    <w:rsid w:val="00AB4E88"/>
    <w:rsid w:val="00AB4EBB"/>
    <w:rsid w:val="00AB5204"/>
    <w:rsid w:val="00AB5360"/>
    <w:rsid w:val="00AB547C"/>
    <w:rsid w:val="00AB561B"/>
    <w:rsid w:val="00AB576D"/>
    <w:rsid w:val="00AB57EF"/>
    <w:rsid w:val="00AB58F3"/>
    <w:rsid w:val="00AB5B5F"/>
    <w:rsid w:val="00AB5C54"/>
    <w:rsid w:val="00AB5D5B"/>
    <w:rsid w:val="00AB62D6"/>
    <w:rsid w:val="00AB6517"/>
    <w:rsid w:val="00AB6673"/>
    <w:rsid w:val="00AB66DB"/>
    <w:rsid w:val="00AB6700"/>
    <w:rsid w:val="00AB67CC"/>
    <w:rsid w:val="00AB6816"/>
    <w:rsid w:val="00AB6885"/>
    <w:rsid w:val="00AB6B1F"/>
    <w:rsid w:val="00AB6B31"/>
    <w:rsid w:val="00AB6D7A"/>
    <w:rsid w:val="00AB6DA4"/>
    <w:rsid w:val="00AB6DD4"/>
    <w:rsid w:val="00AB6EA2"/>
    <w:rsid w:val="00AB6EF0"/>
    <w:rsid w:val="00AB6F13"/>
    <w:rsid w:val="00AB7048"/>
    <w:rsid w:val="00AB7240"/>
    <w:rsid w:val="00AB72E4"/>
    <w:rsid w:val="00AB73A3"/>
    <w:rsid w:val="00AB73B0"/>
    <w:rsid w:val="00AB7638"/>
    <w:rsid w:val="00AB77D4"/>
    <w:rsid w:val="00AB78DC"/>
    <w:rsid w:val="00AB7A5E"/>
    <w:rsid w:val="00AB7AE6"/>
    <w:rsid w:val="00AB7C74"/>
    <w:rsid w:val="00AB7C9E"/>
    <w:rsid w:val="00AB7CCC"/>
    <w:rsid w:val="00AB7ED6"/>
    <w:rsid w:val="00AB7F57"/>
    <w:rsid w:val="00AC0015"/>
    <w:rsid w:val="00AC0533"/>
    <w:rsid w:val="00AC0652"/>
    <w:rsid w:val="00AC0815"/>
    <w:rsid w:val="00AC0901"/>
    <w:rsid w:val="00AC0A90"/>
    <w:rsid w:val="00AC0B2C"/>
    <w:rsid w:val="00AC0B39"/>
    <w:rsid w:val="00AC0CC6"/>
    <w:rsid w:val="00AC0EB1"/>
    <w:rsid w:val="00AC0EB8"/>
    <w:rsid w:val="00AC0FA8"/>
    <w:rsid w:val="00AC0FE4"/>
    <w:rsid w:val="00AC0FEA"/>
    <w:rsid w:val="00AC1343"/>
    <w:rsid w:val="00AC1481"/>
    <w:rsid w:val="00AC1531"/>
    <w:rsid w:val="00AC1605"/>
    <w:rsid w:val="00AC1780"/>
    <w:rsid w:val="00AC1799"/>
    <w:rsid w:val="00AC1816"/>
    <w:rsid w:val="00AC186A"/>
    <w:rsid w:val="00AC186D"/>
    <w:rsid w:val="00AC18E1"/>
    <w:rsid w:val="00AC193D"/>
    <w:rsid w:val="00AC1996"/>
    <w:rsid w:val="00AC1A15"/>
    <w:rsid w:val="00AC1BEA"/>
    <w:rsid w:val="00AC1C84"/>
    <w:rsid w:val="00AC1D8E"/>
    <w:rsid w:val="00AC1E2D"/>
    <w:rsid w:val="00AC1E97"/>
    <w:rsid w:val="00AC2433"/>
    <w:rsid w:val="00AC26BF"/>
    <w:rsid w:val="00AC278D"/>
    <w:rsid w:val="00AC27D3"/>
    <w:rsid w:val="00AC284D"/>
    <w:rsid w:val="00AC292C"/>
    <w:rsid w:val="00AC295D"/>
    <w:rsid w:val="00AC2B0F"/>
    <w:rsid w:val="00AC2B83"/>
    <w:rsid w:val="00AC2C28"/>
    <w:rsid w:val="00AC2D04"/>
    <w:rsid w:val="00AC3099"/>
    <w:rsid w:val="00AC321B"/>
    <w:rsid w:val="00AC3324"/>
    <w:rsid w:val="00AC36C6"/>
    <w:rsid w:val="00AC3788"/>
    <w:rsid w:val="00AC3B12"/>
    <w:rsid w:val="00AC3D4A"/>
    <w:rsid w:val="00AC3D57"/>
    <w:rsid w:val="00AC3D9A"/>
    <w:rsid w:val="00AC3E52"/>
    <w:rsid w:val="00AC3EEE"/>
    <w:rsid w:val="00AC4165"/>
    <w:rsid w:val="00AC4258"/>
    <w:rsid w:val="00AC447C"/>
    <w:rsid w:val="00AC44C1"/>
    <w:rsid w:val="00AC4674"/>
    <w:rsid w:val="00AC47AB"/>
    <w:rsid w:val="00AC47F6"/>
    <w:rsid w:val="00AC48AB"/>
    <w:rsid w:val="00AC48E6"/>
    <w:rsid w:val="00AC4922"/>
    <w:rsid w:val="00AC4A80"/>
    <w:rsid w:val="00AC4B67"/>
    <w:rsid w:val="00AC4B8E"/>
    <w:rsid w:val="00AC4C46"/>
    <w:rsid w:val="00AC4D78"/>
    <w:rsid w:val="00AC4ED9"/>
    <w:rsid w:val="00AC4F7B"/>
    <w:rsid w:val="00AC5086"/>
    <w:rsid w:val="00AC50EA"/>
    <w:rsid w:val="00AC52B8"/>
    <w:rsid w:val="00AC5443"/>
    <w:rsid w:val="00AC5485"/>
    <w:rsid w:val="00AC54FC"/>
    <w:rsid w:val="00AC55C1"/>
    <w:rsid w:val="00AC573D"/>
    <w:rsid w:val="00AC578B"/>
    <w:rsid w:val="00AC57CD"/>
    <w:rsid w:val="00AC59D4"/>
    <w:rsid w:val="00AC5A9F"/>
    <w:rsid w:val="00AC5C4B"/>
    <w:rsid w:val="00AC5F8D"/>
    <w:rsid w:val="00AC60E2"/>
    <w:rsid w:val="00AC61FC"/>
    <w:rsid w:val="00AC6470"/>
    <w:rsid w:val="00AC689C"/>
    <w:rsid w:val="00AC68E2"/>
    <w:rsid w:val="00AC6904"/>
    <w:rsid w:val="00AC6C55"/>
    <w:rsid w:val="00AC6E3E"/>
    <w:rsid w:val="00AC7075"/>
    <w:rsid w:val="00AC71D4"/>
    <w:rsid w:val="00AC75E8"/>
    <w:rsid w:val="00AC79F7"/>
    <w:rsid w:val="00AC7A72"/>
    <w:rsid w:val="00AC7D97"/>
    <w:rsid w:val="00AD006C"/>
    <w:rsid w:val="00AD0071"/>
    <w:rsid w:val="00AD0119"/>
    <w:rsid w:val="00AD0132"/>
    <w:rsid w:val="00AD02AE"/>
    <w:rsid w:val="00AD03AF"/>
    <w:rsid w:val="00AD07AD"/>
    <w:rsid w:val="00AD0A35"/>
    <w:rsid w:val="00AD0A8C"/>
    <w:rsid w:val="00AD0D3E"/>
    <w:rsid w:val="00AD0D44"/>
    <w:rsid w:val="00AD0FD1"/>
    <w:rsid w:val="00AD0FF0"/>
    <w:rsid w:val="00AD1590"/>
    <w:rsid w:val="00AD1D85"/>
    <w:rsid w:val="00AD1EFC"/>
    <w:rsid w:val="00AD1F1F"/>
    <w:rsid w:val="00AD21CD"/>
    <w:rsid w:val="00AD21E4"/>
    <w:rsid w:val="00AD254E"/>
    <w:rsid w:val="00AD2554"/>
    <w:rsid w:val="00AD26C7"/>
    <w:rsid w:val="00AD2A36"/>
    <w:rsid w:val="00AD2AF2"/>
    <w:rsid w:val="00AD2BDA"/>
    <w:rsid w:val="00AD2BFB"/>
    <w:rsid w:val="00AD2CAD"/>
    <w:rsid w:val="00AD2F7D"/>
    <w:rsid w:val="00AD3040"/>
    <w:rsid w:val="00AD30D4"/>
    <w:rsid w:val="00AD316C"/>
    <w:rsid w:val="00AD31F5"/>
    <w:rsid w:val="00AD31FB"/>
    <w:rsid w:val="00AD3436"/>
    <w:rsid w:val="00AD3541"/>
    <w:rsid w:val="00AD356D"/>
    <w:rsid w:val="00AD35C5"/>
    <w:rsid w:val="00AD3608"/>
    <w:rsid w:val="00AD38E0"/>
    <w:rsid w:val="00AD3A6F"/>
    <w:rsid w:val="00AD3AC4"/>
    <w:rsid w:val="00AD3CF8"/>
    <w:rsid w:val="00AD3D06"/>
    <w:rsid w:val="00AD3F44"/>
    <w:rsid w:val="00AD41C8"/>
    <w:rsid w:val="00AD43AA"/>
    <w:rsid w:val="00AD455D"/>
    <w:rsid w:val="00AD4756"/>
    <w:rsid w:val="00AD4AE1"/>
    <w:rsid w:val="00AD4BDD"/>
    <w:rsid w:val="00AD4D7A"/>
    <w:rsid w:val="00AD4DFE"/>
    <w:rsid w:val="00AD5353"/>
    <w:rsid w:val="00AD53BD"/>
    <w:rsid w:val="00AD542E"/>
    <w:rsid w:val="00AD54BA"/>
    <w:rsid w:val="00AD55D7"/>
    <w:rsid w:val="00AD56F4"/>
    <w:rsid w:val="00AD574F"/>
    <w:rsid w:val="00AD58AF"/>
    <w:rsid w:val="00AD58FB"/>
    <w:rsid w:val="00AD5981"/>
    <w:rsid w:val="00AD5993"/>
    <w:rsid w:val="00AD5A8D"/>
    <w:rsid w:val="00AD5B5C"/>
    <w:rsid w:val="00AD5D08"/>
    <w:rsid w:val="00AD5EBC"/>
    <w:rsid w:val="00AD60D9"/>
    <w:rsid w:val="00AD613C"/>
    <w:rsid w:val="00AD625E"/>
    <w:rsid w:val="00AD626E"/>
    <w:rsid w:val="00AD6390"/>
    <w:rsid w:val="00AD63FD"/>
    <w:rsid w:val="00AD64D7"/>
    <w:rsid w:val="00AD6506"/>
    <w:rsid w:val="00AD69BD"/>
    <w:rsid w:val="00AD6A29"/>
    <w:rsid w:val="00AD6A5F"/>
    <w:rsid w:val="00AD6EE9"/>
    <w:rsid w:val="00AD6FC4"/>
    <w:rsid w:val="00AD701A"/>
    <w:rsid w:val="00AD73DD"/>
    <w:rsid w:val="00AD7497"/>
    <w:rsid w:val="00AD7638"/>
    <w:rsid w:val="00AD768E"/>
    <w:rsid w:val="00AD77EF"/>
    <w:rsid w:val="00AD78A6"/>
    <w:rsid w:val="00AD7A7D"/>
    <w:rsid w:val="00AD7AA3"/>
    <w:rsid w:val="00AD7ADD"/>
    <w:rsid w:val="00AD7B26"/>
    <w:rsid w:val="00AD7BE5"/>
    <w:rsid w:val="00AD7C59"/>
    <w:rsid w:val="00AD7C7E"/>
    <w:rsid w:val="00AD7D80"/>
    <w:rsid w:val="00AD7E9A"/>
    <w:rsid w:val="00AD7EC0"/>
    <w:rsid w:val="00AD7EE4"/>
    <w:rsid w:val="00AE018B"/>
    <w:rsid w:val="00AE025B"/>
    <w:rsid w:val="00AE029D"/>
    <w:rsid w:val="00AE03D6"/>
    <w:rsid w:val="00AE045A"/>
    <w:rsid w:val="00AE04BF"/>
    <w:rsid w:val="00AE058F"/>
    <w:rsid w:val="00AE0822"/>
    <w:rsid w:val="00AE0C14"/>
    <w:rsid w:val="00AE0C74"/>
    <w:rsid w:val="00AE0D68"/>
    <w:rsid w:val="00AE0DF4"/>
    <w:rsid w:val="00AE0F8E"/>
    <w:rsid w:val="00AE109B"/>
    <w:rsid w:val="00AE10E4"/>
    <w:rsid w:val="00AE1128"/>
    <w:rsid w:val="00AE1178"/>
    <w:rsid w:val="00AE1201"/>
    <w:rsid w:val="00AE1216"/>
    <w:rsid w:val="00AE13E9"/>
    <w:rsid w:val="00AE171B"/>
    <w:rsid w:val="00AE17C6"/>
    <w:rsid w:val="00AE183D"/>
    <w:rsid w:val="00AE18BA"/>
    <w:rsid w:val="00AE18E0"/>
    <w:rsid w:val="00AE18F3"/>
    <w:rsid w:val="00AE1C2E"/>
    <w:rsid w:val="00AE1D75"/>
    <w:rsid w:val="00AE1DE0"/>
    <w:rsid w:val="00AE1EC6"/>
    <w:rsid w:val="00AE1F79"/>
    <w:rsid w:val="00AE200B"/>
    <w:rsid w:val="00AE2024"/>
    <w:rsid w:val="00AE208E"/>
    <w:rsid w:val="00AE20B2"/>
    <w:rsid w:val="00AE2264"/>
    <w:rsid w:val="00AE2400"/>
    <w:rsid w:val="00AE24AA"/>
    <w:rsid w:val="00AE2578"/>
    <w:rsid w:val="00AE27A9"/>
    <w:rsid w:val="00AE2849"/>
    <w:rsid w:val="00AE2AE0"/>
    <w:rsid w:val="00AE2B30"/>
    <w:rsid w:val="00AE2B42"/>
    <w:rsid w:val="00AE2D24"/>
    <w:rsid w:val="00AE2E1C"/>
    <w:rsid w:val="00AE30AD"/>
    <w:rsid w:val="00AE32FE"/>
    <w:rsid w:val="00AE347D"/>
    <w:rsid w:val="00AE36C7"/>
    <w:rsid w:val="00AE36F5"/>
    <w:rsid w:val="00AE39B2"/>
    <w:rsid w:val="00AE3AA2"/>
    <w:rsid w:val="00AE3B3F"/>
    <w:rsid w:val="00AE3B72"/>
    <w:rsid w:val="00AE3BB2"/>
    <w:rsid w:val="00AE3DF0"/>
    <w:rsid w:val="00AE3F9D"/>
    <w:rsid w:val="00AE40C5"/>
    <w:rsid w:val="00AE4140"/>
    <w:rsid w:val="00AE414A"/>
    <w:rsid w:val="00AE4341"/>
    <w:rsid w:val="00AE4422"/>
    <w:rsid w:val="00AE4586"/>
    <w:rsid w:val="00AE490B"/>
    <w:rsid w:val="00AE4925"/>
    <w:rsid w:val="00AE49CD"/>
    <w:rsid w:val="00AE4A12"/>
    <w:rsid w:val="00AE4A65"/>
    <w:rsid w:val="00AE4AA5"/>
    <w:rsid w:val="00AE4BDB"/>
    <w:rsid w:val="00AE4E8E"/>
    <w:rsid w:val="00AE4F5F"/>
    <w:rsid w:val="00AE4FCC"/>
    <w:rsid w:val="00AE5064"/>
    <w:rsid w:val="00AE514D"/>
    <w:rsid w:val="00AE5183"/>
    <w:rsid w:val="00AE520E"/>
    <w:rsid w:val="00AE5398"/>
    <w:rsid w:val="00AE53BB"/>
    <w:rsid w:val="00AE54DD"/>
    <w:rsid w:val="00AE5574"/>
    <w:rsid w:val="00AE558C"/>
    <w:rsid w:val="00AE57AE"/>
    <w:rsid w:val="00AE5810"/>
    <w:rsid w:val="00AE59BC"/>
    <w:rsid w:val="00AE59E2"/>
    <w:rsid w:val="00AE5B01"/>
    <w:rsid w:val="00AE5B12"/>
    <w:rsid w:val="00AE5C35"/>
    <w:rsid w:val="00AE5D3E"/>
    <w:rsid w:val="00AE5D70"/>
    <w:rsid w:val="00AE5DF4"/>
    <w:rsid w:val="00AE60AC"/>
    <w:rsid w:val="00AE632C"/>
    <w:rsid w:val="00AE6387"/>
    <w:rsid w:val="00AE6619"/>
    <w:rsid w:val="00AE67E2"/>
    <w:rsid w:val="00AE67E8"/>
    <w:rsid w:val="00AE67F9"/>
    <w:rsid w:val="00AE6860"/>
    <w:rsid w:val="00AE6977"/>
    <w:rsid w:val="00AE6B97"/>
    <w:rsid w:val="00AE6C25"/>
    <w:rsid w:val="00AE6CCF"/>
    <w:rsid w:val="00AE6E5B"/>
    <w:rsid w:val="00AE6EFE"/>
    <w:rsid w:val="00AE6F83"/>
    <w:rsid w:val="00AE6FB9"/>
    <w:rsid w:val="00AE709E"/>
    <w:rsid w:val="00AE70F6"/>
    <w:rsid w:val="00AE7197"/>
    <w:rsid w:val="00AE724A"/>
    <w:rsid w:val="00AE7278"/>
    <w:rsid w:val="00AE728D"/>
    <w:rsid w:val="00AE7315"/>
    <w:rsid w:val="00AE7563"/>
    <w:rsid w:val="00AE773B"/>
    <w:rsid w:val="00AE7A22"/>
    <w:rsid w:val="00AE7AD5"/>
    <w:rsid w:val="00AE7C10"/>
    <w:rsid w:val="00AE7DB0"/>
    <w:rsid w:val="00AE7F38"/>
    <w:rsid w:val="00AF005F"/>
    <w:rsid w:val="00AF0138"/>
    <w:rsid w:val="00AF015F"/>
    <w:rsid w:val="00AF016F"/>
    <w:rsid w:val="00AF0212"/>
    <w:rsid w:val="00AF06B5"/>
    <w:rsid w:val="00AF07DF"/>
    <w:rsid w:val="00AF084C"/>
    <w:rsid w:val="00AF088E"/>
    <w:rsid w:val="00AF093C"/>
    <w:rsid w:val="00AF0D16"/>
    <w:rsid w:val="00AF0E0B"/>
    <w:rsid w:val="00AF0EAB"/>
    <w:rsid w:val="00AF1002"/>
    <w:rsid w:val="00AF10C1"/>
    <w:rsid w:val="00AF10F0"/>
    <w:rsid w:val="00AF113B"/>
    <w:rsid w:val="00AF11BC"/>
    <w:rsid w:val="00AF120E"/>
    <w:rsid w:val="00AF1215"/>
    <w:rsid w:val="00AF1274"/>
    <w:rsid w:val="00AF136C"/>
    <w:rsid w:val="00AF172A"/>
    <w:rsid w:val="00AF19EF"/>
    <w:rsid w:val="00AF1A42"/>
    <w:rsid w:val="00AF1AEA"/>
    <w:rsid w:val="00AF1AFC"/>
    <w:rsid w:val="00AF1B74"/>
    <w:rsid w:val="00AF1C1E"/>
    <w:rsid w:val="00AF1C49"/>
    <w:rsid w:val="00AF1DA9"/>
    <w:rsid w:val="00AF1F75"/>
    <w:rsid w:val="00AF2303"/>
    <w:rsid w:val="00AF2367"/>
    <w:rsid w:val="00AF24E7"/>
    <w:rsid w:val="00AF283F"/>
    <w:rsid w:val="00AF2875"/>
    <w:rsid w:val="00AF2A5E"/>
    <w:rsid w:val="00AF2C8E"/>
    <w:rsid w:val="00AF2D1C"/>
    <w:rsid w:val="00AF2D56"/>
    <w:rsid w:val="00AF2E2F"/>
    <w:rsid w:val="00AF2EDC"/>
    <w:rsid w:val="00AF2F06"/>
    <w:rsid w:val="00AF3049"/>
    <w:rsid w:val="00AF310E"/>
    <w:rsid w:val="00AF31EC"/>
    <w:rsid w:val="00AF32FB"/>
    <w:rsid w:val="00AF34F6"/>
    <w:rsid w:val="00AF3535"/>
    <w:rsid w:val="00AF36C9"/>
    <w:rsid w:val="00AF36D3"/>
    <w:rsid w:val="00AF36E8"/>
    <w:rsid w:val="00AF375A"/>
    <w:rsid w:val="00AF37CB"/>
    <w:rsid w:val="00AF38A6"/>
    <w:rsid w:val="00AF3937"/>
    <w:rsid w:val="00AF3A07"/>
    <w:rsid w:val="00AF3C83"/>
    <w:rsid w:val="00AF3CE7"/>
    <w:rsid w:val="00AF3FF6"/>
    <w:rsid w:val="00AF4204"/>
    <w:rsid w:val="00AF429C"/>
    <w:rsid w:val="00AF441F"/>
    <w:rsid w:val="00AF4547"/>
    <w:rsid w:val="00AF459A"/>
    <w:rsid w:val="00AF4847"/>
    <w:rsid w:val="00AF4AC1"/>
    <w:rsid w:val="00AF4B47"/>
    <w:rsid w:val="00AF4C9A"/>
    <w:rsid w:val="00AF4D27"/>
    <w:rsid w:val="00AF4E13"/>
    <w:rsid w:val="00AF4EED"/>
    <w:rsid w:val="00AF504B"/>
    <w:rsid w:val="00AF5214"/>
    <w:rsid w:val="00AF5253"/>
    <w:rsid w:val="00AF52E9"/>
    <w:rsid w:val="00AF54C8"/>
    <w:rsid w:val="00AF54CD"/>
    <w:rsid w:val="00AF5616"/>
    <w:rsid w:val="00AF5784"/>
    <w:rsid w:val="00AF57CC"/>
    <w:rsid w:val="00AF58EE"/>
    <w:rsid w:val="00AF5A1F"/>
    <w:rsid w:val="00AF5A96"/>
    <w:rsid w:val="00AF5B04"/>
    <w:rsid w:val="00AF5C2B"/>
    <w:rsid w:val="00AF5DB8"/>
    <w:rsid w:val="00AF5E48"/>
    <w:rsid w:val="00AF5F2A"/>
    <w:rsid w:val="00AF5F45"/>
    <w:rsid w:val="00AF5F6D"/>
    <w:rsid w:val="00AF605F"/>
    <w:rsid w:val="00AF60BA"/>
    <w:rsid w:val="00AF621D"/>
    <w:rsid w:val="00AF638B"/>
    <w:rsid w:val="00AF687A"/>
    <w:rsid w:val="00AF6BF1"/>
    <w:rsid w:val="00AF6C00"/>
    <w:rsid w:val="00AF6CAB"/>
    <w:rsid w:val="00AF6E05"/>
    <w:rsid w:val="00AF6E26"/>
    <w:rsid w:val="00AF718E"/>
    <w:rsid w:val="00AF72FF"/>
    <w:rsid w:val="00AF7311"/>
    <w:rsid w:val="00AF7356"/>
    <w:rsid w:val="00AF7434"/>
    <w:rsid w:val="00AF7495"/>
    <w:rsid w:val="00AF772A"/>
    <w:rsid w:val="00AF7781"/>
    <w:rsid w:val="00AF77B6"/>
    <w:rsid w:val="00AF7A80"/>
    <w:rsid w:val="00AF7AD3"/>
    <w:rsid w:val="00AF7BF9"/>
    <w:rsid w:val="00AF7F2C"/>
    <w:rsid w:val="00AF7F3A"/>
    <w:rsid w:val="00AF7F5F"/>
    <w:rsid w:val="00AF7F9B"/>
    <w:rsid w:val="00B0006E"/>
    <w:rsid w:val="00B000C0"/>
    <w:rsid w:val="00B00168"/>
    <w:rsid w:val="00B001B2"/>
    <w:rsid w:val="00B001E9"/>
    <w:rsid w:val="00B001EA"/>
    <w:rsid w:val="00B00223"/>
    <w:rsid w:val="00B00747"/>
    <w:rsid w:val="00B00AA6"/>
    <w:rsid w:val="00B00B39"/>
    <w:rsid w:val="00B00DBB"/>
    <w:rsid w:val="00B00F39"/>
    <w:rsid w:val="00B01035"/>
    <w:rsid w:val="00B01077"/>
    <w:rsid w:val="00B01088"/>
    <w:rsid w:val="00B018CD"/>
    <w:rsid w:val="00B018FA"/>
    <w:rsid w:val="00B01AA5"/>
    <w:rsid w:val="00B01B59"/>
    <w:rsid w:val="00B01B62"/>
    <w:rsid w:val="00B01C30"/>
    <w:rsid w:val="00B01C9F"/>
    <w:rsid w:val="00B02010"/>
    <w:rsid w:val="00B02363"/>
    <w:rsid w:val="00B02424"/>
    <w:rsid w:val="00B024D3"/>
    <w:rsid w:val="00B0266D"/>
    <w:rsid w:val="00B02B17"/>
    <w:rsid w:val="00B02C3C"/>
    <w:rsid w:val="00B02C85"/>
    <w:rsid w:val="00B02CCA"/>
    <w:rsid w:val="00B02F22"/>
    <w:rsid w:val="00B03322"/>
    <w:rsid w:val="00B0358C"/>
    <w:rsid w:val="00B037B9"/>
    <w:rsid w:val="00B037F0"/>
    <w:rsid w:val="00B03916"/>
    <w:rsid w:val="00B03DD4"/>
    <w:rsid w:val="00B040AA"/>
    <w:rsid w:val="00B04163"/>
    <w:rsid w:val="00B043E2"/>
    <w:rsid w:val="00B0452C"/>
    <w:rsid w:val="00B045F8"/>
    <w:rsid w:val="00B046E0"/>
    <w:rsid w:val="00B04709"/>
    <w:rsid w:val="00B04720"/>
    <w:rsid w:val="00B047B1"/>
    <w:rsid w:val="00B04923"/>
    <w:rsid w:val="00B04A69"/>
    <w:rsid w:val="00B04ACE"/>
    <w:rsid w:val="00B04B07"/>
    <w:rsid w:val="00B04DA2"/>
    <w:rsid w:val="00B04DCF"/>
    <w:rsid w:val="00B04F24"/>
    <w:rsid w:val="00B05140"/>
    <w:rsid w:val="00B052A3"/>
    <w:rsid w:val="00B0540A"/>
    <w:rsid w:val="00B0558D"/>
    <w:rsid w:val="00B05634"/>
    <w:rsid w:val="00B056EF"/>
    <w:rsid w:val="00B05735"/>
    <w:rsid w:val="00B05787"/>
    <w:rsid w:val="00B0588C"/>
    <w:rsid w:val="00B05A07"/>
    <w:rsid w:val="00B05A09"/>
    <w:rsid w:val="00B05AF2"/>
    <w:rsid w:val="00B05DC7"/>
    <w:rsid w:val="00B05F98"/>
    <w:rsid w:val="00B06049"/>
    <w:rsid w:val="00B061C5"/>
    <w:rsid w:val="00B062B9"/>
    <w:rsid w:val="00B0633D"/>
    <w:rsid w:val="00B06419"/>
    <w:rsid w:val="00B0654F"/>
    <w:rsid w:val="00B06737"/>
    <w:rsid w:val="00B068EB"/>
    <w:rsid w:val="00B0690F"/>
    <w:rsid w:val="00B0693F"/>
    <w:rsid w:val="00B06BD6"/>
    <w:rsid w:val="00B06FBB"/>
    <w:rsid w:val="00B07056"/>
    <w:rsid w:val="00B07095"/>
    <w:rsid w:val="00B07423"/>
    <w:rsid w:val="00B077D4"/>
    <w:rsid w:val="00B0797D"/>
    <w:rsid w:val="00B07E04"/>
    <w:rsid w:val="00B07F9A"/>
    <w:rsid w:val="00B07F9F"/>
    <w:rsid w:val="00B1001C"/>
    <w:rsid w:val="00B1013F"/>
    <w:rsid w:val="00B10208"/>
    <w:rsid w:val="00B10259"/>
    <w:rsid w:val="00B105E3"/>
    <w:rsid w:val="00B10712"/>
    <w:rsid w:val="00B10736"/>
    <w:rsid w:val="00B10737"/>
    <w:rsid w:val="00B1075E"/>
    <w:rsid w:val="00B1082F"/>
    <w:rsid w:val="00B10AA1"/>
    <w:rsid w:val="00B10B61"/>
    <w:rsid w:val="00B10BC1"/>
    <w:rsid w:val="00B10F57"/>
    <w:rsid w:val="00B111B9"/>
    <w:rsid w:val="00B112AE"/>
    <w:rsid w:val="00B113D3"/>
    <w:rsid w:val="00B1165E"/>
    <w:rsid w:val="00B116A4"/>
    <w:rsid w:val="00B117FD"/>
    <w:rsid w:val="00B1195A"/>
    <w:rsid w:val="00B11973"/>
    <w:rsid w:val="00B119FA"/>
    <w:rsid w:val="00B11A4D"/>
    <w:rsid w:val="00B11ADF"/>
    <w:rsid w:val="00B11AE8"/>
    <w:rsid w:val="00B11E21"/>
    <w:rsid w:val="00B11EBD"/>
    <w:rsid w:val="00B11F52"/>
    <w:rsid w:val="00B1200D"/>
    <w:rsid w:val="00B123A3"/>
    <w:rsid w:val="00B123F9"/>
    <w:rsid w:val="00B12494"/>
    <w:rsid w:val="00B12533"/>
    <w:rsid w:val="00B1257A"/>
    <w:rsid w:val="00B12669"/>
    <w:rsid w:val="00B126D7"/>
    <w:rsid w:val="00B127DC"/>
    <w:rsid w:val="00B128BF"/>
    <w:rsid w:val="00B128F7"/>
    <w:rsid w:val="00B1292A"/>
    <w:rsid w:val="00B12A9E"/>
    <w:rsid w:val="00B12C15"/>
    <w:rsid w:val="00B12CCA"/>
    <w:rsid w:val="00B12DC4"/>
    <w:rsid w:val="00B12E28"/>
    <w:rsid w:val="00B12E5E"/>
    <w:rsid w:val="00B13098"/>
    <w:rsid w:val="00B130F7"/>
    <w:rsid w:val="00B1324D"/>
    <w:rsid w:val="00B13284"/>
    <w:rsid w:val="00B13320"/>
    <w:rsid w:val="00B13571"/>
    <w:rsid w:val="00B13A48"/>
    <w:rsid w:val="00B13B70"/>
    <w:rsid w:val="00B13BF7"/>
    <w:rsid w:val="00B13DC4"/>
    <w:rsid w:val="00B14016"/>
    <w:rsid w:val="00B143A5"/>
    <w:rsid w:val="00B14564"/>
    <w:rsid w:val="00B14681"/>
    <w:rsid w:val="00B1471A"/>
    <w:rsid w:val="00B148D7"/>
    <w:rsid w:val="00B14913"/>
    <w:rsid w:val="00B1492F"/>
    <w:rsid w:val="00B14B32"/>
    <w:rsid w:val="00B14B66"/>
    <w:rsid w:val="00B14C27"/>
    <w:rsid w:val="00B14C3F"/>
    <w:rsid w:val="00B14C45"/>
    <w:rsid w:val="00B14C59"/>
    <w:rsid w:val="00B14CCB"/>
    <w:rsid w:val="00B14DC9"/>
    <w:rsid w:val="00B14E43"/>
    <w:rsid w:val="00B14E8D"/>
    <w:rsid w:val="00B14F76"/>
    <w:rsid w:val="00B1500D"/>
    <w:rsid w:val="00B1502D"/>
    <w:rsid w:val="00B1508F"/>
    <w:rsid w:val="00B15093"/>
    <w:rsid w:val="00B15234"/>
    <w:rsid w:val="00B15321"/>
    <w:rsid w:val="00B153DA"/>
    <w:rsid w:val="00B1548F"/>
    <w:rsid w:val="00B15559"/>
    <w:rsid w:val="00B15A13"/>
    <w:rsid w:val="00B15C25"/>
    <w:rsid w:val="00B15DCC"/>
    <w:rsid w:val="00B15E29"/>
    <w:rsid w:val="00B15F7F"/>
    <w:rsid w:val="00B15F9E"/>
    <w:rsid w:val="00B15FD8"/>
    <w:rsid w:val="00B15FDC"/>
    <w:rsid w:val="00B15FF7"/>
    <w:rsid w:val="00B160A8"/>
    <w:rsid w:val="00B160BA"/>
    <w:rsid w:val="00B16318"/>
    <w:rsid w:val="00B163B6"/>
    <w:rsid w:val="00B1642A"/>
    <w:rsid w:val="00B1642F"/>
    <w:rsid w:val="00B164A4"/>
    <w:rsid w:val="00B16526"/>
    <w:rsid w:val="00B165AE"/>
    <w:rsid w:val="00B16675"/>
    <w:rsid w:val="00B16700"/>
    <w:rsid w:val="00B1683E"/>
    <w:rsid w:val="00B168C0"/>
    <w:rsid w:val="00B16913"/>
    <w:rsid w:val="00B16B14"/>
    <w:rsid w:val="00B16B1A"/>
    <w:rsid w:val="00B16B4E"/>
    <w:rsid w:val="00B16C2D"/>
    <w:rsid w:val="00B16E1E"/>
    <w:rsid w:val="00B16ED2"/>
    <w:rsid w:val="00B16FA5"/>
    <w:rsid w:val="00B17111"/>
    <w:rsid w:val="00B171B3"/>
    <w:rsid w:val="00B17310"/>
    <w:rsid w:val="00B175EE"/>
    <w:rsid w:val="00B1766D"/>
    <w:rsid w:val="00B176D6"/>
    <w:rsid w:val="00B1786E"/>
    <w:rsid w:val="00B179AB"/>
    <w:rsid w:val="00B17A99"/>
    <w:rsid w:val="00B17BBE"/>
    <w:rsid w:val="00B17C3C"/>
    <w:rsid w:val="00B17C44"/>
    <w:rsid w:val="00B17DE6"/>
    <w:rsid w:val="00B17F11"/>
    <w:rsid w:val="00B17F34"/>
    <w:rsid w:val="00B201DA"/>
    <w:rsid w:val="00B2020A"/>
    <w:rsid w:val="00B2030A"/>
    <w:rsid w:val="00B2050F"/>
    <w:rsid w:val="00B205CC"/>
    <w:rsid w:val="00B20601"/>
    <w:rsid w:val="00B20628"/>
    <w:rsid w:val="00B20870"/>
    <w:rsid w:val="00B20915"/>
    <w:rsid w:val="00B2096C"/>
    <w:rsid w:val="00B209A5"/>
    <w:rsid w:val="00B20A94"/>
    <w:rsid w:val="00B20B52"/>
    <w:rsid w:val="00B20C45"/>
    <w:rsid w:val="00B20C4A"/>
    <w:rsid w:val="00B20D2C"/>
    <w:rsid w:val="00B21081"/>
    <w:rsid w:val="00B213D8"/>
    <w:rsid w:val="00B21598"/>
    <w:rsid w:val="00B21821"/>
    <w:rsid w:val="00B21839"/>
    <w:rsid w:val="00B218EB"/>
    <w:rsid w:val="00B21984"/>
    <w:rsid w:val="00B21C7C"/>
    <w:rsid w:val="00B21D33"/>
    <w:rsid w:val="00B21F10"/>
    <w:rsid w:val="00B22067"/>
    <w:rsid w:val="00B2206D"/>
    <w:rsid w:val="00B2229F"/>
    <w:rsid w:val="00B2280F"/>
    <w:rsid w:val="00B22814"/>
    <w:rsid w:val="00B22998"/>
    <w:rsid w:val="00B22A09"/>
    <w:rsid w:val="00B22AC0"/>
    <w:rsid w:val="00B22D1E"/>
    <w:rsid w:val="00B22D8D"/>
    <w:rsid w:val="00B22E36"/>
    <w:rsid w:val="00B22EB5"/>
    <w:rsid w:val="00B23072"/>
    <w:rsid w:val="00B23336"/>
    <w:rsid w:val="00B23672"/>
    <w:rsid w:val="00B23682"/>
    <w:rsid w:val="00B237AB"/>
    <w:rsid w:val="00B2385C"/>
    <w:rsid w:val="00B23925"/>
    <w:rsid w:val="00B23E2F"/>
    <w:rsid w:val="00B23FDC"/>
    <w:rsid w:val="00B241C3"/>
    <w:rsid w:val="00B24450"/>
    <w:rsid w:val="00B24453"/>
    <w:rsid w:val="00B2461C"/>
    <w:rsid w:val="00B247D5"/>
    <w:rsid w:val="00B24A43"/>
    <w:rsid w:val="00B24B4B"/>
    <w:rsid w:val="00B24B99"/>
    <w:rsid w:val="00B24EEC"/>
    <w:rsid w:val="00B24FC2"/>
    <w:rsid w:val="00B25087"/>
    <w:rsid w:val="00B25130"/>
    <w:rsid w:val="00B2515C"/>
    <w:rsid w:val="00B25528"/>
    <w:rsid w:val="00B255B7"/>
    <w:rsid w:val="00B2561F"/>
    <w:rsid w:val="00B2570C"/>
    <w:rsid w:val="00B25869"/>
    <w:rsid w:val="00B25896"/>
    <w:rsid w:val="00B258CB"/>
    <w:rsid w:val="00B25B5F"/>
    <w:rsid w:val="00B25C06"/>
    <w:rsid w:val="00B25CC4"/>
    <w:rsid w:val="00B25D64"/>
    <w:rsid w:val="00B25DA6"/>
    <w:rsid w:val="00B25EB7"/>
    <w:rsid w:val="00B26157"/>
    <w:rsid w:val="00B26429"/>
    <w:rsid w:val="00B2649F"/>
    <w:rsid w:val="00B2651E"/>
    <w:rsid w:val="00B2656D"/>
    <w:rsid w:val="00B266BC"/>
    <w:rsid w:val="00B268D7"/>
    <w:rsid w:val="00B268FE"/>
    <w:rsid w:val="00B26C21"/>
    <w:rsid w:val="00B26CA0"/>
    <w:rsid w:val="00B26D7C"/>
    <w:rsid w:val="00B26E3B"/>
    <w:rsid w:val="00B26F3F"/>
    <w:rsid w:val="00B26FC4"/>
    <w:rsid w:val="00B2701E"/>
    <w:rsid w:val="00B2715E"/>
    <w:rsid w:val="00B27385"/>
    <w:rsid w:val="00B2747C"/>
    <w:rsid w:val="00B274DE"/>
    <w:rsid w:val="00B275BA"/>
    <w:rsid w:val="00B27602"/>
    <w:rsid w:val="00B27638"/>
    <w:rsid w:val="00B27706"/>
    <w:rsid w:val="00B27840"/>
    <w:rsid w:val="00B27885"/>
    <w:rsid w:val="00B278EC"/>
    <w:rsid w:val="00B27929"/>
    <w:rsid w:val="00B27937"/>
    <w:rsid w:val="00B279F3"/>
    <w:rsid w:val="00B27B91"/>
    <w:rsid w:val="00B27C7B"/>
    <w:rsid w:val="00B27CA6"/>
    <w:rsid w:val="00B27CA7"/>
    <w:rsid w:val="00B27CAA"/>
    <w:rsid w:val="00B27CBE"/>
    <w:rsid w:val="00B27CC9"/>
    <w:rsid w:val="00B27DE7"/>
    <w:rsid w:val="00B27E75"/>
    <w:rsid w:val="00B301BC"/>
    <w:rsid w:val="00B302F8"/>
    <w:rsid w:val="00B3034D"/>
    <w:rsid w:val="00B30460"/>
    <w:rsid w:val="00B3096B"/>
    <w:rsid w:val="00B30C80"/>
    <w:rsid w:val="00B30EFC"/>
    <w:rsid w:val="00B30FA3"/>
    <w:rsid w:val="00B3101D"/>
    <w:rsid w:val="00B3106A"/>
    <w:rsid w:val="00B31174"/>
    <w:rsid w:val="00B311D3"/>
    <w:rsid w:val="00B31249"/>
    <w:rsid w:val="00B31278"/>
    <w:rsid w:val="00B312B5"/>
    <w:rsid w:val="00B314E7"/>
    <w:rsid w:val="00B314F9"/>
    <w:rsid w:val="00B3158A"/>
    <w:rsid w:val="00B3164E"/>
    <w:rsid w:val="00B31699"/>
    <w:rsid w:val="00B316F1"/>
    <w:rsid w:val="00B31787"/>
    <w:rsid w:val="00B319D9"/>
    <w:rsid w:val="00B31AA7"/>
    <w:rsid w:val="00B31AE1"/>
    <w:rsid w:val="00B31D82"/>
    <w:rsid w:val="00B32096"/>
    <w:rsid w:val="00B3209B"/>
    <w:rsid w:val="00B320DC"/>
    <w:rsid w:val="00B3233E"/>
    <w:rsid w:val="00B3240B"/>
    <w:rsid w:val="00B324A0"/>
    <w:rsid w:val="00B32587"/>
    <w:rsid w:val="00B325CC"/>
    <w:rsid w:val="00B326DF"/>
    <w:rsid w:val="00B328D2"/>
    <w:rsid w:val="00B32A37"/>
    <w:rsid w:val="00B32BDF"/>
    <w:rsid w:val="00B32C26"/>
    <w:rsid w:val="00B32EFA"/>
    <w:rsid w:val="00B32EFB"/>
    <w:rsid w:val="00B330C3"/>
    <w:rsid w:val="00B330E2"/>
    <w:rsid w:val="00B3319B"/>
    <w:rsid w:val="00B3324C"/>
    <w:rsid w:val="00B33521"/>
    <w:rsid w:val="00B3385D"/>
    <w:rsid w:val="00B339A4"/>
    <w:rsid w:val="00B339E4"/>
    <w:rsid w:val="00B33A78"/>
    <w:rsid w:val="00B33AE4"/>
    <w:rsid w:val="00B33B33"/>
    <w:rsid w:val="00B33BFF"/>
    <w:rsid w:val="00B33C35"/>
    <w:rsid w:val="00B33C80"/>
    <w:rsid w:val="00B33CF1"/>
    <w:rsid w:val="00B33D74"/>
    <w:rsid w:val="00B33EE8"/>
    <w:rsid w:val="00B33F11"/>
    <w:rsid w:val="00B34034"/>
    <w:rsid w:val="00B341A7"/>
    <w:rsid w:val="00B341F1"/>
    <w:rsid w:val="00B34258"/>
    <w:rsid w:val="00B3427D"/>
    <w:rsid w:val="00B3432F"/>
    <w:rsid w:val="00B3438F"/>
    <w:rsid w:val="00B34428"/>
    <w:rsid w:val="00B34442"/>
    <w:rsid w:val="00B34480"/>
    <w:rsid w:val="00B344E9"/>
    <w:rsid w:val="00B3456E"/>
    <w:rsid w:val="00B347A9"/>
    <w:rsid w:val="00B34817"/>
    <w:rsid w:val="00B349DD"/>
    <w:rsid w:val="00B34C0E"/>
    <w:rsid w:val="00B34E5E"/>
    <w:rsid w:val="00B34E6E"/>
    <w:rsid w:val="00B34F8C"/>
    <w:rsid w:val="00B350A6"/>
    <w:rsid w:val="00B3512A"/>
    <w:rsid w:val="00B35153"/>
    <w:rsid w:val="00B35189"/>
    <w:rsid w:val="00B351B4"/>
    <w:rsid w:val="00B352AF"/>
    <w:rsid w:val="00B35363"/>
    <w:rsid w:val="00B3556A"/>
    <w:rsid w:val="00B3569B"/>
    <w:rsid w:val="00B358A2"/>
    <w:rsid w:val="00B35A19"/>
    <w:rsid w:val="00B35A8B"/>
    <w:rsid w:val="00B35B0E"/>
    <w:rsid w:val="00B35B67"/>
    <w:rsid w:val="00B35BCF"/>
    <w:rsid w:val="00B35BD2"/>
    <w:rsid w:val="00B35CCC"/>
    <w:rsid w:val="00B35EF1"/>
    <w:rsid w:val="00B361E3"/>
    <w:rsid w:val="00B362CC"/>
    <w:rsid w:val="00B367FF"/>
    <w:rsid w:val="00B36841"/>
    <w:rsid w:val="00B36ABA"/>
    <w:rsid w:val="00B36BFC"/>
    <w:rsid w:val="00B36C0F"/>
    <w:rsid w:val="00B36CBB"/>
    <w:rsid w:val="00B37034"/>
    <w:rsid w:val="00B371C7"/>
    <w:rsid w:val="00B37285"/>
    <w:rsid w:val="00B37369"/>
    <w:rsid w:val="00B373C0"/>
    <w:rsid w:val="00B374E2"/>
    <w:rsid w:val="00B3780E"/>
    <w:rsid w:val="00B37859"/>
    <w:rsid w:val="00B378B7"/>
    <w:rsid w:val="00B37A1A"/>
    <w:rsid w:val="00B37BFF"/>
    <w:rsid w:val="00B37E68"/>
    <w:rsid w:val="00B400D7"/>
    <w:rsid w:val="00B40150"/>
    <w:rsid w:val="00B40192"/>
    <w:rsid w:val="00B40299"/>
    <w:rsid w:val="00B40350"/>
    <w:rsid w:val="00B40453"/>
    <w:rsid w:val="00B405FE"/>
    <w:rsid w:val="00B4070D"/>
    <w:rsid w:val="00B4079C"/>
    <w:rsid w:val="00B408E3"/>
    <w:rsid w:val="00B408F9"/>
    <w:rsid w:val="00B40AA3"/>
    <w:rsid w:val="00B40B0A"/>
    <w:rsid w:val="00B40EBF"/>
    <w:rsid w:val="00B41190"/>
    <w:rsid w:val="00B4119D"/>
    <w:rsid w:val="00B412AE"/>
    <w:rsid w:val="00B4138D"/>
    <w:rsid w:val="00B413D2"/>
    <w:rsid w:val="00B4176D"/>
    <w:rsid w:val="00B417FC"/>
    <w:rsid w:val="00B4180D"/>
    <w:rsid w:val="00B4186B"/>
    <w:rsid w:val="00B4189B"/>
    <w:rsid w:val="00B41931"/>
    <w:rsid w:val="00B4199F"/>
    <w:rsid w:val="00B41A8F"/>
    <w:rsid w:val="00B41B91"/>
    <w:rsid w:val="00B41CFC"/>
    <w:rsid w:val="00B41D21"/>
    <w:rsid w:val="00B41E88"/>
    <w:rsid w:val="00B41F39"/>
    <w:rsid w:val="00B41F8E"/>
    <w:rsid w:val="00B41FBE"/>
    <w:rsid w:val="00B42229"/>
    <w:rsid w:val="00B42359"/>
    <w:rsid w:val="00B4239B"/>
    <w:rsid w:val="00B423B1"/>
    <w:rsid w:val="00B42509"/>
    <w:rsid w:val="00B4267F"/>
    <w:rsid w:val="00B42680"/>
    <w:rsid w:val="00B426FB"/>
    <w:rsid w:val="00B427B4"/>
    <w:rsid w:val="00B42A42"/>
    <w:rsid w:val="00B42C88"/>
    <w:rsid w:val="00B42D55"/>
    <w:rsid w:val="00B42E45"/>
    <w:rsid w:val="00B43015"/>
    <w:rsid w:val="00B4309F"/>
    <w:rsid w:val="00B430C6"/>
    <w:rsid w:val="00B430DE"/>
    <w:rsid w:val="00B43226"/>
    <w:rsid w:val="00B43298"/>
    <w:rsid w:val="00B432BD"/>
    <w:rsid w:val="00B4364B"/>
    <w:rsid w:val="00B43812"/>
    <w:rsid w:val="00B43925"/>
    <w:rsid w:val="00B43957"/>
    <w:rsid w:val="00B43EA9"/>
    <w:rsid w:val="00B43F43"/>
    <w:rsid w:val="00B43F48"/>
    <w:rsid w:val="00B440B8"/>
    <w:rsid w:val="00B4418B"/>
    <w:rsid w:val="00B44303"/>
    <w:rsid w:val="00B4433B"/>
    <w:rsid w:val="00B44435"/>
    <w:rsid w:val="00B444EC"/>
    <w:rsid w:val="00B4463E"/>
    <w:rsid w:val="00B44866"/>
    <w:rsid w:val="00B44A14"/>
    <w:rsid w:val="00B44A1E"/>
    <w:rsid w:val="00B44B5D"/>
    <w:rsid w:val="00B44BC6"/>
    <w:rsid w:val="00B44DB3"/>
    <w:rsid w:val="00B44E9E"/>
    <w:rsid w:val="00B45014"/>
    <w:rsid w:val="00B450CF"/>
    <w:rsid w:val="00B452F6"/>
    <w:rsid w:val="00B45340"/>
    <w:rsid w:val="00B453D8"/>
    <w:rsid w:val="00B45599"/>
    <w:rsid w:val="00B4561E"/>
    <w:rsid w:val="00B4580E"/>
    <w:rsid w:val="00B4581A"/>
    <w:rsid w:val="00B45942"/>
    <w:rsid w:val="00B45BAF"/>
    <w:rsid w:val="00B45DE1"/>
    <w:rsid w:val="00B45E76"/>
    <w:rsid w:val="00B45F54"/>
    <w:rsid w:val="00B4607E"/>
    <w:rsid w:val="00B46143"/>
    <w:rsid w:val="00B46250"/>
    <w:rsid w:val="00B4647F"/>
    <w:rsid w:val="00B464C6"/>
    <w:rsid w:val="00B465A2"/>
    <w:rsid w:val="00B465AC"/>
    <w:rsid w:val="00B465D3"/>
    <w:rsid w:val="00B46637"/>
    <w:rsid w:val="00B466D4"/>
    <w:rsid w:val="00B46709"/>
    <w:rsid w:val="00B46732"/>
    <w:rsid w:val="00B46735"/>
    <w:rsid w:val="00B467D4"/>
    <w:rsid w:val="00B4686A"/>
    <w:rsid w:val="00B46943"/>
    <w:rsid w:val="00B469BF"/>
    <w:rsid w:val="00B46B99"/>
    <w:rsid w:val="00B46C14"/>
    <w:rsid w:val="00B46CEC"/>
    <w:rsid w:val="00B47077"/>
    <w:rsid w:val="00B47093"/>
    <w:rsid w:val="00B4725D"/>
    <w:rsid w:val="00B472E4"/>
    <w:rsid w:val="00B472F0"/>
    <w:rsid w:val="00B47377"/>
    <w:rsid w:val="00B47438"/>
    <w:rsid w:val="00B47510"/>
    <w:rsid w:val="00B476BC"/>
    <w:rsid w:val="00B47875"/>
    <w:rsid w:val="00B47879"/>
    <w:rsid w:val="00B4796F"/>
    <w:rsid w:val="00B479D0"/>
    <w:rsid w:val="00B47DA6"/>
    <w:rsid w:val="00B47F5D"/>
    <w:rsid w:val="00B5000A"/>
    <w:rsid w:val="00B500A8"/>
    <w:rsid w:val="00B50186"/>
    <w:rsid w:val="00B50269"/>
    <w:rsid w:val="00B503E0"/>
    <w:rsid w:val="00B50424"/>
    <w:rsid w:val="00B50454"/>
    <w:rsid w:val="00B50552"/>
    <w:rsid w:val="00B50718"/>
    <w:rsid w:val="00B50A93"/>
    <w:rsid w:val="00B50AE1"/>
    <w:rsid w:val="00B50BF5"/>
    <w:rsid w:val="00B50D97"/>
    <w:rsid w:val="00B510CF"/>
    <w:rsid w:val="00B510D9"/>
    <w:rsid w:val="00B511A5"/>
    <w:rsid w:val="00B513FC"/>
    <w:rsid w:val="00B514E0"/>
    <w:rsid w:val="00B5157F"/>
    <w:rsid w:val="00B51B3B"/>
    <w:rsid w:val="00B51CC8"/>
    <w:rsid w:val="00B51DAC"/>
    <w:rsid w:val="00B51FB3"/>
    <w:rsid w:val="00B52119"/>
    <w:rsid w:val="00B522DF"/>
    <w:rsid w:val="00B52354"/>
    <w:rsid w:val="00B5237D"/>
    <w:rsid w:val="00B52409"/>
    <w:rsid w:val="00B52892"/>
    <w:rsid w:val="00B52980"/>
    <w:rsid w:val="00B529ED"/>
    <w:rsid w:val="00B52AD8"/>
    <w:rsid w:val="00B52CDA"/>
    <w:rsid w:val="00B52FAE"/>
    <w:rsid w:val="00B53015"/>
    <w:rsid w:val="00B5314D"/>
    <w:rsid w:val="00B53164"/>
    <w:rsid w:val="00B534C4"/>
    <w:rsid w:val="00B534E5"/>
    <w:rsid w:val="00B535F6"/>
    <w:rsid w:val="00B53660"/>
    <w:rsid w:val="00B53890"/>
    <w:rsid w:val="00B53BCE"/>
    <w:rsid w:val="00B53BDF"/>
    <w:rsid w:val="00B53CF0"/>
    <w:rsid w:val="00B53E4A"/>
    <w:rsid w:val="00B54099"/>
    <w:rsid w:val="00B540D1"/>
    <w:rsid w:val="00B54213"/>
    <w:rsid w:val="00B5430D"/>
    <w:rsid w:val="00B5454F"/>
    <w:rsid w:val="00B54592"/>
    <w:rsid w:val="00B54674"/>
    <w:rsid w:val="00B54702"/>
    <w:rsid w:val="00B54764"/>
    <w:rsid w:val="00B54B00"/>
    <w:rsid w:val="00B54E18"/>
    <w:rsid w:val="00B54EB3"/>
    <w:rsid w:val="00B54F1B"/>
    <w:rsid w:val="00B54F40"/>
    <w:rsid w:val="00B552BB"/>
    <w:rsid w:val="00B55411"/>
    <w:rsid w:val="00B55604"/>
    <w:rsid w:val="00B55642"/>
    <w:rsid w:val="00B55704"/>
    <w:rsid w:val="00B55756"/>
    <w:rsid w:val="00B559CF"/>
    <w:rsid w:val="00B55A3E"/>
    <w:rsid w:val="00B55C95"/>
    <w:rsid w:val="00B55D01"/>
    <w:rsid w:val="00B55ED7"/>
    <w:rsid w:val="00B55F6A"/>
    <w:rsid w:val="00B560E4"/>
    <w:rsid w:val="00B5628B"/>
    <w:rsid w:val="00B5628F"/>
    <w:rsid w:val="00B56298"/>
    <w:rsid w:val="00B5630D"/>
    <w:rsid w:val="00B563AA"/>
    <w:rsid w:val="00B5652F"/>
    <w:rsid w:val="00B56683"/>
    <w:rsid w:val="00B56886"/>
    <w:rsid w:val="00B56BF4"/>
    <w:rsid w:val="00B56C98"/>
    <w:rsid w:val="00B56E9F"/>
    <w:rsid w:val="00B56EFE"/>
    <w:rsid w:val="00B57098"/>
    <w:rsid w:val="00B57269"/>
    <w:rsid w:val="00B5730E"/>
    <w:rsid w:val="00B5748F"/>
    <w:rsid w:val="00B574D8"/>
    <w:rsid w:val="00B57543"/>
    <w:rsid w:val="00B576DF"/>
    <w:rsid w:val="00B57868"/>
    <w:rsid w:val="00B57A2A"/>
    <w:rsid w:val="00B57B77"/>
    <w:rsid w:val="00B57C16"/>
    <w:rsid w:val="00B57CAF"/>
    <w:rsid w:val="00B57D41"/>
    <w:rsid w:val="00B57E53"/>
    <w:rsid w:val="00B57F42"/>
    <w:rsid w:val="00B57F5C"/>
    <w:rsid w:val="00B6003D"/>
    <w:rsid w:val="00B601D4"/>
    <w:rsid w:val="00B601D5"/>
    <w:rsid w:val="00B6023D"/>
    <w:rsid w:val="00B6034F"/>
    <w:rsid w:val="00B603F1"/>
    <w:rsid w:val="00B60448"/>
    <w:rsid w:val="00B60498"/>
    <w:rsid w:val="00B60559"/>
    <w:rsid w:val="00B606D8"/>
    <w:rsid w:val="00B60728"/>
    <w:rsid w:val="00B6081A"/>
    <w:rsid w:val="00B609C4"/>
    <w:rsid w:val="00B60EC2"/>
    <w:rsid w:val="00B60FC3"/>
    <w:rsid w:val="00B611F2"/>
    <w:rsid w:val="00B6139C"/>
    <w:rsid w:val="00B6140E"/>
    <w:rsid w:val="00B6164A"/>
    <w:rsid w:val="00B61651"/>
    <w:rsid w:val="00B61AD6"/>
    <w:rsid w:val="00B61E8B"/>
    <w:rsid w:val="00B61ECE"/>
    <w:rsid w:val="00B61F3C"/>
    <w:rsid w:val="00B62092"/>
    <w:rsid w:val="00B6216F"/>
    <w:rsid w:val="00B62184"/>
    <w:rsid w:val="00B622A4"/>
    <w:rsid w:val="00B622DA"/>
    <w:rsid w:val="00B62483"/>
    <w:rsid w:val="00B624CE"/>
    <w:rsid w:val="00B62811"/>
    <w:rsid w:val="00B628EF"/>
    <w:rsid w:val="00B62929"/>
    <w:rsid w:val="00B62935"/>
    <w:rsid w:val="00B629B7"/>
    <w:rsid w:val="00B62BD2"/>
    <w:rsid w:val="00B62E91"/>
    <w:rsid w:val="00B634FF"/>
    <w:rsid w:val="00B63524"/>
    <w:rsid w:val="00B63548"/>
    <w:rsid w:val="00B635A6"/>
    <w:rsid w:val="00B635D9"/>
    <w:rsid w:val="00B638BC"/>
    <w:rsid w:val="00B63940"/>
    <w:rsid w:val="00B63996"/>
    <w:rsid w:val="00B63A73"/>
    <w:rsid w:val="00B63B00"/>
    <w:rsid w:val="00B63C73"/>
    <w:rsid w:val="00B63CC3"/>
    <w:rsid w:val="00B63E0F"/>
    <w:rsid w:val="00B63EFD"/>
    <w:rsid w:val="00B640EE"/>
    <w:rsid w:val="00B641D8"/>
    <w:rsid w:val="00B64221"/>
    <w:rsid w:val="00B64251"/>
    <w:rsid w:val="00B64405"/>
    <w:rsid w:val="00B6455B"/>
    <w:rsid w:val="00B645E3"/>
    <w:rsid w:val="00B6482D"/>
    <w:rsid w:val="00B648A8"/>
    <w:rsid w:val="00B649BE"/>
    <w:rsid w:val="00B64B44"/>
    <w:rsid w:val="00B64B9A"/>
    <w:rsid w:val="00B64CE2"/>
    <w:rsid w:val="00B64D87"/>
    <w:rsid w:val="00B64E62"/>
    <w:rsid w:val="00B6500D"/>
    <w:rsid w:val="00B65286"/>
    <w:rsid w:val="00B6530A"/>
    <w:rsid w:val="00B65353"/>
    <w:rsid w:val="00B654B9"/>
    <w:rsid w:val="00B654C6"/>
    <w:rsid w:val="00B65633"/>
    <w:rsid w:val="00B657BD"/>
    <w:rsid w:val="00B65958"/>
    <w:rsid w:val="00B65B1D"/>
    <w:rsid w:val="00B65EAE"/>
    <w:rsid w:val="00B65F31"/>
    <w:rsid w:val="00B6619F"/>
    <w:rsid w:val="00B66296"/>
    <w:rsid w:val="00B662E3"/>
    <w:rsid w:val="00B662EF"/>
    <w:rsid w:val="00B663CA"/>
    <w:rsid w:val="00B6693E"/>
    <w:rsid w:val="00B66A62"/>
    <w:rsid w:val="00B66BAC"/>
    <w:rsid w:val="00B66C4B"/>
    <w:rsid w:val="00B66E91"/>
    <w:rsid w:val="00B66EA8"/>
    <w:rsid w:val="00B67130"/>
    <w:rsid w:val="00B671B6"/>
    <w:rsid w:val="00B671D7"/>
    <w:rsid w:val="00B67317"/>
    <w:rsid w:val="00B67342"/>
    <w:rsid w:val="00B67373"/>
    <w:rsid w:val="00B67433"/>
    <w:rsid w:val="00B67462"/>
    <w:rsid w:val="00B674EA"/>
    <w:rsid w:val="00B674ED"/>
    <w:rsid w:val="00B676C7"/>
    <w:rsid w:val="00B676FD"/>
    <w:rsid w:val="00B67AE3"/>
    <w:rsid w:val="00B67BFD"/>
    <w:rsid w:val="00B67D7A"/>
    <w:rsid w:val="00B67E79"/>
    <w:rsid w:val="00B67EA2"/>
    <w:rsid w:val="00B67F2F"/>
    <w:rsid w:val="00B67FC0"/>
    <w:rsid w:val="00B70027"/>
    <w:rsid w:val="00B70080"/>
    <w:rsid w:val="00B70162"/>
    <w:rsid w:val="00B701DB"/>
    <w:rsid w:val="00B703A2"/>
    <w:rsid w:val="00B704EF"/>
    <w:rsid w:val="00B7067C"/>
    <w:rsid w:val="00B7086F"/>
    <w:rsid w:val="00B70920"/>
    <w:rsid w:val="00B70966"/>
    <w:rsid w:val="00B70B84"/>
    <w:rsid w:val="00B70B92"/>
    <w:rsid w:val="00B70C1D"/>
    <w:rsid w:val="00B70C8A"/>
    <w:rsid w:val="00B70CA7"/>
    <w:rsid w:val="00B70F9B"/>
    <w:rsid w:val="00B71189"/>
    <w:rsid w:val="00B711EF"/>
    <w:rsid w:val="00B71236"/>
    <w:rsid w:val="00B71A1D"/>
    <w:rsid w:val="00B71D08"/>
    <w:rsid w:val="00B71D1E"/>
    <w:rsid w:val="00B71D30"/>
    <w:rsid w:val="00B71E79"/>
    <w:rsid w:val="00B71FD0"/>
    <w:rsid w:val="00B72173"/>
    <w:rsid w:val="00B7217D"/>
    <w:rsid w:val="00B7238D"/>
    <w:rsid w:val="00B7244E"/>
    <w:rsid w:val="00B724B0"/>
    <w:rsid w:val="00B724EA"/>
    <w:rsid w:val="00B726E9"/>
    <w:rsid w:val="00B728C1"/>
    <w:rsid w:val="00B72AAB"/>
    <w:rsid w:val="00B72ACB"/>
    <w:rsid w:val="00B72D92"/>
    <w:rsid w:val="00B72DE7"/>
    <w:rsid w:val="00B72E17"/>
    <w:rsid w:val="00B72EF9"/>
    <w:rsid w:val="00B72F73"/>
    <w:rsid w:val="00B730ED"/>
    <w:rsid w:val="00B731B6"/>
    <w:rsid w:val="00B731D9"/>
    <w:rsid w:val="00B7339E"/>
    <w:rsid w:val="00B733DA"/>
    <w:rsid w:val="00B73472"/>
    <w:rsid w:val="00B734C3"/>
    <w:rsid w:val="00B7357D"/>
    <w:rsid w:val="00B736A7"/>
    <w:rsid w:val="00B736CB"/>
    <w:rsid w:val="00B737E7"/>
    <w:rsid w:val="00B739D1"/>
    <w:rsid w:val="00B739DA"/>
    <w:rsid w:val="00B73C87"/>
    <w:rsid w:val="00B73CD7"/>
    <w:rsid w:val="00B73CDE"/>
    <w:rsid w:val="00B73DEB"/>
    <w:rsid w:val="00B73EC0"/>
    <w:rsid w:val="00B73FB7"/>
    <w:rsid w:val="00B741F0"/>
    <w:rsid w:val="00B742D9"/>
    <w:rsid w:val="00B742E4"/>
    <w:rsid w:val="00B74332"/>
    <w:rsid w:val="00B743AF"/>
    <w:rsid w:val="00B743CB"/>
    <w:rsid w:val="00B745C8"/>
    <w:rsid w:val="00B74629"/>
    <w:rsid w:val="00B7466C"/>
    <w:rsid w:val="00B7488A"/>
    <w:rsid w:val="00B74909"/>
    <w:rsid w:val="00B74AAA"/>
    <w:rsid w:val="00B74AB7"/>
    <w:rsid w:val="00B74ABC"/>
    <w:rsid w:val="00B74AC5"/>
    <w:rsid w:val="00B74B61"/>
    <w:rsid w:val="00B74B85"/>
    <w:rsid w:val="00B74CAD"/>
    <w:rsid w:val="00B74CBB"/>
    <w:rsid w:val="00B74D92"/>
    <w:rsid w:val="00B7508F"/>
    <w:rsid w:val="00B75135"/>
    <w:rsid w:val="00B753B3"/>
    <w:rsid w:val="00B753CA"/>
    <w:rsid w:val="00B755BC"/>
    <w:rsid w:val="00B756BB"/>
    <w:rsid w:val="00B75731"/>
    <w:rsid w:val="00B75879"/>
    <w:rsid w:val="00B758A8"/>
    <w:rsid w:val="00B75B84"/>
    <w:rsid w:val="00B75BD5"/>
    <w:rsid w:val="00B75C46"/>
    <w:rsid w:val="00B75C85"/>
    <w:rsid w:val="00B75E35"/>
    <w:rsid w:val="00B75F5E"/>
    <w:rsid w:val="00B76020"/>
    <w:rsid w:val="00B76033"/>
    <w:rsid w:val="00B765D0"/>
    <w:rsid w:val="00B7692D"/>
    <w:rsid w:val="00B76CB8"/>
    <w:rsid w:val="00B76E1B"/>
    <w:rsid w:val="00B76E5B"/>
    <w:rsid w:val="00B76E8F"/>
    <w:rsid w:val="00B76EDA"/>
    <w:rsid w:val="00B76F8D"/>
    <w:rsid w:val="00B7744C"/>
    <w:rsid w:val="00B77657"/>
    <w:rsid w:val="00B77665"/>
    <w:rsid w:val="00B77700"/>
    <w:rsid w:val="00B7774D"/>
    <w:rsid w:val="00B778B7"/>
    <w:rsid w:val="00B7795E"/>
    <w:rsid w:val="00B77AE5"/>
    <w:rsid w:val="00B77B5A"/>
    <w:rsid w:val="00B77D9A"/>
    <w:rsid w:val="00B77DFF"/>
    <w:rsid w:val="00B77F26"/>
    <w:rsid w:val="00B77F9D"/>
    <w:rsid w:val="00B77FB4"/>
    <w:rsid w:val="00B801A4"/>
    <w:rsid w:val="00B8021C"/>
    <w:rsid w:val="00B802EC"/>
    <w:rsid w:val="00B80332"/>
    <w:rsid w:val="00B803A8"/>
    <w:rsid w:val="00B8062B"/>
    <w:rsid w:val="00B80740"/>
    <w:rsid w:val="00B8089D"/>
    <w:rsid w:val="00B809E3"/>
    <w:rsid w:val="00B80B37"/>
    <w:rsid w:val="00B80D39"/>
    <w:rsid w:val="00B80DA6"/>
    <w:rsid w:val="00B80DF6"/>
    <w:rsid w:val="00B80E1D"/>
    <w:rsid w:val="00B80ECD"/>
    <w:rsid w:val="00B81018"/>
    <w:rsid w:val="00B811AC"/>
    <w:rsid w:val="00B812AA"/>
    <w:rsid w:val="00B81313"/>
    <w:rsid w:val="00B81328"/>
    <w:rsid w:val="00B813AD"/>
    <w:rsid w:val="00B8151F"/>
    <w:rsid w:val="00B8164E"/>
    <w:rsid w:val="00B81722"/>
    <w:rsid w:val="00B81A51"/>
    <w:rsid w:val="00B81B4D"/>
    <w:rsid w:val="00B81BCA"/>
    <w:rsid w:val="00B81C0C"/>
    <w:rsid w:val="00B81C33"/>
    <w:rsid w:val="00B81EA4"/>
    <w:rsid w:val="00B81FB7"/>
    <w:rsid w:val="00B822E3"/>
    <w:rsid w:val="00B8240F"/>
    <w:rsid w:val="00B824D5"/>
    <w:rsid w:val="00B826D4"/>
    <w:rsid w:val="00B826D9"/>
    <w:rsid w:val="00B8277D"/>
    <w:rsid w:val="00B8286B"/>
    <w:rsid w:val="00B82964"/>
    <w:rsid w:val="00B82C97"/>
    <w:rsid w:val="00B82D28"/>
    <w:rsid w:val="00B82E38"/>
    <w:rsid w:val="00B82E4A"/>
    <w:rsid w:val="00B82EE0"/>
    <w:rsid w:val="00B82F34"/>
    <w:rsid w:val="00B82FE3"/>
    <w:rsid w:val="00B83019"/>
    <w:rsid w:val="00B830F2"/>
    <w:rsid w:val="00B832BA"/>
    <w:rsid w:val="00B83423"/>
    <w:rsid w:val="00B834E3"/>
    <w:rsid w:val="00B836B6"/>
    <w:rsid w:val="00B83763"/>
    <w:rsid w:val="00B837B1"/>
    <w:rsid w:val="00B8387B"/>
    <w:rsid w:val="00B83910"/>
    <w:rsid w:val="00B83B56"/>
    <w:rsid w:val="00B83B92"/>
    <w:rsid w:val="00B83C1B"/>
    <w:rsid w:val="00B83E3B"/>
    <w:rsid w:val="00B8401A"/>
    <w:rsid w:val="00B840F2"/>
    <w:rsid w:val="00B842C7"/>
    <w:rsid w:val="00B84408"/>
    <w:rsid w:val="00B84468"/>
    <w:rsid w:val="00B844D2"/>
    <w:rsid w:val="00B8459D"/>
    <w:rsid w:val="00B84692"/>
    <w:rsid w:val="00B84705"/>
    <w:rsid w:val="00B84708"/>
    <w:rsid w:val="00B8475A"/>
    <w:rsid w:val="00B847B5"/>
    <w:rsid w:val="00B8497C"/>
    <w:rsid w:val="00B84998"/>
    <w:rsid w:val="00B84C2D"/>
    <w:rsid w:val="00B84C86"/>
    <w:rsid w:val="00B84C8D"/>
    <w:rsid w:val="00B84F85"/>
    <w:rsid w:val="00B84F8C"/>
    <w:rsid w:val="00B850E9"/>
    <w:rsid w:val="00B85123"/>
    <w:rsid w:val="00B85135"/>
    <w:rsid w:val="00B851ED"/>
    <w:rsid w:val="00B852C1"/>
    <w:rsid w:val="00B855CB"/>
    <w:rsid w:val="00B856D6"/>
    <w:rsid w:val="00B8576F"/>
    <w:rsid w:val="00B857B5"/>
    <w:rsid w:val="00B858CD"/>
    <w:rsid w:val="00B8598E"/>
    <w:rsid w:val="00B85A1C"/>
    <w:rsid w:val="00B85AA8"/>
    <w:rsid w:val="00B85ACD"/>
    <w:rsid w:val="00B85CB0"/>
    <w:rsid w:val="00B85DF2"/>
    <w:rsid w:val="00B86191"/>
    <w:rsid w:val="00B86237"/>
    <w:rsid w:val="00B86469"/>
    <w:rsid w:val="00B8647C"/>
    <w:rsid w:val="00B8653D"/>
    <w:rsid w:val="00B865BB"/>
    <w:rsid w:val="00B8669B"/>
    <w:rsid w:val="00B867DE"/>
    <w:rsid w:val="00B869EF"/>
    <w:rsid w:val="00B86B85"/>
    <w:rsid w:val="00B86DC2"/>
    <w:rsid w:val="00B87098"/>
    <w:rsid w:val="00B870F7"/>
    <w:rsid w:val="00B872FA"/>
    <w:rsid w:val="00B8747A"/>
    <w:rsid w:val="00B87486"/>
    <w:rsid w:val="00B877BA"/>
    <w:rsid w:val="00B87A7E"/>
    <w:rsid w:val="00B87CFC"/>
    <w:rsid w:val="00B87E12"/>
    <w:rsid w:val="00B90062"/>
    <w:rsid w:val="00B90346"/>
    <w:rsid w:val="00B9046B"/>
    <w:rsid w:val="00B9052F"/>
    <w:rsid w:val="00B906C1"/>
    <w:rsid w:val="00B907DF"/>
    <w:rsid w:val="00B90806"/>
    <w:rsid w:val="00B9089F"/>
    <w:rsid w:val="00B90A34"/>
    <w:rsid w:val="00B90A8E"/>
    <w:rsid w:val="00B90C12"/>
    <w:rsid w:val="00B90C63"/>
    <w:rsid w:val="00B90D07"/>
    <w:rsid w:val="00B90FFB"/>
    <w:rsid w:val="00B9116A"/>
    <w:rsid w:val="00B911B7"/>
    <w:rsid w:val="00B911D6"/>
    <w:rsid w:val="00B911DD"/>
    <w:rsid w:val="00B9123A"/>
    <w:rsid w:val="00B91284"/>
    <w:rsid w:val="00B91304"/>
    <w:rsid w:val="00B91352"/>
    <w:rsid w:val="00B9136A"/>
    <w:rsid w:val="00B913B6"/>
    <w:rsid w:val="00B917B7"/>
    <w:rsid w:val="00B917CF"/>
    <w:rsid w:val="00B918B9"/>
    <w:rsid w:val="00B91948"/>
    <w:rsid w:val="00B9196C"/>
    <w:rsid w:val="00B91A0E"/>
    <w:rsid w:val="00B91A33"/>
    <w:rsid w:val="00B91AF1"/>
    <w:rsid w:val="00B91C1F"/>
    <w:rsid w:val="00B91C29"/>
    <w:rsid w:val="00B91C46"/>
    <w:rsid w:val="00B91CAD"/>
    <w:rsid w:val="00B91DDB"/>
    <w:rsid w:val="00B91EDB"/>
    <w:rsid w:val="00B91EF9"/>
    <w:rsid w:val="00B92015"/>
    <w:rsid w:val="00B92025"/>
    <w:rsid w:val="00B92061"/>
    <w:rsid w:val="00B92180"/>
    <w:rsid w:val="00B92272"/>
    <w:rsid w:val="00B9228E"/>
    <w:rsid w:val="00B92551"/>
    <w:rsid w:val="00B927BD"/>
    <w:rsid w:val="00B92A18"/>
    <w:rsid w:val="00B92B40"/>
    <w:rsid w:val="00B92D75"/>
    <w:rsid w:val="00B92E99"/>
    <w:rsid w:val="00B92F42"/>
    <w:rsid w:val="00B92F43"/>
    <w:rsid w:val="00B92FA4"/>
    <w:rsid w:val="00B93253"/>
    <w:rsid w:val="00B93321"/>
    <w:rsid w:val="00B9342D"/>
    <w:rsid w:val="00B9353D"/>
    <w:rsid w:val="00B9357A"/>
    <w:rsid w:val="00B93732"/>
    <w:rsid w:val="00B938D6"/>
    <w:rsid w:val="00B93A95"/>
    <w:rsid w:val="00B93C83"/>
    <w:rsid w:val="00B93E73"/>
    <w:rsid w:val="00B94080"/>
    <w:rsid w:val="00B94221"/>
    <w:rsid w:val="00B9459E"/>
    <w:rsid w:val="00B946CC"/>
    <w:rsid w:val="00B948D9"/>
    <w:rsid w:val="00B948DA"/>
    <w:rsid w:val="00B948ED"/>
    <w:rsid w:val="00B949C7"/>
    <w:rsid w:val="00B94B7C"/>
    <w:rsid w:val="00B94C86"/>
    <w:rsid w:val="00B94D25"/>
    <w:rsid w:val="00B94E67"/>
    <w:rsid w:val="00B94E7D"/>
    <w:rsid w:val="00B94F15"/>
    <w:rsid w:val="00B94F6B"/>
    <w:rsid w:val="00B94F9C"/>
    <w:rsid w:val="00B95013"/>
    <w:rsid w:val="00B9509F"/>
    <w:rsid w:val="00B950A4"/>
    <w:rsid w:val="00B95101"/>
    <w:rsid w:val="00B953BB"/>
    <w:rsid w:val="00B953BC"/>
    <w:rsid w:val="00B95443"/>
    <w:rsid w:val="00B954F8"/>
    <w:rsid w:val="00B9572E"/>
    <w:rsid w:val="00B9595C"/>
    <w:rsid w:val="00B95AB1"/>
    <w:rsid w:val="00B95ADA"/>
    <w:rsid w:val="00B95AEF"/>
    <w:rsid w:val="00B95BE2"/>
    <w:rsid w:val="00B95D5F"/>
    <w:rsid w:val="00B9605C"/>
    <w:rsid w:val="00B96123"/>
    <w:rsid w:val="00B96216"/>
    <w:rsid w:val="00B962BC"/>
    <w:rsid w:val="00B96332"/>
    <w:rsid w:val="00B9641F"/>
    <w:rsid w:val="00B966A7"/>
    <w:rsid w:val="00B966AC"/>
    <w:rsid w:val="00B96AF6"/>
    <w:rsid w:val="00B96C50"/>
    <w:rsid w:val="00B96CF2"/>
    <w:rsid w:val="00B96DB9"/>
    <w:rsid w:val="00B96E80"/>
    <w:rsid w:val="00B96EA5"/>
    <w:rsid w:val="00B971D7"/>
    <w:rsid w:val="00B9734A"/>
    <w:rsid w:val="00B97391"/>
    <w:rsid w:val="00B973D8"/>
    <w:rsid w:val="00B975A4"/>
    <w:rsid w:val="00B975EF"/>
    <w:rsid w:val="00B97628"/>
    <w:rsid w:val="00B97634"/>
    <w:rsid w:val="00B97653"/>
    <w:rsid w:val="00B97784"/>
    <w:rsid w:val="00B97D8A"/>
    <w:rsid w:val="00B97E29"/>
    <w:rsid w:val="00B97F09"/>
    <w:rsid w:val="00BA018F"/>
    <w:rsid w:val="00BA0667"/>
    <w:rsid w:val="00BA06E4"/>
    <w:rsid w:val="00BA08DE"/>
    <w:rsid w:val="00BA091A"/>
    <w:rsid w:val="00BA098E"/>
    <w:rsid w:val="00BA09DB"/>
    <w:rsid w:val="00BA0A96"/>
    <w:rsid w:val="00BA0D6C"/>
    <w:rsid w:val="00BA0DD8"/>
    <w:rsid w:val="00BA0FC0"/>
    <w:rsid w:val="00BA0FDC"/>
    <w:rsid w:val="00BA0FFB"/>
    <w:rsid w:val="00BA1061"/>
    <w:rsid w:val="00BA12B7"/>
    <w:rsid w:val="00BA12C9"/>
    <w:rsid w:val="00BA1339"/>
    <w:rsid w:val="00BA13EB"/>
    <w:rsid w:val="00BA16E8"/>
    <w:rsid w:val="00BA1761"/>
    <w:rsid w:val="00BA17DD"/>
    <w:rsid w:val="00BA19E4"/>
    <w:rsid w:val="00BA1AED"/>
    <w:rsid w:val="00BA1CF9"/>
    <w:rsid w:val="00BA1FB7"/>
    <w:rsid w:val="00BA21EE"/>
    <w:rsid w:val="00BA2298"/>
    <w:rsid w:val="00BA23DF"/>
    <w:rsid w:val="00BA245E"/>
    <w:rsid w:val="00BA258E"/>
    <w:rsid w:val="00BA281E"/>
    <w:rsid w:val="00BA2832"/>
    <w:rsid w:val="00BA2899"/>
    <w:rsid w:val="00BA28CB"/>
    <w:rsid w:val="00BA2954"/>
    <w:rsid w:val="00BA29C1"/>
    <w:rsid w:val="00BA2A03"/>
    <w:rsid w:val="00BA2A5C"/>
    <w:rsid w:val="00BA2BC6"/>
    <w:rsid w:val="00BA2C67"/>
    <w:rsid w:val="00BA2F86"/>
    <w:rsid w:val="00BA304B"/>
    <w:rsid w:val="00BA314F"/>
    <w:rsid w:val="00BA31B3"/>
    <w:rsid w:val="00BA31E9"/>
    <w:rsid w:val="00BA32B5"/>
    <w:rsid w:val="00BA334E"/>
    <w:rsid w:val="00BA3458"/>
    <w:rsid w:val="00BA3755"/>
    <w:rsid w:val="00BA37C9"/>
    <w:rsid w:val="00BA3858"/>
    <w:rsid w:val="00BA3A7D"/>
    <w:rsid w:val="00BA3C85"/>
    <w:rsid w:val="00BA3FEA"/>
    <w:rsid w:val="00BA42AA"/>
    <w:rsid w:val="00BA42DC"/>
    <w:rsid w:val="00BA4346"/>
    <w:rsid w:val="00BA438C"/>
    <w:rsid w:val="00BA438D"/>
    <w:rsid w:val="00BA4473"/>
    <w:rsid w:val="00BA46DC"/>
    <w:rsid w:val="00BA4987"/>
    <w:rsid w:val="00BA4AC8"/>
    <w:rsid w:val="00BA4B85"/>
    <w:rsid w:val="00BA501B"/>
    <w:rsid w:val="00BA5083"/>
    <w:rsid w:val="00BA5181"/>
    <w:rsid w:val="00BA52AE"/>
    <w:rsid w:val="00BA52E0"/>
    <w:rsid w:val="00BA53A3"/>
    <w:rsid w:val="00BA53B7"/>
    <w:rsid w:val="00BA5548"/>
    <w:rsid w:val="00BA590C"/>
    <w:rsid w:val="00BA5A54"/>
    <w:rsid w:val="00BA5B91"/>
    <w:rsid w:val="00BA5D48"/>
    <w:rsid w:val="00BA5EFB"/>
    <w:rsid w:val="00BA5F8E"/>
    <w:rsid w:val="00BA6143"/>
    <w:rsid w:val="00BA6152"/>
    <w:rsid w:val="00BA626B"/>
    <w:rsid w:val="00BA6306"/>
    <w:rsid w:val="00BA6315"/>
    <w:rsid w:val="00BA63A6"/>
    <w:rsid w:val="00BA63CC"/>
    <w:rsid w:val="00BA67D5"/>
    <w:rsid w:val="00BA68FA"/>
    <w:rsid w:val="00BA6C23"/>
    <w:rsid w:val="00BA6DE7"/>
    <w:rsid w:val="00BA700C"/>
    <w:rsid w:val="00BA7210"/>
    <w:rsid w:val="00BA7519"/>
    <w:rsid w:val="00BA75CA"/>
    <w:rsid w:val="00BA7693"/>
    <w:rsid w:val="00BA77D6"/>
    <w:rsid w:val="00BA77F2"/>
    <w:rsid w:val="00BA7A83"/>
    <w:rsid w:val="00BA7AA1"/>
    <w:rsid w:val="00BA7AC0"/>
    <w:rsid w:val="00BA7B0F"/>
    <w:rsid w:val="00BA7D8A"/>
    <w:rsid w:val="00BA7F08"/>
    <w:rsid w:val="00BA7F4E"/>
    <w:rsid w:val="00BA7FBF"/>
    <w:rsid w:val="00BB0021"/>
    <w:rsid w:val="00BB0130"/>
    <w:rsid w:val="00BB03F0"/>
    <w:rsid w:val="00BB049B"/>
    <w:rsid w:val="00BB05BF"/>
    <w:rsid w:val="00BB05F3"/>
    <w:rsid w:val="00BB06B8"/>
    <w:rsid w:val="00BB0A26"/>
    <w:rsid w:val="00BB0AED"/>
    <w:rsid w:val="00BB0B79"/>
    <w:rsid w:val="00BB0D97"/>
    <w:rsid w:val="00BB1209"/>
    <w:rsid w:val="00BB1273"/>
    <w:rsid w:val="00BB13D4"/>
    <w:rsid w:val="00BB14C6"/>
    <w:rsid w:val="00BB157F"/>
    <w:rsid w:val="00BB159D"/>
    <w:rsid w:val="00BB198E"/>
    <w:rsid w:val="00BB19D5"/>
    <w:rsid w:val="00BB1C3B"/>
    <w:rsid w:val="00BB1C80"/>
    <w:rsid w:val="00BB1CE7"/>
    <w:rsid w:val="00BB1DA0"/>
    <w:rsid w:val="00BB1DEC"/>
    <w:rsid w:val="00BB1F04"/>
    <w:rsid w:val="00BB1F84"/>
    <w:rsid w:val="00BB20C0"/>
    <w:rsid w:val="00BB22E6"/>
    <w:rsid w:val="00BB2507"/>
    <w:rsid w:val="00BB259C"/>
    <w:rsid w:val="00BB2602"/>
    <w:rsid w:val="00BB28B8"/>
    <w:rsid w:val="00BB2CBC"/>
    <w:rsid w:val="00BB2D74"/>
    <w:rsid w:val="00BB2F17"/>
    <w:rsid w:val="00BB2FCE"/>
    <w:rsid w:val="00BB2FE7"/>
    <w:rsid w:val="00BB2FE9"/>
    <w:rsid w:val="00BB30B2"/>
    <w:rsid w:val="00BB3355"/>
    <w:rsid w:val="00BB3757"/>
    <w:rsid w:val="00BB39E5"/>
    <w:rsid w:val="00BB3A93"/>
    <w:rsid w:val="00BB3ACB"/>
    <w:rsid w:val="00BB3AEE"/>
    <w:rsid w:val="00BB3D2C"/>
    <w:rsid w:val="00BB3EB5"/>
    <w:rsid w:val="00BB3FE5"/>
    <w:rsid w:val="00BB3FE6"/>
    <w:rsid w:val="00BB4085"/>
    <w:rsid w:val="00BB421D"/>
    <w:rsid w:val="00BB43A6"/>
    <w:rsid w:val="00BB44CC"/>
    <w:rsid w:val="00BB4720"/>
    <w:rsid w:val="00BB4791"/>
    <w:rsid w:val="00BB4865"/>
    <w:rsid w:val="00BB4959"/>
    <w:rsid w:val="00BB53CA"/>
    <w:rsid w:val="00BB55A8"/>
    <w:rsid w:val="00BB56DD"/>
    <w:rsid w:val="00BB5734"/>
    <w:rsid w:val="00BB57B7"/>
    <w:rsid w:val="00BB580A"/>
    <w:rsid w:val="00BB580E"/>
    <w:rsid w:val="00BB5923"/>
    <w:rsid w:val="00BB5CA8"/>
    <w:rsid w:val="00BB5E29"/>
    <w:rsid w:val="00BB5ED8"/>
    <w:rsid w:val="00BB5EE7"/>
    <w:rsid w:val="00BB5EF0"/>
    <w:rsid w:val="00BB62C0"/>
    <w:rsid w:val="00BB62E4"/>
    <w:rsid w:val="00BB6B00"/>
    <w:rsid w:val="00BB6B1B"/>
    <w:rsid w:val="00BB6B46"/>
    <w:rsid w:val="00BB6C51"/>
    <w:rsid w:val="00BB6C86"/>
    <w:rsid w:val="00BB6CCD"/>
    <w:rsid w:val="00BB6D27"/>
    <w:rsid w:val="00BB6DC8"/>
    <w:rsid w:val="00BB6E22"/>
    <w:rsid w:val="00BB6EC0"/>
    <w:rsid w:val="00BB6FBD"/>
    <w:rsid w:val="00BB7098"/>
    <w:rsid w:val="00BB7638"/>
    <w:rsid w:val="00BB79F2"/>
    <w:rsid w:val="00BB7A62"/>
    <w:rsid w:val="00BB7AC5"/>
    <w:rsid w:val="00BB7B13"/>
    <w:rsid w:val="00BB7D5F"/>
    <w:rsid w:val="00BB7DA6"/>
    <w:rsid w:val="00BB7EF1"/>
    <w:rsid w:val="00BB7FFD"/>
    <w:rsid w:val="00BC015D"/>
    <w:rsid w:val="00BC01DD"/>
    <w:rsid w:val="00BC029C"/>
    <w:rsid w:val="00BC0516"/>
    <w:rsid w:val="00BC0646"/>
    <w:rsid w:val="00BC0657"/>
    <w:rsid w:val="00BC0915"/>
    <w:rsid w:val="00BC093B"/>
    <w:rsid w:val="00BC094F"/>
    <w:rsid w:val="00BC0D9D"/>
    <w:rsid w:val="00BC1080"/>
    <w:rsid w:val="00BC10DE"/>
    <w:rsid w:val="00BC1101"/>
    <w:rsid w:val="00BC1171"/>
    <w:rsid w:val="00BC1261"/>
    <w:rsid w:val="00BC12E9"/>
    <w:rsid w:val="00BC1463"/>
    <w:rsid w:val="00BC1511"/>
    <w:rsid w:val="00BC16B0"/>
    <w:rsid w:val="00BC17AB"/>
    <w:rsid w:val="00BC18D5"/>
    <w:rsid w:val="00BC1926"/>
    <w:rsid w:val="00BC1AA6"/>
    <w:rsid w:val="00BC1C0E"/>
    <w:rsid w:val="00BC1C9C"/>
    <w:rsid w:val="00BC1DC3"/>
    <w:rsid w:val="00BC1FBA"/>
    <w:rsid w:val="00BC21DC"/>
    <w:rsid w:val="00BC22C5"/>
    <w:rsid w:val="00BC24FE"/>
    <w:rsid w:val="00BC2560"/>
    <w:rsid w:val="00BC2623"/>
    <w:rsid w:val="00BC263E"/>
    <w:rsid w:val="00BC26D2"/>
    <w:rsid w:val="00BC26D5"/>
    <w:rsid w:val="00BC28A2"/>
    <w:rsid w:val="00BC296E"/>
    <w:rsid w:val="00BC29D3"/>
    <w:rsid w:val="00BC2AB2"/>
    <w:rsid w:val="00BC2B78"/>
    <w:rsid w:val="00BC2D66"/>
    <w:rsid w:val="00BC2E18"/>
    <w:rsid w:val="00BC2F82"/>
    <w:rsid w:val="00BC318B"/>
    <w:rsid w:val="00BC3395"/>
    <w:rsid w:val="00BC339A"/>
    <w:rsid w:val="00BC3421"/>
    <w:rsid w:val="00BC34DA"/>
    <w:rsid w:val="00BC3633"/>
    <w:rsid w:val="00BC364C"/>
    <w:rsid w:val="00BC38A2"/>
    <w:rsid w:val="00BC38BE"/>
    <w:rsid w:val="00BC3B1A"/>
    <w:rsid w:val="00BC3D57"/>
    <w:rsid w:val="00BC4184"/>
    <w:rsid w:val="00BC424E"/>
    <w:rsid w:val="00BC4322"/>
    <w:rsid w:val="00BC44C8"/>
    <w:rsid w:val="00BC4577"/>
    <w:rsid w:val="00BC493E"/>
    <w:rsid w:val="00BC4AA4"/>
    <w:rsid w:val="00BC4AC6"/>
    <w:rsid w:val="00BC4BB6"/>
    <w:rsid w:val="00BC4D09"/>
    <w:rsid w:val="00BC4E0F"/>
    <w:rsid w:val="00BC4F98"/>
    <w:rsid w:val="00BC4FAE"/>
    <w:rsid w:val="00BC50B9"/>
    <w:rsid w:val="00BC5108"/>
    <w:rsid w:val="00BC51A4"/>
    <w:rsid w:val="00BC52CD"/>
    <w:rsid w:val="00BC52EB"/>
    <w:rsid w:val="00BC53D6"/>
    <w:rsid w:val="00BC53E9"/>
    <w:rsid w:val="00BC5400"/>
    <w:rsid w:val="00BC554D"/>
    <w:rsid w:val="00BC5655"/>
    <w:rsid w:val="00BC59D7"/>
    <w:rsid w:val="00BC5BC4"/>
    <w:rsid w:val="00BC5C98"/>
    <w:rsid w:val="00BC5D2A"/>
    <w:rsid w:val="00BC5DE6"/>
    <w:rsid w:val="00BC5ECC"/>
    <w:rsid w:val="00BC5EFC"/>
    <w:rsid w:val="00BC5F47"/>
    <w:rsid w:val="00BC62C2"/>
    <w:rsid w:val="00BC660E"/>
    <w:rsid w:val="00BC6730"/>
    <w:rsid w:val="00BC68A7"/>
    <w:rsid w:val="00BC697B"/>
    <w:rsid w:val="00BC6A0F"/>
    <w:rsid w:val="00BC6C1B"/>
    <w:rsid w:val="00BC6D44"/>
    <w:rsid w:val="00BC6E86"/>
    <w:rsid w:val="00BC6EB7"/>
    <w:rsid w:val="00BC6FBA"/>
    <w:rsid w:val="00BC6FDB"/>
    <w:rsid w:val="00BC7439"/>
    <w:rsid w:val="00BC758D"/>
    <w:rsid w:val="00BC7594"/>
    <w:rsid w:val="00BC75EB"/>
    <w:rsid w:val="00BC7770"/>
    <w:rsid w:val="00BC7961"/>
    <w:rsid w:val="00BC7A64"/>
    <w:rsid w:val="00BC7B35"/>
    <w:rsid w:val="00BC7B59"/>
    <w:rsid w:val="00BC7B70"/>
    <w:rsid w:val="00BC7B8D"/>
    <w:rsid w:val="00BC7B99"/>
    <w:rsid w:val="00BC7CB6"/>
    <w:rsid w:val="00BD014F"/>
    <w:rsid w:val="00BD01C7"/>
    <w:rsid w:val="00BD0321"/>
    <w:rsid w:val="00BD03AB"/>
    <w:rsid w:val="00BD0660"/>
    <w:rsid w:val="00BD0946"/>
    <w:rsid w:val="00BD09CE"/>
    <w:rsid w:val="00BD0A29"/>
    <w:rsid w:val="00BD0ADF"/>
    <w:rsid w:val="00BD0FFC"/>
    <w:rsid w:val="00BD10CD"/>
    <w:rsid w:val="00BD11B6"/>
    <w:rsid w:val="00BD1310"/>
    <w:rsid w:val="00BD1622"/>
    <w:rsid w:val="00BD19FF"/>
    <w:rsid w:val="00BD1A06"/>
    <w:rsid w:val="00BD1AB3"/>
    <w:rsid w:val="00BD1B0E"/>
    <w:rsid w:val="00BD1BAE"/>
    <w:rsid w:val="00BD1CD0"/>
    <w:rsid w:val="00BD1D20"/>
    <w:rsid w:val="00BD1EC0"/>
    <w:rsid w:val="00BD1FB9"/>
    <w:rsid w:val="00BD2032"/>
    <w:rsid w:val="00BD206C"/>
    <w:rsid w:val="00BD218A"/>
    <w:rsid w:val="00BD21BA"/>
    <w:rsid w:val="00BD21EF"/>
    <w:rsid w:val="00BD2214"/>
    <w:rsid w:val="00BD24E1"/>
    <w:rsid w:val="00BD2540"/>
    <w:rsid w:val="00BD261C"/>
    <w:rsid w:val="00BD26EF"/>
    <w:rsid w:val="00BD28B8"/>
    <w:rsid w:val="00BD2977"/>
    <w:rsid w:val="00BD2B2D"/>
    <w:rsid w:val="00BD2B7C"/>
    <w:rsid w:val="00BD2BD1"/>
    <w:rsid w:val="00BD3018"/>
    <w:rsid w:val="00BD305A"/>
    <w:rsid w:val="00BD311A"/>
    <w:rsid w:val="00BD3316"/>
    <w:rsid w:val="00BD3682"/>
    <w:rsid w:val="00BD36F3"/>
    <w:rsid w:val="00BD37AC"/>
    <w:rsid w:val="00BD397F"/>
    <w:rsid w:val="00BD3CE1"/>
    <w:rsid w:val="00BD3D62"/>
    <w:rsid w:val="00BD3DAF"/>
    <w:rsid w:val="00BD3F2D"/>
    <w:rsid w:val="00BD41A2"/>
    <w:rsid w:val="00BD41EB"/>
    <w:rsid w:val="00BD41F6"/>
    <w:rsid w:val="00BD4443"/>
    <w:rsid w:val="00BD4573"/>
    <w:rsid w:val="00BD4701"/>
    <w:rsid w:val="00BD47F5"/>
    <w:rsid w:val="00BD4835"/>
    <w:rsid w:val="00BD4872"/>
    <w:rsid w:val="00BD4882"/>
    <w:rsid w:val="00BD4ADA"/>
    <w:rsid w:val="00BD4B71"/>
    <w:rsid w:val="00BD4CBE"/>
    <w:rsid w:val="00BD4DBA"/>
    <w:rsid w:val="00BD4DBB"/>
    <w:rsid w:val="00BD5431"/>
    <w:rsid w:val="00BD54AC"/>
    <w:rsid w:val="00BD55EC"/>
    <w:rsid w:val="00BD570E"/>
    <w:rsid w:val="00BD5775"/>
    <w:rsid w:val="00BD5931"/>
    <w:rsid w:val="00BD5B74"/>
    <w:rsid w:val="00BD5C7B"/>
    <w:rsid w:val="00BD5E70"/>
    <w:rsid w:val="00BD5E9A"/>
    <w:rsid w:val="00BD633C"/>
    <w:rsid w:val="00BD638F"/>
    <w:rsid w:val="00BD6417"/>
    <w:rsid w:val="00BD64B0"/>
    <w:rsid w:val="00BD6596"/>
    <w:rsid w:val="00BD65CC"/>
    <w:rsid w:val="00BD6616"/>
    <w:rsid w:val="00BD66B7"/>
    <w:rsid w:val="00BD66EE"/>
    <w:rsid w:val="00BD6793"/>
    <w:rsid w:val="00BD67F8"/>
    <w:rsid w:val="00BD6801"/>
    <w:rsid w:val="00BD6879"/>
    <w:rsid w:val="00BD6B83"/>
    <w:rsid w:val="00BD6B89"/>
    <w:rsid w:val="00BD6E3D"/>
    <w:rsid w:val="00BD6E54"/>
    <w:rsid w:val="00BD6E85"/>
    <w:rsid w:val="00BD7280"/>
    <w:rsid w:val="00BD771B"/>
    <w:rsid w:val="00BD7861"/>
    <w:rsid w:val="00BD7917"/>
    <w:rsid w:val="00BD7975"/>
    <w:rsid w:val="00BD79C7"/>
    <w:rsid w:val="00BD7ACD"/>
    <w:rsid w:val="00BD7ADF"/>
    <w:rsid w:val="00BD7BA0"/>
    <w:rsid w:val="00BD7CFE"/>
    <w:rsid w:val="00BD7E39"/>
    <w:rsid w:val="00BD7E55"/>
    <w:rsid w:val="00BD7F26"/>
    <w:rsid w:val="00BE018B"/>
    <w:rsid w:val="00BE01CC"/>
    <w:rsid w:val="00BE0218"/>
    <w:rsid w:val="00BE036F"/>
    <w:rsid w:val="00BE03BC"/>
    <w:rsid w:val="00BE04B2"/>
    <w:rsid w:val="00BE0663"/>
    <w:rsid w:val="00BE06A1"/>
    <w:rsid w:val="00BE0807"/>
    <w:rsid w:val="00BE08C7"/>
    <w:rsid w:val="00BE091A"/>
    <w:rsid w:val="00BE0A61"/>
    <w:rsid w:val="00BE0B72"/>
    <w:rsid w:val="00BE0C78"/>
    <w:rsid w:val="00BE0D1F"/>
    <w:rsid w:val="00BE11AD"/>
    <w:rsid w:val="00BE1407"/>
    <w:rsid w:val="00BE1564"/>
    <w:rsid w:val="00BE172F"/>
    <w:rsid w:val="00BE17E1"/>
    <w:rsid w:val="00BE182D"/>
    <w:rsid w:val="00BE1869"/>
    <w:rsid w:val="00BE1C2B"/>
    <w:rsid w:val="00BE1C4F"/>
    <w:rsid w:val="00BE1D1D"/>
    <w:rsid w:val="00BE1D30"/>
    <w:rsid w:val="00BE1EBE"/>
    <w:rsid w:val="00BE1EC9"/>
    <w:rsid w:val="00BE1ECB"/>
    <w:rsid w:val="00BE1F72"/>
    <w:rsid w:val="00BE1F7B"/>
    <w:rsid w:val="00BE1FBA"/>
    <w:rsid w:val="00BE20F5"/>
    <w:rsid w:val="00BE222F"/>
    <w:rsid w:val="00BE2238"/>
    <w:rsid w:val="00BE24B4"/>
    <w:rsid w:val="00BE24F6"/>
    <w:rsid w:val="00BE2551"/>
    <w:rsid w:val="00BE2690"/>
    <w:rsid w:val="00BE26B0"/>
    <w:rsid w:val="00BE26E5"/>
    <w:rsid w:val="00BE31EB"/>
    <w:rsid w:val="00BE32C9"/>
    <w:rsid w:val="00BE32E8"/>
    <w:rsid w:val="00BE3334"/>
    <w:rsid w:val="00BE3672"/>
    <w:rsid w:val="00BE372F"/>
    <w:rsid w:val="00BE377B"/>
    <w:rsid w:val="00BE3B0A"/>
    <w:rsid w:val="00BE3C62"/>
    <w:rsid w:val="00BE3C80"/>
    <w:rsid w:val="00BE3EC2"/>
    <w:rsid w:val="00BE3F6B"/>
    <w:rsid w:val="00BE403C"/>
    <w:rsid w:val="00BE41C7"/>
    <w:rsid w:val="00BE433F"/>
    <w:rsid w:val="00BE4534"/>
    <w:rsid w:val="00BE4608"/>
    <w:rsid w:val="00BE4764"/>
    <w:rsid w:val="00BE498C"/>
    <w:rsid w:val="00BE49CD"/>
    <w:rsid w:val="00BE4C82"/>
    <w:rsid w:val="00BE4CA2"/>
    <w:rsid w:val="00BE4DCE"/>
    <w:rsid w:val="00BE4E31"/>
    <w:rsid w:val="00BE4EA7"/>
    <w:rsid w:val="00BE4EF6"/>
    <w:rsid w:val="00BE4F5C"/>
    <w:rsid w:val="00BE50E3"/>
    <w:rsid w:val="00BE531E"/>
    <w:rsid w:val="00BE54A4"/>
    <w:rsid w:val="00BE5858"/>
    <w:rsid w:val="00BE58B2"/>
    <w:rsid w:val="00BE5940"/>
    <w:rsid w:val="00BE5CE4"/>
    <w:rsid w:val="00BE5DE8"/>
    <w:rsid w:val="00BE611D"/>
    <w:rsid w:val="00BE650F"/>
    <w:rsid w:val="00BE6643"/>
    <w:rsid w:val="00BE6723"/>
    <w:rsid w:val="00BE6A68"/>
    <w:rsid w:val="00BE6AE7"/>
    <w:rsid w:val="00BE6DCA"/>
    <w:rsid w:val="00BE7175"/>
    <w:rsid w:val="00BE731C"/>
    <w:rsid w:val="00BE75FE"/>
    <w:rsid w:val="00BE776B"/>
    <w:rsid w:val="00BE7AA7"/>
    <w:rsid w:val="00BE7AC7"/>
    <w:rsid w:val="00BE7BE3"/>
    <w:rsid w:val="00BE7C3D"/>
    <w:rsid w:val="00BE7C62"/>
    <w:rsid w:val="00BE7CC1"/>
    <w:rsid w:val="00BE7D1A"/>
    <w:rsid w:val="00BF0144"/>
    <w:rsid w:val="00BF0170"/>
    <w:rsid w:val="00BF019B"/>
    <w:rsid w:val="00BF0342"/>
    <w:rsid w:val="00BF03E1"/>
    <w:rsid w:val="00BF04E4"/>
    <w:rsid w:val="00BF04F1"/>
    <w:rsid w:val="00BF0505"/>
    <w:rsid w:val="00BF05A8"/>
    <w:rsid w:val="00BF06A5"/>
    <w:rsid w:val="00BF087C"/>
    <w:rsid w:val="00BF08C1"/>
    <w:rsid w:val="00BF08C9"/>
    <w:rsid w:val="00BF0B24"/>
    <w:rsid w:val="00BF0CBE"/>
    <w:rsid w:val="00BF0D0C"/>
    <w:rsid w:val="00BF0D96"/>
    <w:rsid w:val="00BF0FF1"/>
    <w:rsid w:val="00BF0FFF"/>
    <w:rsid w:val="00BF1222"/>
    <w:rsid w:val="00BF12FA"/>
    <w:rsid w:val="00BF132F"/>
    <w:rsid w:val="00BF15A5"/>
    <w:rsid w:val="00BF1600"/>
    <w:rsid w:val="00BF173F"/>
    <w:rsid w:val="00BF1741"/>
    <w:rsid w:val="00BF18A5"/>
    <w:rsid w:val="00BF1909"/>
    <w:rsid w:val="00BF19B9"/>
    <w:rsid w:val="00BF19F7"/>
    <w:rsid w:val="00BF1BB5"/>
    <w:rsid w:val="00BF1CD1"/>
    <w:rsid w:val="00BF1D7F"/>
    <w:rsid w:val="00BF2008"/>
    <w:rsid w:val="00BF20F9"/>
    <w:rsid w:val="00BF2132"/>
    <w:rsid w:val="00BF2358"/>
    <w:rsid w:val="00BF24EC"/>
    <w:rsid w:val="00BF2518"/>
    <w:rsid w:val="00BF278E"/>
    <w:rsid w:val="00BF295A"/>
    <w:rsid w:val="00BF2A72"/>
    <w:rsid w:val="00BF2AA7"/>
    <w:rsid w:val="00BF2B0A"/>
    <w:rsid w:val="00BF2D84"/>
    <w:rsid w:val="00BF2F0D"/>
    <w:rsid w:val="00BF3018"/>
    <w:rsid w:val="00BF30D3"/>
    <w:rsid w:val="00BF31F8"/>
    <w:rsid w:val="00BF3213"/>
    <w:rsid w:val="00BF32DD"/>
    <w:rsid w:val="00BF345E"/>
    <w:rsid w:val="00BF346B"/>
    <w:rsid w:val="00BF34F4"/>
    <w:rsid w:val="00BF3528"/>
    <w:rsid w:val="00BF3531"/>
    <w:rsid w:val="00BF35CC"/>
    <w:rsid w:val="00BF380C"/>
    <w:rsid w:val="00BF38AB"/>
    <w:rsid w:val="00BF395C"/>
    <w:rsid w:val="00BF3A69"/>
    <w:rsid w:val="00BF3A83"/>
    <w:rsid w:val="00BF3B10"/>
    <w:rsid w:val="00BF3D69"/>
    <w:rsid w:val="00BF3D78"/>
    <w:rsid w:val="00BF3DA9"/>
    <w:rsid w:val="00BF3DB0"/>
    <w:rsid w:val="00BF3EA9"/>
    <w:rsid w:val="00BF4047"/>
    <w:rsid w:val="00BF40B2"/>
    <w:rsid w:val="00BF40B5"/>
    <w:rsid w:val="00BF438D"/>
    <w:rsid w:val="00BF440C"/>
    <w:rsid w:val="00BF44A1"/>
    <w:rsid w:val="00BF45BA"/>
    <w:rsid w:val="00BF4686"/>
    <w:rsid w:val="00BF4706"/>
    <w:rsid w:val="00BF495D"/>
    <w:rsid w:val="00BF49B9"/>
    <w:rsid w:val="00BF4B07"/>
    <w:rsid w:val="00BF4C58"/>
    <w:rsid w:val="00BF4C9E"/>
    <w:rsid w:val="00BF4E4D"/>
    <w:rsid w:val="00BF5117"/>
    <w:rsid w:val="00BF517B"/>
    <w:rsid w:val="00BF51B0"/>
    <w:rsid w:val="00BF53BF"/>
    <w:rsid w:val="00BF5429"/>
    <w:rsid w:val="00BF54C4"/>
    <w:rsid w:val="00BF5591"/>
    <w:rsid w:val="00BF55B8"/>
    <w:rsid w:val="00BF55F6"/>
    <w:rsid w:val="00BF561E"/>
    <w:rsid w:val="00BF56AE"/>
    <w:rsid w:val="00BF582F"/>
    <w:rsid w:val="00BF5A30"/>
    <w:rsid w:val="00BF5A70"/>
    <w:rsid w:val="00BF5BA7"/>
    <w:rsid w:val="00BF5C85"/>
    <w:rsid w:val="00BF5D22"/>
    <w:rsid w:val="00BF5E70"/>
    <w:rsid w:val="00BF5E80"/>
    <w:rsid w:val="00BF6042"/>
    <w:rsid w:val="00BF6135"/>
    <w:rsid w:val="00BF6155"/>
    <w:rsid w:val="00BF623B"/>
    <w:rsid w:val="00BF638C"/>
    <w:rsid w:val="00BF653A"/>
    <w:rsid w:val="00BF659D"/>
    <w:rsid w:val="00BF66AD"/>
    <w:rsid w:val="00BF6803"/>
    <w:rsid w:val="00BF6858"/>
    <w:rsid w:val="00BF6A5F"/>
    <w:rsid w:val="00BF6AC6"/>
    <w:rsid w:val="00BF6C52"/>
    <w:rsid w:val="00BF6D24"/>
    <w:rsid w:val="00BF6DB7"/>
    <w:rsid w:val="00BF6EA3"/>
    <w:rsid w:val="00BF6F09"/>
    <w:rsid w:val="00BF710F"/>
    <w:rsid w:val="00BF7186"/>
    <w:rsid w:val="00BF7295"/>
    <w:rsid w:val="00BF7357"/>
    <w:rsid w:val="00BF73D7"/>
    <w:rsid w:val="00BF762D"/>
    <w:rsid w:val="00BF786D"/>
    <w:rsid w:val="00BF78EF"/>
    <w:rsid w:val="00BF7A74"/>
    <w:rsid w:val="00BF7ACE"/>
    <w:rsid w:val="00BF7B13"/>
    <w:rsid w:val="00BF7B40"/>
    <w:rsid w:val="00BF7D86"/>
    <w:rsid w:val="00BF7F10"/>
    <w:rsid w:val="00BF7FFC"/>
    <w:rsid w:val="00C00040"/>
    <w:rsid w:val="00C0007C"/>
    <w:rsid w:val="00C0016E"/>
    <w:rsid w:val="00C0022B"/>
    <w:rsid w:val="00C0048D"/>
    <w:rsid w:val="00C005F9"/>
    <w:rsid w:val="00C00766"/>
    <w:rsid w:val="00C00850"/>
    <w:rsid w:val="00C008B6"/>
    <w:rsid w:val="00C008BE"/>
    <w:rsid w:val="00C00948"/>
    <w:rsid w:val="00C0094F"/>
    <w:rsid w:val="00C0096D"/>
    <w:rsid w:val="00C00A34"/>
    <w:rsid w:val="00C00B63"/>
    <w:rsid w:val="00C00C44"/>
    <w:rsid w:val="00C00DDC"/>
    <w:rsid w:val="00C00F59"/>
    <w:rsid w:val="00C011DD"/>
    <w:rsid w:val="00C012E8"/>
    <w:rsid w:val="00C01301"/>
    <w:rsid w:val="00C01355"/>
    <w:rsid w:val="00C01376"/>
    <w:rsid w:val="00C013AA"/>
    <w:rsid w:val="00C01429"/>
    <w:rsid w:val="00C01492"/>
    <w:rsid w:val="00C014EE"/>
    <w:rsid w:val="00C014F5"/>
    <w:rsid w:val="00C016CF"/>
    <w:rsid w:val="00C0174C"/>
    <w:rsid w:val="00C01944"/>
    <w:rsid w:val="00C01B25"/>
    <w:rsid w:val="00C01E99"/>
    <w:rsid w:val="00C01EAC"/>
    <w:rsid w:val="00C01F10"/>
    <w:rsid w:val="00C02001"/>
    <w:rsid w:val="00C020F1"/>
    <w:rsid w:val="00C02207"/>
    <w:rsid w:val="00C023BD"/>
    <w:rsid w:val="00C02556"/>
    <w:rsid w:val="00C0259D"/>
    <w:rsid w:val="00C027F9"/>
    <w:rsid w:val="00C028E8"/>
    <w:rsid w:val="00C0290C"/>
    <w:rsid w:val="00C02948"/>
    <w:rsid w:val="00C02D2F"/>
    <w:rsid w:val="00C02D73"/>
    <w:rsid w:val="00C02ED3"/>
    <w:rsid w:val="00C02F55"/>
    <w:rsid w:val="00C0326C"/>
    <w:rsid w:val="00C03276"/>
    <w:rsid w:val="00C033C7"/>
    <w:rsid w:val="00C034FA"/>
    <w:rsid w:val="00C03877"/>
    <w:rsid w:val="00C03C1A"/>
    <w:rsid w:val="00C03D4C"/>
    <w:rsid w:val="00C03D81"/>
    <w:rsid w:val="00C03F4C"/>
    <w:rsid w:val="00C03FC0"/>
    <w:rsid w:val="00C04188"/>
    <w:rsid w:val="00C041AE"/>
    <w:rsid w:val="00C042C8"/>
    <w:rsid w:val="00C043C3"/>
    <w:rsid w:val="00C043E3"/>
    <w:rsid w:val="00C047C6"/>
    <w:rsid w:val="00C04ACC"/>
    <w:rsid w:val="00C04AFB"/>
    <w:rsid w:val="00C04BDC"/>
    <w:rsid w:val="00C05011"/>
    <w:rsid w:val="00C0511D"/>
    <w:rsid w:val="00C05141"/>
    <w:rsid w:val="00C05373"/>
    <w:rsid w:val="00C05465"/>
    <w:rsid w:val="00C05481"/>
    <w:rsid w:val="00C05578"/>
    <w:rsid w:val="00C055CC"/>
    <w:rsid w:val="00C055ED"/>
    <w:rsid w:val="00C057F2"/>
    <w:rsid w:val="00C0581C"/>
    <w:rsid w:val="00C05840"/>
    <w:rsid w:val="00C05888"/>
    <w:rsid w:val="00C05992"/>
    <w:rsid w:val="00C05A06"/>
    <w:rsid w:val="00C05D1D"/>
    <w:rsid w:val="00C05EE8"/>
    <w:rsid w:val="00C05FF1"/>
    <w:rsid w:val="00C0619C"/>
    <w:rsid w:val="00C06259"/>
    <w:rsid w:val="00C06361"/>
    <w:rsid w:val="00C0640B"/>
    <w:rsid w:val="00C0664C"/>
    <w:rsid w:val="00C068C0"/>
    <w:rsid w:val="00C068D3"/>
    <w:rsid w:val="00C0691F"/>
    <w:rsid w:val="00C0696F"/>
    <w:rsid w:val="00C06A75"/>
    <w:rsid w:val="00C06BFE"/>
    <w:rsid w:val="00C06D22"/>
    <w:rsid w:val="00C06D51"/>
    <w:rsid w:val="00C06EBA"/>
    <w:rsid w:val="00C06F38"/>
    <w:rsid w:val="00C06FBF"/>
    <w:rsid w:val="00C07113"/>
    <w:rsid w:val="00C074D6"/>
    <w:rsid w:val="00C074DC"/>
    <w:rsid w:val="00C0776C"/>
    <w:rsid w:val="00C077B4"/>
    <w:rsid w:val="00C079B4"/>
    <w:rsid w:val="00C07ABE"/>
    <w:rsid w:val="00C07AE7"/>
    <w:rsid w:val="00C07C23"/>
    <w:rsid w:val="00C07D90"/>
    <w:rsid w:val="00C07E76"/>
    <w:rsid w:val="00C07F15"/>
    <w:rsid w:val="00C07F27"/>
    <w:rsid w:val="00C10060"/>
    <w:rsid w:val="00C10096"/>
    <w:rsid w:val="00C10261"/>
    <w:rsid w:val="00C10475"/>
    <w:rsid w:val="00C104B0"/>
    <w:rsid w:val="00C10506"/>
    <w:rsid w:val="00C1060C"/>
    <w:rsid w:val="00C10958"/>
    <w:rsid w:val="00C109F9"/>
    <w:rsid w:val="00C10AC5"/>
    <w:rsid w:val="00C10D72"/>
    <w:rsid w:val="00C10E50"/>
    <w:rsid w:val="00C10FF2"/>
    <w:rsid w:val="00C11033"/>
    <w:rsid w:val="00C11039"/>
    <w:rsid w:val="00C1122D"/>
    <w:rsid w:val="00C1135F"/>
    <w:rsid w:val="00C115B0"/>
    <w:rsid w:val="00C118DE"/>
    <w:rsid w:val="00C119D9"/>
    <w:rsid w:val="00C11A63"/>
    <w:rsid w:val="00C11B30"/>
    <w:rsid w:val="00C11BED"/>
    <w:rsid w:val="00C11CAB"/>
    <w:rsid w:val="00C11D88"/>
    <w:rsid w:val="00C120BD"/>
    <w:rsid w:val="00C1212D"/>
    <w:rsid w:val="00C12259"/>
    <w:rsid w:val="00C12388"/>
    <w:rsid w:val="00C12449"/>
    <w:rsid w:val="00C12630"/>
    <w:rsid w:val="00C1265A"/>
    <w:rsid w:val="00C12663"/>
    <w:rsid w:val="00C12863"/>
    <w:rsid w:val="00C128E1"/>
    <w:rsid w:val="00C129E3"/>
    <w:rsid w:val="00C12D99"/>
    <w:rsid w:val="00C130F8"/>
    <w:rsid w:val="00C133D9"/>
    <w:rsid w:val="00C1345C"/>
    <w:rsid w:val="00C1366F"/>
    <w:rsid w:val="00C137A4"/>
    <w:rsid w:val="00C13878"/>
    <w:rsid w:val="00C13BBA"/>
    <w:rsid w:val="00C13C9C"/>
    <w:rsid w:val="00C14023"/>
    <w:rsid w:val="00C142E0"/>
    <w:rsid w:val="00C14341"/>
    <w:rsid w:val="00C1436B"/>
    <w:rsid w:val="00C14410"/>
    <w:rsid w:val="00C144C9"/>
    <w:rsid w:val="00C144FE"/>
    <w:rsid w:val="00C1460C"/>
    <w:rsid w:val="00C146C3"/>
    <w:rsid w:val="00C1490A"/>
    <w:rsid w:val="00C14B76"/>
    <w:rsid w:val="00C14B9E"/>
    <w:rsid w:val="00C14BB4"/>
    <w:rsid w:val="00C14DC9"/>
    <w:rsid w:val="00C14E02"/>
    <w:rsid w:val="00C15051"/>
    <w:rsid w:val="00C15295"/>
    <w:rsid w:val="00C152E9"/>
    <w:rsid w:val="00C15316"/>
    <w:rsid w:val="00C1564B"/>
    <w:rsid w:val="00C156BC"/>
    <w:rsid w:val="00C156E1"/>
    <w:rsid w:val="00C15719"/>
    <w:rsid w:val="00C15952"/>
    <w:rsid w:val="00C159D0"/>
    <w:rsid w:val="00C15D14"/>
    <w:rsid w:val="00C15D23"/>
    <w:rsid w:val="00C15E5E"/>
    <w:rsid w:val="00C15EA8"/>
    <w:rsid w:val="00C15FD5"/>
    <w:rsid w:val="00C16001"/>
    <w:rsid w:val="00C16076"/>
    <w:rsid w:val="00C160A0"/>
    <w:rsid w:val="00C160B2"/>
    <w:rsid w:val="00C162CB"/>
    <w:rsid w:val="00C1651A"/>
    <w:rsid w:val="00C1652D"/>
    <w:rsid w:val="00C1660D"/>
    <w:rsid w:val="00C16771"/>
    <w:rsid w:val="00C16814"/>
    <w:rsid w:val="00C16994"/>
    <w:rsid w:val="00C169A8"/>
    <w:rsid w:val="00C169C0"/>
    <w:rsid w:val="00C169C1"/>
    <w:rsid w:val="00C16A58"/>
    <w:rsid w:val="00C16B1D"/>
    <w:rsid w:val="00C16D60"/>
    <w:rsid w:val="00C16D90"/>
    <w:rsid w:val="00C16E42"/>
    <w:rsid w:val="00C16F69"/>
    <w:rsid w:val="00C16FBC"/>
    <w:rsid w:val="00C17218"/>
    <w:rsid w:val="00C17467"/>
    <w:rsid w:val="00C1762D"/>
    <w:rsid w:val="00C17B90"/>
    <w:rsid w:val="00C17BA9"/>
    <w:rsid w:val="00C17C82"/>
    <w:rsid w:val="00C17D50"/>
    <w:rsid w:val="00C20054"/>
    <w:rsid w:val="00C2017B"/>
    <w:rsid w:val="00C201BD"/>
    <w:rsid w:val="00C2020D"/>
    <w:rsid w:val="00C205B0"/>
    <w:rsid w:val="00C20812"/>
    <w:rsid w:val="00C2087B"/>
    <w:rsid w:val="00C208F1"/>
    <w:rsid w:val="00C20989"/>
    <w:rsid w:val="00C20B68"/>
    <w:rsid w:val="00C210F5"/>
    <w:rsid w:val="00C210F7"/>
    <w:rsid w:val="00C211AE"/>
    <w:rsid w:val="00C2120E"/>
    <w:rsid w:val="00C212AD"/>
    <w:rsid w:val="00C21311"/>
    <w:rsid w:val="00C213DD"/>
    <w:rsid w:val="00C214AE"/>
    <w:rsid w:val="00C214DA"/>
    <w:rsid w:val="00C21636"/>
    <w:rsid w:val="00C217AA"/>
    <w:rsid w:val="00C217CC"/>
    <w:rsid w:val="00C21859"/>
    <w:rsid w:val="00C21876"/>
    <w:rsid w:val="00C218DD"/>
    <w:rsid w:val="00C21921"/>
    <w:rsid w:val="00C219F0"/>
    <w:rsid w:val="00C21B0D"/>
    <w:rsid w:val="00C21BEB"/>
    <w:rsid w:val="00C21D39"/>
    <w:rsid w:val="00C21DD3"/>
    <w:rsid w:val="00C21EA9"/>
    <w:rsid w:val="00C22207"/>
    <w:rsid w:val="00C22217"/>
    <w:rsid w:val="00C22276"/>
    <w:rsid w:val="00C223E5"/>
    <w:rsid w:val="00C225C5"/>
    <w:rsid w:val="00C227F1"/>
    <w:rsid w:val="00C228FF"/>
    <w:rsid w:val="00C22A6F"/>
    <w:rsid w:val="00C22C26"/>
    <w:rsid w:val="00C22C29"/>
    <w:rsid w:val="00C22EA7"/>
    <w:rsid w:val="00C22EAB"/>
    <w:rsid w:val="00C23025"/>
    <w:rsid w:val="00C230D7"/>
    <w:rsid w:val="00C230F0"/>
    <w:rsid w:val="00C23316"/>
    <w:rsid w:val="00C2341E"/>
    <w:rsid w:val="00C234BC"/>
    <w:rsid w:val="00C234D0"/>
    <w:rsid w:val="00C2370A"/>
    <w:rsid w:val="00C237A6"/>
    <w:rsid w:val="00C23C8E"/>
    <w:rsid w:val="00C23CDE"/>
    <w:rsid w:val="00C23D36"/>
    <w:rsid w:val="00C23D7A"/>
    <w:rsid w:val="00C23DBE"/>
    <w:rsid w:val="00C23E04"/>
    <w:rsid w:val="00C23E2E"/>
    <w:rsid w:val="00C23E95"/>
    <w:rsid w:val="00C23F74"/>
    <w:rsid w:val="00C23FB5"/>
    <w:rsid w:val="00C241AA"/>
    <w:rsid w:val="00C241FD"/>
    <w:rsid w:val="00C24228"/>
    <w:rsid w:val="00C24380"/>
    <w:rsid w:val="00C246F6"/>
    <w:rsid w:val="00C24B84"/>
    <w:rsid w:val="00C24D5B"/>
    <w:rsid w:val="00C2510D"/>
    <w:rsid w:val="00C2534B"/>
    <w:rsid w:val="00C25391"/>
    <w:rsid w:val="00C254D9"/>
    <w:rsid w:val="00C259AB"/>
    <w:rsid w:val="00C25A39"/>
    <w:rsid w:val="00C25A75"/>
    <w:rsid w:val="00C25B16"/>
    <w:rsid w:val="00C25C06"/>
    <w:rsid w:val="00C25EA0"/>
    <w:rsid w:val="00C25FD2"/>
    <w:rsid w:val="00C26241"/>
    <w:rsid w:val="00C26331"/>
    <w:rsid w:val="00C2641A"/>
    <w:rsid w:val="00C2666F"/>
    <w:rsid w:val="00C26767"/>
    <w:rsid w:val="00C267B4"/>
    <w:rsid w:val="00C267D4"/>
    <w:rsid w:val="00C26989"/>
    <w:rsid w:val="00C26BB7"/>
    <w:rsid w:val="00C26BCB"/>
    <w:rsid w:val="00C26C21"/>
    <w:rsid w:val="00C26C82"/>
    <w:rsid w:val="00C27292"/>
    <w:rsid w:val="00C27341"/>
    <w:rsid w:val="00C2747F"/>
    <w:rsid w:val="00C275A8"/>
    <w:rsid w:val="00C275D1"/>
    <w:rsid w:val="00C27604"/>
    <w:rsid w:val="00C27858"/>
    <w:rsid w:val="00C27883"/>
    <w:rsid w:val="00C27989"/>
    <w:rsid w:val="00C27FDA"/>
    <w:rsid w:val="00C3004E"/>
    <w:rsid w:val="00C300D3"/>
    <w:rsid w:val="00C30128"/>
    <w:rsid w:val="00C302CF"/>
    <w:rsid w:val="00C30448"/>
    <w:rsid w:val="00C30541"/>
    <w:rsid w:val="00C3067D"/>
    <w:rsid w:val="00C306CF"/>
    <w:rsid w:val="00C307CE"/>
    <w:rsid w:val="00C309A6"/>
    <w:rsid w:val="00C30A41"/>
    <w:rsid w:val="00C30C6F"/>
    <w:rsid w:val="00C30CCA"/>
    <w:rsid w:val="00C31046"/>
    <w:rsid w:val="00C31232"/>
    <w:rsid w:val="00C314E1"/>
    <w:rsid w:val="00C315EF"/>
    <w:rsid w:val="00C318AE"/>
    <w:rsid w:val="00C31A0B"/>
    <w:rsid w:val="00C31B29"/>
    <w:rsid w:val="00C31D9D"/>
    <w:rsid w:val="00C31F07"/>
    <w:rsid w:val="00C32034"/>
    <w:rsid w:val="00C32086"/>
    <w:rsid w:val="00C320D4"/>
    <w:rsid w:val="00C3218E"/>
    <w:rsid w:val="00C321B1"/>
    <w:rsid w:val="00C3239E"/>
    <w:rsid w:val="00C323AC"/>
    <w:rsid w:val="00C3244E"/>
    <w:rsid w:val="00C3256B"/>
    <w:rsid w:val="00C325C4"/>
    <w:rsid w:val="00C325F2"/>
    <w:rsid w:val="00C32634"/>
    <w:rsid w:val="00C327C8"/>
    <w:rsid w:val="00C32955"/>
    <w:rsid w:val="00C3295E"/>
    <w:rsid w:val="00C3299F"/>
    <w:rsid w:val="00C32A80"/>
    <w:rsid w:val="00C32B0D"/>
    <w:rsid w:val="00C32C31"/>
    <w:rsid w:val="00C32CD5"/>
    <w:rsid w:val="00C32EAF"/>
    <w:rsid w:val="00C33286"/>
    <w:rsid w:val="00C33315"/>
    <w:rsid w:val="00C334D8"/>
    <w:rsid w:val="00C3384F"/>
    <w:rsid w:val="00C33946"/>
    <w:rsid w:val="00C33999"/>
    <w:rsid w:val="00C33A20"/>
    <w:rsid w:val="00C33B8C"/>
    <w:rsid w:val="00C33E33"/>
    <w:rsid w:val="00C33E37"/>
    <w:rsid w:val="00C33EAA"/>
    <w:rsid w:val="00C34004"/>
    <w:rsid w:val="00C34079"/>
    <w:rsid w:val="00C340BF"/>
    <w:rsid w:val="00C34293"/>
    <w:rsid w:val="00C342B8"/>
    <w:rsid w:val="00C34349"/>
    <w:rsid w:val="00C34559"/>
    <w:rsid w:val="00C34597"/>
    <w:rsid w:val="00C345B7"/>
    <w:rsid w:val="00C345CB"/>
    <w:rsid w:val="00C34610"/>
    <w:rsid w:val="00C34807"/>
    <w:rsid w:val="00C34ACD"/>
    <w:rsid w:val="00C34AF6"/>
    <w:rsid w:val="00C34C55"/>
    <w:rsid w:val="00C34C92"/>
    <w:rsid w:val="00C34E38"/>
    <w:rsid w:val="00C350CA"/>
    <w:rsid w:val="00C350F2"/>
    <w:rsid w:val="00C351C2"/>
    <w:rsid w:val="00C35299"/>
    <w:rsid w:val="00C353A9"/>
    <w:rsid w:val="00C353D4"/>
    <w:rsid w:val="00C3546A"/>
    <w:rsid w:val="00C3550B"/>
    <w:rsid w:val="00C356AE"/>
    <w:rsid w:val="00C357BE"/>
    <w:rsid w:val="00C35922"/>
    <w:rsid w:val="00C35AA0"/>
    <w:rsid w:val="00C35AEE"/>
    <w:rsid w:val="00C35CED"/>
    <w:rsid w:val="00C35D67"/>
    <w:rsid w:val="00C35D74"/>
    <w:rsid w:val="00C35E30"/>
    <w:rsid w:val="00C35E4A"/>
    <w:rsid w:val="00C35EA4"/>
    <w:rsid w:val="00C36127"/>
    <w:rsid w:val="00C3633C"/>
    <w:rsid w:val="00C36400"/>
    <w:rsid w:val="00C3671D"/>
    <w:rsid w:val="00C369A1"/>
    <w:rsid w:val="00C36B93"/>
    <w:rsid w:val="00C36E61"/>
    <w:rsid w:val="00C36FA2"/>
    <w:rsid w:val="00C3707E"/>
    <w:rsid w:val="00C3719C"/>
    <w:rsid w:val="00C371DF"/>
    <w:rsid w:val="00C3724D"/>
    <w:rsid w:val="00C37291"/>
    <w:rsid w:val="00C37333"/>
    <w:rsid w:val="00C37370"/>
    <w:rsid w:val="00C3753D"/>
    <w:rsid w:val="00C3763F"/>
    <w:rsid w:val="00C37710"/>
    <w:rsid w:val="00C37729"/>
    <w:rsid w:val="00C37990"/>
    <w:rsid w:val="00C37A0F"/>
    <w:rsid w:val="00C37AA8"/>
    <w:rsid w:val="00C37B11"/>
    <w:rsid w:val="00C37C0B"/>
    <w:rsid w:val="00C37CBA"/>
    <w:rsid w:val="00C37DF3"/>
    <w:rsid w:val="00C37F33"/>
    <w:rsid w:val="00C37F3E"/>
    <w:rsid w:val="00C4001D"/>
    <w:rsid w:val="00C40091"/>
    <w:rsid w:val="00C40169"/>
    <w:rsid w:val="00C401D5"/>
    <w:rsid w:val="00C4044B"/>
    <w:rsid w:val="00C4061F"/>
    <w:rsid w:val="00C406CB"/>
    <w:rsid w:val="00C406ED"/>
    <w:rsid w:val="00C40734"/>
    <w:rsid w:val="00C40786"/>
    <w:rsid w:val="00C40A34"/>
    <w:rsid w:val="00C40AE0"/>
    <w:rsid w:val="00C40C7E"/>
    <w:rsid w:val="00C40D9A"/>
    <w:rsid w:val="00C40DBD"/>
    <w:rsid w:val="00C40F53"/>
    <w:rsid w:val="00C410C4"/>
    <w:rsid w:val="00C4115C"/>
    <w:rsid w:val="00C411E3"/>
    <w:rsid w:val="00C4139B"/>
    <w:rsid w:val="00C414FF"/>
    <w:rsid w:val="00C416F7"/>
    <w:rsid w:val="00C41777"/>
    <w:rsid w:val="00C417F3"/>
    <w:rsid w:val="00C418FC"/>
    <w:rsid w:val="00C419EE"/>
    <w:rsid w:val="00C41C47"/>
    <w:rsid w:val="00C41EC7"/>
    <w:rsid w:val="00C42053"/>
    <w:rsid w:val="00C42346"/>
    <w:rsid w:val="00C426CE"/>
    <w:rsid w:val="00C426D4"/>
    <w:rsid w:val="00C426F6"/>
    <w:rsid w:val="00C42788"/>
    <w:rsid w:val="00C429DE"/>
    <w:rsid w:val="00C429FF"/>
    <w:rsid w:val="00C42A48"/>
    <w:rsid w:val="00C42AB1"/>
    <w:rsid w:val="00C42B84"/>
    <w:rsid w:val="00C42C10"/>
    <w:rsid w:val="00C42CB9"/>
    <w:rsid w:val="00C42DA6"/>
    <w:rsid w:val="00C42F14"/>
    <w:rsid w:val="00C43183"/>
    <w:rsid w:val="00C431F5"/>
    <w:rsid w:val="00C43295"/>
    <w:rsid w:val="00C43472"/>
    <w:rsid w:val="00C4351F"/>
    <w:rsid w:val="00C43589"/>
    <w:rsid w:val="00C43595"/>
    <w:rsid w:val="00C436F4"/>
    <w:rsid w:val="00C438EA"/>
    <w:rsid w:val="00C4393B"/>
    <w:rsid w:val="00C43A32"/>
    <w:rsid w:val="00C43B5D"/>
    <w:rsid w:val="00C43D03"/>
    <w:rsid w:val="00C43E2D"/>
    <w:rsid w:val="00C44082"/>
    <w:rsid w:val="00C441AA"/>
    <w:rsid w:val="00C4421F"/>
    <w:rsid w:val="00C4423E"/>
    <w:rsid w:val="00C4438F"/>
    <w:rsid w:val="00C44405"/>
    <w:rsid w:val="00C44412"/>
    <w:rsid w:val="00C4449F"/>
    <w:rsid w:val="00C44508"/>
    <w:rsid w:val="00C4452F"/>
    <w:rsid w:val="00C44562"/>
    <w:rsid w:val="00C4469C"/>
    <w:rsid w:val="00C4478C"/>
    <w:rsid w:val="00C44803"/>
    <w:rsid w:val="00C448E8"/>
    <w:rsid w:val="00C4492C"/>
    <w:rsid w:val="00C44B35"/>
    <w:rsid w:val="00C44B7C"/>
    <w:rsid w:val="00C45346"/>
    <w:rsid w:val="00C455CF"/>
    <w:rsid w:val="00C45611"/>
    <w:rsid w:val="00C457CC"/>
    <w:rsid w:val="00C457E1"/>
    <w:rsid w:val="00C45A09"/>
    <w:rsid w:val="00C45B00"/>
    <w:rsid w:val="00C45BDC"/>
    <w:rsid w:val="00C45E4E"/>
    <w:rsid w:val="00C45F68"/>
    <w:rsid w:val="00C45F98"/>
    <w:rsid w:val="00C46461"/>
    <w:rsid w:val="00C46684"/>
    <w:rsid w:val="00C46910"/>
    <w:rsid w:val="00C46A42"/>
    <w:rsid w:val="00C46A44"/>
    <w:rsid w:val="00C46BFF"/>
    <w:rsid w:val="00C46C4C"/>
    <w:rsid w:val="00C46C6B"/>
    <w:rsid w:val="00C46E21"/>
    <w:rsid w:val="00C46E2A"/>
    <w:rsid w:val="00C46E5E"/>
    <w:rsid w:val="00C46EA0"/>
    <w:rsid w:val="00C46F76"/>
    <w:rsid w:val="00C4703E"/>
    <w:rsid w:val="00C470A7"/>
    <w:rsid w:val="00C472BC"/>
    <w:rsid w:val="00C473D9"/>
    <w:rsid w:val="00C47730"/>
    <w:rsid w:val="00C47779"/>
    <w:rsid w:val="00C477E9"/>
    <w:rsid w:val="00C47863"/>
    <w:rsid w:val="00C47918"/>
    <w:rsid w:val="00C47AD3"/>
    <w:rsid w:val="00C47BC7"/>
    <w:rsid w:val="00C47C8F"/>
    <w:rsid w:val="00C47F59"/>
    <w:rsid w:val="00C47F7E"/>
    <w:rsid w:val="00C50057"/>
    <w:rsid w:val="00C50106"/>
    <w:rsid w:val="00C50173"/>
    <w:rsid w:val="00C503B1"/>
    <w:rsid w:val="00C503F5"/>
    <w:rsid w:val="00C50429"/>
    <w:rsid w:val="00C50506"/>
    <w:rsid w:val="00C50603"/>
    <w:rsid w:val="00C5097A"/>
    <w:rsid w:val="00C5110E"/>
    <w:rsid w:val="00C51164"/>
    <w:rsid w:val="00C512F8"/>
    <w:rsid w:val="00C51362"/>
    <w:rsid w:val="00C51387"/>
    <w:rsid w:val="00C51617"/>
    <w:rsid w:val="00C51679"/>
    <w:rsid w:val="00C5172D"/>
    <w:rsid w:val="00C517E1"/>
    <w:rsid w:val="00C51941"/>
    <w:rsid w:val="00C5198D"/>
    <w:rsid w:val="00C51990"/>
    <w:rsid w:val="00C519E2"/>
    <w:rsid w:val="00C51AA7"/>
    <w:rsid w:val="00C51B38"/>
    <w:rsid w:val="00C51B51"/>
    <w:rsid w:val="00C51CFF"/>
    <w:rsid w:val="00C51E27"/>
    <w:rsid w:val="00C51E8C"/>
    <w:rsid w:val="00C5235A"/>
    <w:rsid w:val="00C52437"/>
    <w:rsid w:val="00C52446"/>
    <w:rsid w:val="00C5244D"/>
    <w:rsid w:val="00C52580"/>
    <w:rsid w:val="00C5269E"/>
    <w:rsid w:val="00C529F0"/>
    <w:rsid w:val="00C52A68"/>
    <w:rsid w:val="00C52BE8"/>
    <w:rsid w:val="00C52CCB"/>
    <w:rsid w:val="00C52CD6"/>
    <w:rsid w:val="00C52CD8"/>
    <w:rsid w:val="00C530E3"/>
    <w:rsid w:val="00C532E1"/>
    <w:rsid w:val="00C535E5"/>
    <w:rsid w:val="00C53761"/>
    <w:rsid w:val="00C538CB"/>
    <w:rsid w:val="00C53A37"/>
    <w:rsid w:val="00C53AE8"/>
    <w:rsid w:val="00C53B8F"/>
    <w:rsid w:val="00C53E01"/>
    <w:rsid w:val="00C53EA1"/>
    <w:rsid w:val="00C53F52"/>
    <w:rsid w:val="00C53F8D"/>
    <w:rsid w:val="00C53F90"/>
    <w:rsid w:val="00C540CB"/>
    <w:rsid w:val="00C54179"/>
    <w:rsid w:val="00C5418A"/>
    <w:rsid w:val="00C541B7"/>
    <w:rsid w:val="00C5426E"/>
    <w:rsid w:val="00C542F2"/>
    <w:rsid w:val="00C54335"/>
    <w:rsid w:val="00C5441D"/>
    <w:rsid w:val="00C54625"/>
    <w:rsid w:val="00C5476F"/>
    <w:rsid w:val="00C547B5"/>
    <w:rsid w:val="00C548B5"/>
    <w:rsid w:val="00C54A7D"/>
    <w:rsid w:val="00C54B46"/>
    <w:rsid w:val="00C54D14"/>
    <w:rsid w:val="00C55062"/>
    <w:rsid w:val="00C550B3"/>
    <w:rsid w:val="00C55470"/>
    <w:rsid w:val="00C554ED"/>
    <w:rsid w:val="00C5551E"/>
    <w:rsid w:val="00C5554A"/>
    <w:rsid w:val="00C555C6"/>
    <w:rsid w:val="00C555E6"/>
    <w:rsid w:val="00C556E7"/>
    <w:rsid w:val="00C55775"/>
    <w:rsid w:val="00C5593E"/>
    <w:rsid w:val="00C55A5A"/>
    <w:rsid w:val="00C55ACD"/>
    <w:rsid w:val="00C55AEA"/>
    <w:rsid w:val="00C55ED1"/>
    <w:rsid w:val="00C55F98"/>
    <w:rsid w:val="00C56014"/>
    <w:rsid w:val="00C560A1"/>
    <w:rsid w:val="00C56156"/>
    <w:rsid w:val="00C561B0"/>
    <w:rsid w:val="00C561C1"/>
    <w:rsid w:val="00C5631B"/>
    <w:rsid w:val="00C56692"/>
    <w:rsid w:val="00C566AE"/>
    <w:rsid w:val="00C5679D"/>
    <w:rsid w:val="00C56878"/>
    <w:rsid w:val="00C568D8"/>
    <w:rsid w:val="00C56A66"/>
    <w:rsid w:val="00C56CD0"/>
    <w:rsid w:val="00C56EC0"/>
    <w:rsid w:val="00C56F22"/>
    <w:rsid w:val="00C5716C"/>
    <w:rsid w:val="00C57194"/>
    <w:rsid w:val="00C5761B"/>
    <w:rsid w:val="00C576D4"/>
    <w:rsid w:val="00C57838"/>
    <w:rsid w:val="00C57869"/>
    <w:rsid w:val="00C578DE"/>
    <w:rsid w:val="00C57946"/>
    <w:rsid w:val="00C579E3"/>
    <w:rsid w:val="00C57B7D"/>
    <w:rsid w:val="00C57BC6"/>
    <w:rsid w:val="00C57F4E"/>
    <w:rsid w:val="00C600B2"/>
    <w:rsid w:val="00C60211"/>
    <w:rsid w:val="00C6027B"/>
    <w:rsid w:val="00C602B6"/>
    <w:rsid w:val="00C6037F"/>
    <w:rsid w:val="00C603F9"/>
    <w:rsid w:val="00C604B2"/>
    <w:rsid w:val="00C60640"/>
    <w:rsid w:val="00C60711"/>
    <w:rsid w:val="00C607DB"/>
    <w:rsid w:val="00C607F4"/>
    <w:rsid w:val="00C60BD5"/>
    <w:rsid w:val="00C60C1D"/>
    <w:rsid w:val="00C60CE6"/>
    <w:rsid w:val="00C60E5B"/>
    <w:rsid w:val="00C61016"/>
    <w:rsid w:val="00C6102C"/>
    <w:rsid w:val="00C6117A"/>
    <w:rsid w:val="00C6120D"/>
    <w:rsid w:val="00C6123F"/>
    <w:rsid w:val="00C6126B"/>
    <w:rsid w:val="00C612C8"/>
    <w:rsid w:val="00C61377"/>
    <w:rsid w:val="00C61380"/>
    <w:rsid w:val="00C614B4"/>
    <w:rsid w:val="00C61EE4"/>
    <w:rsid w:val="00C61F83"/>
    <w:rsid w:val="00C6207D"/>
    <w:rsid w:val="00C62157"/>
    <w:rsid w:val="00C62162"/>
    <w:rsid w:val="00C62221"/>
    <w:rsid w:val="00C62229"/>
    <w:rsid w:val="00C62347"/>
    <w:rsid w:val="00C625E7"/>
    <w:rsid w:val="00C626B0"/>
    <w:rsid w:val="00C626C4"/>
    <w:rsid w:val="00C62949"/>
    <w:rsid w:val="00C62D8A"/>
    <w:rsid w:val="00C62FCE"/>
    <w:rsid w:val="00C63038"/>
    <w:rsid w:val="00C631D1"/>
    <w:rsid w:val="00C63231"/>
    <w:rsid w:val="00C63339"/>
    <w:rsid w:val="00C6364E"/>
    <w:rsid w:val="00C63B6B"/>
    <w:rsid w:val="00C63C60"/>
    <w:rsid w:val="00C63FE6"/>
    <w:rsid w:val="00C640D1"/>
    <w:rsid w:val="00C6421E"/>
    <w:rsid w:val="00C6423E"/>
    <w:rsid w:val="00C64266"/>
    <w:rsid w:val="00C642E7"/>
    <w:rsid w:val="00C6434C"/>
    <w:rsid w:val="00C64389"/>
    <w:rsid w:val="00C64564"/>
    <w:rsid w:val="00C64576"/>
    <w:rsid w:val="00C64595"/>
    <w:rsid w:val="00C64B30"/>
    <w:rsid w:val="00C64B35"/>
    <w:rsid w:val="00C64C78"/>
    <w:rsid w:val="00C650AD"/>
    <w:rsid w:val="00C651FE"/>
    <w:rsid w:val="00C65432"/>
    <w:rsid w:val="00C6550F"/>
    <w:rsid w:val="00C6566C"/>
    <w:rsid w:val="00C6572E"/>
    <w:rsid w:val="00C6578C"/>
    <w:rsid w:val="00C6588D"/>
    <w:rsid w:val="00C65906"/>
    <w:rsid w:val="00C65910"/>
    <w:rsid w:val="00C65951"/>
    <w:rsid w:val="00C65A03"/>
    <w:rsid w:val="00C65B43"/>
    <w:rsid w:val="00C65CAF"/>
    <w:rsid w:val="00C65CFC"/>
    <w:rsid w:val="00C65D9C"/>
    <w:rsid w:val="00C660FB"/>
    <w:rsid w:val="00C66200"/>
    <w:rsid w:val="00C6620E"/>
    <w:rsid w:val="00C6636B"/>
    <w:rsid w:val="00C664CE"/>
    <w:rsid w:val="00C666BC"/>
    <w:rsid w:val="00C66722"/>
    <w:rsid w:val="00C6673C"/>
    <w:rsid w:val="00C66763"/>
    <w:rsid w:val="00C667F1"/>
    <w:rsid w:val="00C6681B"/>
    <w:rsid w:val="00C66957"/>
    <w:rsid w:val="00C669AF"/>
    <w:rsid w:val="00C669B7"/>
    <w:rsid w:val="00C669C4"/>
    <w:rsid w:val="00C66A33"/>
    <w:rsid w:val="00C66CBF"/>
    <w:rsid w:val="00C66F51"/>
    <w:rsid w:val="00C66F98"/>
    <w:rsid w:val="00C67030"/>
    <w:rsid w:val="00C67382"/>
    <w:rsid w:val="00C673BC"/>
    <w:rsid w:val="00C674C1"/>
    <w:rsid w:val="00C67546"/>
    <w:rsid w:val="00C67724"/>
    <w:rsid w:val="00C67954"/>
    <w:rsid w:val="00C67A7F"/>
    <w:rsid w:val="00C67A97"/>
    <w:rsid w:val="00C67B17"/>
    <w:rsid w:val="00C67C6B"/>
    <w:rsid w:val="00C701EF"/>
    <w:rsid w:val="00C701FB"/>
    <w:rsid w:val="00C70221"/>
    <w:rsid w:val="00C70336"/>
    <w:rsid w:val="00C7044A"/>
    <w:rsid w:val="00C704EC"/>
    <w:rsid w:val="00C708F0"/>
    <w:rsid w:val="00C709D5"/>
    <w:rsid w:val="00C70A6A"/>
    <w:rsid w:val="00C70BBF"/>
    <w:rsid w:val="00C70C99"/>
    <w:rsid w:val="00C70CC2"/>
    <w:rsid w:val="00C70DFD"/>
    <w:rsid w:val="00C70F42"/>
    <w:rsid w:val="00C710B1"/>
    <w:rsid w:val="00C7151B"/>
    <w:rsid w:val="00C715D3"/>
    <w:rsid w:val="00C71814"/>
    <w:rsid w:val="00C71BC7"/>
    <w:rsid w:val="00C71BE3"/>
    <w:rsid w:val="00C722B8"/>
    <w:rsid w:val="00C722E1"/>
    <w:rsid w:val="00C72540"/>
    <w:rsid w:val="00C726E4"/>
    <w:rsid w:val="00C72702"/>
    <w:rsid w:val="00C7287A"/>
    <w:rsid w:val="00C72A9B"/>
    <w:rsid w:val="00C72B32"/>
    <w:rsid w:val="00C72C1F"/>
    <w:rsid w:val="00C72D90"/>
    <w:rsid w:val="00C72E36"/>
    <w:rsid w:val="00C72E61"/>
    <w:rsid w:val="00C7317B"/>
    <w:rsid w:val="00C73204"/>
    <w:rsid w:val="00C73228"/>
    <w:rsid w:val="00C73335"/>
    <w:rsid w:val="00C734DA"/>
    <w:rsid w:val="00C7352B"/>
    <w:rsid w:val="00C739CD"/>
    <w:rsid w:val="00C73A92"/>
    <w:rsid w:val="00C73D1A"/>
    <w:rsid w:val="00C73FC9"/>
    <w:rsid w:val="00C7408A"/>
    <w:rsid w:val="00C740BA"/>
    <w:rsid w:val="00C740CA"/>
    <w:rsid w:val="00C740DC"/>
    <w:rsid w:val="00C74419"/>
    <w:rsid w:val="00C74611"/>
    <w:rsid w:val="00C7477C"/>
    <w:rsid w:val="00C7496B"/>
    <w:rsid w:val="00C74A50"/>
    <w:rsid w:val="00C74A71"/>
    <w:rsid w:val="00C74AE4"/>
    <w:rsid w:val="00C74B34"/>
    <w:rsid w:val="00C75139"/>
    <w:rsid w:val="00C7525B"/>
    <w:rsid w:val="00C7548E"/>
    <w:rsid w:val="00C7565B"/>
    <w:rsid w:val="00C757C3"/>
    <w:rsid w:val="00C758B0"/>
    <w:rsid w:val="00C75911"/>
    <w:rsid w:val="00C759E1"/>
    <w:rsid w:val="00C75D7E"/>
    <w:rsid w:val="00C75D97"/>
    <w:rsid w:val="00C75DDE"/>
    <w:rsid w:val="00C75E03"/>
    <w:rsid w:val="00C7600B"/>
    <w:rsid w:val="00C761BF"/>
    <w:rsid w:val="00C76228"/>
    <w:rsid w:val="00C762B5"/>
    <w:rsid w:val="00C764FF"/>
    <w:rsid w:val="00C767AB"/>
    <w:rsid w:val="00C76BF7"/>
    <w:rsid w:val="00C76C49"/>
    <w:rsid w:val="00C76CE2"/>
    <w:rsid w:val="00C76DBE"/>
    <w:rsid w:val="00C76E61"/>
    <w:rsid w:val="00C77026"/>
    <w:rsid w:val="00C774DE"/>
    <w:rsid w:val="00C774EC"/>
    <w:rsid w:val="00C77607"/>
    <w:rsid w:val="00C77617"/>
    <w:rsid w:val="00C77698"/>
    <w:rsid w:val="00C77864"/>
    <w:rsid w:val="00C77896"/>
    <w:rsid w:val="00C77A2D"/>
    <w:rsid w:val="00C77CF5"/>
    <w:rsid w:val="00C77F8B"/>
    <w:rsid w:val="00C77FE4"/>
    <w:rsid w:val="00C800C0"/>
    <w:rsid w:val="00C80326"/>
    <w:rsid w:val="00C8035B"/>
    <w:rsid w:val="00C8036A"/>
    <w:rsid w:val="00C805A8"/>
    <w:rsid w:val="00C8075B"/>
    <w:rsid w:val="00C8083F"/>
    <w:rsid w:val="00C809F2"/>
    <w:rsid w:val="00C80A77"/>
    <w:rsid w:val="00C80AA5"/>
    <w:rsid w:val="00C80AA8"/>
    <w:rsid w:val="00C80B99"/>
    <w:rsid w:val="00C80D5F"/>
    <w:rsid w:val="00C80D89"/>
    <w:rsid w:val="00C80FD1"/>
    <w:rsid w:val="00C81054"/>
    <w:rsid w:val="00C81377"/>
    <w:rsid w:val="00C8144D"/>
    <w:rsid w:val="00C81565"/>
    <w:rsid w:val="00C81642"/>
    <w:rsid w:val="00C81663"/>
    <w:rsid w:val="00C81759"/>
    <w:rsid w:val="00C819BB"/>
    <w:rsid w:val="00C81C96"/>
    <w:rsid w:val="00C82069"/>
    <w:rsid w:val="00C82097"/>
    <w:rsid w:val="00C82146"/>
    <w:rsid w:val="00C82372"/>
    <w:rsid w:val="00C82447"/>
    <w:rsid w:val="00C82608"/>
    <w:rsid w:val="00C8262E"/>
    <w:rsid w:val="00C82B1E"/>
    <w:rsid w:val="00C82B87"/>
    <w:rsid w:val="00C82BC8"/>
    <w:rsid w:val="00C830CC"/>
    <w:rsid w:val="00C8320A"/>
    <w:rsid w:val="00C8321D"/>
    <w:rsid w:val="00C8327F"/>
    <w:rsid w:val="00C832D1"/>
    <w:rsid w:val="00C832F2"/>
    <w:rsid w:val="00C83457"/>
    <w:rsid w:val="00C83473"/>
    <w:rsid w:val="00C83610"/>
    <w:rsid w:val="00C83769"/>
    <w:rsid w:val="00C837CB"/>
    <w:rsid w:val="00C83952"/>
    <w:rsid w:val="00C839FC"/>
    <w:rsid w:val="00C83A36"/>
    <w:rsid w:val="00C83A60"/>
    <w:rsid w:val="00C83CB6"/>
    <w:rsid w:val="00C83D28"/>
    <w:rsid w:val="00C83D6D"/>
    <w:rsid w:val="00C83DBB"/>
    <w:rsid w:val="00C83DF0"/>
    <w:rsid w:val="00C83FFE"/>
    <w:rsid w:val="00C84156"/>
    <w:rsid w:val="00C84204"/>
    <w:rsid w:val="00C8433F"/>
    <w:rsid w:val="00C846E0"/>
    <w:rsid w:val="00C84763"/>
    <w:rsid w:val="00C847A0"/>
    <w:rsid w:val="00C8489E"/>
    <w:rsid w:val="00C84961"/>
    <w:rsid w:val="00C84E46"/>
    <w:rsid w:val="00C84E89"/>
    <w:rsid w:val="00C84EC2"/>
    <w:rsid w:val="00C84F7F"/>
    <w:rsid w:val="00C8528B"/>
    <w:rsid w:val="00C85304"/>
    <w:rsid w:val="00C8539B"/>
    <w:rsid w:val="00C853A4"/>
    <w:rsid w:val="00C853B2"/>
    <w:rsid w:val="00C855FA"/>
    <w:rsid w:val="00C858D9"/>
    <w:rsid w:val="00C858F1"/>
    <w:rsid w:val="00C8596B"/>
    <w:rsid w:val="00C85982"/>
    <w:rsid w:val="00C859A2"/>
    <w:rsid w:val="00C85A2B"/>
    <w:rsid w:val="00C85AC3"/>
    <w:rsid w:val="00C85B01"/>
    <w:rsid w:val="00C85BCD"/>
    <w:rsid w:val="00C85DC9"/>
    <w:rsid w:val="00C85E5B"/>
    <w:rsid w:val="00C863D5"/>
    <w:rsid w:val="00C8662D"/>
    <w:rsid w:val="00C8662E"/>
    <w:rsid w:val="00C866A2"/>
    <w:rsid w:val="00C86891"/>
    <w:rsid w:val="00C86A03"/>
    <w:rsid w:val="00C86A77"/>
    <w:rsid w:val="00C86B9E"/>
    <w:rsid w:val="00C86C46"/>
    <w:rsid w:val="00C86CF5"/>
    <w:rsid w:val="00C86E6A"/>
    <w:rsid w:val="00C86E6E"/>
    <w:rsid w:val="00C86EA3"/>
    <w:rsid w:val="00C86F76"/>
    <w:rsid w:val="00C86FD7"/>
    <w:rsid w:val="00C87079"/>
    <w:rsid w:val="00C87114"/>
    <w:rsid w:val="00C8728F"/>
    <w:rsid w:val="00C87408"/>
    <w:rsid w:val="00C8758B"/>
    <w:rsid w:val="00C87749"/>
    <w:rsid w:val="00C87760"/>
    <w:rsid w:val="00C877C7"/>
    <w:rsid w:val="00C87955"/>
    <w:rsid w:val="00C87A52"/>
    <w:rsid w:val="00C87C96"/>
    <w:rsid w:val="00C87EE4"/>
    <w:rsid w:val="00C87FBC"/>
    <w:rsid w:val="00C87FFA"/>
    <w:rsid w:val="00C9027A"/>
    <w:rsid w:val="00C902FA"/>
    <w:rsid w:val="00C90434"/>
    <w:rsid w:val="00C904EB"/>
    <w:rsid w:val="00C90504"/>
    <w:rsid w:val="00C906B8"/>
    <w:rsid w:val="00C908CB"/>
    <w:rsid w:val="00C90955"/>
    <w:rsid w:val="00C90CAA"/>
    <w:rsid w:val="00C90CB5"/>
    <w:rsid w:val="00C90CE7"/>
    <w:rsid w:val="00C9104B"/>
    <w:rsid w:val="00C91139"/>
    <w:rsid w:val="00C91231"/>
    <w:rsid w:val="00C916C3"/>
    <w:rsid w:val="00C919A7"/>
    <w:rsid w:val="00C91A4E"/>
    <w:rsid w:val="00C91ADA"/>
    <w:rsid w:val="00C91D7D"/>
    <w:rsid w:val="00C91F0B"/>
    <w:rsid w:val="00C91FFF"/>
    <w:rsid w:val="00C92011"/>
    <w:rsid w:val="00C92071"/>
    <w:rsid w:val="00C92105"/>
    <w:rsid w:val="00C92134"/>
    <w:rsid w:val="00C92269"/>
    <w:rsid w:val="00C9256D"/>
    <w:rsid w:val="00C92665"/>
    <w:rsid w:val="00C926AE"/>
    <w:rsid w:val="00C927DF"/>
    <w:rsid w:val="00C92808"/>
    <w:rsid w:val="00C92902"/>
    <w:rsid w:val="00C9291D"/>
    <w:rsid w:val="00C929C3"/>
    <w:rsid w:val="00C92C01"/>
    <w:rsid w:val="00C92C77"/>
    <w:rsid w:val="00C92D1E"/>
    <w:rsid w:val="00C92DE7"/>
    <w:rsid w:val="00C92E87"/>
    <w:rsid w:val="00C92ECD"/>
    <w:rsid w:val="00C92EE6"/>
    <w:rsid w:val="00C92F02"/>
    <w:rsid w:val="00C92FA9"/>
    <w:rsid w:val="00C931D8"/>
    <w:rsid w:val="00C93373"/>
    <w:rsid w:val="00C93464"/>
    <w:rsid w:val="00C934E8"/>
    <w:rsid w:val="00C935B3"/>
    <w:rsid w:val="00C9363B"/>
    <w:rsid w:val="00C93651"/>
    <w:rsid w:val="00C9365B"/>
    <w:rsid w:val="00C93847"/>
    <w:rsid w:val="00C939EF"/>
    <w:rsid w:val="00C93BA7"/>
    <w:rsid w:val="00C93E81"/>
    <w:rsid w:val="00C93EC0"/>
    <w:rsid w:val="00C93F7A"/>
    <w:rsid w:val="00C9400F"/>
    <w:rsid w:val="00C9403E"/>
    <w:rsid w:val="00C941E1"/>
    <w:rsid w:val="00C9421D"/>
    <w:rsid w:val="00C942CA"/>
    <w:rsid w:val="00C942F8"/>
    <w:rsid w:val="00C9453E"/>
    <w:rsid w:val="00C94643"/>
    <w:rsid w:val="00C947F4"/>
    <w:rsid w:val="00C94836"/>
    <w:rsid w:val="00C94917"/>
    <w:rsid w:val="00C94929"/>
    <w:rsid w:val="00C949D1"/>
    <w:rsid w:val="00C94A2E"/>
    <w:rsid w:val="00C94AEB"/>
    <w:rsid w:val="00C94C27"/>
    <w:rsid w:val="00C94C53"/>
    <w:rsid w:val="00C94D0A"/>
    <w:rsid w:val="00C95470"/>
    <w:rsid w:val="00C954FC"/>
    <w:rsid w:val="00C9552D"/>
    <w:rsid w:val="00C95551"/>
    <w:rsid w:val="00C955EA"/>
    <w:rsid w:val="00C95623"/>
    <w:rsid w:val="00C9575D"/>
    <w:rsid w:val="00C95876"/>
    <w:rsid w:val="00C95B22"/>
    <w:rsid w:val="00C95C93"/>
    <w:rsid w:val="00C95E3E"/>
    <w:rsid w:val="00C95E50"/>
    <w:rsid w:val="00C96229"/>
    <w:rsid w:val="00C96318"/>
    <w:rsid w:val="00C96559"/>
    <w:rsid w:val="00C965B5"/>
    <w:rsid w:val="00C967B1"/>
    <w:rsid w:val="00C96879"/>
    <w:rsid w:val="00C96896"/>
    <w:rsid w:val="00C9699B"/>
    <w:rsid w:val="00C969DB"/>
    <w:rsid w:val="00C96B4D"/>
    <w:rsid w:val="00C96B8E"/>
    <w:rsid w:val="00C96BB7"/>
    <w:rsid w:val="00C96CE4"/>
    <w:rsid w:val="00C96EC8"/>
    <w:rsid w:val="00C96F14"/>
    <w:rsid w:val="00C96FC9"/>
    <w:rsid w:val="00C971DB"/>
    <w:rsid w:val="00C9720B"/>
    <w:rsid w:val="00C9727A"/>
    <w:rsid w:val="00C972FA"/>
    <w:rsid w:val="00C9749B"/>
    <w:rsid w:val="00C975BE"/>
    <w:rsid w:val="00CA0225"/>
    <w:rsid w:val="00CA028D"/>
    <w:rsid w:val="00CA029D"/>
    <w:rsid w:val="00CA03EA"/>
    <w:rsid w:val="00CA05CC"/>
    <w:rsid w:val="00CA0840"/>
    <w:rsid w:val="00CA095B"/>
    <w:rsid w:val="00CA09E4"/>
    <w:rsid w:val="00CA0A08"/>
    <w:rsid w:val="00CA0B92"/>
    <w:rsid w:val="00CA0C41"/>
    <w:rsid w:val="00CA0CA9"/>
    <w:rsid w:val="00CA0D22"/>
    <w:rsid w:val="00CA0D33"/>
    <w:rsid w:val="00CA0D51"/>
    <w:rsid w:val="00CA0D92"/>
    <w:rsid w:val="00CA1070"/>
    <w:rsid w:val="00CA114D"/>
    <w:rsid w:val="00CA1467"/>
    <w:rsid w:val="00CA16F7"/>
    <w:rsid w:val="00CA17A5"/>
    <w:rsid w:val="00CA184D"/>
    <w:rsid w:val="00CA18A3"/>
    <w:rsid w:val="00CA19D0"/>
    <w:rsid w:val="00CA1D04"/>
    <w:rsid w:val="00CA1D08"/>
    <w:rsid w:val="00CA2269"/>
    <w:rsid w:val="00CA2346"/>
    <w:rsid w:val="00CA2464"/>
    <w:rsid w:val="00CA24EB"/>
    <w:rsid w:val="00CA25F4"/>
    <w:rsid w:val="00CA2843"/>
    <w:rsid w:val="00CA28F8"/>
    <w:rsid w:val="00CA291F"/>
    <w:rsid w:val="00CA2973"/>
    <w:rsid w:val="00CA2AED"/>
    <w:rsid w:val="00CA2B6B"/>
    <w:rsid w:val="00CA2C0B"/>
    <w:rsid w:val="00CA2CD7"/>
    <w:rsid w:val="00CA2CDB"/>
    <w:rsid w:val="00CA2CF7"/>
    <w:rsid w:val="00CA2D31"/>
    <w:rsid w:val="00CA2DF8"/>
    <w:rsid w:val="00CA2E80"/>
    <w:rsid w:val="00CA2F35"/>
    <w:rsid w:val="00CA3294"/>
    <w:rsid w:val="00CA33E3"/>
    <w:rsid w:val="00CA376B"/>
    <w:rsid w:val="00CA3835"/>
    <w:rsid w:val="00CA3852"/>
    <w:rsid w:val="00CA3886"/>
    <w:rsid w:val="00CA3946"/>
    <w:rsid w:val="00CA398E"/>
    <w:rsid w:val="00CA39D9"/>
    <w:rsid w:val="00CA3D3A"/>
    <w:rsid w:val="00CA3FD3"/>
    <w:rsid w:val="00CA4036"/>
    <w:rsid w:val="00CA4190"/>
    <w:rsid w:val="00CA41FB"/>
    <w:rsid w:val="00CA42D4"/>
    <w:rsid w:val="00CA4A05"/>
    <w:rsid w:val="00CA4A7A"/>
    <w:rsid w:val="00CA4E56"/>
    <w:rsid w:val="00CA4E82"/>
    <w:rsid w:val="00CA5113"/>
    <w:rsid w:val="00CA5325"/>
    <w:rsid w:val="00CA541E"/>
    <w:rsid w:val="00CA58DF"/>
    <w:rsid w:val="00CA5997"/>
    <w:rsid w:val="00CA5A57"/>
    <w:rsid w:val="00CA5F02"/>
    <w:rsid w:val="00CA601F"/>
    <w:rsid w:val="00CA6038"/>
    <w:rsid w:val="00CA621E"/>
    <w:rsid w:val="00CA63C7"/>
    <w:rsid w:val="00CA649E"/>
    <w:rsid w:val="00CA65F6"/>
    <w:rsid w:val="00CA67A2"/>
    <w:rsid w:val="00CA689B"/>
    <w:rsid w:val="00CA68C7"/>
    <w:rsid w:val="00CA691E"/>
    <w:rsid w:val="00CA6A33"/>
    <w:rsid w:val="00CA6C6A"/>
    <w:rsid w:val="00CA6D4F"/>
    <w:rsid w:val="00CA6D7E"/>
    <w:rsid w:val="00CA6DB0"/>
    <w:rsid w:val="00CA6FF3"/>
    <w:rsid w:val="00CA70CA"/>
    <w:rsid w:val="00CA715F"/>
    <w:rsid w:val="00CA71B7"/>
    <w:rsid w:val="00CA7314"/>
    <w:rsid w:val="00CA7319"/>
    <w:rsid w:val="00CA752A"/>
    <w:rsid w:val="00CA7558"/>
    <w:rsid w:val="00CA7630"/>
    <w:rsid w:val="00CA7741"/>
    <w:rsid w:val="00CA7876"/>
    <w:rsid w:val="00CA787C"/>
    <w:rsid w:val="00CA796D"/>
    <w:rsid w:val="00CA7A92"/>
    <w:rsid w:val="00CA7AF0"/>
    <w:rsid w:val="00CA7B47"/>
    <w:rsid w:val="00CA7B5F"/>
    <w:rsid w:val="00CA7B82"/>
    <w:rsid w:val="00CA7CA1"/>
    <w:rsid w:val="00CA7F9F"/>
    <w:rsid w:val="00CA7FBE"/>
    <w:rsid w:val="00CB00F4"/>
    <w:rsid w:val="00CB0280"/>
    <w:rsid w:val="00CB02BA"/>
    <w:rsid w:val="00CB02F2"/>
    <w:rsid w:val="00CB03A6"/>
    <w:rsid w:val="00CB044D"/>
    <w:rsid w:val="00CB0678"/>
    <w:rsid w:val="00CB06DD"/>
    <w:rsid w:val="00CB07B5"/>
    <w:rsid w:val="00CB081B"/>
    <w:rsid w:val="00CB0915"/>
    <w:rsid w:val="00CB0DFF"/>
    <w:rsid w:val="00CB0E56"/>
    <w:rsid w:val="00CB0F4A"/>
    <w:rsid w:val="00CB1381"/>
    <w:rsid w:val="00CB1473"/>
    <w:rsid w:val="00CB14BA"/>
    <w:rsid w:val="00CB150C"/>
    <w:rsid w:val="00CB167F"/>
    <w:rsid w:val="00CB1A34"/>
    <w:rsid w:val="00CB1E14"/>
    <w:rsid w:val="00CB1E42"/>
    <w:rsid w:val="00CB1E6C"/>
    <w:rsid w:val="00CB2084"/>
    <w:rsid w:val="00CB238C"/>
    <w:rsid w:val="00CB2468"/>
    <w:rsid w:val="00CB255D"/>
    <w:rsid w:val="00CB2633"/>
    <w:rsid w:val="00CB28ED"/>
    <w:rsid w:val="00CB2AF6"/>
    <w:rsid w:val="00CB2CA0"/>
    <w:rsid w:val="00CB2E58"/>
    <w:rsid w:val="00CB2F1C"/>
    <w:rsid w:val="00CB302B"/>
    <w:rsid w:val="00CB36AB"/>
    <w:rsid w:val="00CB374A"/>
    <w:rsid w:val="00CB38C9"/>
    <w:rsid w:val="00CB3990"/>
    <w:rsid w:val="00CB3CD5"/>
    <w:rsid w:val="00CB3E76"/>
    <w:rsid w:val="00CB3F50"/>
    <w:rsid w:val="00CB4078"/>
    <w:rsid w:val="00CB417A"/>
    <w:rsid w:val="00CB4380"/>
    <w:rsid w:val="00CB443F"/>
    <w:rsid w:val="00CB44B4"/>
    <w:rsid w:val="00CB459D"/>
    <w:rsid w:val="00CB468C"/>
    <w:rsid w:val="00CB46E9"/>
    <w:rsid w:val="00CB4792"/>
    <w:rsid w:val="00CB497F"/>
    <w:rsid w:val="00CB4982"/>
    <w:rsid w:val="00CB49C8"/>
    <w:rsid w:val="00CB4B42"/>
    <w:rsid w:val="00CB4C09"/>
    <w:rsid w:val="00CB4C34"/>
    <w:rsid w:val="00CB4C44"/>
    <w:rsid w:val="00CB4E1B"/>
    <w:rsid w:val="00CB51AC"/>
    <w:rsid w:val="00CB5243"/>
    <w:rsid w:val="00CB5309"/>
    <w:rsid w:val="00CB5332"/>
    <w:rsid w:val="00CB5501"/>
    <w:rsid w:val="00CB58FA"/>
    <w:rsid w:val="00CB5B6B"/>
    <w:rsid w:val="00CB5BA9"/>
    <w:rsid w:val="00CB5DE3"/>
    <w:rsid w:val="00CB60C2"/>
    <w:rsid w:val="00CB63D4"/>
    <w:rsid w:val="00CB66E0"/>
    <w:rsid w:val="00CB67D7"/>
    <w:rsid w:val="00CB6809"/>
    <w:rsid w:val="00CB6883"/>
    <w:rsid w:val="00CB69E3"/>
    <w:rsid w:val="00CB6AC5"/>
    <w:rsid w:val="00CB6B2A"/>
    <w:rsid w:val="00CB6CE7"/>
    <w:rsid w:val="00CB6DE9"/>
    <w:rsid w:val="00CB6E8B"/>
    <w:rsid w:val="00CB6FEB"/>
    <w:rsid w:val="00CB7004"/>
    <w:rsid w:val="00CB701F"/>
    <w:rsid w:val="00CB7135"/>
    <w:rsid w:val="00CB71D7"/>
    <w:rsid w:val="00CB7214"/>
    <w:rsid w:val="00CB7460"/>
    <w:rsid w:val="00CB7473"/>
    <w:rsid w:val="00CB74D6"/>
    <w:rsid w:val="00CB761B"/>
    <w:rsid w:val="00CB76AA"/>
    <w:rsid w:val="00CB76EA"/>
    <w:rsid w:val="00CB78C6"/>
    <w:rsid w:val="00CB7AA7"/>
    <w:rsid w:val="00CB7BC4"/>
    <w:rsid w:val="00CB7C49"/>
    <w:rsid w:val="00CB7DCB"/>
    <w:rsid w:val="00CB7F87"/>
    <w:rsid w:val="00CB7FC8"/>
    <w:rsid w:val="00CC0004"/>
    <w:rsid w:val="00CC04D2"/>
    <w:rsid w:val="00CC05DD"/>
    <w:rsid w:val="00CC0826"/>
    <w:rsid w:val="00CC0845"/>
    <w:rsid w:val="00CC0AAC"/>
    <w:rsid w:val="00CC0C86"/>
    <w:rsid w:val="00CC0E50"/>
    <w:rsid w:val="00CC0F02"/>
    <w:rsid w:val="00CC11C6"/>
    <w:rsid w:val="00CC13BC"/>
    <w:rsid w:val="00CC13BF"/>
    <w:rsid w:val="00CC176B"/>
    <w:rsid w:val="00CC189A"/>
    <w:rsid w:val="00CC190E"/>
    <w:rsid w:val="00CC1AB5"/>
    <w:rsid w:val="00CC1ACC"/>
    <w:rsid w:val="00CC1AF1"/>
    <w:rsid w:val="00CC1B77"/>
    <w:rsid w:val="00CC1C0A"/>
    <w:rsid w:val="00CC1CA0"/>
    <w:rsid w:val="00CC1CC6"/>
    <w:rsid w:val="00CC1D5F"/>
    <w:rsid w:val="00CC1FB3"/>
    <w:rsid w:val="00CC1FC7"/>
    <w:rsid w:val="00CC214E"/>
    <w:rsid w:val="00CC2543"/>
    <w:rsid w:val="00CC2555"/>
    <w:rsid w:val="00CC28E9"/>
    <w:rsid w:val="00CC2947"/>
    <w:rsid w:val="00CC2A51"/>
    <w:rsid w:val="00CC2B13"/>
    <w:rsid w:val="00CC2B7D"/>
    <w:rsid w:val="00CC2CDE"/>
    <w:rsid w:val="00CC2F38"/>
    <w:rsid w:val="00CC3037"/>
    <w:rsid w:val="00CC3049"/>
    <w:rsid w:val="00CC3089"/>
    <w:rsid w:val="00CC31CE"/>
    <w:rsid w:val="00CC31D8"/>
    <w:rsid w:val="00CC33F5"/>
    <w:rsid w:val="00CC345E"/>
    <w:rsid w:val="00CC348C"/>
    <w:rsid w:val="00CC3592"/>
    <w:rsid w:val="00CC3699"/>
    <w:rsid w:val="00CC36CD"/>
    <w:rsid w:val="00CC3764"/>
    <w:rsid w:val="00CC376F"/>
    <w:rsid w:val="00CC382C"/>
    <w:rsid w:val="00CC3874"/>
    <w:rsid w:val="00CC3883"/>
    <w:rsid w:val="00CC392B"/>
    <w:rsid w:val="00CC39A7"/>
    <w:rsid w:val="00CC3A32"/>
    <w:rsid w:val="00CC3A38"/>
    <w:rsid w:val="00CC3CB6"/>
    <w:rsid w:val="00CC3D32"/>
    <w:rsid w:val="00CC4153"/>
    <w:rsid w:val="00CC415D"/>
    <w:rsid w:val="00CC4160"/>
    <w:rsid w:val="00CC4285"/>
    <w:rsid w:val="00CC42AD"/>
    <w:rsid w:val="00CC4310"/>
    <w:rsid w:val="00CC4370"/>
    <w:rsid w:val="00CC4451"/>
    <w:rsid w:val="00CC46AB"/>
    <w:rsid w:val="00CC47B7"/>
    <w:rsid w:val="00CC47D4"/>
    <w:rsid w:val="00CC4948"/>
    <w:rsid w:val="00CC4AAD"/>
    <w:rsid w:val="00CC4C25"/>
    <w:rsid w:val="00CC4D8B"/>
    <w:rsid w:val="00CC4DCC"/>
    <w:rsid w:val="00CC4FC5"/>
    <w:rsid w:val="00CC51FD"/>
    <w:rsid w:val="00CC535A"/>
    <w:rsid w:val="00CC5386"/>
    <w:rsid w:val="00CC5483"/>
    <w:rsid w:val="00CC550C"/>
    <w:rsid w:val="00CC557D"/>
    <w:rsid w:val="00CC5656"/>
    <w:rsid w:val="00CC568A"/>
    <w:rsid w:val="00CC5882"/>
    <w:rsid w:val="00CC58B1"/>
    <w:rsid w:val="00CC5C5B"/>
    <w:rsid w:val="00CC5D1D"/>
    <w:rsid w:val="00CC5D72"/>
    <w:rsid w:val="00CC5EB7"/>
    <w:rsid w:val="00CC5EC1"/>
    <w:rsid w:val="00CC5F49"/>
    <w:rsid w:val="00CC5F8F"/>
    <w:rsid w:val="00CC5FAC"/>
    <w:rsid w:val="00CC600A"/>
    <w:rsid w:val="00CC61D7"/>
    <w:rsid w:val="00CC6316"/>
    <w:rsid w:val="00CC63FE"/>
    <w:rsid w:val="00CC6529"/>
    <w:rsid w:val="00CC6587"/>
    <w:rsid w:val="00CC682B"/>
    <w:rsid w:val="00CC6898"/>
    <w:rsid w:val="00CC6DE4"/>
    <w:rsid w:val="00CC6F20"/>
    <w:rsid w:val="00CC6FA3"/>
    <w:rsid w:val="00CC701C"/>
    <w:rsid w:val="00CC70D0"/>
    <w:rsid w:val="00CC71F0"/>
    <w:rsid w:val="00CC72DF"/>
    <w:rsid w:val="00CC746F"/>
    <w:rsid w:val="00CC7715"/>
    <w:rsid w:val="00CC789F"/>
    <w:rsid w:val="00CC78F7"/>
    <w:rsid w:val="00CC797A"/>
    <w:rsid w:val="00CC7A25"/>
    <w:rsid w:val="00CC7A33"/>
    <w:rsid w:val="00CC7BFC"/>
    <w:rsid w:val="00CC7D55"/>
    <w:rsid w:val="00CC7D97"/>
    <w:rsid w:val="00CC7EA2"/>
    <w:rsid w:val="00CC7EDB"/>
    <w:rsid w:val="00CC7EDC"/>
    <w:rsid w:val="00CD012C"/>
    <w:rsid w:val="00CD01C2"/>
    <w:rsid w:val="00CD03EE"/>
    <w:rsid w:val="00CD042A"/>
    <w:rsid w:val="00CD0453"/>
    <w:rsid w:val="00CD0454"/>
    <w:rsid w:val="00CD0577"/>
    <w:rsid w:val="00CD0669"/>
    <w:rsid w:val="00CD06D0"/>
    <w:rsid w:val="00CD0801"/>
    <w:rsid w:val="00CD0989"/>
    <w:rsid w:val="00CD0997"/>
    <w:rsid w:val="00CD0A76"/>
    <w:rsid w:val="00CD0BFA"/>
    <w:rsid w:val="00CD0C19"/>
    <w:rsid w:val="00CD0D63"/>
    <w:rsid w:val="00CD0E39"/>
    <w:rsid w:val="00CD0EA9"/>
    <w:rsid w:val="00CD13B8"/>
    <w:rsid w:val="00CD1447"/>
    <w:rsid w:val="00CD1454"/>
    <w:rsid w:val="00CD1656"/>
    <w:rsid w:val="00CD1881"/>
    <w:rsid w:val="00CD1951"/>
    <w:rsid w:val="00CD1999"/>
    <w:rsid w:val="00CD19B3"/>
    <w:rsid w:val="00CD19D8"/>
    <w:rsid w:val="00CD1A0A"/>
    <w:rsid w:val="00CD1A6C"/>
    <w:rsid w:val="00CD1A86"/>
    <w:rsid w:val="00CD1CAB"/>
    <w:rsid w:val="00CD1CB1"/>
    <w:rsid w:val="00CD1E26"/>
    <w:rsid w:val="00CD1EC6"/>
    <w:rsid w:val="00CD1EE3"/>
    <w:rsid w:val="00CD1F0D"/>
    <w:rsid w:val="00CD206B"/>
    <w:rsid w:val="00CD22E5"/>
    <w:rsid w:val="00CD23C0"/>
    <w:rsid w:val="00CD2695"/>
    <w:rsid w:val="00CD26A6"/>
    <w:rsid w:val="00CD273B"/>
    <w:rsid w:val="00CD2751"/>
    <w:rsid w:val="00CD276D"/>
    <w:rsid w:val="00CD2BD3"/>
    <w:rsid w:val="00CD2CC3"/>
    <w:rsid w:val="00CD2D36"/>
    <w:rsid w:val="00CD2D5A"/>
    <w:rsid w:val="00CD2E41"/>
    <w:rsid w:val="00CD2EF2"/>
    <w:rsid w:val="00CD2F61"/>
    <w:rsid w:val="00CD303A"/>
    <w:rsid w:val="00CD304B"/>
    <w:rsid w:val="00CD3270"/>
    <w:rsid w:val="00CD334D"/>
    <w:rsid w:val="00CD337C"/>
    <w:rsid w:val="00CD33CB"/>
    <w:rsid w:val="00CD33FE"/>
    <w:rsid w:val="00CD347F"/>
    <w:rsid w:val="00CD349E"/>
    <w:rsid w:val="00CD3513"/>
    <w:rsid w:val="00CD35ED"/>
    <w:rsid w:val="00CD368D"/>
    <w:rsid w:val="00CD384A"/>
    <w:rsid w:val="00CD3855"/>
    <w:rsid w:val="00CD3875"/>
    <w:rsid w:val="00CD3893"/>
    <w:rsid w:val="00CD3901"/>
    <w:rsid w:val="00CD39D6"/>
    <w:rsid w:val="00CD3AF8"/>
    <w:rsid w:val="00CD3B4A"/>
    <w:rsid w:val="00CD3D01"/>
    <w:rsid w:val="00CD3F44"/>
    <w:rsid w:val="00CD3F9B"/>
    <w:rsid w:val="00CD3FDE"/>
    <w:rsid w:val="00CD3FFD"/>
    <w:rsid w:val="00CD40F6"/>
    <w:rsid w:val="00CD40F8"/>
    <w:rsid w:val="00CD41EE"/>
    <w:rsid w:val="00CD4230"/>
    <w:rsid w:val="00CD428C"/>
    <w:rsid w:val="00CD440E"/>
    <w:rsid w:val="00CD444D"/>
    <w:rsid w:val="00CD45DC"/>
    <w:rsid w:val="00CD464C"/>
    <w:rsid w:val="00CD4E56"/>
    <w:rsid w:val="00CD4E8F"/>
    <w:rsid w:val="00CD4F98"/>
    <w:rsid w:val="00CD51E5"/>
    <w:rsid w:val="00CD5215"/>
    <w:rsid w:val="00CD531B"/>
    <w:rsid w:val="00CD5495"/>
    <w:rsid w:val="00CD56B1"/>
    <w:rsid w:val="00CD5772"/>
    <w:rsid w:val="00CD587F"/>
    <w:rsid w:val="00CD58AD"/>
    <w:rsid w:val="00CD5D1F"/>
    <w:rsid w:val="00CD5F16"/>
    <w:rsid w:val="00CD5F70"/>
    <w:rsid w:val="00CD617D"/>
    <w:rsid w:val="00CD661C"/>
    <w:rsid w:val="00CD6693"/>
    <w:rsid w:val="00CD67F3"/>
    <w:rsid w:val="00CD6886"/>
    <w:rsid w:val="00CD6A56"/>
    <w:rsid w:val="00CD6C04"/>
    <w:rsid w:val="00CD6C6C"/>
    <w:rsid w:val="00CD6CB0"/>
    <w:rsid w:val="00CD6CB4"/>
    <w:rsid w:val="00CD6D76"/>
    <w:rsid w:val="00CD6E2B"/>
    <w:rsid w:val="00CD6EF2"/>
    <w:rsid w:val="00CD6F97"/>
    <w:rsid w:val="00CD71A2"/>
    <w:rsid w:val="00CD71B4"/>
    <w:rsid w:val="00CD72DB"/>
    <w:rsid w:val="00CD72DF"/>
    <w:rsid w:val="00CD736D"/>
    <w:rsid w:val="00CD7531"/>
    <w:rsid w:val="00CD7955"/>
    <w:rsid w:val="00CD7996"/>
    <w:rsid w:val="00CD7A72"/>
    <w:rsid w:val="00CD7A8D"/>
    <w:rsid w:val="00CD7B45"/>
    <w:rsid w:val="00CD7B65"/>
    <w:rsid w:val="00CD7D7E"/>
    <w:rsid w:val="00CD7F5F"/>
    <w:rsid w:val="00CE017E"/>
    <w:rsid w:val="00CE02F8"/>
    <w:rsid w:val="00CE0308"/>
    <w:rsid w:val="00CE0373"/>
    <w:rsid w:val="00CE03CB"/>
    <w:rsid w:val="00CE0737"/>
    <w:rsid w:val="00CE09F4"/>
    <w:rsid w:val="00CE0A2F"/>
    <w:rsid w:val="00CE0BCA"/>
    <w:rsid w:val="00CE0CB0"/>
    <w:rsid w:val="00CE0D2C"/>
    <w:rsid w:val="00CE0E1B"/>
    <w:rsid w:val="00CE0F18"/>
    <w:rsid w:val="00CE12F7"/>
    <w:rsid w:val="00CE1303"/>
    <w:rsid w:val="00CE1470"/>
    <w:rsid w:val="00CE15A9"/>
    <w:rsid w:val="00CE15DF"/>
    <w:rsid w:val="00CE15E6"/>
    <w:rsid w:val="00CE1698"/>
    <w:rsid w:val="00CE1704"/>
    <w:rsid w:val="00CE17AB"/>
    <w:rsid w:val="00CE1895"/>
    <w:rsid w:val="00CE18E7"/>
    <w:rsid w:val="00CE1904"/>
    <w:rsid w:val="00CE1A6D"/>
    <w:rsid w:val="00CE1E3D"/>
    <w:rsid w:val="00CE1F4C"/>
    <w:rsid w:val="00CE2100"/>
    <w:rsid w:val="00CE2476"/>
    <w:rsid w:val="00CE26FB"/>
    <w:rsid w:val="00CE27B2"/>
    <w:rsid w:val="00CE281F"/>
    <w:rsid w:val="00CE2839"/>
    <w:rsid w:val="00CE29FC"/>
    <w:rsid w:val="00CE29FE"/>
    <w:rsid w:val="00CE2E7E"/>
    <w:rsid w:val="00CE2F3A"/>
    <w:rsid w:val="00CE2F4E"/>
    <w:rsid w:val="00CE3494"/>
    <w:rsid w:val="00CE34FC"/>
    <w:rsid w:val="00CE3519"/>
    <w:rsid w:val="00CE357F"/>
    <w:rsid w:val="00CE35FF"/>
    <w:rsid w:val="00CE37BE"/>
    <w:rsid w:val="00CE3A21"/>
    <w:rsid w:val="00CE3A36"/>
    <w:rsid w:val="00CE3B3B"/>
    <w:rsid w:val="00CE3B52"/>
    <w:rsid w:val="00CE3C1F"/>
    <w:rsid w:val="00CE3E6D"/>
    <w:rsid w:val="00CE3F05"/>
    <w:rsid w:val="00CE3F0F"/>
    <w:rsid w:val="00CE400D"/>
    <w:rsid w:val="00CE4312"/>
    <w:rsid w:val="00CE4340"/>
    <w:rsid w:val="00CE4496"/>
    <w:rsid w:val="00CE44D0"/>
    <w:rsid w:val="00CE469D"/>
    <w:rsid w:val="00CE4707"/>
    <w:rsid w:val="00CE4A50"/>
    <w:rsid w:val="00CE4C4F"/>
    <w:rsid w:val="00CE4DF2"/>
    <w:rsid w:val="00CE4FFA"/>
    <w:rsid w:val="00CE5014"/>
    <w:rsid w:val="00CE5135"/>
    <w:rsid w:val="00CE5181"/>
    <w:rsid w:val="00CE52CC"/>
    <w:rsid w:val="00CE5344"/>
    <w:rsid w:val="00CE5416"/>
    <w:rsid w:val="00CE5465"/>
    <w:rsid w:val="00CE555E"/>
    <w:rsid w:val="00CE55DF"/>
    <w:rsid w:val="00CE59CB"/>
    <w:rsid w:val="00CE5AB8"/>
    <w:rsid w:val="00CE5AEC"/>
    <w:rsid w:val="00CE5C07"/>
    <w:rsid w:val="00CE5D87"/>
    <w:rsid w:val="00CE5E24"/>
    <w:rsid w:val="00CE6098"/>
    <w:rsid w:val="00CE60A5"/>
    <w:rsid w:val="00CE6333"/>
    <w:rsid w:val="00CE6371"/>
    <w:rsid w:val="00CE65A0"/>
    <w:rsid w:val="00CE65FA"/>
    <w:rsid w:val="00CE664F"/>
    <w:rsid w:val="00CE6749"/>
    <w:rsid w:val="00CE678A"/>
    <w:rsid w:val="00CE67C3"/>
    <w:rsid w:val="00CE68CF"/>
    <w:rsid w:val="00CE6AB8"/>
    <w:rsid w:val="00CE6E72"/>
    <w:rsid w:val="00CE6F5C"/>
    <w:rsid w:val="00CE7195"/>
    <w:rsid w:val="00CE72AE"/>
    <w:rsid w:val="00CE760B"/>
    <w:rsid w:val="00CE76B1"/>
    <w:rsid w:val="00CE76C6"/>
    <w:rsid w:val="00CE77E5"/>
    <w:rsid w:val="00CE79DA"/>
    <w:rsid w:val="00CE7A7A"/>
    <w:rsid w:val="00CE7AE5"/>
    <w:rsid w:val="00CE7B1C"/>
    <w:rsid w:val="00CE7E42"/>
    <w:rsid w:val="00CF0126"/>
    <w:rsid w:val="00CF012B"/>
    <w:rsid w:val="00CF0163"/>
    <w:rsid w:val="00CF01AE"/>
    <w:rsid w:val="00CF0210"/>
    <w:rsid w:val="00CF0427"/>
    <w:rsid w:val="00CF055F"/>
    <w:rsid w:val="00CF068A"/>
    <w:rsid w:val="00CF07EE"/>
    <w:rsid w:val="00CF094F"/>
    <w:rsid w:val="00CF0BA6"/>
    <w:rsid w:val="00CF0DA4"/>
    <w:rsid w:val="00CF11E4"/>
    <w:rsid w:val="00CF121B"/>
    <w:rsid w:val="00CF12AD"/>
    <w:rsid w:val="00CF12FE"/>
    <w:rsid w:val="00CF162D"/>
    <w:rsid w:val="00CF166A"/>
    <w:rsid w:val="00CF1703"/>
    <w:rsid w:val="00CF1739"/>
    <w:rsid w:val="00CF193C"/>
    <w:rsid w:val="00CF1A69"/>
    <w:rsid w:val="00CF1CB3"/>
    <w:rsid w:val="00CF1D14"/>
    <w:rsid w:val="00CF1D3D"/>
    <w:rsid w:val="00CF1D56"/>
    <w:rsid w:val="00CF1DA1"/>
    <w:rsid w:val="00CF1EB6"/>
    <w:rsid w:val="00CF20C7"/>
    <w:rsid w:val="00CF20EE"/>
    <w:rsid w:val="00CF214C"/>
    <w:rsid w:val="00CF21D6"/>
    <w:rsid w:val="00CF2274"/>
    <w:rsid w:val="00CF22CB"/>
    <w:rsid w:val="00CF22CD"/>
    <w:rsid w:val="00CF23C1"/>
    <w:rsid w:val="00CF2547"/>
    <w:rsid w:val="00CF25C6"/>
    <w:rsid w:val="00CF264C"/>
    <w:rsid w:val="00CF2942"/>
    <w:rsid w:val="00CF2947"/>
    <w:rsid w:val="00CF2BA8"/>
    <w:rsid w:val="00CF2C8E"/>
    <w:rsid w:val="00CF2D8F"/>
    <w:rsid w:val="00CF2DF3"/>
    <w:rsid w:val="00CF2F6D"/>
    <w:rsid w:val="00CF328E"/>
    <w:rsid w:val="00CF3349"/>
    <w:rsid w:val="00CF3373"/>
    <w:rsid w:val="00CF3493"/>
    <w:rsid w:val="00CF3497"/>
    <w:rsid w:val="00CF35EA"/>
    <w:rsid w:val="00CF3749"/>
    <w:rsid w:val="00CF394D"/>
    <w:rsid w:val="00CF3BE5"/>
    <w:rsid w:val="00CF3D42"/>
    <w:rsid w:val="00CF3E8F"/>
    <w:rsid w:val="00CF3EEB"/>
    <w:rsid w:val="00CF40DA"/>
    <w:rsid w:val="00CF421E"/>
    <w:rsid w:val="00CF42CF"/>
    <w:rsid w:val="00CF430C"/>
    <w:rsid w:val="00CF4674"/>
    <w:rsid w:val="00CF47A5"/>
    <w:rsid w:val="00CF48B7"/>
    <w:rsid w:val="00CF495F"/>
    <w:rsid w:val="00CF4969"/>
    <w:rsid w:val="00CF4A03"/>
    <w:rsid w:val="00CF4A1F"/>
    <w:rsid w:val="00CF4B21"/>
    <w:rsid w:val="00CF4B26"/>
    <w:rsid w:val="00CF4FA8"/>
    <w:rsid w:val="00CF4FEE"/>
    <w:rsid w:val="00CF50CE"/>
    <w:rsid w:val="00CF51D6"/>
    <w:rsid w:val="00CF52BF"/>
    <w:rsid w:val="00CF52DA"/>
    <w:rsid w:val="00CF5378"/>
    <w:rsid w:val="00CF54FE"/>
    <w:rsid w:val="00CF567D"/>
    <w:rsid w:val="00CF5C64"/>
    <w:rsid w:val="00CF5D27"/>
    <w:rsid w:val="00CF60F1"/>
    <w:rsid w:val="00CF6101"/>
    <w:rsid w:val="00CF614C"/>
    <w:rsid w:val="00CF625A"/>
    <w:rsid w:val="00CF6426"/>
    <w:rsid w:val="00CF6510"/>
    <w:rsid w:val="00CF65EB"/>
    <w:rsid w:val="00CF6A0E"/>
    <w:rsid w:val="00CF6B4B"/>
    <w:rsid w:val="00CF6C2B"/>
    <w:rsid w:val="00CF6E9D"/>
    <w:rsid w:val="00CF6FB6"/>
    <w:rsid w:val="00CF70DB"/>
    <w:rsid w:val="00CF70FE"/>
    <w:rsid w:val="00CF715D"/>
    <w:rsid w:val="00CF748C"/>
    <w:rsid w:val="00CF74B4"/>
    <w:rsid w:val="00CF76C8"/>
    <w:rsid w:val="00CF7828"/>
    <w:rsid w:val="00CF7BFE"/>
    <w:rsid w:val="00CF7E5E"/>
    <w:rsid w:val="00CF7F59"/>
    <w:rsid w:val="00CF7FA4"/>
    <w:rsid w:val="00D00079"/>
    <w:rsid w:val="00D001BC"/>
    <w:rsid w:val="00D00340"/>
    <w:rsid w:val="00D00379"/>
    <w:rsid w:val="00D003A7"/>
    <w:rsid w:val="00D0066F"/>
    <w:rsid w:val="00D00774"/>
    <w:rsid w:val="00D007DE"/>
    <w:rsid w:val="00D00C7B"/>
    <w:rsid w:val="00D00E0F"/>
    <w:rsid w:val="00D01089"/>
    <w:rsid w:val="00D010C3"/>
    <w:rsid w:val="00D0111C"/>
    <w:rsid w:val="00D0112F"/>
    <w:rsid w:val="00D0149D"/>
    <w:rsid w:val="00D01745"/>
    <w:rsid w:val="00D01920"/>
    <w:rsid w:val="00D01A3D"/>
    <w:rsid w:val="00D01A62"/>
    <w:rsid w:val="00D01A81"/>
    <w:rsid w:val="00D01C00"/>
    <w:rsid w:val="00D01CBE"/>
    <w:rsid w:val="00D01D1A"/>
    <w:rsid w:val="00D01F5D"/>
    <w:rsid w:val="00D020DF"/>
    <w:rsid w:val="00D0210F"/>
    <w:rsid w:val="00D02159"/>
    <w:rsid w:val="00D02562"/>
    <w:rsid w:val="00D0262C"/>
    <w:rsid w:val="00D02698"/>
    <w:rsid w:val="00D026CB"/>
    <w:rsid w:val="00D0272D"/>
    <w:rsid w:val="00D0277F"/>
    <w:rsid w:val="00D028C6"/>
    <w:rsid w:val="00D02A28"/>
    <w:rsid w:val="00D02A4E"/>
    <w:rsid w:val="00D02C8A"/>
    <w:rsid w:val="00D02D5B"/>
    <w:rsid w:val="00D02E19"/>
    <w:rsid w:val="00D030D8"/>
    <w:rsid w:val="00D03555"/>
    <w:rsid w:val="00D035AF"/>
    <w:rsid w:val="00D03687"/>
    <w:rsid w:val="00D036AA"/>
    <w:rsid w:val="00D037FA"/>
    <w:rsid w:val="00D03856"/>
    <w:rsid w:val="00D03994"/>
    <w:rsid w:val="00D03B87"/>
    <w:rsid w:val="00D03C17"/>
    <w:rsid w:val="00D03CC7"/>
    <w:rsid w:val="00D03D40"/>
    <w:rsid w:val="00D040DA"/>
    <w:rsid w:val="00D040F6"/>
    <w:rsid w:val="00D04145"/>
    <w:rsid w:val="00D04213"/>
    <w:rsid w:val="00D042C8"/>
    <w:rsid w:val="00D042DE"/>
    <w:rsid w:val="00D0430E"/>
    <w:rsid w:val="00D04436"/>
    <w:rsid w:val="00D04453"/>
    <w:rsid w:val="00D04480"/>
    <w:rsid w:val="00D045AD"/>
    <w:rsid w:val="00D045D4"/>
    <w:rsid w:val="00D046BD"/>
    <w:rsid w:val="00D04700"/>
    <w:rsid w:val="00D047D3"/>
    <w:rsid w:val="00D0491E"/>
    <w:rsid w:val="00D04A02"/>
    <w:rsid w:val="00D04A82"/>
    <w:rsid w:val="00D04A90"/>
    <w:rsid w:val="00D04B0B"/>
    <w:rsid w:val="00D04E33"/>
    <w:rsid w:val="00D04E63"/>
    <w:rsid w:val="00D0504F"/>
    <w:rsid w:val="00D05052"/>
    <w:rsid w:val="00D05115"/>
    <w:rsid w:val="00D05266"/>
    <w:rsid w:val="00D053EE"/>
    <w:rsid w:val="00D05651"/>
    <w:rsid w:val="00D05728"/>
    <w:rsid w:val="00D05734"/>
    <w:rsid w:val="00D057C3"/>
    <w:rsid w:val="00D05816"/>
    <w:rsid w:val="00D0586E"/>
    <w:rsid w:val="00D058E1"/>
    <w:rsid w:val="00D05A05"/>
    <w:rsid w:val="00D05A33"/>
    <w:rsid w:val="00D05B26"/>
    <w:rsid w:val="00D05BB9"/>
    <w:rsid w:val="00D05D0F"/>
    <w:rsid w:val="00D06444"/>
    <w:rsid w:val="00D064AB"/>
    <w:rsid w:val="00D0661E"/>
    <w:rsid w:val="00D0662B"/>
    <w:rsid w:val="00D067B2"/>
    <w:rsid w:val="00D06A99"/>
    <w:rsid w:val="00D06D51"/>
    <w:rsid w:val="00D06DE4"/>
    <w:rsid w:val="00D07221"/>
    <w:rsid w:val="00D0750D"/>
    <w:rsid w:val="00D075AA"/>
    <w:rsid w:val="00D07638"/>
    <w:rsid w:val="00D07795"/>
    <w:rsid w:val="00D07824"/>
    <w:rsid w:val="00D078F2"/>
    <w:rsid w:val="00D0799A"/>
    <w:rsid w:val="00D07C10"/>
    <w:rsid w:val="00D07C69"/>
    <w:rsid w:val="00D07DCC"/>
    <w:rsid w:val="00D07E5F"/>
    <w:rsid w:val="00D07E60"/>
    <w:rsid w:val="00D07EB0"/>
    <w:rsid w:val="00D1001E"/>
    <w:rsid w:val="00D102AD"/>
    <w:rsid w:val="00D102B8"/>
    <w:rsid w:val="00D1047E"/>
    <w:rsid w:val="00D10515"/>
    <w:rsid w:val="00D105B7"/>
    <w:rsid w:val="00D105DD"/>
    <w:rsid w:val="00D10623"/>
    <w:rsid w:val="00D106B8"/>
    <w:rsid w:val="00D1073F"/>
    <w:rsid w:val="00D10746"/>
    <w:rsid w:val="00D10756"/>
    <w:rsid w:val="00D10869"/>
    <w:rsid w:val="00D10A11"/>
    <w:rsid w:val="00D10A67"/>
    <w:rsid w:val="00D10A82"/>
    <w:rsid w:val="00D10E5F"/>
    <w:rsid w:val="00D1102A"/>
    <w:rsid w:val="00D11082"/>
    <w:rsid w:val="00D110F0"/>
    <w:rsid w:val="00D113FE"/>
    <w:rsid w:val="00D116D4"/>
    <w:rsid w:val="00D11783"/>
    <w:rsid w:val="00D11795"/>
    <w:rsid w:val="00D117D2"/>
    <w:rsid w:val="00D11C85"/>
    <w:rsid w:val="00D11C92"/>
    <w:rsid w:val="00D12083"/>
    <w:rsid w:val="00D12249"/>
    <w:rsid w:val="00D1241C"/>
    <w:rsid w:val="00D12519"/>
    <w:rsid w:val="00D1288C"/>
    <w:rsid w:val="00D12942"/>
    <w:rsid w:val="00D12A1B"/>
    <w:rsid w:val="00D12BA5"/>
    <w:rsid w:val="00D12C41"/>
    <w:rsid w:val="00D12C43"/>
    <w:rsid w:val="00D12D43"/>
    <w:rsid w:val="00D12E88"/>
    <w:rsid w:val="00D12FC4"/>
    <w:rsid w:val="00D13237"/>
    <w:rsid w:val="00D133AD"/>
    <w:rsid w:val="00D13541"/>
    <w:rsid w:val="00D136BE"/>
    <w:rsid w:val="00D136F6"/>
    <w:rsid w:val="00D13867"/>
    <w:rsid w:val="00D13872"/>
    <w:rsid w:val="00D13A9E"/>
    <w:rsid w:val="00D13ACA"/>
    <w:rsid w:val="00D13CF2"/>
    <w:rsid w:val="00D142EB"/>
    <w:rsid w:val="00D14318"/>
    <w:rsid w:val="00D14433"/>
    <w:rsid w:val="00D144AD"/>
    <w:rsid w:val="00D1451D"/>
    <w:rsid w:val="00D1472C"/>
    <w:rsid w:val="00D14988"/>
    <w:rsid w:val="00D14999"/>
    <w:rsid w:val="00D14A72"/>
    <w:rsid w:val="00D14BED"/>
    <w:rsid w:val="00D14D09"/>
    <w:rsid w:val="00D14E62"/>
    <w:rsid w:val="00D14E8B"/>
    <w:rsid w:val="00D14EB3"/>
    <w:rsid w:val="00D14FB4"/>
    <w:rsid w:val="00D15020"/>
    <w:rsid w:val="00D15037"/>
    <w:rsid w:val="00D15153"/>
    <w:rsid w:val="00D15395"/>
    <w:rsid w:val="00D153C8"/>
    <w:rsid w:val="00D1547B"/>
    <w:rsid w:val="00D154B2"/>
    <w:rsid w:val="00D156E7"/>
    <w:rsid w:val="00D15877"/>
    <w:rsid w:val="00D15E98"/>
    <w:rsid w:val="00D15F25"/>
    <w:rsid w:val="00D15F67"/>
    <w:rsid w:val="00D16140"/>
    <w:rsid w:val="00D163D4"/>
    <w:rsid w:val="00D166EB"/>
    <w:rsid w:val="00D1680B"/>
    <w:rsid w:val="00D16889"/>
    <w:rsid w:val="00D16A04"/>
    <w:rsid w:val="00D16B12"/>
    <w:rsid w:val="00D16C25"/>
    <w:rsid w:val="00D16E0E"/>
    <w:rsid w:val="00D17039"/>
    <w:rsid w:val="00D17174"/>
    <w:rsid w:val="00D17390"/>
    <w:rsid w:val="00D173CC"/>
    <w:rsid w:val="00D17411"/>
    <w:rsid w:val="00D1743E"/>
    <w:rsid w:val="00D174C7"/>
    <w:rsid w:val="00D1757A"/>
    <w:rsid w:val="00D17B27"/>
    <w:rsid w:val="00D17B2A"/>
    <w:rsid w:val="00D17C23"/>
    <w:rsid w:val="00D17C35"/>
    <w:rsid w:val="00D17C67"/>
    <w:rsid w:val="00D20068"/>
    <w:rsid w:val="00D20297"/>
    <w:rsid w:val="00D202BF"/>
    <w:rsid w:val="00D204B2"/>
    <w:rsid w:val="00D205F4"/>
    <w:rsid w:val="00D206D6"/>
    <w:rsid w:val="00D20DED"/>
    <w:rsid w:val="00D20E18"/>
    <w:rsid w:val="00D20F0A"/>
    <w:rsid w:val="00D20F6E"/>
    <w:rsid w:val="00D213C7"/>
    <w:rsid w:val="00D2145C"/>
    <w:rsid w:val="00D2193E"/>
    <w:rsid w:val="00D21D7E"/>
    <w:rsid w:val="00D22154"/>
    <w:rsid w:val="00D2246B"/>
    <w:rsid w:val="00D22546"/>
    <w:rsid w:val="00D225F4"/>
    <w:rsid w:val="00D22607"/>
    <w:rsid w:val="00D22629"/>
    <w:rsid w:val="00D22878"/>
    <w:rsid w:val="00D2293E"/>
    <w:rsid w:val="00D22C62"/>
    <w:rsid w:val="00D22EDF"/>
    <w:rsid w:val="00D22F48"/>
    <w:rsid w:val="00D2302C"/>
    <w:rsid w:val="00D23033"/>
    <w:rsid w:val="00D2303C"/>
    <w:rsid w:val="00D23109"/>
    <w:rsid w:val="00D2311A"/>
    <w:rsid w:val="00D23295"/>
    <w:rsid w:val="00D232A3"/>
    <w:rsid w:val="00D233B9"/>
    <w:rsid w:val="00D233F4"/>
    <w:rsid w:val="00D234F1"/>
    <w:rsid w:val="00D2352E"/>
    <w:rsid w:val="00D23580"/>
    <w:rsid w:val="00D2368A"/>
    <w:rsid w:val="00D23700"/>
    <w:rsid w:val="00D23730"/>
    <w:rsid w:val="00D2384E"/>
    <w:rsid w:val="00D23A84"/>
    <w:rsid w:val="00D23C16"/>
    <w:rsid w:val="00D23C47"/>
    <w:rsid w:val="00D23CC1"/>
    <w:rsid w:val="00D23FBA"/>
    <w:rsid w:val="00D24030"/>
    <w:rsid w:val="00D24233"/>
    <w:rsid w:val="00D244B2"/>
    <w:rsid w:val="00D244CC"/>
    <w:rsid w:val="00D24507"/>
    <w:rsid w:val="00D245E0"/>
    <w:rsid w:val="00D246C0"/>
    <w:rsid w:val="00D246CA"/>
    <w:rsid w:val="00D248A8"/>
    <w:rsid w:val="00D24A6E"/>
    <w:rsid w:val="00D24B42"/>
    <w:rsid w:val="00D24E41"/>
    <w:rsid w:val="00D24F2C"/>
    <w:rsid w:val="00D250FB"/>
    <w:rsid w:val="00D25142"/>
    <w:rsid w:val="00D2514B"/>
    <w:rsid w:val="00D252F6"/>
    <w:rsid w:val="00D25811"/>
    <w:rsid w:val="00D2581B"/>
    <w:rsid w:val="00D2582E"/>
    <w:rsid w:val="00D259A0"/>
    <w:rsid w:val="00D259C8"/>
    <w:rsid w:val="00D25A07"/>
    <w:rsid w:val="00D25AFF"/>
    <w:rsid w:val="00D25C46"/>
    <w:rsid w:val="00D25E0F"/>
    <w:rsid w:val="00D25F40"/>
    <w:rsid w:val="00D25F56"/>
    <w:rsid w:val="00D2621E"/>
    <w:rsid w:val="00D264CA"/>
    <w:rsid w:val="00D264CC"/>
    <w:rsid w:val="00D26530"/>
    <w:rsid w:val="00D2687F"/>
    <w:rsid w:val="00D26DEC"/>
    <w:rsid w:val="00D26E59"/>
    <w:rsid w:val="00D27285"/>
    <w:rsid w:val="00D27712"/>
    <w:rsid w:val="00D27999"/>
    <w:rsid w:val="00D27B61"/>
    <w:rsid w:val="00D27C2D"/>
    <w:rsid w:val="00D27D37"/>
    <w:rsid w:val="00D27D81"/>
    <w:rsid w:val="00D27DA5"/>
    <w:rsid w:val="00D27DC3"/>
    <w:rsid w:val="00D27E8A"/>
    <w:rsid w:val="00D27F86"/>
    <w:rsid w:val="00D30048"/>
    <w:rsid w:val="00D30205"/>
    <w:rsid w:val="00D303CC"/>
    <w:rsid w:val="00D303E3"/>
    <w:rsid w:val="00D3044F"/>
    <w:rsid w:val="00D306F3"/>
    <w:rsid w:val="00D3077C"/>
    <w:rsid w:val="00D307EE"/>
    <w:rsid w:val="00D30802"/>
    <w:rsid w:val="00D3090E"/>
    <w:rsid w:val="00D30A5A"/>
    <w:rsid w:val="00D30A78"/>
    <w:rsid w:val="00D30ADB"/>
    <w:rsid w:val="00D30C24"/>
    <w:rsid w:val="00D30EE1"/>
    <w:rsid w:val="00D30F61"/>
    <w:rsid w:val="00D31015"/>
    <w:rsid w:val="00D311A1"/>
    <w:rsid w:val="00D31349"/>
    <w:rsid w:val="00D31495"/>
    <w:rsid w:val="00D314DC"/>
    <w:rsid w:val="00D3162A"/>
    <w:rsid w:val="00D31845"/>
    <w:rsid w:val="00D31ABD"/>
    <w:rsid w:val="00D31ADA"/>
    <w:rsid w:val="00D31AF6"/>
    <w:rsid w:val="00D31B26"/>
    <w:rsid w:val="00D31BE3"/>
    <w:rsid w:val="00D31CC6"/>
    <w:rsid w:val="00D31E49"/>
    <w:rsid w:val="00D3215A"/>
    <w:rsid w:val="00D321BA"/>
    <w:rsid w:val="00D321E8"/>
    <w:rsid w:val="00D32278"/>
    <w:rsid w:val="00D322DF"/>
    <w:rsid w:val="00D3268A"/>
    <w:rsid w:val="00D326E4"/>
    <w:rsid w:val="00D32862"/>
    <w:rsid w:val="00D32A74"/>
    <w:rsid w:val="00D32AD7"/>
    <w:rsid w:val="00D32B01"/>
    <w:rsid w:val="00D32BCD"/>
    <w:rsid w:val="00D32C94"/>
    <w:rsid w:val="00D32E4B"/>
    <w:rsid w:val="00D32F5F"/>
    <w:rsid w:val="00D33076"/>
    <w:rsid w:val="00D332AF"/>
    <w:rsid w:val="00D33349"/>
    <w:rsid w:val="00D33491"/>
    <w:rsid w:val="00D338A5"/>
    <w:rsid w:val="00D33A65"/>
    <w:rsid w:val="00D33B31"/>
    <w:rsid w:val="00D33B9A"/>
    <w:rsid w:val="00D33E97"/>
    <w:rsid w:val="00D3401E"/>
    <w:rsid w:val="00D3403F"/>
    <w:rsid w:val="00D34055"/>
    <w:rsid w:val="00D34615"/>
    <w:rsid w:val="00D348C6"/>
    <w:rsid w:val="00D3491A"/>
    <w:rsid w:val="00D34966"/>
    <w:rsid w:val="00D349D0"/>
    <w:rsid w:val="00D34A8C"/>
    <w:rsid w:val="00D34B0F"/>
    <w:rsid w:val="00D34B41"/>
    <w:rsid w:val="00D34C3E"/>
    <w:rsid w:val="00D34CB8"/>
    <w:rsid w:val="00D34E06"/>
    <w:rsid w:val="00D34E7F"/>
    <w:rsid w:val="00D35045"/>
    <w:rsid w:val="00D350E8"/>
    <w:rsid w:val="00D35473"/>
    <w:rsid w:val="00D355FA"/>
    <w:rsid w:val="00D35616"/>
    <w:rsid w:val="00D35663"/>
    <w:rsid w:val="00D357FA"/>
    <w:rsid w:val="00D3588F"/>
    <w:rsid w:val="00D35A18"/>
    <w:rsid w:val="00D35A3F"/>
    <w:rsid w:val="00D35B22"/>
    <w:rsid w:val="00D35B4B"/>
    <w:rsid w:val="00D35D53"/>
    <w:rsid w:val="00D36034"/>
    <w:rsid w:val="00D3611A"/>
    <w:rsid w:val="00D36488"/>
    <w:rsid w:val="00D36549"/>
    <w:rsid w:val="00D369F5"/>
    <w:rsid w:val="00D36B03"/>
    <w:rsid w:val="00D36B33"/>
    <w:rsid w:val="00D36D0E"/>
    <w:rsid w:val="00D37070"/>
    <w:rsid w:val="00D3714B"/>
    <w:rsid w:val="00D371B0"/>
    <w:rsid w:val="00D37292"/>
    <w:rsid w:val="00D372B3"/>
    <w:rsid w:val="00D373D2"/>
    <w:rsid w:val="00D37556"/>
    <w:rsid w:val="00D375C0"/>
    <w:rsid w:val="00D375FC"/>
    <w:rsid w:val="00D37632"/>
    <w:rsid w:val="00D377D5"/>
    <w:rsid w:val="00D3785D"/>
    <w:rsid w:val="00D37964"/>
    <w:rsid w:val="00D37A99"/>
    <w:rsid w:val="00D37B84"/>
    <w:rsid w:val="00D37B9B"/>
    <w:rsid w:val="00D37BE7"/>
    <w:rsid w:val="00D37D63"/>
    <w:rsid w:val="00D37E3C"/>
    <w:rsid w:val="00D401E2"/>
    <w:rsid w:val="00D403C0"/>
    <w:rsid w:val="00D403FE"/>
    <w:rsid w:val="00D405D2"/>
    <w:rsid w:val="00D40679"/>
    <w:rsid w:val="00D408F9"/>
    <w:rsid w:val="00D40A49"/>
    <w:rsid w:val="00D40A8D"/>
    <w:rsid w:val="00D40AAD"/>
    <w:rsid w:val="00D40B4F"/>
    <w:rsid w:val="00D40BD3"/>
    <w:rsid w:val="00D40BFA"/>
    <w:rsid w:val="00D40D2D"/>
    <w:rsid w:val="00D40E7E"/>
    <w:rsid w:val="00D41044"/>
    <w:rsid w:val="00D4119F"/>
    <w:rsid w:val="00D4161E"/>
    <w:rsid w:val="00D41674"/>
    <w:rsid w:val="00D4180F"/>
    <w:rsid w:val="00D41856"/>
    <w:rsid w:val="00D41B7F"/>
    <w:rsid w:val="00D41C2A"/>
    <w:rsid w:val="00D41C62"/>
    <w:rsid w:val="00D41DD5"/>
    <w:rsid w:val="00D41F78"/>
    <w:rsid w:val="00D42239"/>
    <w:rsid w:val="00D4226A"/>
    <w:rsid w:val="00D42279"/>
    <w:rsid w:val="00D423F4"/>
    <w:rsid w:val="00D424E1"/>
    <w:rsid w:val="00D425A1"/>
    <w:rsid w:val="00D42896"/>
    <w:rsid w:val="00D42960"/>
    <w:rsid w:val="00D429F0"/>
    <w:rsid w:val="00D42A93"/>
    <w:rsid w:val="00D42D90"/>
    <w:rsid w:val="00D42EC4"/>
    <w:rsid w:val="00D42FAD"/>
    <w:rsid w:val="00D430F2"/>
    <w:rsid w:val="00D43462"/>
    <w:rsid w:val="00D4349E"/>
    <w:rsid w:val="00D4360C"/>
    <w:rsid w:val="00D43695"/>
    <w:rsid w:val="00D43709"/>
    <w:rsid w:val="00D4379D"/>
    <w:rsid w:val="00D439A3"/>
    <w:rsid w:val="00D43A95"/>
    <w:rsid w:val="00D43BEE"/>
    <w:rsid w:val="00D43E6F"/>
    <w:rsid w:val="00D43E9C"/>
    <w:rsid w:val="00D43F00"/>
    <w:rsid w:val="00D43FA5"/>
    <w:rsid w:val="00D440D5"/>
    <w:rsid w:val="00D44235"/>
    <w:rsid w:val="00D44341"/>
    <w:rsid w:val="00D44766"/>
    <w:rsid w:val="00D448D5"/>
    <w:rsid w:val="00D44962"/>
    <w:rsid w:val="00D44986"/>
    <w:rsid w:val="00D44A22"/>
    <w:rsid w:val="00D44CAF"/>
    <w:rsid w:val="00D44F05"/>
    <w:rsid w:val="00D45089"/>
    <w:rsid w:val="00D450DC"/>
    <w:rsid w:val="00D45282"/>
    <w:rsid w:val="00D45318"/>
    <w:rsid w:val="00D4552F"/>
    <w:rsid w:val="00D455CB"/>
    <w:rsid w:val="00D45628"/>
    <w:rsid w:val="00D456EF"/>
    <w:rsid w:val="00D4597A"/>
    <w:rsid w:val="00D4598F"/>
    <w:rsid w:val="00D4599B"/>
    <w:rsid w:val="00D45A5D"/>
    <w:rsid w:val="00D45B30"/>
    <w:rsid w:val="00D45D1A"/>
    <w:rsid w:val="00D45DF5"/>
    <w:rsid w:val="00D45E00"/>
    <w:rsid w:val="00D46005"/>
    <w:rsid w:val="00D4618F"/>
    <w:rsid w:val="00D46202"/>
    <w:rsid w:val="00D462ED"/>
    <w:rsid w:val="00D464E7"/>
    <w:rsid w:val="00D4661A"/>
    <w:rsid w:val="00D46A63"/>
    <w:rsid w:val="00D46BEC"/>
    <w:rsid w:val="00D46CBD"/>
    <w:rsid w:val="00D46E77"/>
    <w:rsid w:val="00D47091"/>
    <w:rsid w:val="00D473DC"/>
    <w:rsid w:val="00D4780C"/>
    <w:rsid w:val="00D47932"/>
    <w:rsid w:val="00D47AA2"/>
    <w:rsid w:val="00D47AE0"/>
    <w:rsid w:val="00D47B8A"/>
    <w:rsid w:val="00D47D9D"/>
    <w:rsid w:val="00D47DC7"/>
    <w:rsid w:val="00D50034"/>
    <w:rsid w:val="00D500AB"/>
    <w:rsid w:val="00D501C5"/>
    <w:rsid w:val="00D50266"/>
    <w:rsid w:val="00D505B5"/>
    <w:rsid w:val="00D505D0"/>
    <w:rsid w:val="00D5070C"/>
    <w:rsid w:val="00D507D6"/>
    <w:rsid w:val="00D508D3"/>
    <w:rsid w:val="00D508FA"/>
    <w:rsid w:val="00D5094C"/>
    <w:rsid w:val="00D5098A"/>
    <w:rsid w:val="00D50ABE"/>
    <w:rsid w:val="00D50B8E"/>
    <w:rsid w:val="00D50C4C"/>
    <w:rsid w:val="00D50D35"/>
    <w:rsid w:val="00D50D69"/>
    <w:rsid w:val="00D50D74"/>
    <w:rsid w:val="00D50D8B"/>
    <w:rsid w:val="00D50F4A"/>
    <w:rsid w:val="00D51027"/>
    <w:rsid w:val="00D51041"/>
    <w:rsid w:val="00D51213"/>
    <w:rsid w:val="00D515C7"/>
    <w:rsid w:val="00D517CA"/>
    <w:rsid w:val="00D518DF"/>
    <w:rsid w:val="00D5199A"/>
    <w:rsid w:val="00D519F6"/>
    <w:rsid w:val="00D51A1F"/>
    <w:rsid w:val="00D51AAB"/>
    <w:rsid w:val="00D51B88"/>
    <w:rsid w:val="00D51CDA"/>
    <w:rsid w:val="00D51D7E"/>
    <w:rsid w:val="00D51F7C"/>
    <w:rsid w:val="00D52149"/>
    <w:rsid w:val="00D52435"/>
    <w:rsid w:val="00D5244A"/>
    <w:rsid w:val="00D5253B"/>
    <w:rsid w:val="00D525BF"/>
    <w:rsid w:val="00D525D8"/>
    <w:rsid w:val="00D5260F"/>
    <w:rsid w:val="00D52640"/>
    <w:rsid w:val="00D5278A"/>
    <w:rsid w:val="00D5297D"/>
    <w:rsid w:val="00D52AB6"/>
    <w:rsid w:val="00D52B46"/>
    <w:rsid w:val="00D52C79"/>
    <w:rsid w:val="00D52EA4"/>
    <w:rsid w:val="00D532BB"/>
    <w:rsid w:val="00D535A9"/>
    <w:rsid w:val="00D53762"/>
    <w:rsid w:val="00D537A6"/>
    <w:rsid w:val="00D537E4"/>
    <w:rsid w:val="00D537FB"/>
    <w:rsid w:val="00D538B3"/>
    <w:rsid w:val="00D53941"/>
    <w:rsid w:val="00D53B05"/>
    <w:rsid w:val="00D53C68"/>
    <w:rsid w:val="00D53CA6"/>
    <w:rsid w:val="00D53D7A"/>
    <w:rsid w:val="00D5416A"/>
    <w:rsid w:val="00D541E5"/>
    <w:rsid w:val="00D542CD"/>
    <w:rsid w:val="00D54392"/>
    <w:rsid w:val="00D544C3"/>
    <w:rsid w:val="00D54595"/>
    <w:rsid w:val="00D54721"/>
    <w:rsid w:val="00D54726"/>
    <w:rsid w:val="00D54830"/>
    <w:rsid w:val="00D54A08"/>
    <w:rsid w:val="00D54BDB"/>
    <w:rsid w:val="00D54D5F"/>
    <w:rsid w:val="00D54DEC"/>
    <w:rsid w:val="00D54E1C"/>
    <w:rsid w:val="00D54E60"/>
    <w:rsid w:val="00D54F3B"/>
    <w:rsid w:val="00D54F57"/>
    <w:rsid w:val="00D54FE3"/>
    <w:rsid w:val="00D54FEA"/>
    <w:rsid w:val="00D54FF4"/>
    <w:rsid w:val="00D55024"/>
    <w:rsid w:val="00D5502E"/>
    <w:rsid w:val="00D55047"/>
    <w:rsid w:val="00D55089"/>
    <w:rsid w:val="00D550B3"/>
    <w:rsid w:val="00D5511C"/>
    <w:rsid w:val="00D551E3"/>
    <w:rsid w:val="00D55201"/>
    <w:rsid w:val="00D55442"/>
    <w:rsid w:val="00D55459"/>
    <w:rsid w:val="00D5546C"/>
    <w:rsid w:val="00D554A1"/>
    <w:rsid w:val="00D55873"/>
    <w:rsid w:val="00D55B74"/>
    <w:rsid w:val="00D55CBF"/>
    <w:rsid w:val="00D55DC0"/>
    <w:rsid w:val="00D55F44"/>
    <w:rsid w:val="00D5621A"/>
    <w:rsid w:val="00D562F5"/>
    <w:rsid w:val="00D56482"/>
    <w:rsid w:val="00D56667"/>
    <w:rsid w:val="00D566A3"/>
    <w:rsid w:val="00D56A0F"/>
    <w:rsid w:val="00D56B0D"/>
    <w:rsid w:val="00D56CB1"/>
    <w:rsid w:val="00D56CDA"/>
    <w:rsid w:val="00D56E21"/>
    <w:rsid w:val="00D56E81"/>
    <w:rsid w:val="00D56F0D"/>
    <w:rsid w:val="00D56F34"/>
    <w:rsid w:val="00D5715F"/>
    <w:rsid w:val="00D5731B"/>
    <w:rsid w:val="00D57399"/>
    <w:rsid w:val="00D575E8"/>
    <w:rsid w:val="00D576C3"/>
    <w:rsid w:val="00D57772"/>
    <w:rsid w:val="00D57881"/>
    <w:rsid w:val="00D57A30"/>
    <w:rsid w:val="00D57B64"/>
    <w:rsid w:val="00D57B92"/>
    <w:rsid w:val="00D57BA9"/>
    <w:rsid w:val="00D57D57"/>
    <w:rsid w:val="00D57DB8"/>
    <w:rsid w:val="00D57F3E"/>
    <w:rsid w:val="00D6012A"/>
    <w:rsid w:val="00D602C3"/>
    <w:rsid w:val="00D602F3"/>
    <w:rsid w:val="00D604C8"/>
    <w:rsid w:val="00D604E9"/>
    <w:rsid w:val="00D60580"/>
    <w:rsid w:val="00D6058C"/>
    <w:rsid w:val="00D6070B"/>
    <w:rsid w:val="00D60757"/>
    <w:rsid w:val="00D60892"/>
    <w:rsid w:val="00D6091A"/>
    <w:rsid w:val="00D60ADC"/>
    <w:rsid w:val="00D60BD1"/>
    <w:rsid w:val="00D60D2C"/>
    <w:rsid w:val="00D60D5D"/>
    <w:rsid w:val="00D60D86"/>
    <w:rsid w:val="00D60E33"/>
    <w:rsid w:val="00D60E4A"/>
    <w:rsid w:val="00D60E67"/>
    <w:rsid w:val="00D60EA5"/>
    <w:rsid w:val="00D60F65"/>
    <w:rsid w:val="00D6102C"/>
    <w:rsid w:val="00D610FA"/>
    <w:rsid w:val="00D61188"/>
    <w:rsid w:val="00D611DB"/>
    <w:rsid w:val="00D61404"/>
    <w:rsid w:val="00D61473"/>
    <w:rsid w:val="00D614BD"/>
    <w:rsid w:val="00D614EA"/>
    <w:rsid w:val="00D616B2"/>
    <w:rsid w:val="00D616E5"/>
    <w:rsid w:val="00D61842"/>
    <w:rsid w:val="00D61BF2"/>
    <w:rsid w:val="00D61CBD"/>
    <w:rsid w:val="00D61E5B"/>
    <w:rsid w:val="00D620EF"/>
    <w:rsid w:val="00D62376"/>
    <w:rsid w:val="00D623F9"/>
    <w:rsid w:val="00D6240C"/>
    <w:rsid w:val="00D62415"/>
    <w:rsid w:val="00D624F2"/>
    <w:rsid w:val="00D62574"/>
    <w:rsid w:val="00D62933"/>
    <w:rsid w:val="00D62B88"/>
    <w:rsid w:val="00D62E23"/>
    <w:rsid w:val="00D62F38"/>
    <w:rsid w:val="00D63046"/>
    <w:rsid w:val="00D630A3"/>
    <w:rsid w:val="00D63172"/>
    <w:rsid w:val="00D6319E"/>
    <w:rsid w:val="00D631BE"/>
    <w:rsid w:val="00D6326F"/>
    <w:rsid w:val="00D6332F"/>
    <w:rsid w:val="00D6340D"/>
    <w:rsid w:val="00D63643"/>
    <w:rsid w:val="00D63867"/>
    <w:rsid w:val="00D638EF"/>
    <w:rsid w:val="00D638FA"/>
    <w:rsid w:val="00D6394E"/>
    <w:rsid w:val="00D63958"/>
    <w:rsid w:val="00D63B41"/>
    <w:rsid w:val="00D63B58"/>
    <w:rsid w:val="00D63C3B"/>
    <w:rsid w:val="00D63E67"/>
    <w:rsid w:val="00D63F86"/>
    <w:rsid w:val="00D641BA"/>
    <w:rsid w:val="00D64232"/>
    <w:rsid w:val="00D64270"/>
    <w:rsid w:val="00D646A0"/>
    <w:rsid w:val="00D647E7"/>
    <w:rsid w:val="00D64860"/>
    <w:rsid w:val="00D64907"/>
    <w:rsid w:val="00D64AEA"/>
    <w:rsid w:val="00D64D19"/>
    <w:rsid w:val="00D65097"/>
    <w:rsid w:val="00D65129"/>
    <w:rsid w:val="00D654B8"/>
    <w:rsid w:val="00D6556C"/>
    <w:rsid w:val="00D65600"/>
    <w:rsid w:val="00D65660"/>
    <w:rsid w:val="00D65948"/>
    <w:rsid w:val="00D65979"/>
    <w:rsid w:val="00D65A73"/>
    <w:rsid w:val="00D65AD3"/>
    <w:rsid w:val="00D65BBD"/>
    <w:rsid w:val="00D65D3A"/>
    <w:rsid w:val="00D65D93"/>
    <w:rsid w:val="00D65DC3"/>
    <w:rsid w:val="00D65E60"/>
    <w:rsid w:val="00D66258"/>
    <w:rsid w:val="00D6625F"/>
    <w:rsid w:val="00D663EE"/>
    <w:rsid w:val="00D66419"/>
    <w:rsid w:val="00D667BF"/>
    <w:rsid w:val="00D66851"/>
    <w:rsid w:val="00D66AF8"/>
    <w:rsid w:val="00D66B0E"/>
    <w:rsid w:val="00D66B80"/>
    <w:rsid w:val="00D66FF7"/>
    <w:rsid w:val="00D670A0"/>
    <w:rsid w:val="00D67125"/>
    <w:rsid w:val="00D67274"/>
    <w:rsid w:val="00D673C4"/>
    <w:rsid w:val="00D674BC"/>
    <w:rsid w:val="00D675F3"/>
    <w:rsid w:val="00D67636"/>
    <w:rsid w:val="00D676B7"/>
    <w:rsid w:val="00D67734"/>
    <w:rsid w:val="00D67788"/>
    <w:rsid w:val="00D678F1"/>
    <w:rsid w:val="00D67A84"/>
    <w:rsid w:val="00D67D2A"/>
    <w:rsid w:val="00D67E45"/>
    <w:rsid w:val="00D67E83"/>
    <w:rsid w:val="00D70069"/>
    <w:rsid w:val="00D70079"/>
    <w:rsid w:val="00D70143"/>
    <w:rsid w:val="00D70155"/>
    <w:rsid w:val="00D702C0"/>
    <w:rsid w:val="00D70343"/>
    <w:rsid w:val="00D7042A"/>
    <w:rsid w:val="00D7046E"/>
    <w:rsid w:val="00D70473"/>
    <w:rsid w:val="00D70800"/>
    <w:rsid w:val="00D709BB"/>
    <w:rsid w:val="00D709DB"/>
    <w:rsid w:val="00D70ABB"/>
    <w:rsid w:val="00D70AFD"/>
    <w:rsid w:val="00D70B66"/>
    <w:rsid w:val="00D70B8D"/>
    <w:rsid w:val="00D70D1C"/>
    <w:rsid w:val="00D70E78"/>
    <w:rsid w:val="00D70F23"/>
    <w:rsid w:val="00D71137"/>
    <w:rsid w:val="00D711F7"/>
    <w:rsid w:val="00D713F9"/>
    <w:rsid w:val="00D71582"/>
    <w:rsid w:val="00D715DE"/>
    <w:rsid w:val="00D715E2"/>
    <w:rsid w:val="00D71665"/>
    <w:rsid w:val="00D7183B"/>
    <w:rsid w:val="00D7186E"/>
    <w:rsid w:val="00D71A9F"/>
    <w:rsid w:val="00D71B2B"/>
    <w:rsid w:val="00D71DF1"/>
    <w:rsid w:val="00D71E16"/>
    <w:rsid w:val="00D71E9A"/>
    <w:rsid w:val="00D71EC8"/>
    <w:rsid w:val="00D71F2C"/>
    <w:rsid w:val="00D72090"/>
    <w:rsid w:val="00D721F9"/>
    <w:rsid w:val="00D7221D"/>
    <w:rsid w:val="00D72258"/>
    <w:rsid w:val="00D723D5"/>
    <w:rsid w:val="00D724E2"/>
    <w:rsid w:val="00D7252F"/>
    <w:rsid w:val="00D7255E"/>
    <w:rsid w:val="00D725A7"/>
    <w:rsid w:val="00D7269F"/>
    <w:rsid w:val="00D72A9E"/>
    <w:rsid w:val="00D72AF9"/>
    <w:rsid w:val="00D72B02"/>
    <w:rsid w:val="00D72D72"/>
    <w:rsid w:val="00D72E5F"/>
    <w:rsid w:val="00D72E72"/>
    <w:rsid w:val="00D72F0C"/>
    <w:rsid w:val="00D7315D"/>
    <w:rsid w:val="00D7322A"/>
    <w:rsid w:val="00D73370"/>
    <w:rsid w:val="00D733AA"/>
    <w:rsid w:val="00D733FE"/>
    <w:rsid w:val="00D733FF"/>
    <w:rsid w:val="00D73585"/>
    <w:rsid w:val="00D735D0"/>
    <w:rsid w:val="00D7363A"/>
    <w:rsid w:val="00D7372D"/>
    <w:rsid w:val="00D7375C"/>
    <w:rsid w:val="00D7385D"/>
    <w:rsid w:val="00D73B27"/>
    <w:rsid w:val="00D73D0B"/>
    <w:rsid w:val="00D73D5C"/>
    <w:rsid w:val="00D73DD9"/>
    <w:rsid w:val="00D73DF9"/>
    <w:rsid w:val="00D73E2F"/>
    <w:rsid w:val="00D73EC7"/>
    <w:rsid w:val="00D73F1E"/>
    <w:rsid w:val="00D74016"/>
    <w:rsid w:val="00D741BD"/>
    <w:rsid w:val="00D74239"/>
    <w:rsid w:val="00D745C3"/>
    <w:rsid w:val="00D7465A"/>
    <w:rsid w:val="00D746EF"/>
    <w:rsid w:val="00D74732"/>
    <w:rsid w:val="00D74734"/>
    <w:rsid w:val="00D74843"/>
    <w:rsid w:val="00D74870"/>
    <w:rsid w:val="00D748BC"/>
    <w:rsid w:val="00D74905"/>
    <w:rsid w:val="00D749CE"/>
    <w:rsid w:val="00D74A68"/>
    <w:rsid w:val="00D74A74"/>
    <w:rsid w:val="00D74ABB"/>
    <w:rsid w:val="00D74AE1"/>
    <w:rsid w:val="00D74BF3"/>
    <w:rsid w:val="00D74D51"/>
    <w:rsid w:val="00D74F62"/>
    <w:rsid w:val="00D74FBA"/>
    <w:rsid w:val="00D75020"/>
    <w:rsid w:val="00D753C7"/>
    <w:rsid w:val="00D753E8"/>
    <w:rsid w:val="00D75469"/>
    <w:rsid w:val="00D75581"/>
    <w:rsid w:val="00D759E1"/>
    <w:rsid w:val="00D75A31"/>
    <w:rsid w:val="00D75E4E"/>
    <w:rsid w:val="00D75ED3"/>
    <w:rsid w:val="00D75F33"/>
    <w:rsid w:val="00D75FAA"/>
    <w:rsid w:val="00D75FDC"/>
    <w:rsid w:val="00D75FE0"/>
    <w:rsid w:val="00D7673E"/>
    <w:rsid w:val="00D76782"/>
    <w:rsid w:val="00D76B89"/>
    <w:rsid w:val="00D76B93"/>
    <w:rsid w:val="00D76BA9"/>
    <w:rsid w:val="00D76C2B"/>
    <w:rsid w:val="00D76C30"/>
    <w:rsid w:val="00D76D2B"/>
    <w:rsid w:val="00D76D86"/>
    <w:rsid w:val="00D76E68"/>
    <w:rsid w:val="00D76F0E"/>
    <w:rsid w:val="00D76FC9"/>
    <w:rsid w:val="00D77136"/>
    <w:rsid w:val="00D773A7"/>
    <w:rsid w:val="00D77432"/>
    <w:rsid w:val="00D7766C"/>
    <w:rsid w:val="00D7790C"/>
    <w:rsid w:val="00D77A50"/>
    <w:rsid w:val="00D77A6D"/>
    <w:rsid w:val="00D77ABC"/>
    <w:rsid w:val="00D77C17"/>
    <w:rsid w:val="00D77C23"/>
    <w:rsid w:val="00D77D8B"/>
    <w:rsid w:val="00D77DB5"/>
    <w:rsid w:val="00D77E60"/>
    <w:rsid w:val="00D77EE0"/>
    <w:rsid w:val="00D80141"/>
    <w:rsid w:val="00D8019B"/>
    <w:rsid w:val="00D801AC"/>
    <w:rsid w:val="00D80471"/>
    <w:rsid w:val="00D805ED"/>
    <w:rsid w:val="00D80A58"/>
    <w:rsid w:val="00D80AD9"/>
    <w:rsid w:val="00D80C2C"/>
    <w:rsid w:val="00D80CA2"/>
    <w:rsid w:val="00D80D08"/>
    <w:rsid w:val="00D80D39"/>
    <w:rsid w:val="00D80D74"/>
    <w:rsid w:val="00D80D97"/>
    <w:rsid w:val="00D80DE4"/>
    <w:rsid w:val="00D80F99"/>
    <w:rsid w:val="00D80F9A"/>
    <w:rsid w:val="00D81135"/>
    <w:rsid w:val="00D81195"/>
    <w:rsid w:val="00D81309"/>
    <w:rsid w:val="00D81405"/>
    <w:rsid w:val="00D814D4"/>
    <w:rsid w:val="00D815C9"/>
    <w:rsid w:val="00D8162C"/>
    <w:rsid w:val="00D81637"/>
    <w:rsid w:val="00D8170E"/>
    <w:rsid w:val="00D818BD"/>
    <w:rsid w:val="00D81A55"/>
    <w:rsid w:val="00D81AEC"/>
    <w:rsid w:val="00D81C26"/>
    <w:rsid w:val="00D81D07"/>
    <w:rsid w:val="00D81D5D"/>
    <w:rsid w:val="00D81E1D"/>
    <w:rsid w:val="00D81F18"/>
    <w:rsid w:val="00D81F60"/>
    <w:rsid w:val="00D81F7B"/>
    <w:rsid w:val="00D820A3"/>
    <w:rsid w:val="00D821F8"/>
    <w:rsid w:val="00D823D3"/>
    <w:rsid w:val="00D8256F"/>
    <w:rsid w:val="00D825A8"/>
    <w:rsid w:val="00D82758"/>
    <w:rsid w:val="00D828C7"/>
    <w:rsid w:val="00D82A07"/>
    <w:rsid w:val="00D82A70"/>
    <w:rsid w:val="00D82AE6"/>
    <w:rsid w:val="00D82E11"/>
    <w:rsid w:val="00D82ECF"/>
    <w:rsid w:val="00D82ED2"/>
    <w:rsid w:val="00D838D0"/>
    <w:rsid w:val="00D839C2"/>
    <w:rsid w:val="00D83BB6"/>
    <w:rsid w:val="00D83CAE"/>
    <w:rsid w:val="00D83D00"/>
    <w:rsid w:val="00D83E69"/>
    <w:rsid w:val="00D8400B"/>
    <w:rsid w:val="00D841F6"/>
    <w:rsid w:val="00D8429B"/>
    <w:rsid w:val="00D844AF"/>
    <w:rsid w:val="00D8450F"/>
    <w:rsid w:val="00D84638"/>
    <w:rsid w:val="00D846D5"/>
    <w:rsid w:val="00D84898"/>
    <w:rsid w:val="00D84B67"/>
    <w:rsid w:val="00D84C65"/>
    <w:rsid w:val="00D84D9F"/>
    <w:rsid w:val="00D85281"/>
    <w:rsid w:val="00D852C9"/>
    <w:rsid w:val="00D85504"/>
    <w:rsid w:val="00D85716"/>
    <w:rsid w:val="00D857E4"/>
    <w:rsid w:val="00D85A60"/>
    <w:rsid w:val="00D85B84"/>
    <w:rsid w:val="00D85C14"/>
    <w:rsid w:val="00D85F0B"/>
    <w:rsid w:val="00D860C6"/>
    <w:rsid w:val="00D86329"/>
    <w:rsid w:val="00D8649B"/>
    <w:rsid w:val="00D8659F"/>
    <w:rsid w:val="00D86608"/>
    <w:rsid w:val="00D86815"/>
    <w:rsid w:val="00D868EA"/>
    <w:rsid w:val="00D86920"/>
    <w:rsid w:val="00D86960"/>
    <w:rsid w:val="00D86A85"/>
    <w:rsid w:val="00D86A86"/>
    <w:rsid w:val="00D86AA1"/>
    <w:rsid w:val="00D86B4D"/>
    <w:rsid w:val="00D86C06"/>
    <w:rsid w:val="00D86FA6"/>
    <w:rsid w:val="00D8700E"/>
    <w:rsid w:val="00D874CC"/>
    <w:rsid w:val="00D87755"/>
    <w:rsid w:val="00D8783E"/>
    <w:rsid w:val="00D878FB"/>
    <w:rsid w:val="00D879E7"/>
    <w:rsid w:val="00D87B33"/>
    <w:rsid w:val="00D87CC7"/>
    <w:rsid w:val="00D87D32"/>
    <w:rsid w:val="00D87DD1"/>
    <w:rsid w:val="00D87E64"/>
    <w:rsid w:val="00D87E8B"/>
    <w:rsid w:val="00D87F06"/>
    <w:rsid w:val="00D901C6"/>
    <w:rsid w:val="00D90713"/>
    <w:rsid w:val="00D90946"/>
    <w:rsid w:val="00D90AC8"/>
    <w:rsid w:val="00D90B2D"/>
    <w:rsid w:val="00D90D5F"/>
    <w:rsid w:val="00D90D82"/>
    <w:rsid w:val="00D90DD4"/>
    <w:rsid w:val="00D90F42"/>
    <w:rsid w:val="00D91014"/>
    <w:rsid w:val="00D912C6"/>
    <w:rsid w:val="00D913EB"/>
    <w:rsid w:val="00D91440"/>
    <w:rsid w:val="00D9148B"/>
    <w:rsid w:val="00D916FF"/>
    <w:rsid w:val="00D91886"/>
    <w:rsid w:val="00D91AA3"/>
    <w:rsid w:val="00D91CA4"/>
    <w:rsid w:val="00D91FA9"/>
    <w:rsid w:val="00D9227D"/>
    <w:rsid w:val="00D923E8"/>
    <w:rsid w:val="00D924B7"/>
    <w:rsid w:val="00D92545"/>
    <w:rsid w:val="00D925B2"/>
    <w:rsid w:val="00D925E1"/>
    <w:rsid w:val="00D925E7"/>
    <w:rsid w:val="00D926AD"/>
    <w:rsid w:val="00D9277C"/>
    <w:rsid w:val="00D92800"/>
    <w:rsid w:val="00D92A33"/>
    <w:rsid w:val="00D92CD7"/>
    <w:rsid w:val="00D92D18"/>
    <w:rsid w:val="00D93191"/>
    <w:rsid w:val="00D93224"/>
    <w:rsid w:val="00D93297"/>
    <w:rsid w:val="00D933B8"/>
    <w:rsid w:val="00D93509"/>
    <w:rsid w:val="00D93714"/>
    <w:rsid w:val="00D93778"/>
    <w:rsid w:val="00D93962"/>
    <w:rsid w:val="00D93A2F"/>
    <w:rsid w:val="00D93AA3"/>
    <w:rsid w:val="00D93B21"/>
    <w:rsid w:val="00D93C40"/>
    <w:rsid w:val="00D93C84"/>
    <w:rsid w:val="00D93E3C"/>
    <w:rsid w:val="00D93F5A"/>
    <w:rsid w:val="00D94151"/>
    <w:rsid w:val="00D94286"/>
    <w:rsid w:val="00D94396"/>
    <w:rsid w:val="00D94469"/>
    <w:rsid w:val="00D944B5"/>
    <w:rsid w:val="00D946A5"/>
    <w:rsid w:val="00D9483C"/>
    <w:rsid w:val="00D94949"/>
    <w:rsid w:val="00D949C9"/>
    <w:rsid w:val="00D94AA8"/>
    <w:rsid w:val="00D94B03"/>
    <w:rsid w:val="00D94B07"/>
    <w:rsid w:val="00D94CC9"/>
    <w:rsid w:val="00D94D66"/>
    <w:rsid w:val="00D94DD4"/>
    <w:rsid w:val="00D94EF1"/>
    <w:rsid w:val="00D94EF5"/>
    <w:rsid w:val="00D94EFF"/>
    <w:rsid w:val="00D94FC6"/>
    <w:rsid w:val="00D95071"/>
    <w:rsid w:val="00D95122"/>
    <w:rsid w:val="00D9512B"/>
    <w:rsid w:val="00D95263"/>
    <w:rsid w:val="00D95376"/>
    <w:rsid w:val="00D953E7"/>
    <w:rsid w:val="00D95432"/>
    <w:rsid w:val="00D95492"/>
    <w:rsid w:val="00D95670"/>
    <w:rsid w:val="00D9571C"/>
    <w:rsid w:val="00D9577A"/>
    <w:rsid w:val="00D95915"/>
    <w:rsid w:val="00D95955"/>
    <w:rsid w:val="00D95BB5"/>
    <w:rsid w:val="00D95CED"/>
    <w:rsid w:val="00D95CFD"/>
    <w:rsid w:val="00D95D4A"/>
    <w:rsid w:val="00D95ED3"/>
    <w:rsid w:val="00D95EE8"/>
    <w:rsid w:val="00D95FF9"/>
    <w:rsid w:val="00D96407"/>
    <w:rsid w:val="00D964A7"/>
    <w:rsid w:val="00D96744"/>
    <w:rsid w:val="00D96B94"/>
    <w:rsid w:val="00D96C0E"/>
    <w:rsid w:val="00D96EE1"/>
    <w:rsid w:val="00D972E1"/>
    <w:rsid w:val="00D9730F"/>
    <w:rsid w:val="00D974E0"/>
    <w:rsid w:val="00D974FB"/>
    <w:rsid w:val="00D97592"/>
    <w:rsid w:val="00D975FF"/>
    <w:rsid w:val="00D978D4"/>
    <w:rsid w:val="00D97992"/>
    <w:rsid w:val="00D97AB3"/>
    <w:rsid w:val="00D97C70"/>
    <w:rsid w:val="00D97E49"/>
    <w:rsid w:val="00D97F7D"/>
    <w:rsid w:val="00DA029A"/>
    <w:rsid w:val="00DA02EC"/>
    <w:rsid w:val="00DA0563"/>
    <w:rsid w:val="00DA06A8"/>
    <w:rsid w:val="00DA06F2"/>
    <w:rsid w:val="00DA06FE"/>
    <w:rsid w:val="00DA0795"/>
    <w:rsid w:val="00DA0A0D"/>
    <w:rsid w:val="00DA0A79"/>
    <w:rsid w:val="00DA0B30"/>
    <w:rsid w:val="00DA0B48"/>
    <w:rsid w:val="00DA0DF8"/>
    <w:rsid w:val="00DA110F"/>
    <w:rsid w:val="00DA15DD"/>
    <w:rsid w:val="00DA18CB"/>
    <w:rsid w:val="00DA191A"/>
    <w:rsid w:val="00DA19A6"/>
    <w:rsid w:val="00DA19D6"/>
    <w:rsid w:val="00DA1AAE"/>
    <w:rsid w:val="00DA1D0B"/>
    <w:rsid w:val="00DA1FBE"/>
    <w:rsid w:val="00DA20E2"/>
    <w:rsid w:val="00DA2164"/>
    <w:rsid w:val="00DA21B8"/>
    <w:rsid w:val="00DA25BC"/>
    <w:rsid w:val="00DA265F"/>
    <w:rsid w:val="00DA26A8"/>
    <w:rsid w:val="00DA2785"/>
    <w:rsid w:val="00DA2854"/>
    <w:rsid w:val="00DA28EA"/>
    <w:rsid w:val="00DA2AA1"/>
    <w:rsid w:val="00DA2B94"/>
    <w:rsid w:val="00DA2E59"/>
    <w:rsid w:val="00DA2F34"/>
    <w:rsid w:val="00DA2FCB"/>
    <w:rsid w:val="00DA30DE"/>
    <w:rsid w:val="00DA31A1"/>
    <w:rsid w:val="00DA31E8"/>
    <w:rsid w:val="00DA3403"/>
    <w:rsid w:val="00DA36E9"/>
    <w:rsid w:val="00DA39CC"/>
    <w:rsid w:val="00DA3C0A"/>
    <w:rsid w:val="00DA3E4E"/>
    <w:rsid w:val="00DA3E81"/>
    <w:rsid w:val="00DA3EEB"/>
    <w:rsid w:val="00DA41E2"/>
    <w:rsid w:val="00DA472F"/>
    <w:rsid w:val="00DA48AB"/>
    <w:rsid w:val="00DA4947"/>
    <w:rsid w:val="00DA4969"/>
    <w:rsid w:val="00DA4C96"/>
    <w:rsid w:val="00DA4CA3"/>
    <w:rsid w:val="00DA4D70"/>
    <w:rsid w:val="00DA4F16"/>
    <w:rsid w:val="00DA502C"/>
    <w:rsid w:val="00DA5194"/>
    <w:rsid w:val="00DA51D5"/>
    <w:rsid w:val="00DA521F"/>
    <w:rsid w:val="00DA52AF"/>
    <w:rsid w:val="00DA5314"/>
    <w:rsid w:val="00DA5398"/>
    <w:rsid w:val="00DA5431"/>
    <w:rsid w:val="00DA553D"/>
    <w:rsid w:val="00DA5626"/>
    <w:rsid w:val="00DA5A17"/>
    <w:rsid w:val="00DA5A1E"/>
    <w:rsid w:val="00DA5A2D"/>
    <w:rsid w:val="00DA5DFD"/>
    <w:rsid w:val="00DA5F96"/>
    <w:rsid w:val="00DA604F"/>
    <w:rsid w:val="00DA608F"/>
    <w:rsid w:val="00DA60E2"/>
    <w:rsid w:val="00DA60FA"/>
    <w:rsid w:val="00DA618D"/>
    <w:rsid w:val="00DA6213"/>
    <w:rsid w:val="00DA6234"/>
    <w:rsid w:val="00DA62DD"/>
    <w:rsid w:val="00DA63DA"/>
    <w:rsid w:val="00DA6409"/>
    <w:rsid w:val="00DA6494"/>
    <w:rsid w:val="00DA64C8"/>
    <w:rsid w:val="00DA6792"/>
    <w:rsid w:val="00DA69E9"/>
    <w:rsid w:val="00DA6B9F"/>
    <w:rsid w:val="00DA6BAB"/>
    <w:rsid w:val="00DA6C29"/>
    <w:rsid w:val="00DA6CFA"/>
    <w:rsid w:val="00DA6F9B"/>
    <w:rsid w:val="00DA6FAD"/>
    <w:rsid w:val="00DA6FF2"/>
    <w:rsid w:val="00DA71D0"/>
    <w:rsid w:val="00DA7244"/>
    <w:rsid w:val="00DA733B"/>
    <w:rsid w:val="00DA7350"/>
    <w:rsid w:val="00DA73B9"/>
    <w:rsid w:val="00DA7544"/>
    <w:rsid w:val="00DA78BE"/>
    <w:rsid w:val="00DA78E4"/>
    <w:rsid w:val="00DA799B"/>
    <w:rsid w:val="00DA79FB"/>
    <w:rsid w:val="00DA7A15"/>
    <w:rsid w:val="00DA7C43"/>
    <w:rsid w:val="00DA7CFE"/>
    <w:rsid w:val="00DA7EF6"/>
    <w:rsid w:val="00DB00E6"/>
    <w:rsid w:val="00DB0449"/>
    <w:rsid w:val="00DB047B"/>
    <w:rsid w:val="00DB04A0"/>
    <w:rsid w:val="00DB05B4"/>
    <w:rsid w:val="00DB0AA4"/>
    <w:rsid w:val="00DB0B7A"/>
    <w:rsid w:val="00DB0D60"/>
    <w:rsid w:val="00DB0F63"/>
    <w:rsid w:val="00DB11D0"/>
    <w:rsid w:val="00DB13A4"/>
    <w:rsid w:val="00DB16C1"/>
    <w:rsid w:val="00DB1709"/>
    <w:rsid w:val="00DB1742"/>
    <w:rsid w:val="00DB1903"/>
    <w:rsid w:val="00DB197E"/>
    <w:rsid w:val="00DB19AA"/>
    <w:rsid w:val="00DB1A02"/>
    <w:rsid w:val="00DB1A97"/>
    <w:rsid w:val="00DB1AB2"/>
    <w:rsid w:val="00DB1C3C"/>
    <w:rsid w:val="00DB1CF6"/>
    <w:rsid w:val="00DB20A5"/>
    <w:rsid w:val="00DB2151"/>
    <w:rsid w:val="00DB2591"/>
    <w:rsid w:val="00DB25F2"/>
    <w:rsid w:val="00DB2960"/>
    <w:rsid w:val="00DB2A28"/>
    <w:rsid w:val="00DB2C7A"/>
    <w:rsid w:val="00DB2D0C"/>
    <w:rsid w:val="00DB2F5A"/>
    <w:rsid w:val="00DB2FB0"/>
    <w:rsid w:val="00DB2FC2"/>
    <w:rsid w:val="00DB304C"/>
    <w:rsid w:val="00DB34D0"/>
    <w:rsid w:val="00DB35A3"/>
    <w:rsid w:val="00DB35D7"/>
    <w:rsid w:val="00DB398D"/>
    <w:rsid w:val="00DB398F"/>
    <w:rsid w:val="00DB39F3"/>
    <w:rsid w:val="00DB3A49"/>
    <w:rsid w:val="00DB3B40"/>
    <w:rsid w:val="00DB3C83"/>
    <w:rsid w:val="00DB3F01"/>
    <w:rsid w:val="00DB3FBB"/>
    <w:rsid w:val="00DB4074"/>
    <w:rsid w:val="00DB425A"/>
    <w:rsid w:val="00DB4324"/>
    <w:rsid w:val="00DB4541"/>
    <w:rsid w:val="00DB45C7"/>
    <w:rsid w:val="00DB4610"/>
    <w:rsid w:val="00DB4A63"/>
    <w:rsid w:val="00DB4B8E"/>
    <w:rsid w:val="00DB4BAD"/>
    <w:rsid w:val="00DB4BF2"/>
    <w:rsid w:val="00DB4D30"/>
    <w:rsid w:val="00DB52EB"/>
    <w:rsid w:val="00DB5422"/>
    <w:rsid w:val="00DB5614"/>
    <w:rsid w:val="00DB5885"/>
    <w:rsid w:val="00DB5935"/>
    <w:rsid w:val="00DB5A52"/>
    <w:rsid w:val="00DB5A9B"/>
    <w:rsid w:val="00DB5D28"/>
    <w:rsid w:val="00DB6093"/>
    <w:rsid w:val="00DB6519"/>
    <w:rsid w:val="00DB6805"/>
    <w:rsid w:val="00DB68D8"/>
    <w:rsid w:val="00DB68EE"/>
    <w:rsid w:val="00DB6AEA"/>
    <w:rsid w:val="00DB6B12"/>
    <w:rsid w:val="00DB6CE6"/>
    <w:rsid w:val="00DB6E34"/>
    <w:rsid w:val="00DB6E72"/>
    <w:rsid w:val="00DB704A"/>
    <w:rsid w:val="00DB708B"/>
    <w:rsid w:val="00DB70D2"/>
    <w:rsid w:val="00DB71C3"/>
    <w:rsid w:val="00DB74A1"/>
    <w:rsid w:val="00DB74E3"/>
    <w:rsid w:val="00DB7594"/>
    <w:rsid w:val="00DB77A5"/>
    <w:rsid w:val="00DB78FC"/>
    <w:rsid w:val="00DB7ABC"/>
    <w:rsid w:val="00DB7EC5"/>
    <w:rsid w:val="00DC0067"/>
    <w:rsid w:val="00DC0089"/>
    <w:rsid w:val="00DC00D5"/>
    <w:rsid w:val="00DC0173"/>
    <w:rsid w:val="00DC01DA"/>
    <w:rsid w:val="00DC01EB"/>
    <w:rsid w:val="00DC0369"/>
    <w:rsid w:val="00DC0448"/>
    <w:rsid w:val="00DC05D6"/>
    <w:rsid w:val="00DC0901"/>
    <w:rsid w:val="00DC0DB3"/>
    <w:rsid w:val="00DC0DCA"/>
    <w:rsid w:val="00DC0E64"/>
    <w:rsid w:val="00DC0EC1"/>
    <w:rsid w:val="00DC0ECF"/>
    <w:rsid w:val="00DC11EA"/>
    <w:rsid w:val="00DC1276"/>
    <w:rsid w:val="00DC13A2"/>
    <w:rsid w:val="00DC146B"/>
    <w:rsid w:val="00DC166A"/>
    <w:rsid w:val="00DC16A2"/>
    <w:rsid w:val="00DC174F"/>
    <w:rsid w:val="00DC1751"/>
    <w:rsid w:val="00DC1882"/>
    <w:rsid w:val="00DC189D"/>
    <w:rsid w:val="00DC1D96"/>
    <w:rsid w:val="00DC1E28"/>
    <w:rsid w:val="00DC1F43"/>
    <w:rsid w:val="00DC1FC8"/>
    <w:rsid w:val="00DC20BD"/>
    <w:rsid w:val="00DC20F4"/>
    <w:rsid w:val="00DC2133"/>
    <w:rsid w:val="00DC21CF"/>
    <w:rsid w:val="00DC21EA"/>
    <w:rsid w:val="00DC2473"/>
    <w:rsid w:val="00DC24AD"/>
    <w:rsid w:val="00DC2759"/>
    <w:rsid w:val="00DC2813"/>
    <w:rsid w:val="00DC2900"/>
    <w:rsid w:val="00DC29AF"/>
    <w:rsid w:val="00DC2B19"/>
    <w:rsid w:val="00DC2CCE"/>
    <w:rsid w:val="00DC2D43"/>
    <w:rsid w:val="00DC2F03"/>
    <w:rsid w:val="00DC2F4E"/>
    <w:rsid w:val="00DC305D"/>
    <w:rsid w:val="00DC3142"/>
    <w:rsid w:val="00DC326C"/>
    <w:rsid w:val="00DC3545"/>
    <w:rsid w:val="00DC3902"/>
    <w:rsid w:val="00DC39B3"/>
    <w:rsid w:val="00DC3A16"/>
    <w:rsid w:val="00DC3A72"/>
    <w:rsid w:val="00DC3B13"/>
    <w:rsid w:val="00DC3C3A"/>
    <w:rsid w:val="00DC3CBD"/>
    <w:rsid w:val="00DC3D14"/>
    <w:rsid w:val="00DC3D8D"/>
    <w:rsid w:val="00DC41C9"/>
    <w:rsid w:val="00DC43CB"/>
    <w:rsid w:val="00DC4565"/>
    <w:rsid w:val="00DC4657"/>
    <w:rsid w:val="00DC4676"/>
    <w:rsid w:val="00DC4970"/>
    <w:rsid w:val="00DC4B29"/>
    <w:rsid w:val="00DC4D04"/>
    <w:rsid w:val="00DC5085"/>
    <w:rsid w:val="00DC5147"/>
    <w:rsid w:val="00DC5340"/>
    <w:rsid w:val="00DC555A"/>
    <w:rsid w:val="00DC55BF"/>
    <w:rsid w:val="00DC5825"/>
    <w:rsid w:val="00DC5A87"/>
    <w:rsid w:val="00DC5E6E"/>
    <w:rsid w:val="00DC5E89"/>
    <w:rsid w:val="00DC5F02"/>
    <w:rsid w:val="00DC5F8E"/>
    <w:rsid w:val="00DC62F1"/>
    <w:rsid w:val="00DC665A"/>
    <w:rsid w:val="00DC66C3"/>
    <w:rsid w:val="00DC67AB"/>
    <w:rsid w:val="00DC687A"/>
    <w:rsid w:val="00DC6A91"/>
    <w:rsid w:val="00DC6B50"/>
    <w:rsid w:val="00DC6DB6"/>
    <w:rsid w:val="00DC7000"/>
    <w:rsid w:val="00DC70BD"/>
    <w:rsid w:val="00DC73A1"/>
    <w:rsid w:val="00DC780D"/>
    <w:rsid w:val="00DC78A0"/>
    <w:rsid w:val="00DC78EA"/>
    <w:rsid w:val="00DC78FA"/>
    <w:rsid w:val="00DC7996"/>
    <w:rsid w:val="00DC7BCE"/>
    <w:rsid w:val="00DC7C2E"/>
    <w:rsid w:val="00DC7CAF"/>
    <w:rsid w:val="00DC7D5A"/>
    <w:rsid w:val="00DC7D65"/>
    <w:rsid w:val="00DC7E9D"/>
    <w:rsid w:val="00DC7FF7"/>
    <w:rsid w:val="00DD0000"/>
    <w:rsid w:val="00DD0233"/>
    <w:rsid w:val="00DD04C6"/>
    <w:rsid w:val="00DD0674"/>
    <w:rsid w:val="00DD07F0"/>
    <w:rsid w:val="00DD0973"/>
    <w:rsid w:val="00DD0A32"/>
    <w:rsid w:val="00DD0E00"/>
    <w:rsid w:val="00DD0F74"/>
    <w:rsid w:val="00DD0FEB"/>
    <w:rsid w:val="00DD102D"/>
    <w:rsid w:val="00DD113D"/>
    <w:rsid w:val="00DD1243"/>
    <w:rsid w:val="00DD125C"/>
    <w:rsid w:val="00DD135A"/>
    <w:rsid w:val="00DD13FD"/>
    <w:rsid w:val="00DD1823"/>
    <w:rsid w:val="00DD18F6"/>
    <w:rsid w:val="00DD198B"/>
    <w:rsid w:val="00DD1A48"/>
    <w:rsid w:val="00DD1A98"/>
    <w:rsid w:val="00DD1D46"/>
    <w:rsid w:val="00DD1E0D"/>
    <w:rsid w:val="00DD1F8E"/>
    <w:rsid w:val="00DD2074"/>
    <w:rsid w:val="00DD2110"/>
    <w:rsid w:val="00DD2133"/>
    <w:rsid w:val="00DD214E"/>
    <w:rsid w:val="00DD2159"/>
    <w:rsid w:val="00DD2268"/>
    <w:rsid w:val="00DD23F5"/>
    <w:rsid w:val="00DD2519"/>
    <w:rsid w:val="00DD2524"/>
    <w:rsid w:val="00DD25C0"/>
    <w:rsid w:val="00DD2708"/>
    <w:rsid w:val="00DD279F"/>
    <w:rsid w:val="00DD2874"/>
    <w:rsid w:val="00DD2A54"/>
    <w:rsid w:val="00DD2CCC"/>
    <w:rsid w:val="00DD2D8A"/>
    <w:rsid w:val="00DD2DC1"/>
    <w:rsid w:val="00DD30D0"/>
    <w:rsid w:val="00DD3158"/>
    <w:rsid w:val="00DD31D0"/>
    <w:rsid w:val="00DD3269"/>
    <w:rsid w:val="00DD343F"/>
    <w:rsid w:val="00DD350C"/>
    <w:rsid w:val="00DD3596"/>
    <w:rsid w:val="00DD3598"/>
    <w:rsid w:val="00DD3685"/>
    <w:rsid w:val="00DD36ED"/>
    <w:rsid w:val="00DD39B9"/>
    <w:rsid w:val="00DD3A92"/>
    <w:rsid w:val="00DD3ADC"/>
    <w:rsid w:val="00DD3C31"/>
    <w:rsid w:val="00DD3F02"/>
    <w:rsid w:val="00DD4091"/>
    <w:rsid w:val="00DD4115"/>
    <w:rsid w:val="00DD4137"/>
    <w:rsid w:val="00DD43A5"/>
    <w:rsid w:val="00DD43DF"/>
    <w:rsid w:val="00DD44E9"/>
    <w:rsid w:val="00DD4502"/>
    <w:rsid w:val="00DD4675"/>
    <w:rsid w:val="00DD49D1"/>
    <w:rsid w:val="00DD4CDF"/>
    <w:rsid w:val="00DD4DBA"/>
    <w:rsid w:val="00DD4E7B"/>
    <w:rsid w:val="00DD50FE"/>
    <w:rsid w:val="00DD5105"/>
    <w:rsid w:val="00DD538F"/>
    <w:rsid w:val="00DD5534"/>
    <w:rsid w:val="00DD5563"/>
    <w:rsid w:val="00DD55FD"/>
    <w:rsid w:val="00DD5B23"/>
    <w:rsid w:val="00DD5C10"/>
    <w:rsid w:val="00DD5C62"/>
    <w:rsid w:val="00DD5CB0"/>
    <w:rsid w:val="00DD5D2A"/>
    <w:rsid w:val="00DD6057"/>
    <w:rsid w:val="00DD60B5"/>
    <w:rsid w:val="00DD60C1"/>
    <w:rsid w:val="00DD60FB"/>
    <w:rsid w:val="00DD619F"/>
    <w:rsid w:val="00DD61F8"/>
    <w:rsid w:val="00DD629D"/>
    <w:rsid w:val="00DD631B"/>
    <w:rsid w:val="00DD6410"/>
    <w:rsid w:val="00DD67C1"/>
    <w:rsid w:val="00DD67F2"/>
    <w:rsid w:val="00DD6842"/>
    <w:rsid w:val="00DD6864"/>
    <w:rsid w:val="00DD6905"/>
    <w:rsid w:val="00DD696F"/>
    <w:rsid w:val="00DD69B1"/>
    <w:rsid w:val="00DD69CA"/>
    <w:rsid w:val="00DD69DE"/>
    <w:rsid w:val="00DD6A4E"/>
    <w:rsid w:val="00DD6A60"/>
    <w:rsid w:val="00DD6A72"/>
    <w:rsid w:val="00DD6CDC"/>
    <w:rsid w:val="00DD6E5A"/>
    <w:rsid w:val="00DD7063"/>
    <w:rsid w:val="00DD7207"/>
    <w:rsid w:val="00DD7269"/>
    <w:rsid w:val="00DD72EC"/>
    <w:rsid w:val="00DD79B2"/>
    <w:rsid w:val="00DD7B2C"/>
    <w:rsid w:val="00DD7D4A"/>
    <w:rsid w:val="00DD7EE2"/>
    <w:rsid w:val="00DD7F35"/>
    <w:rsid w:val="00DE0078"/>
    <w:rsid w:val="00DE0562"/>
    <w:rsid w:val="00DE07A0"/>
    <w:rsid w:val="00DE0A38"/>
    <w:rsid w:val="00DE0CC4"/>
    <w:rsid w:val="00DE0EE2"/>
    <w:rsid w:val="00DE11B4"/>
    <w:rsid w:val="00DE12E7"/>
    <w:rsid w:val="00DE142F"/>
    <w:rsid w:val="00DE1767"/>
    <w:rsid w:val="00DE188D"/>
    <w:rsid w:val="00DE19E2"/>
    <w:rsid w:val="00DE1A01"/>
    <w:rsid w:val="00DE1B1B"/>
    <w:rsid w:val="00DE1F7A"/>
    <w:rsid w:val="00DE202C"/>
    <w:rsid w:val="00DE20F5"/>
    <w:rsid w:val="00DE2170"/>
    <w:rsid w:val="00DE2192"/>
    <w:rsid w:val="00DE231B"/>
    <w:rsid w:val="00DE2357"/>
    <w:rsid w:val="00DE23C5"/>
    <w:rsid w:val="00DE24A6"/>
    <w:rsid w:val="00DE264D"/>
    <w:rsid w:val="00DE2732"/>
    <w:rsid w:val="00DE2917"/>
    <w:rsid w:val="00DE29D2"/>
    <w:rsid w:val="00DE2B50"/>
    <w:rsid w:val="00DE2B76"/>
    <w:rsid w:val="00DE300C"/>
    <w:rsid w:val="00DE31DB"/>
    <w:rsid w:val="00DE338E"/>
    <w:rsid w:val="00DE346A"/>
    <w:rsid w:val="00DE35CD"/>
    <w:rsid w:val="00DE3770"/>
    <w:rsid w:val="00DE39FF"/>
    <w:rsid w:val="00DE3A92"/>
    <w:rsid w:val="00DE3EA4"/>
    <w:rsid w:val="00DE3F27"/>
    <w:rsid w:val="00DE4398"/>
    <w:rsid w:val="00DE43E1"/>
    <w:rsid w:val="00DE4616"/>
    <w:rsid w:val="00DE46E5"/>
    <w:rsid w:val="00DE4778"/>
    <w:rsid w:val="00DE4A54"/>
    <w:rsid w:val="00DE4A59"/>
    <w:rsid w:val="00DE4A73"/>
    <w:rsid w:val="00DE4E27"/>
    <w:rsid w:val="00DE4EA5"/>
    <w:rsid w:val="00DE4EF9"/>
    <w:rsid w:val="00DE519E"/>
    <w:rsid w:val="00DE52CC"/>
    <w:rsid w:val="00DE54E1"/>
    <w:rsid w:val="00DE555E"/>
    <w:rsid w:val="00DE56D4"/>
    <w:rsid w:val="00DE5842"/>
    <w:rsid w:val="00DE5859"/>
    <w:rsid w:val="00DE58D5"/>
    <w:rsid w:val="00DE5A52"/>
    <w:rsid w:val="00DE5A99"/>
    <w:rsid w:val="00DE5AA5"/>
    <w:rsid w:val="00DE5B73"/>
    <w:rsid w:val="00DE5BE5"/>
    <w:rsid w:val="00DE5C80"/>
    <w:rsid w:val="00DE607C"/>
    <w:rsid w:val="00DE6151"/>
    <w:rsid w:val="00DE627F"/>
    <w:rsid w:val="00DE63B8"/>
    <w:rsid w:val="00DE63BF"/>
    <w:rsid w:val="00DE6443"/>
    <w:rsid w:val="00DE6450"/>
    <w:rsid w:val="00DE6454"/>
    <w:rsid w:val="00DE6600"/>
    <w:rsid w:val="00DE6676"/>
    <w:rsid w:val="00DE66ED"/>
    <w:rsid w:val="00DE69B9"/>
    <w:rsid w:val="00DE6D1F"/>
    <w:rsid w:val="00DE6FF4"/>
    <w:rsid w:val="00DE712B"/>
    <w:rsid w:val="00DE7152"/>
    <w:rsid w:val="00DE71EC"/>
    <w:rsid w:val="00DE7231"/>
    <w:rsid w:val="00DE74F2"/>
    <w:rsid w:val="00DE776A"/>
    <w:rsid w:val="00DE7988"/>
    <w:rsid w:val="00DE7B48"/>
    <w:rsid w:val="00DE7DC9"/>
    <w:rsid w:val="00DE7E42"/>
    <w:rsid w:val="00DE7E54"/>
    <w:rsid w:val="00DF0236"/>
    <w:rsid w:val="00DF02C4"/>
    <w:rsid w:val="00DF0398"/>
    <w:rsid w:val="00DF041E"/>
    <w:rsid w:val="00DF042C"/>
    <w:rsid w:val="00DF0721"/>
    <w:rsid w:val="00DF0828"/>
    <w:rsid w:val="00DF08EC"/>
    <w:rsid w:val="00DF0AB4"/>
    <w:rsid w:val="00DF0ABA"/>
    <w:rsid w:val="00DF0B3B"/>
    <w:rsid w:val="00DF0D8F"/>
    <w:rsid w:val="00DF0E5A"/>
    <w:rsid w:val="00DF10AA"/>
    <w:rsid w:val="00DF11F3"/>
    <w:rsid w:val="00DF12CB"/>
    <w:rsid w:val="00DF1362"/>
    <w:rsid w:val="00DF17F8"/>
    <w:rsid w:val="00DF1857"/>
    <w:rsid w:val="00DF19D4"/>
    <w:rsid w:val="00DF1A03"/>
    <w:rsid w:val="00DF1B9E"/>
    <w:rsid w:val="00DF1BD9"/>
    <w:rsid w:val="00DF1E4D"/>
    <w:rsid w:val="00DF1FDD"/>
    <w:rsid w:val="00DF2114"/>
    <w:rsid w:val="00DF2220"/>
    <w:rsid w:val="00DF22C3"/>
    <w:rsid w:val="00DF22C8"/>
    <w:rsid w:val="00DF23F3"/>
    <w:rsid w:val="00DF2454"/>
    <w:rsid w:val="00DF256A"/>
    <w:rsid w:val="00DF271E"/>
    <w:rsid w:val="00DF2727"/>
    <w:rsid w:val="00DF2867"/>
    <w:rsid w:val="00DF2973"/>
    <w:rsid w:val="00DF2A78"/>
    <w:rsid w:val="00DF2A79"/>
    <w:rsid w:val="00DF2B3D"/>
    <w:rsid w:val="00DF2BD8"/>
    <w:rsid w:val="00DF2ECA"/>
    <w:rsid w:val="00DF2F11"/>
    <w:rsid w:val="00DF31E3"/>
    <w:rsid w:val="00DF333E"/>
    <w:rsid w:val="00DF3765"/>
    <w:rsid w:val="00DF39E4"/>
    <w:rsid w:val="00DF3BCF"/>
    <w:rsid w:val="00DF3E00"/>
    <w:rsid w:val="00DF3E97"/>
    <w:rsid w:val="00DF402C"/>
    <w:rsid w:val="00DF40D6"/>
    <w:rsid w:val="00DF40E3"/>
    <w:rsid w:val="00DF410C"/>
    <w:rsid w:val="00DF413C"/>
    <w:rsid w:val="00DF4231"/>
    <w:rsid w:val="00DF4245"/>
    <w:rsid w:val="00DF42D5"/>
    <w:rsid w:val="00DF4372"/>
    <w:rsid w:val="00DF442E"/>
    <w:rsid w:val="00DF45E2"/>
    <w:rsid w:val="00DF4752"/>
    <w:rsid w:val="00DF47AB"/>
    <w:rsid w:val="00DF47AE"/>
    <w:rsid w:val="00DF49CA"/>
    <w:rsid w:val="00DF4D0F"/>
    <w:rsid w:val="00DF50DD"/>
    <w:rsid w:val="00DF53F2"/>
    <w:rsid w:val="00DF5475"/>
    <w:rsid w:val="00DF562F"/>
    <w:rsid w:val="00DF57E8"/>
    <w:rsid w:val="00DF580B"/>
    <w:rsid w:val="00DF5964"/>
    <w:rsid w:val="00DF5A46"/>
    <w:rsid w:val="00DF5DC4"/>
    <w:rsid w:val="00DF60D3"/>
    <w:rsid w:val="00DF618F"/>
    <w:rsid w:val="00DF61AF"/>
    <w:rsid w:val="00DF61BC"/>
    <w:rsid w:val="00DF64BC"/>
    <w:rsid w:val="00DF64FD"/>
    <w:rsid w:val="00DF6512"/>
    <w:rsid w:val="00DF658F"/>
    <w:rsid w:val="00DF660A"/>
    <w:rsid w:val="00DF6639"/>
    <w:rsid w:val="00DF676B"/>
    <w:rsid w:val="00DF695E"/>
    <w:rsid w:val="00DF69E4"/>
    <w:rsid w:val="00DF6BE2"/>
    <w:rsid w:val="00DF6C64"/>
    <w:rsid w:val="00DF6CB2"/>
    <w:rsid w:val="00DF6CD0"/>
    <w:rsid w:val="00DF6EAD"/>
    <w:rsid w:val="00DF70D4"/>
    <w:rsid w:val="00DF7152"/>
    <w:rsid w:val="00DF72BE"/>
    <w:rsid w:val="00DF72FE"/>
    <w:rsid w:val="00DF72FF"/>
    <w:rsid w:val="00DF76CA"/>
    <w:rsid w:val="00DF7747"/>
    <w:rsid w:val="00DF7907"/>
    <w:rsid w:val="00DF790E"/>
    <w:rsid w:val="00DF7A3A"/>
    <w:rsid w:val="00DF7AC8"/>
    <w:rsid w:val="00DF7C06"/>
    <w:rsid w:val="00DF7C1D"/>
    <w:rsid w:val="00DF7C87"/>
    <w:rsid w:val="00DF7D4F"/>
    <w:rsid w:val="00DF7D6A"/>
    <w:rsid w:val="00DF7E45"/>
    <w:rsid w:val="00DF7E58"/>
    <w:rsid w:val="00DF7EB1"/>
    <w:rsid w:val="00DF7FC5"/>
    <w:rsid w:val="00E00055"/>
    <w:rsid w:val="00E002CC"/>
    <w:rsid w:val="00E0038C"/>
    <w:rsid w:val="00E004F3"/>
    <w:rsid w:val="00E005B9"/>
    <w:rsid w:val="00E0072E"/>
    <w:rsid w:val="00E00789"/>
    <w:rsid w:val="00E00C61"/>
    <w:rsid w:val="00E00C7B"/>
    <w:rsid w:val="00E00C9C"/>
    <w:rsid w:val="00E00CE2"/>
    <w:rsid w:val="00E00EF2"/>
    <w:rsid w:val="00E00F50"/>
    <w:rsid w:val="00E0102C"/>
    <w:rsid w:val="00E01130"/>
    <w:rsid w:val="00E01174"/>
    <w:rsid w:val="00E01291"/>
    <w:rsid w:val="00E014A3"/>
    <w:rsid w:val="00E0157D"/>
    <w:rsid w:val="00E01E9A"/>
    <w:rsid w:val="00E02014"/>
    <w:rsid w:val="00E02386"/>
    <w:rsid w:val="00E023BB"/>
    <w:rsid w:val="00E024BE"/>
    <w:rsid w:val="00E02703"/>
    <w:rsid w:val="00E027CC"/>
    <w:rsid w:val="00E028EE"/>
    <w:rsid w:val="00E02B49"/>
    <w:rsid w:val="00E02BE8"/>
    <w:rsid w:val="00E02CE0"/>
    <w:rsid w:val="00E03062"/>
    <w:rsid w:val="00E03069"/>
    <w:rsid w:val="00E030E4"/>
    <w:rsid w:val="00E03170"/>
    <w:rsid w:val="00E033B9"/>
    <w:rsid w:val="00E03449"/>
    <w:rsid w:val="00E03830"/>
    <w:rsid w:val="00E03A52"/>
    <w:rsid w:val="00E03A73"/>
    <w:rsid w:val="00E03DE3"/>
    <w:rsid w:val="00E03ED1"/>
    <w:rsid w:val="00E03F92"/>
    <w:rsid w:val="00E041CC"/>
    <w:rsid w:val="00E0428C"/>
    <w:rsid w:val="00E046F5"/>
    <w:rsid w:val="00E0486B"/>
    <w:rsid w:val="00E04A61"/>
    <w:rsid w:val="00E04AAE"/>
    <w:rsid w:val="00E04AC2"/>
    <w:rsid w:val="00E04B5C"/>
    <w:rsid w:val="00E04CEF"/>
    <w:rsid w:val="00E04E01"/>
    <w:rsid w:val="00E053BD"/>
    <w:rsid w:val="00E05430"/>
    <w:rsid w:val="00E0564A"/>
    <w:rsid w:val="00E056AE"/>
    <w:rsid w:val="00E0574E"/>
    <w:rsid w:val="00E057DC"/>
    <w:rsid w:val="00E059E6"/>
    <w:rsid w:val="00E05BCC"/>
    <w:rsid w:val="00E05DE4"/>
    <w:rsid w:val="00E05FA5"/>
    <w:rsid w:val="00E05FF5"/>
    <w:rsid w:val="00E060D8"/>
    <w:rsid w:val="00E06265"/>
    <w:rsid w:val="00E06322"/>
    <w:rsid w:val="00E06372"/>
    <w:rsid w:val="00E065D3"/>
    <w:rsid w:val="00E065ED"/>
    <w:rsid w:val="00E0667D"/>
    <w:rsid w:val="00E06844"/>
    <w:rsid w:val="00E0687C"/>
    <w:rsid w:val="00E068E5"/>
    <w:rsid w:val="00E069F6"/>
    <w:rsid w:val="00E06B4C"/>
    <w:rsid w:val="00E06C0B"/>
    <w:rsid w:val="00E06D2E"/>
    <w:rsid w:val="00E06DC0"/>
    <w:rsid w:val="00E06DDA"/>
    <w:rsid w:val="00E06E88"/>
    <w:rsid w:val="00E06E97"/>
    <w:rsid w:val="00E0704D"/>
    <w:rsid w:val="00E07070"/>
    <w:rsid w:val="00E07081"/>
    <w:rsid w:val="00E070E2"/>
    <w:rsid w:val="00E07173"/>
    <w:rsid w:val="00E071E9"/>
    <w:rsid w:val="00E07520"/>
    <w:rsid w:val="00E07563"/>
    <w:rsid w:val="00E07631"/>
    <w:rsid w:val="00E07BDA"/>
    <w:rsid w:val="00E07D8E"/>
    <w:rsid w:val="00E07DCE"/>
    <w:rsid w:val="00E07E70"/>
    <w:rsid w:val="00E10093"/>
    <w:rsid w:val="00E10134"/>
    <w:rsid w:val="00E10208"/>
    <w:rsid w:val="00E103A6"/>
    <w:rsid w:val="00E105C5"/>
    <w:rsid w:val="00E10695"/>
    <w:rsid w:val="00E10727"/>
    <w:rsid w:val="00E107A5"/>
    <w:rsid w:val="00E107F0"/>
    <w:rsid w:val="00E10827"/>
    <w:rsid w:val="00E1083C"/>
    <w:rsid w:val="00E10968"/>
    <w:rsid w:val="00E10A4A"/>
    <w:rsid w:val="00E10B04"/>
    <w:rsid w:val="00E10BC2"/>
    <w:rsid w:val="00E10C8D"/>
    <w:rsid w:val="00E10CEF"/>
    <w:rsid w:val="00E10DAB"/>
    <w:rsid w:val="00E10EC5"/>
    <w:rsid w:val="00E10FCD"/>
    <w:rsid w:val="00E10FD1"/>
    <w:rsid w:val="00E1132E"/>
    <w:rsid w:val="00E1141F"/>
    <w:rsid w:val="00E11481"/>
    <w:rsid w:val="00E114CF"/>
    <w:rsid w:val="00E11579"/>
    <w:rsid w:val="00E11785"/>
    <w:rsid w:val="00E11A10"/>
    <w:rsid w:val="00E11A52"/>
    <w:rsid w:val="00E11AC9"/>
    <w:rsid w:val="00E11B75"/>
    <w:rsid w:val="00E11E18"/>
    <w:rsid w:val="00E123D6"/>
    <w:rsid w:val="00E124EF"/>
    <w:rsid w:val="00E1268D"/>
    <w:rsid w:val="00E12C94"/>
    <w:rsid w:val="00E12D01"/>
    <w:rsid w:val="00E12D68"/>
    <w:rsid w:val="00E12DE3"/>
    <w:rsid w:val="00E12DF3"/>
    <w:rsid w:val="00E13036"/>
    <w:rsid w:val="00E13114"/>
    <w:rsid w:val="00E13133"/>
    <w:rsid w:val="00E13323"/>
    <w:rsid w:val="00E1337F"/>
    <w:rsid w:val="00E137B5"/>
    <w:rsid w:val="00E137B7"/>
    <w:rsid w:val="00E13811"/>
    <w:rsid w:val="00E1388A"/>
    <w:rsid w:val="00E138CC"/>
    <w:rsid w:val="00E1393D"/>
    <w:rsid w:val="00E13BE4"/>
    <w:rsid w:val="00E13C23"/>
    <w:rsid w:val="00E13D74"/>
    <w:rsid w:val="00E141D9"/>
    <w:rsid w:val="00E14334"/>
    <w:rsid w:val="00E1452E"/>
    <w:rsid w:val="00E145B8"/>
    <w:rsid w:val="00E14668"/>
    <w:rsid w:val="00E146A2"/>
    <w:rsid w:val="00E1470A"/>
    <w:rsid w:val="00E14789"/>
    <w:rsid w:val="00E14898"/>
    <w:rsid w:val="00E14A7C"/>
    <w:rsid w:val="00E14AE0"/>
    <w:rsid w:val="00E14BCB"/>
    <w:rsid w:val="00E14C89"/>
    <w:rsid w:val="00E14CA0"/>
    <w:rsid w:val="00E14DC3"/>
    <w:rsid w:val="00E14DC7"/>
    <w:rsid w:val="00E14E9B"/>
    <w:rsid w:val="00E14EE1"/>
    <w:rsid w:val="00E151E5"/>
    <w:rsid w:val="00E151F1"/>
    <w:rsid w:val="00E15270"/>
    <w:rsid w:val="00E153C8"/>
    <w:rsid w:val="00E15551"/>
    <w:rsid w:val="00E156FB"/>
    <w:rsid w:val="00E1577A"/>
    <w:rsid w:val="00E157DD"/>
    <w:rsid w:val="00E159EE"/>
    <w:rsid w:val="00E15B16"/>
    <w:rsid w:val="00E15B6B"/>
    <w:rsid w:val="00E15C20"/>
    <w:rsid w:val="00E15DB6"/>
    <w:rsid w:val="00E15E17"/>
    <w:rsid w:val="00E15EAF"/>
    <w:rsid w:val="00E160F1"/>
    <w:rsid w:val="00E1611D"/>
    <w:rsid w:val="00E1616A"/>
    <w:rsid w:val="00E162B5"/>
    <w:rsid w:val="00E163C5"/>
    <w:rsid w:val="00E16499"/>
    <w:rsid w:val="00E1670B"/>
    <w:rsid w:val="00E167E2"/>
    <w:rsid w:val="00E16842"/>
    <w:rsid w:val="00E1691D"/>
    <w:rsid w:val="00E16B18"/>
    <w:rsid w:val="00E16B74"/>
    <w:rsid w:val="00E16B84"/>
    <w:rsid w:val="00E16BFD"/>
    <w:rsid w:val="00E16D3C"/>
    <w:rsid w:val="00E16DA9"/>
    <w:rsid w:val="00E16F4D"/>
    <w:rsid w:val="00E170B3"/>
    <w:rsid w:val="00E17125"/>
    <w:rsid w:val="00E171F0"/>
    <w:rsid w:val="00E17201"/>
    <w:rsid w:val="00E172F0"/>
    <w:rsid w:val="00E173AA"/>
    <w:rsid w:val="00E173E6"/>
    <w:rsid w:val="00E174B3"/>
    <w:rsid w:val="00E17519"/>
    <w:rsid w:val="00E175CF"/>
    <w:rsid w:val="00E175E3"/>
    <w:rsid w:val="00E17946"/>
    <w:rsid w:val="00E179E9"/>
    <w:rsid w:val="00E17A1A"/>
    <w:rsid w:val="00E17A57"/>
    <w:rsid w:val="00E17D12"/>
    <w:rsid w:val="00E17FD7"/>
    <w:rsid w:val="00E2003C"/>
    <w:rsid w:val="00E20184"/>
    <w:rsid w:val="00E201CD"/>
    <w:rsid w:val="00E20283"/>
    <w:rsid w:val="00E202E1"/>
    <w:rsid w:val="00E20474"/>
    <w:rsid w:val="00E20592"/>
    <w:rsid w:val="00E20650"/>
    <w:rsid w:val="00E207F9"/>
    <w:rsid w:val="00E209C4"/>
    <w:rsid w:val="00E20B0B"/>
    <w:rsid w:val="00E20B3D"/>
    <w:rsid w:val="00E20CB8"/>
    <w:rsid w:val="00E20CD0"/>
    <w:rsid w:val="00E20D2B"/>
    <w:rsid w:val="00E20E80"/>
    <w:rsid w:val="00E20F38"/>
    <w:rsid w:val="00E2111E"/>
    <w:rsid w:val="00E212F1"/>
    <w:rsid w:val="00E213EC"/>
    <w:rsid w:val="00E215C4"/>
    <w:rsid w:val="00E21666"/>
    <w:rsid w:val="00E217CB"/>
    <w:rsid w:val="00E2184B"/>
    <w:rsid w:val="00E21851"/>
    <w:rsid w:val="00E218AD"/>
    <w:rsid w:val="00E21AF2"/>
    <w:rsid w:val="00E21CDA"/>
    <w:rsid w:val="00E22062"/>
    <w:rsid w:val="00E221EA"/>
    <w:rsid w:val="00E222D3"/>
    <w:rsid w:val="00E2237E"/>
    <w:rsid w:val="00E223AC"/>
    <w:rsid w:val="00E22511"/>
    <w:rsid w:val="00E226A3"/>
    <w:rsid w:val="00E2292A"/>
    <w:rsid w:val="00E22BB9"/>
    <w:rsid w:val="00E22C89"/>
    <w:rsid w:val="00E22D07"/>
    <w:rsid w:val="00E22F74"/>
    <w:rsid w:val="00E2303C"/>
    <w:rsid w:val="00E23214"/>
    <w:rsid w:val="00E23732"/>
    <w:rsid w:val="00E23918"/>
    <w:rsid w:val="00E239CC"/>
    <w:rsid w:val="00E23A46"/>
    <w:rsid w:val="00E23B4A"/>
    <w:rsid w:val="00E23BBE"/>
    <w:rsid w:val="00E23D7E"/>
    <w:rsid w:val="00E2412C"/>
    <w:rsid w:val="00E242B1"/>
    <w:rsid w:val="00E24374"/>
    <w:rsid w:val="00E243BA"/>
    <w:rsid w:val="00E243C3"/>
    <w:rsid w:val="00E2440F"/>
    <w:rsid w:val="00E244FA"/>
    <w:rsid w:val="00E245F7"/>
    <w:rsid w:val="00E2470F"/>
    <w:rsid w:val="00E248BF"/>
    <w:rsid w:val="00E249B1"/>
    <w:rsid w:val="00E24A1E"/>
    <w:rsid w:val="00E24A3F"/>
    <w:rsid w:val="00E24A4E"/>
    <w:rsid w:val="00E24ACA"/>
    <w:rsid w:val="00E24C24"/>
    <w:rsid w:val="00E24D42"/>
    <w:rsid w:val="00E24E2A"/>
    <w:rsid w:val="00E24E68"/>
    <w:rsid w:val="00E24FD3"/>
    <w:rsid w:val="00E24FE6"/>
    <w:rsid w:val="00E25775"/>
    <w:rsid w:val="00E25964"/>
    <w:rsid w:val="00E25AC7"/>
    <w:rsid w:val="00E25C0B"/>
    <w:rsid w:val="00E25C55"/>
    <w:rsid w:val="00E25CF4"/>
    <w:rsid w:val="00E25D16"/>
    <w:rsid w:val="00E26011"/>
    <w:rsid w:val="00E26372"/>
    <w:rsid w:val="00E263E0"/>
    <w:rsid w:val="00E2649F"/>
    <w:rsid w:val="00E264C3"/>
    <w:rsid w:val="00E26759"/>
    <w:rsid w:val="00E26834"/>
    <w:rsid w:val="00E26D10"/>
    <w:rsid w:val="00E26D46"/>
    <w:rsid w:val="00E26ECB"/>
    <w:rsid w:val="00E26FCE"/>
    <w:rsid w:val="00E26FDE"/>
    <w:rsid w:val="00E27063"/>
    <w:rsid w:val="00E270A4"/>
    <w:rsid w:val="00E271D0"/>
    <w:rsid w:val="00E27235"/>
    <w:rsid w:val="00E27316"/>
    <w:rsid w:val="00E27408"/>
    <w:rsid w:val="00E275BF"/>
    <w:rsid w:val="00E2769C"/>
    <w:rsid w:val="00E276C2"/>
    <w:rsid w:val="00E278C8"/>
    <w:rsid w:val="00E27B80"/>
    <w:rsid w:val="00E27D7B"/>
    <w:rsid w:val="00E27E99"/>
    <w:rsid w:val="00E27EDE"/>
    <w:rsid w:val="00E27F08"/>
    <w:rsid w:val="00E27F40"/>
    <w:rsid w:val="00E3000D"/>
    <w:rsid w:val="00E300D1"/>
    <w:rsid w:val="00E30189"/>
    <w:rsid w:val="00E301CF"/>
    <w:rsid w:val="00E3022D"/>
    <w:rsid w:val="00E3060D"/>
    <w:rsid w:val="00E30808"/>
    <w:rsid w:val="00E30D97"/>
    <w:rsid w:val="00E30FB6"/>
    <w:rsid w:val="00E31100"/>
    <w:rsid w:val="00E3123A"/>
    <w:rsid w:val="00E31543"/>
    <w:rsid w:val="00E3164F"/>
    <w:rsid w:val="00E31654"/>
    <w:rsid w:val="00E3170F"/>
    <w:rsid w:val="00E3176A"/>
    <w:rsid w:val="00E318CE"/>
    <w:rsid w:val="00E3190B"/>
    <w:rsid w:val="00E319AA"/>
    <w:rsid w:val="00E319F4"/>
    <w:rsid w:val="00E31AA5"/>
    <w:rsid w:val="00E323B9"/>
    <w:rsid w:val="00E3252F"/>
    <w:rsid w:val="00E3274F"/>
    <w:rsid w:val="00E329C5"/>
    <w:rsid w:val="00E32C29"/>
    <w:rsid w:val="00E32C33"/>
    <w:rsid w:val="00E32DA8"/>
    <w:rsid w:val="00E32E6F"/>
    <w:rsid w:val="00E32F32"/>
    <w:rsid w:val="00E32FF7"/>
    <w:rsid w:val="00E3327A"/>
    <w:rsid w:val="00E3350A"/>
    <w:rsid w:val="00E3359E"/>
    <w:rsid w:val="00E3360C"/>
    <w:rsid w:val="00E33610"/>
    <w:rsid w:val="00E3364C"/>
    <w:rsid w:val="00E3369F"/>
    <w:rsid w:val="00E336DD"/>
    <w:rsid w:val="00E3378B"/>
    <w:rsid w:val="00E33A5F"/>
    <w:rsid w:val="00E33B02"/>
    <w:rsid w:val="00E33E32"/>
    <w:rsid w:val="00E342A5"/>
    <w:rsid w:val="00E34336"/>
    <w:rsid w:val="00E3449D"/>
    <w:rsid w:val="00E34559"/>
    <w:rsid w:val="00E345C4"/>
    <w:rsid w:val="00E34755"/>
    <w:rsid w:val="00E3487B"/>
    <w:rsid w:val="00E348E3"/>
    <w:rsid w:val="00E3494C"/>
    <w:rsid w:val="00E34DB1"/>
    <w:rsid w:val="00E34F11"/>
    <w:rsid w:val="00E35163"/>
    <w:rsid w:val="00E35386"/>
    <w:rsid w:val="00E35471"/>
    <w:rsid w:val="00E355A3"/>
    <w:rsid w:val="00E35865"/>
    <w:rsid w:val="00E3595D"/>
    <w:rsid w:val="00E3596A"/>
    <w:rsid w:val="00E35B39"/>
    <w:rsid w:val="00E35DD3"/>
    <w:rsid w:val="00E35E7E"/>
    <w:rsid w:val="00E35FA5"/>
    <w:rsid w:val="00E35FE8"/>
    <w:rsid w:val="00E36013"/>
    <w:rsid w:val="00E3615A"/>
    <w:rsid w:val="00E364B2"/>
    <w:rsid w:val="00E36522"/>
    <w:rsid w:val="00E36674"/>
    <w:rsid w:val="00E366BA"/>
    <w:rsid w:val="00E3678A"/>
    <w:rsid w:val="00E3685A"/>
    <w:rsid w:val="00E36897"/>
    <w:rsid w:val="00E36A28"/>
    <w:rsid w:val="00E36B13"/>
    <w:rsid w:val="00E36D3D"/>
    <w:rsid w:val="00E36D9D"/>
    <w:rsid w:val="00E36F70"/>
    <w:rsid w:val="00E36F83"/>
    <w:rsid w:val="00E3712F"/>
    <w:rsid w:val="00E37370"/>
    <w:rsid w:val="00E373BA"/>
    <w:rsid w:val="00E3754D"/>
    <w:rsid w:val="00E376F2"/>
    <w:rsid w:val="00E3774D"/>
    <w:rsid w:val="00E37750"/>
    <w:rsid w:val="00E377DF"/>
    <w:rsid w:val="00E37880"/>
    <w:rsid w:val="00E3788E"/>
    <w:rsid w:val="00E37A7F"/>
    <w:rsid w:val="00E37B74"/>
    <w:rsid w:val="00E37CD3"/>
    <w:rsid w:val="00E37DD0"/>
    <w:rsid w:val="00E37F76"/>
    <w:rsid w:val="00E37FB8"/>
    <w:rsid w:val="00E4010E"/>
    <w:rsid w:val="00E401F5"/>
    <w:rsid w:val="00E40333"/>
    <w:rsid w:val="00E403FE"/>
    <w:rsid w:val="00E4041B"/>
    <w:rsid w:val="00E40488"/>
    <w:rsid w:val="00E4049A"/>
    <w:rsid w:val="00E404DB"/>
    <w:rsid w:val="00E404DC"/>
    <w:rsid w:val="00E40577"/>
    <w:rsid w:val="00E405B2"/>
    <w:rsid w:val="00E40804"/>
    <w:rsid w:val="00E40A69"/>
    <w:rsid w:val="00E40BEC"/>
    <w:rsid w:val="00E40D5C"/>
    <w:rsid w:val="00E40FBD"/>
    <w:rsid w:val="00E4112D"/>
    <w:rsid w:val="00E4130B"/>
    <w:rsid w:val="00E41382"/>
    <w:rsid w:val="00E415F3"/>
    <w:rsid w:val="00E415F7"/>
    <w:rsid w:val="00E4167C"/>
    <w:rsid w:val="00E41818"/>
    <w:rsid w:val="00E418AC"/>
    <w:rsid w:val="00E418BC"/>
    <w:rsid w:val="00E419EA"/>
    <w:rsid w:val="00E41AE1"/>
    <w:rsid w:val="00E41AE6"/>
    <w:rsid w:val="00E41BF3"/>
    <w:rsid w:val="00E41D62"/>
    <w:rsid w:val="00E41D8A"/>
    <w:rsid w:val="00E41F1B"/>
    <w:rsid w:val="00E42090"/>
    <w:rsid w:val="00E4211F"/>
    <w:rsid w:val="00E42217"/>
    <w:rsid w:val="00E423B6"/>
    <w:rsid w:val="00E424E7"/>
    <w:rsid w:val="00E426DE"/>
    <w:rsid w:val="00E427DC"/>
    <w:rsid w:val="00E427E3"/>
    <w:rsid w:val="00E428D7"/>
    <w:rsid w:val="00E429C4"/>
    <w:rsid w:val="00E42B38"/>
    <w:rsid w:val="00E42CFE"/>
    <w:rsid w:val="00E42E99"/>
    <w:rsid w:val="00E43067"/>
    <w:rsid w:val="00E432F6"/>
    <w:rsid w:val="00E43321"/>
    <w:rsid w:val="00E433B8"/>
    <w:rsid w:val="00E4340A"/>
    <w:rsid w:val="00E4350A"/>
    <w:rsid w:val="00E43526"/>
    <w:rsid w:val="00E43559"/>
    <w:rsid w:val="00E43563"/>
    <w:rsid w:val="00E435EF"/>
    <w:rsid w:val="00E436A7"/>
    <w:rsid w:val="00E438EF"/>
    <w:rsid w:val="00E43949"/>
    <w:rsid w:val="00E43BD3"/>
    <w:rsid w:val="00E43C2B"/>
    <w:rsid w:val="00E43CC3"/>
    <w:rsid w:val="00E43FBE"/>
    <w:rsid w:val="00E44082"/>
    <w:rsid w:val="00E440AE"/>
    <w:rsid w:val="00E4422D"/>
    <w:rsid w:val="00E4442F"/>
    <w:rsid w:val="00E44448"/>
    <w:rsid w:val="00E44650"/>
    <w:rsid w:val="00E44657"/>
    <w:rsid w:val="00E448AD"/>
    <w:rsid w:val="00E448DF"/>
    <w:rsid w:val="00E44931"/>
    <w:rsid w:val="00E449EF"/>
    <w:rsid w:val="00E44A44"/>
    <w:rsid w:val="00E44B47"/>
    <w:rsid w:val="00E44D32"/>
    <w:rsid w:val="00E44E94"/>
    <w:rsid w:val="00E45060"/>
    <w:rsid w:val="00E452F4"/>
    <w:rsid w:val="00E4534B"/>
    <w:rsid w:val="00E454A7"/>
    <w:rsid w:val="00E454CE"/>
    <w:rsid w:val="00E45604"/>
    <w:rsid w:val="00E45638"/>
    <w:rsid w:val="00E456D4"/>
    <w:rsid w:val="00E4576A"/>
    <w:rsid w:val="00E45879"/>
    <w:rsid w:val="00E45D23"/>
    <w:rsid w:val="00E45DD0"/>
    <w:rsid w:val="00E45E00"/>
    <w:rsid w:val="00E45F69"/>
    <w:rsid w:val="00E4622E"/>
    <w:rsid w:val="00E4626C"/>
    <w:rsid w:val="00E4627E"/>
    <w:rsid w:val="00E463A4"/>
    <w:rsid w:val="00E463B5"/>
    <w:rsid w:val="00E46483"/>
    <w:rsid w:val="00E46529"/>
    <w:rsid w:val="00E4654A"/>
    <w:rsid w:val="00E467D6"/>
    <w:rsid w:val="00E46824"/>
    <w:rsid w:val="00E46872"/>
    <w:rsid w:val="00E46873"/>
    <w:rsid w:val="00E46978"/>
    <w:rsid w:val="00E469DD"/>
    <w:rsid w:val="00E46C56"/>
    <w:rsid w:val="00E4711F"/>
    <w:rsid w:val="00E471ED"/>
    <w:rsid w:val="00E471F2"/>
    <w:rsid w:val="00E4738D"/>
    <w:rsid w:val="00E473AB"/>
    <w:rsid w:val="00E473E7"/>
    <w:rsid w:val="00E47412"/>
    <w:rsid w:val="00E47434"/>
    <w:rsid w:val="00E475D4"/>
    <w:rsid w:val="00E476D1"/>
    <w:rsid w:val="00E477E2"/>
    <w:rsid w:val="00E47C57"/>
    <w:rsid w:val="00E47F73"/>
    <w:rsid w:val="00E5004D"/>
    <w:rsid w:val="00E500D9"/>
    <w:rsid w:val="00E5010D"/>
    <w:rsid w:val="00E50147"/>
    <w:rsid w:val="00E5047E"/>
    <w:rsid w:val="00E504A7"/>
    <w:rsid w:val="00E505D4"/>
    <w:rsid w:val="00E5075A"/>
    <w:rsid w:val="00E507A1"/>
    <w:rsid w:val="00E50846"/>
    <w:rsid w:val="00E50948"/>
    <w:rsid w:val="00E50BBB"/>
    <w:rsid w:val="00E50C78"/>
    <w:rsid w:val="00E50E67"/>
    <w:rsid w:val="00E50F5A"/>
    <w:rsid w:val="00E5100A"/>
    <w:rsid w:val="00E5108E"/>
    <w:rsid w:val="00E511FE"/>
    <w:rsid w:val="00E5126B"/>
    <w:rsid w:val="00E5160B"/>
    <w:rsid w:val="00E5162A"/>
    <w:rsid w:val="00E51780"/>
    <w:rsid w:val="00E519E1"/>
    <w:rsid w:val="00E51A85"/>
    <w:rsid w:val="00E51DA9"/>
    <w:rsid w:val="00E51E5F"/>
    <w:rsid w:val="00E52041"/>
    <w:rsid w:val="00E521B3"/>
    <w:rsid w:val="00E52240"/>
    <w:rsid w:val="00E522A5"/>
    <w:rsid w:val="00E52459"/>
    <w:rsid w:val="00E52506"/>
    <w:rsid w:val="00E526AC"/>
    <w:rsid w:val="00E527F2"/>
    <w:rsid w:val="00E52BFB"/>
    <w:rsid w:val="00E52DDC"/>
    <w:rsid w:val="00E52F43"/>
    <w:rsid w:val="00E52F58"/>
    <w:rsid w:val="00E53007"/>
    <w:rsid w:val="00E53120"/>
    <w:rsid w:val="00E53329"/>
    <w:rsid w:val="00E5338F"/>
    <w:rsid w:val="00E53413"/>
    <w:rsid w:val="00E53499"/>
    <w:rsid w:val="00E535BA"/>
    <w:rsid w:val="00E53638"/>
    <w:rsid w:val="00E53881"/>
    <w:rsid w:val="00E538A1"/>
    <w:rsid w:val="00E53923"/>
    <w:rsid w:val="00E53CB4"/>
    <w:rsid w:val="00E53CF1"/>
    <w:rsid w:val="00E541D1"/>
    <w:rsid w:val="00E54296"/>
    <w:rsid w:val="00E5441E"/>
    <w:rsid w:val="00E5449F"/>
    <w:rsid w:val="00E546E8"/>
    <w:rsid w:val="00E547E2"/>
    <w:rsid w:val="00E54845"/>
    <w:rsid w:val="00E54A12"/>
    <w:rsid w:val="00E54A3F"/>
    <w:rsid w:val="00E54BC3"/>
    <w:rsid w:val="00E54FAC"/>
    <w:rsid w:val="00E54FD3"/>
    <w:rsid w:val="00E5515F"/>
    <w:rsid w:val="00E551A8"/>
    <w:rsid w:val="00E551F4"/>
    <w:rsid w:val="00E5522F"/>
    <w:rsid w:val="00E55281"/>
    <w:rsid w:val="00E55310"/>
    <w:rsid w:val="00E55481"/>
    <w:rsid w:val="00E55673"/>
    <w:rsid w:val="00E55699"/>
    <w:rsid w:val="00E556CE"/>
    <w:rsid w:val="00E558D9"/>
    <w:rsid w:val="00E559D4"/>
    <w:rsid w:val="00E55A4B"/>
    <w:rsid w:val="00E55A74"/>
    <w:rsid w:val="00E55D10"/>
    <w:rsid w:val="00E55FAA"/>
    <w:rsid w:val="00E560F0"/>
    <w:rsid w:val="00E56124"/>
    <w:rsid w:val="00E56131"/>
    <w:rsid w:val="00E563E7"/>
    <w:rsid w:val="00E564DB"/>
    <w:rsid w:val="00E56544"/>
    <w:rsid w:val="00E5662A"/>
    <w:rsid w:val="00E56650"/>
    <w:rsid w:val="00E56735"/>
    <w:rsid w:val="00E567A4"/>
    <w:rsid w:val="00E5681A"/>
    <w:rsid w:val="00E56CC6"/>
    <w:rsid w:val="00E56DCE"/>
    <w:rsid w:val="00E56E33"/>
    <w:rsid w:val="00E56E6F"/>
    <w:rsid w:val="00E56E7C"/>
    <w:rsid w:val="00E5706F"/>
    <w:rsid w:val="00E570F1"/>
    <w:rsid w:val="00E57186"/>
    <w:rsid w:val="00E5745A"/>
    <w:rsid w:val="00E575CA"/>
    <w:rsid w:val="00E577BF"/>
    <w:rsid w:val="00E57868"/>
    <w:rsid w:val="00E57B29"/>
    <w:rsid w:val="00E57B5C"/>
    <w:rsid w:val="00E57BDF"/>
    <w:rsid w:val="00E57FB2"/>
    <w:rsid w:val="00E60045"/>
    <w:rsid w:val="00E60126"/>
    <w:rsid w:val="00E60248"/>
    <w:rsid w:val="00E60585"/>
    <w:rsid w:val="00E60672"/>
    <w:rsid w:val="00E60705"/>
    <w:rsid w:val="00E60823"/>
    <w:rsid w:val="00E6082C"/>
    <w:rsid w:val="00E60A90"/>
    <w:rsid w:val="00E60B48"/>
    <w:rsid w:val="00E60BEE"/>
    <w:rsid w:val="00E60E2A"/>
    <w:rsid w:val="00E60FAD"/>
    <w:rsid w:val="00E60FDC"/>
    <w:rsid w:val="00E6134E"/>
    <w:rsid w:val="00E6140D"/>
    <w:rsid w:val="00E6157D"/>
    <w:rsid w:val="00E61593"/>
    <w:rsid w:val="00E6160E"/>
    <w:rsid w:val="00E616B0"/>
    <w:rsid w:val="00E61853"/>
    <w:rsid w:val="00E61A07"/>
    <w:rsid w:val="00E61A1A"/>
    <w:rsid w:val="00E61BC0"/>
    <w:rsid w:val="00E61DF1"/>
    <w:rsid w:val="00E61EED"/>
    <w:rsid w:val="00E61F13"/>
    <w:rsid w:val="00E62147"/>
    <w:rsid w:val="00E62730"/>
    <w:rsid w:val="00E627F8"/>
    <w:rsid w:val="00E6283F"/>
    <w:rsid w:val="00E62AB4"/>
    <w:rsid w:val="00E63047"/>
    <w:rsid w:val="00E63082"/>
    <w:rsid w:val="00E631AD"/>
    <w:rsid w:val="00E633D4"/>
    <w:rsid w:val="00E63863"/>
    <w:rsid w:val="00E6388B"/>
    <w:rsid w:val="00E63CF6"/>
    <w:rsid w:val="00E63D8E"/>
    <w:rsid w:val="00E63E4E"/>
    <w:rsid w:val="00E63EA7"/>
    <w:rsid w:val="00E63F3D"/>
    <w:rsid w:val="00E63FEF"/>
    <w:rsid w:val="00E641B9"/>
    <w:rsid w:val="00E64235"/>
    <w:rsid w:val="00E6458F"/>
    <w:rsid w:val="00E64709"/>
    <w:rsid w:val="00E64725"/>
    <w:rsid w:val="00E648F1"/>
    <w:rsid w:val="00E64920"/>
    <w:rsid w:val="00E64A8A"/>
    <w:rsid w:val="00E64C3C"/>
    <w:rsid w:val="00E64CA0"/>
    <w:rsid w:val="00E64D10"/>
    <w:rsid w:val="00E64DB8"/>
    <w:rsid w:val="00E64E82"/>
    <w:rsid w:val="00E65146"/>
    <w:rsid w:val="00E65156"/>
    <w:rsid w:val="00E6518C"/>
    <w:rsid w:val="00E655BE"/>
    <w:rsid w:val="00E656AE"/>
    <w:rsid w:val="00E657A3"/>
    <w:rsid w:val="00E657A4"/>
    <w:rsid w:val="00E659DA"/>
    <w:rsid w:val="00E65A3D"/>
    <w:rsid w:val="00E65DB3"/>
    <w:rsid w:val="00E65DCB"/>
    <w:rsid w:val="00E65DD8"/>
    <w:rsid w:val="00E65DE4"/>
    <w:rsid w:val="00E66665"/>
    <w:rsid w:val="00E66BF6"/>
    <w:rsid w:val="00E66CE1"/>
    <w:rsid w:val="00E66D08"/>
    <w:rsid w:val="00E66F93"/>
    <w:rsid w:val="00E67115"/>
    <w:rsid w:val="00E6737C"/>
    <w:rsid w:val="00E67387"/>
    <w:rsid w:val="00E674D0"/>
    <w:rsid w:val="00E67501"/>
    <w:rsid w:val="00E6750B"/>
    <w:rsid w:val="00E67618"/>
    <w:rsid w:val="00E677FB"/>
    <w:rsid w:val="00E678C3"/>
    <w:rsid w:val="00E678E0"/>
    <w:rsid w:val="00E6792F"/>
    <w:rsid w:val="00E67B49"/>
    <w:rsid w:val="00E67B4C"/>
    <w:rsid w:val="00E67BBD"/>
    <w:rsid w:val="00E67E24"/>
    <w:rsid w:val="00E67E68"/>
    <w:rsid w:val="00E67F05"/>
    <w:rsid w:val="00E67F28"/>
    <w:rsid w:val="00E700C4"/>
    <w:rsid w:val="00E703BE"/>
    <w:rsid w:val="00E704E5"/>
    <w:rsid w:val="00E70694"/>
    <w:rsid w:val="00E709A9"/>
    <w:rsid w:val="00E70A2E"/>
    <w:rsid w:val="00E70A30"/>
    <w:rsid w:val="00E70B54"/>
    <w:rsid w:val="00E70C8B"/>
    <w:rsid w:val="00E70D21"/>
    <w:rsid w:val="00E70E3A"/>
    <w:rsid w:val="00E7117C"/>
    <w:rsid w:val="00E713F2"/>
    <w:rsid w:val="00E715B0"/>
    <w:rsid w:val="00E71606"/>
    <w:rsid w:val="00E716DF"/>
    <w:rsid w:val="00E71779"/>
    <w:rsid w:val="00E71905"/>
    <w:rsid w:val="00E71979"/>
    <w:rsid w:val="00E71A98"/>
    <w:rsid w:val="00E71BCE"/>
    <w:rsid w:val="00E71BF7"/>
    <w:rsid w:val="00E71C16"/>
    <w:rsid w:val="00E71C6E"/>
    <w:rsid w:val="00E71FDF"/>
    <w:rsid w:val="00E72052"/>
    <w:rsid w:val="00E72283"/>
    <w:rsid w:val="00E72323"/>
    <w:rsid w:val="00E723D3"/>
    <w:rsid w:val="00E7242E"/>
    <w:rsid w:val="00E7246D"/>
    <w:rsid w:val="00E724F0"/>
    <w:rsid w:val="00E7254A"/>
    <w:rsid w:val="00E72696"/>
    <w:rsid w:val="00E726A7"/>
    <w:rsid w:val="00E7287A"/>
    <w:rsid w:val="00E72962"/>
    <w:rsid w:val="00E729A5"/>
    <w:rsid w:val="00E72D2C"/>
    <w:rsid w:val="00E72D71"/>
    <w:rsid w:val="00E73011"/>
    <w:rsid w:val="00E73189"/>
    <w:rsid w:val="00E73291"/>
    <w:rsid w:val="00E732F3"/>
    <w:rsid w:val="00E733EB"/>
    <w:rsid w:val="00E733F3"/>
    <w:rsid w:val="00E734A7"/>
    <w:rsid w:val="00E73662"/>
    <w:rsid w:val="00E736C2"/>
    <w:rsid w:val="00E73997"/>
    <w:rsid w:val="00E73AA7"/>
    <w:rsid w:val="00E73AE2"/>
    <w:rsid w:val="00E73B37"/>
    <w:rsid w:val="00E73C56"/>
    <w:rsid w:val="00E73D20"/>
    <w:rsid w:val="00E73DBC"/>
    <w:rsid w:val="00E73EC8"/>
    <w:rsid w:val="00E740FC"/>
    <w:rsid w:val="00E7413E"/>
    <w:rsid w:val="00E74189"/>
    <w:rsid w:val="00E7435F"/>
    <w:rsid w:val="00E74436"/>
    <w:rsid w:val="00E745AC"/>
    <w:rsid w:val="00E7473E"/>
    <w:rsid w:val="00E74832"/>
    <w:rsid w:val="00E75041"/>
    <w:rsid w:val="00E7506D"/>
    <w:rsid w:val="00E752D2"/>
    <w:rsid w:val="00E75301"/>
    <w:rsid w:val="00E7534F"/>
    <w:rsid w:val="00E753C5"/>
    <w:rsid w:val="00E753CE"/>
    <w:rsid w:val="00E75459"/>
    <w:rsid w:val="00E75709"/>
    <w:rsid w:val="00E75879"/>
    <w:rsid w:val="00E75901"/>
    <w:rsid w:val="00E7595A"/>
    <w:rsid w:val="00E75A53"/>
    <w:rsid w:val="00E75ABD"/>
    <w:rsid w:val="00E75BB8"/>
    <w:rsid w:val="00E75D61"/>
    <w:rsid w:val="00E75D96"/>
    <w:rsid w:val="00E75E13"/>
    <w:rsid w:val="00E75E5A"/>
    <w:rsid w:val="00E75FD2"/>
    <w:rsid w:val="00E76058"/>
    <w:rsid w:val="00E76081"/>
    <w:rsid w:val="00E760AA"/>
    <w:rsid w:val="00E76261"/>
    <w:rsid w:val="00E76265"/>
    <w:rsid w:val="00E766A2"/>
    <w:rsid w:val="00E76730"/>
    <w:rsid w:val="00E7673C"/>
    <w:rsid w:val="00E7674B"/>
    <w:rsid w:val="00E767E1"/>
    <w:rsid w:val="00E769D8"/>
    <w:rsid w:val="00E76A6F"/>
    <w:rsid w:val="00E76B12"/>
    <w:rsid w:val="00E76B76"/>
    <w:rsid w:val="00E76E82"/>
    <w:rsid w:val="00E76E84"/>
    <w:rsid w:val="00E76EC0"/>
    <w:rsid w:val="00E76EE6"/>
    <w:rsid w:val="00E76FA2"/>
    <w:rsid w:val="00E76FD4"/>
    <w:rsid w:val="00E76FE3"/>
    <w:rsid w:val="00E77175"/>
    <w:rsid w:val="00E77515"/>
    <w:rsid w:val="00E777F4"/>
    <w:rsid w:val="00E77891"/>
    <w:rsid w:val="00E77AFA"/>
    <w:rsid w:val="00E77E29"/>
    <w:rsid w:val="00E77F55"/>
    <w:rsid w:val="00E80014"/>
    <w:rsid w:val="00E8006C"/>
    <w:rsid w:val="00E80506"/>
    <w:rsid w:val="00E80513"/>
    <w:rsid w:val="00E80514"/>
    <w:rsid w:val="00E80645"/>
    <w:rsid w:val="00E8096D"/>
    <w:rsid w:val="00E80ABB"/>
    <w:rsid w:val="00E80B3A"/>
    <w:rsid w:val="00E80E8F"/>
    <w:rsid w:val="00E80FA6"/>
    <w:rsid w:val="00E80FDE"/>
    <w:rsid w:val="00E8115F"/>
    <w:rsid w:val="00E81201"/>
    <w:rsid w:val="00E8131B"/>
    <w:rsid w:val="00E81418"/>
    <w:rsid w:val="00E8185C"/>
    <w:rsid w:val="00E8187D"/>
    <w:rsid w:val="00E818FE"/>
    <w:rsid w:val="00E8192B"/>
    <w:rsid w:val="00E81981"/>
    <w:rsid w:val="00E819E4"/>
    <w:rsid w:val="00E81B4D"/>
    <w:rsid w:val="00E81CAC"/>
    <w:rsid w:val="00E81E27"/>
    <w:rsid w:val="00E81F26"/>
    <w:rsid w:val="00E8219D"/>
    <w:rsid w:val="00E821BE"/>
    <w:rsid w:val="00E821DF"/>
    <w:rsid w:val="00E8227E"/>
    <w:rsid w:val="00E82443"/>
    <w:rsid w:val="00E82449"/>
    <w:rsid w:val="00E8260B"/>
    <w:rsid w:val="00E82712"/>
    <w:rsid w:val="00E82801"/>
    <w:rsid w:val="00E829EC"/>
    <w:rsid w:val="00E82A1F"/>
    <w:rsid w:val="00E82AAA"/>
    <w:rsid w:val="00E82BFF"/>
    <w:rsid w:val="00E82C5D"/>
    <w:rsid w:val="00E82CFE"/>
    <w:rsid w:val="00E82D00"/>
    <w:rsid w:val="00E82E7F"/>
    <w:rsid w:val="00E82EEF"/>
    <w:rsid w:val="00E82F31"/>
    <w:rsid w:val="00E8302C"/>
    <w:rsid w:val="00E831B5"/>
    <w:rsid w:val="00E83378"/>
    <w:rsid w:val="00E83537"/>
    <w:rsid w:val="00E835BA"/>
    <w:rsid w:val="00E835BB"/>
    <w:rsid w:val="00E83611"/>
    <w:rsid w:val="00E83615"/>
    <w:rsid w:val="00E837D7"/>
    <w:rsid w:val="00E839B2"/>
    <w:rsid w:val="00E839E2"/>
    <w:rsid w:val="00E83A94"/>
    <w:rsid w:val="00E83BB4"/>
    <w:rsid w:val="00E83C0C"/>
    <w:rsid w:val="00E83F82"/>
    <w:rsid w:val="00E83FEA"/>
    <w:rsid w:val="00E83FEF"/>
    <w:rsid w:val="00E84262"/>
    <w:rsid w:val="00E84466"/>
    <w:rsid w:val="00E844BA"/>
    <w:rsid w:val="00E84565"/>
    <w:rsid w:val="00E845D3"/>
    <w:rsid w:val="00E8472A"/>
    <w:rsid w:val="00E84892"/>
    <w:rsid w:val="00E84A1B"/>
    <w:rsid w:val="00E84B37"/>
    <w:rsid w:val="00E84C1C"/>
    <w:rsid w:val="00E84D42"/>
    <w:rsid w:val="00E85188"/>
    <w:rsid w:val="00E851F1"/>
    <w:rsid w:val="00E852B3"/>
    <w:rsid w:val="00E85416"/>
    <w:rsid w:val="00E85575"/>
    <w:rsid w:val="00E85671"/>
    <w:rsid w:val="00E8586B"/>
    <w:rsid w:val="00E85A4D"/>
    <w:rsid w:val="00E85BF4"/>
    <w:rsid w:val="00E85D9E"/>
    <w:rsid w:val="00E85E13"/>
    <w:rsid w:val="00E85E14"/>
    <w:rsid w:val="00E86064"/>
    <w:rsid w:val="00E860AA"/>
    <w:rsid w:val="00E861A4"/>
    <w:rsid w:val="00E861D1"/>
    <w:rsid w:val="00E863E1"/>
    <w:rsid w:val="00E86449"/>
    <w:rsid w:val="00E86469"/>
    <w:rsid w:val="00E86630"/>
    <w:rsid w:val="00E86701"/>
    <w:rsid w:val="00E867AC"/>
    <w:rsid w:val="00E867DD"/>
    <w:rsid w:val="00E86841"/>
    <w:rsid w:val="00E86964"/>
    <w:rsid w:val="00E8699D"/>
    <w:rsid w:val="00E86B3B"/>
    <w:rsid w:val="00E86E28"/>
    <w:rsid w:val="00E86E54"/>
    <w:rsid w:val="00E86E6B"/>
    <w:rsid w:val="00E86FC7"/>
    <w:rsid w:val="00E86FCB"/>
    <w:rsid w:val="00E87030"/>
    <w:rsid w:val="00E870DE"/>
    <w:rsid w:val="00E87273"/>
    <w:rsid w:val="00E874B6"/>
    <w:rsid w:val="00E8764D"/>
    <w:rsid w:val="00E87769"/>
    <w:rsid w:val="00E8783F"/>
    <w:rsid w:val="00E878C9"/>
    <w:rsid w:val="00E8796F"/>
    <w:rsid w:val="00E879B2"/>
    <w:rsid w:val="00E87AB5"/>
    <w:rsid w:val="00E87ADC"/>
    <w:rsid w:val="00E87B1B"/>
    <w:rsid w:val="00E87C0F"/>
    <w:rsid w:val="00E87D3F"/>
    <w:rsid w:val="00E87D5E"/>
    <w:rsid w:val="00E87D67"/>
    <w:rsid w:val="00E87E22"/>
    <w:rsid w:val="00E87E73"/>
    <w:rsid w:val="00E87F64"/>
    <w:rsid w:val="00E87FB7"/>
    <w:rsid w:val="00E9006A"/>
    <w:rsid w:val="00E90089"/>
    <w:rsid w:val="00E90111"/>
    <w:rsid w:val="00E9024D"/>
    <w:rsid w:val="00E9024F"/>
    <w:rsid w:val="00E9029C"/>
    <w:rsid w:val="00E90365"/>
    <w:rsid w:val="00E903B6"/>
    <w:rsid w:val="00E906AE"/>
    <w:rsid w:val="00E9079B"/>
    <w:rsid w:val="00E908B8"/>
    <w:rsid w:val="00E9091E"/>
    <w:rsid w:val="00E90B6E"/>
    <w:rsid w:val="00E90C3A"/>
    <w:rsid w:val="00E90CEE"/>
    <w:rsid w:val="00E90FFE"/>
    <w:rsid w:val="00E9148F"/>
    <w:rsid w:val="00E9177B"/>
    <w:rsid w:val="00E91826"/>
    <w:rsid w:val="00E91988"/>
    <w:rsid w:val="00E91A27"/>
    <w:rsid w:val="00E91A34"/>
    <w:rsid w:val="00E91B52"/>
    <w:rsid w:val="00E91D81"/>
    <w:rsid w:val="00E91E97"/>
    <w:rsid w:val="00E91F09"/>
    <w:rsid w:val="00E91F1D"/>
    <w:rsid w:val="00E92138"/>
    <w:rsid w:val="00E924A0"/>
    <w:rsid w:val="00E924EF"/>
    <w:rsid w:val="00E9277B"/>
    <w:rsid w:val="00E927CC"/>
    <w:rsid w:val="00E92915"/>
    <w:rsid w:val="00E92916"/>
    <w:rsid w:val="00E92921"/>
    <w:rsid w:val="00E92CBF"/>
    <w:rsid w:val="00E92D89"/>
    <w:rsid w:val="00E93080"/>
    <w:rsid w:val="00E932FF"/>
    <w:rsid w:val="00E9339F"/>
    <w:rsid w:val="00E933E5"/>
    <w:rsid w:val="00E9364B"/>
    <w:rsid w:val="00E9364D"/>
    <w:rsid w:val="00E93738"/>
    <w:rsid w:val="00E93842"/>
    <w:rsid w:val="00E9392C"/>
    <w:rsid w:val="00E9395F"/>
    <w:rsid w:val="00E93B32"/>
    <w:rsid w:val="00E93BBD"/>
    <w:rsid w:val="00E93BC3"/>
    <w:rsid w:val="00E93C6B"/>
    <w:rsid w:val="00E93CC5"/>
    <w:rsid w:val="00E93D59"/>
    <w:rsid w:val="00E93E74"/>
    <w:rsid w:val="00E940F3"/>
    <w:rsid w:val="00E94238"/>
    <w:rsid w:val="00E94369"/>
    <w:rsid w:val="00E943E9"/>
    <w:rsid w:val="00E9465D"/>
    <w:rsid w:val="00E946D1"/>
    <w:rsid w:val="00E9481B"/>
    <w:rsid w:val="00E94ADF"/>
    <w:rsid w:val="00E94CE4"/>
    <w:rsid w:val="00E94D6D"/>
    <w:rsid w:val="00E94FA1"/>
    <w:rsid w:val="00E951A3"/>
    <w:rsid w:val="00E951BB"/>
    <w:rsid w:val="00E9520C"/>
    <w:rsid w:val="00E952D9"/>
    <w:rsid w:val="00E9566E"/>
    <w:rsid w:val="00E956C3"/>
    <w:rsid w:val="00E956EA"/>
    <w:rsid w:val="00E9578B"/>
    <w:rsid w:val="00E9594D"/>
    <w:rsid w:val="00E959B9"/>
    <w:rsid w:val="00E95A45"/>
    <w:rsid w:val="00E95AED"/>
    <w:rsid w:val="00E95AF4"/>
    <w:rsid w:val="00E95BF8"/>
    <w:rsid w:val="00E95E0C"/>
    <w:rsid w:val="00E95E82"/>
    <w:rsid w:val="00E95F84"/>
    <w:rsid w:val="00E9601B"/>
    <w:rsid w:val="00E96167"/>
    <w:rsid w:val="00E96294"/>
    <w:rsid w:val="00E96679"/>
    <w:rsid w:val="00E96799"/>
    <w:rsid w:val="00E968B7"/>
    <w:rsid w:val="00E9696A"/>
    <w:rsid w:val="00E96AAB"/>
    <w:rsid w:val="00E96AD5"/>
    <w:rsid w:val="00E96D47"/>
    <w:rsid w:val="00E9700B"/>
    <w:rsid w:val="00E970C6"/>
    <w:rsid w:val="00E97107"/>
    <w:rsid w:val="00E97167"/>
    <w:rsid w:val="00E97277"/>
    <w:rsid w:val="00E9743D"/>
    <w:rsid w:val="00E97657"/>
    <w:rsid w:val="00E976D2"/>
    <w:rsid w:val="00E9772C"/>
    <w:rsid w:val="00E9775B"/>
    <w:rsid w:val="00E978DC"/>
    <w:rsid w:val="00E9790D"/>
    <w:rsid w:val="00E97BCF"/>
    <w:rsid w:val="00E97C00"/>
    <w:rsid w:val="00E97F0C"/>
    <w:rsid w:val="00EA02BE"/>
    <w:rsid w:val="00EA0569"/>
    <w:rsid w:val="00EA06E8"/>
    <w:rsid w:val="00EA08E4"/>
    <w:rsid w:val="00EA09B9"/>
    <w:rsid w:val="00EA0A01"/>
    <w:rsid w:val="00EA0B3C"/>
    <w:rsid w:val="00EA0B4B"/>
    <w:rsid w:val="00EA100A"/>
    <w:rsid w:val="00EA10B9"/>
    <w:rsid w:val="00EA1231"/>
    <w:rsid w:val="00EA13D0"/>
    <w:rsid w:val="00EA1592"/>
    <w:rsid w:val="00EA1614"/>
    <w:rsid w:val="00EA16AA"/>
    <w:rsid w:val="00EA1775"/>
    <w:rsid w:val="00EA17A7"/>
    <w:rsid w:val="00EA1816"/>
    <w:rsid w:val="00EA1929"/>
    <w:rsid w:val="00EA19E8"/>
    <w:rsid w:val="00EA1AAA"/>
    <w:rsid w:val="00EA1DEC"/>
    <w:rsid w:val="00EA2170"/>
    <w:rsid w:val="00EA2309"/>
    <w:rsid w:val="00EA2322"/>
    <w:rsid w:val="00EA2475"/>
    <w:rsid w:val="00EA25AF"/>
    <w:rsid w:val="00EA2731"/>
    <w:rsid w:val="00EA28BB"/>
    <w:rsid w:val="00EA28EB"/>
    <w:rsid w:val="00EA2B63"/>
    <w:rsid w:val="00EA2BC9"/>
    <w:rsid w:val="00EA2C38"/>
    <w:rsid w:val="00EA2CD9"/>
    <w:rsid w:val="00EA3335"/>
    <w:rsid w:val="00EA3375"/>
    <w:rsid w:val="00EA35D3"/>
    <w:rsid w:val="00EA3975"/>
    <w:rsid w:val="00EA399D"/>
    <w:rsid w:val="00EA3A2D"/>
    <w:rsid w:val="00EA3A9C"/>
    <w:rsid w:val="00EA3AF1"/>
    <w:rsid w:val="00EA3B45"/>
    <w:rsid w:val="00EA3BD4"/>
    <w:rsid w:val="00EA3D28"/>
    <w:rsid w:val="00EA3D9B"/>
    <w:rsid w:val="00EA3F63"/>
    <w:rsid w:val="00EA3FE0"/>
    <w:rsid w:val="00EA426F"/>
    <w:rsid w:val="00EA445D"/>
    <w:rsid w:val="00EA4466"/>
    <w:rsid w:val="00EA447A"/>
    <w:rsid w:val="00EA47FD"/>
    <w:rsid w:val="00EA4B29"/>
    <w:rsid w:val="00EA4DA1"/>
    <w:rsid w:val="00EA4DED"/>
    <w:rsid w:val="00EA4EF2"/>
    <w:rsid w:val="00EA55F4"/>
    <w:rsid w:val="00EA5737"/>
    <w:rsid w:val="00EA5804"/>
    <w:rsid w:val="00EA5A62"/>
    <w:rsid w:val="00EA5A99"/>
    <w:rsid w:val="00EA5F5F"/>
    <w:rsid w:val="00EA603E"/>
    <w:rsid w:val="00EA62A4"/>
    <w:rsid w:val="00EA62CA"/>
    <w:rsid w:val="00EA64C5"/>
    <w:rsid w:val="00EA64D3"/>
    <w:rsid w:val="00EA683C"/>
    <w:rsid w:val="00EA69EF"/>
    <w:rsid w:val="00EA6B5F"/>
    <w:rsid w:val="00EA6B62"/>
    <w:rsid w:val="00EA6C79"/>
    <w:rsid w:val="00EA6DCE"/>
    <w:rsid w:val="00EA7077"/>
    <w:rsid w:val="00EA7240"/>
    <w:rsid w:val="00EA7528"/>
    <w:rsid w:val="00EA75CB"/>
    <w:rsid w:val="00EA7628"/>
    <w:rsid w:val="00EA7647"/>
    <w:rsid w:val="00EA77E4"/>
    <w:rsid w:val="00EA7A9B"/>
    <w:rsid w:val="00EA7AE8"/>
    <w:rsid w:val="00EB001A"/>
    <w:rsid w:val="00EB0046"/>
    <w:rsid w:val="00EB02FB"/>
    <w:rsid w:val="00EB03E9"/>
    <w:rsid w:val="00EB06E3"/>
    <w:rsid w:val="00EB0851"/>
    <w:rsid w:val="00EB097C"/>
    <w:rsid w:val="00EB0AB2"/>
    <w:rsid w:val="00EB0AE9"/>
    <w:rsid w:val="00EB0B67"/>
    <w:rsid w:val="00EB0BDC"/>
    <w:rsid w:val="00EB0BEC"/>
    <w:rsid w:val="00EB0D1D"/>
    <w:rsid w:val="00EB0D65"/>
    <w:rsid w:val="00EB0DBD"/>
    <w:rsid w:val="00EB1156"/>
    <w:rsid w:val="00EB1219"/>
    <w:rsid w:val="00EB1234"/>
    <w:rsid w:val="00EB1325"/>
    <w:rsid w:val="00EB1495"/>
    <w:rsid w:val="00EB1510"/>
    <w:rsid w:val="00EB16F2"/>
    <w:rsid w:val="00EB17D5"/>
    <w:rsid w:val="00EB1A26"/>
    <w:rsid w:val="00EB1BEB"/>
    <w:rsid w:val="00EB1CAE"/>
    <w:rsid w:val="00EB1E5D"/>
    <w:rsid w:val="00EB1F13"/>
    <w:rsid w:val="00EB1F95"/>
    <w:rsid w:val="00EB204F"/>
    <w:rsid w:val="00EB2103"/>
    <w:rsid w:val="00EB218D"/>
    <w:rsid w:val="00EB22CA"/>
    <w:rsid w:val="00EB2457"/>
    <w:rsid w:val="00EB25D2"/>
    <w:rsid w:val="00EB2656"/>
    <w:rsid w:val="00EB2674"/>
    <w:rsid w:val="00EB26B3"/>
    <w:rsid w:val="00EB2767"/>
    <w:rsid w:val="00EB298E"/>
    <w:rsid w:val="00EB2BBF"/>
    <w:rsid w:val="00EB2E2E"/>
    <w:rsid w:val="00EB2FB8"/>
    <w:rsid w:val="00EB303E"/>
    <w:rsid w:val="00EB305E"/>
    <w:rsid w:val="00EB3085"/>
    <w:rsid w:val="00EB30B9"/>
    <w:rsid w:val="00EB3312"/>
    <w:rsid w:val="00EB339A"/>
    <w:rsid w:val="00EB3527"/>
    <w:rsid w:val="00EB3561"/>
    <w:rsid w:val="00EB36F3"/>
    <w:rsid w:val="00EB371F"/>
    <w:rsid w:val="00EB3723"/>
    <w:rsid w:val="00EB37D5"/>
    <w:rsid w:val="00EB3815"/>
    <w:rsid w:val="00EB38D9"/>
    <w:rsid w:val="00EB3A82"/>
    <w:rsid w:val="00EB3AA2"/>
    <w:rsid w:val="00EB3AC6"/>
    <w:rsid w:val="00EB3C15"/>
    <w:rsid w:val="00EB403B"/>
    <w:rsid w:val="00EB408E"/>
    <w:rsid w:val="00EB410E"/>
    <w:rsid w:val="00EB414D"/>
    <w:rsid w:val="00EB42A5"/>
    <w:rsid w:val="00EB42A9"/>
    <w:rsid w:val="00EB43A3"/>
    <w:rsid w:val="00EB4585"/>
    <w:rsid w:val="00EB4633"/>
    <w:rsid w:val="00EB4768"/>
    <w:rsid w:val="00EB4850"/>
    <w:rsid w:val="00EB48AE"/>
    <w:rsid w:val="00EB49DE"/>
    <w:rsid w:val="00EB4ACA"/>
    <w:rsid w:val="00EB4BBD"/>
    <w:rsid w:val="00EB4D27"/>
    <w:rsid w:val="00EB4E2A"/>
    <w:rsid w:val="00EB4FC1"/>
    <w:rsid w:val="00EB5280"/>
    <w:rsid w:val="00EB557D"/>
    <w:rsid w:val="00EB57B1"/>
    <w:rsid w:val="00EB5C40"/>
    <w:rsid w:val="00EB5FDD"/>
    <w:rsid w:val="00EB6022"/>
    <w:rsid w:val="00EB60D9"/>
    <w:rsid w:val="00EB66A8"/>
    <w:rsid w:val="00EB6780"/>
    <w:rsid w:val="00EB67FF"/>
    <w:rsid w:val="00EB68CE"/>
    <w:rsid w:val="00EB6A09"/>
    <w:rsid w:val="00EB6A21"/>
    <w:rsid w:val="00EB6BE2"/>
    <w:rsid w:val="00EB6E8E"/>
    <w:rsid w:val="00EB6EE6"/>
    <w:rsid w:val="00EB71B8"/>
    <w:rsid w:val="00EB745B"/>
    <w:rsid w:val="00EB7A1F"/>
    <w:rsid w:val="00EB7DDC"/>
    <w:rsid w:val="00EC01A9"/>
    <w:rsid w:val="00EC02C7"/>
    <w:rsid w:val="00EC03D7"/>
    <w:rsid w:val="00EC050B"/>
    <w:rsid w:val="00EC0686"/>
    <w:rsid w:val="00EC06D4"/>
    <w:rsid w:val="00EC0765"/>
    <w:rsid w:val="00EC07D8"/>
    <w:rsid w:val="00EC08D5"/>
    <w:rsid w:val="00EC0A47"/>
    <w:rsid w:val="00EC12B1"/>
    <w:rsid w:val="00EC13C6"/>
    <w:rsid w:val="00EC1497"/>
    <w:rsid w:val="00EC15A8"/>
    <w:rsid w:val="00EC15CA"/>
    <w:rsid w:val="00EC162B"/>
    <w:rsid w:val="00EC16D0"/>
    <w:rsid w:val="00EC18AD"/>
    <w:rsid w:val="00EC18F2"/>
    <w:rsid w:val="00EC191E"/>
    <w:rsid w:val="00EC1927"/>
    <w:rsid w:val="00EC194A"/>
    <w:rsid w:val="00EC1A6E"/>
    <w:rsid w:val="00EC1C64"/>
    <w:rsid w:val="00EC2065"/>
    <w:rsid w:val="00EC20B3"/>
    <w:rsid w:val="00EC21DF"/>
    <w:rsid w:val="00EC22C0"/>
    <w:rsid w:val="00EC2406"/>
    <w:rsid w:val="00EC25E3"/>
    <w:rsid w:val="00EC2673"/>
    <w:rsid w:val="00EC2684"/>
    <w:rsid w:val="00EC2751"/>
    <w:rsid w:val="00EC290D"/>
    <w:rsid w:val="00EC2E1D"/>
    <w:rsid w:val="00EC2E6F"/>
    <w:rsid w:val="00EC2EBC"/>
    <w:rsid w:val="00EC2F50"/>
    <w:rsid w:val="00EC2F8D"/>
    <w:rsid w:val="00EC3064"/>
    <w:rsid w:val="00EC30A4"/>
    <w:rsid w:val="00EC3118"/>
    <w:rsid w:val="00EC31AD"/>
    <w:rsid w:val="00EC32E6"/>
    <w:rsid w:val="00EC34C9"/>
    <w:rsid w:val="00EC35BD"/>
    <w:rsid w:val="00EC3617"/>
    <w:rsid w:val="00EC38DE"/>
    <w:rsid w:val="00EC3B45"/>
    <w:rsid w:val="00EC3B89"/>
    <w:rsid w:val="00EC3C8C"/>
    <w:rsid w:val="00EC3CCD"/>
    <w:rsid w:val="00EC3E2F"/>
    <w:rsid w:val="00EC3F44"/>
    <w:rsid w:val="00EC4282"/>
    <w:rsid w:val="00EC496C"/>
    <w:rsid w:val="00EC4A73"/>
    <w:rsid w:val="00EC4AE4"/>
    <w:rsid w:val="00EC4C2F"/>
    <w:rsid w:val="00EC4CA0"/>
    <w:rsid w:val="00EC4E62"/>
    <w:rsid w:val="00EC5147"/>
    <w:rsid w:val="00EC5412"/>
    <w:rsid w:val="00EC54B5"/>
    <w:rsid w:val="00EC54BA"/>
    <w:rsid w:val="00EC555B"/>
    <w:rsid w:val="00EC5598"/>
    <w:rsid w:val="00EC5741"/>
    <w:rsid w:val="00EC584D"/>
    <w:rsid w:val="00EC594A"/>
    <w:rsid w:val="00EC5BD0"/>
    <w:rsid w:val="00EC5EFA"/>
    <w:rsid w:val="00EC5FA6"/>
    <w:rsid w:val="00EC613A"/>
    <w:rsid w:val="00EC623C"/>
    <w:rsid w:val="00EC6275"/>
    <w:rsid w:val="00EC62EB"/>
    <w:rsid w:val="00EC6324"/>
    <w:rsid w:val="00EC6353"/>
    <w:rsid w:val="00EC6538"/>
    <w:rsid w:val="00EC656C"/>
    <w:rsid w:val="00EC65A5"/>
    <w:rsid w:val="00EC65DA"/>
    <w:rsid w:val="00EC660C"/>
    <w:rsid w:val="00EC6615"/>
    <w:rsid w:val="00EC678A"/>
    <w:rsid w:val="00EC697B"/>
    <w:rsid w:val="00EC6B14"/>
    <w:rsid w:val="00EC6B26"/>
    <w:rsid w:val="00EC6C05"/>
    <w:rsid w:val="00EC6E1E"/>
    <w:rsid w:val="00EC6F5B"/>
    <w:rsid w:val="00EC7061"/>
    <w:rsid w:val="00EC73DE"/>
    <w:rsid w:val="00EC7403"/>
    <w:rsid w:val="00EC7529"/>
    <w:rsid w:val="00EC75DB"/>
    <w:rsid w:val="00EC7619"/>
    <w:rsid w:val="00EC78A0"/>
    <w:rsid w:val="00EC79DD"/>
    <w:rsid w:val="00EC7B77"/>
    <w:rsid w:val="00EC7BD0"/>
    <w:rsid w:val="00EC7E20"/>
    <w:rsid w:val="00EC7EF8"/>
    <w:rsid w:val="00EC7F47"/>
    <w:rsid w:val="00EC7FE4"/>
    <w:rsid w:val="00ED003A"/>
    <w:rsid w:val="00ED003C"/>
    <w:rsid w:val="00ED00A2"/>
    <w:rsid w:val="00ED0178"/>
    <w:rsid w:val="00ED01F6"/>
    <w:rsid w:val="00ED0252"/>
    <w:rsid w:val="00ED02A0"/>
    <w:rsid w:val="00ED02F5"/>
    <w:rsid w:val="00ED04CE"/>
    <w:rsid w:val="00ED053D"/>
    <w:rsid w:val="00ED06CB"/>
    <w:rsid w:val="00ED0931"/>
    <w:rsid w:val="00ED09DA"/>
    <w:rsid w:val="00ED0B8C"/>
    <w:rsid w:val="00ED0DF9"/>
    <w:rsid w:val="00ED0E28"/>
    <w:rsid w:val="00ED0F8D"/>
    <w:rsid w:val="00ED10DE"/>
    <w:rsid w:val="00ED10FA"/>
    <w:rsid w:val="00ED1189"/>
    <w:rsid w:val="00ED1877"/>
    <w:rsid w:val="00ED1A91"/>
    <w:rsid w:val="00ED1B2B"/>
    <w:rsid w:val="00ED1C3A"/>
    <w:rsid w:val="00ED1CCA"/>
    <w:rsid w:val="00ED210D"/>
    <w:rsid w:val="00ED2299"/>
    <w:rsid w:val="00ED234C"/>
    <w:rsid w:val="00ED23ED"/>
    <w:rsid w:val="00ED244B"/>
    <w:rsid w:val="00ED24C2"/>
    <w:rsid w:val="00ED2642"/>
    <w:rsid w:val="00ED2781"/>
    <w:rsid w:val="00ED2A52"/>
    <w:rsid w:val="00ED2AD8"/>
    <w:rsid w:val="00ED2AE0"/>
    <w:rsid w:val="00ED2B6E"/>
    <w:rsid w:val="00ED2C95"/>
    <w:rsid w:val="00ED2CAD"/>
    <w:rsid w:val="00ED2CF6"/>
    <w:rsid w:val="00ED2D14"/>
    <w:rsid w:val="00ED2E01"/>
    <w:rsid w:val="00ED2E4C"/>
    <w:rsid w:val="00ED2FD3"/>
    <w:rsid w:val="00ED303B"/>
    <w:rsid w:val="00ED330D"/>
    <w:rsid w:val="00ED33A6"/>
    <w:rsid w:val="00ED3453"/>
    <w:rsid w:val="00ED3720"/>
    <w:rsid w:val="00ED3907"/>
    <w:rsid w:val="00ED3B32"/>
    <w:rsid w:val="00ED3D4B"/>
    <w:rsid w:val="00ED3F4F"/>
    <w:rsid w:val="00ED405B"/>
    <w:rsid w:val="00ED4190"/>
    <w:rsid w:val="00ED4216"/>
    <w:rsid w:val="00ED428F"/>
    <w:rsid w:val="00ED42B2"/>
    <w:rsid w:val="00ED43E0"/>
    <w:rsid w:val="00ED4473"/>
    <w:rsid w:val="00ED46DA"/>
    <w:rsid w:val="00ED4823"/>
    <w:rsid w:val="00ED48FE"/>
    <w:rsid w:val="00ED4973"/>
    <w:rsid w:val="00ED4992"/>
    <w:rsid w:val="00ED49E4"/>
    <w:rsid w:val="00ED4B66"/>
    <w:rsid w:val="00ED4B69"/>
    <w:rsid w:val="00ED4B82"/>
    <w:rsid w:val="00ED4CBD"/>
    <w:rsid w:val="00ED4D2C"/>
    <w:rsid w:val="00ED4E21"/>
    <w:rsid w:val="00ED53BF"/>
    <w:rsid w:val="00ED558C"/>
    <w:rsid w:val="00ED57F0"/>
    <w:rsid w:val="00ED5B83"/>
    <w:rsid w:val="00ED5D32"/>
    <w:rsid w:val="00ED5DAD"/>
    <w:rsid w:val="00ED5E51"/>
    <w:rsid w:val="00ED5F3B"/>
    <w:rsid w:val="00ED5F56"/>
    <w:rsid w:val="00ED5FC7"/>
    <w:rsid w:val="00ED60F9"/>
    <w:rsid w:val="00ED6125"/>
    <w:rsid w:val="00ED612B"/>
    <w:rsid w:val="00ED6360"/>
    <w:rsid w:val="00ED64DA"/>
    <w:rsid w:val="00ED6730"/>
    <w:rsid w:val="00ED67B8"/>
    <w:rsid w:val="00ED68C5"/>
    <w:rsid w:val="00ED69D6"/>
    <w:rsid w:val="00ED6A35"/>
    <w:rsid w:val="00ED6B56"/>
    <w:rsid w:val="00ED6C05"/>
    <w:rsid w:val="00ED6CAA"/>
    <w:rsid w:val="00ED6E24"/>
    <w:rsid w:val="00ED6F62"/>
    <w:rsid w:val="00ED6F9D"/>
    <w:rsid w:val="00ED7279"/>
    <w:rsid w:val="00ED7569"/>
    <w:rsid w:val="00ED764C"/>
    <w:rsid w:val="00ED779C"/>
    <w:rsid w:val="00ED7971"/>
    <w:rsid w:val="00ED7A6E"/>
    <w:rsid w:val="00ED7AA8"/>
    <w:rsid w:val="00ED7C33"/>
    <w:rsid w:val="00ED7D29"/>
    <w:rsid w:val="00ED7D38"/>
    <w:rsid w:val="00ED7DD4"/>
    <w:rsid w:val="00ED7DF3"/>
    <w:rsid w:val="00ED7E58"/>
    <w:rsid w:val="00ED7EF2"/>
    <w:rsid w:val="00EE028D"/>
    <w:rsid w:val="00EE02BC"/>
    <w:rsid w:val="00EE0451"/>
    <w:rsid w:val="00EE0494"/>
    <w:rsid w:val="00EE0520"/>
    <w:rsid w:val="00EE0644"/>
    <w:rsid w:val="00EE081F"/>
    <w:rsid w:val="00EE0857"/>
    <w:rsid w:val="00EE0863"/>
    <w:rsid w:val="00EE08C1"/>
    <w:rsid w:val="00EE0962"/>
    <w:rsid w:val="00EE0AB9"/>
    <w:rsid w:val="00EE0B68"/>
    <w:rsid w:val="00EE0C33"/>
    <w:rsid w:val="00EE0D06"/>
    <w:rsid w:val="00EE0DD6"/>
    <w:rsid w:val="00EE0ED0"/>
    <w:rsid w:val="00EE0EF5"/>
    <w:rsid w:val="00EE0F6F"/>
    <w:rsid w:val="00EE0F74"/>
    <w:rsid w:val="00EE0FE1"/>
    <w:rsid w:val="00EE11A3"/>
    <w:rsid w:val="00EE11C4"/>
    <w:rsid w:val="00EE12E7"/>
    <w:rsid w:val="00EE1493"/>
    <w:rsid w:val="00EE159B"/>
    <w:rsid w:val="00EE1777"/>
    <w:rsid w:val="00EE1910"/>
    <w:rsid w:val="00EE1960"/>
    <w:rsid w:val="00EE1C89"/>
    <w:rsid w:val="00EE1DCC"/>
    <w:rsid w:val="00EE1E18"/>
    <w:rsid w:val="00EE1E83"/>
    <w:rsid w:val="00EE2031"/>
    <w:rsid w:val="00EE20A8"/>
    <w:rsid w:val="00EE23D4"/>
    <w:rsid w:val="00EE23F3"/>
    <w:rsid w:val="00EE24AB"/>
    <w:rsid w:val="00EE2573"/>
    <w:rsid w:val="00EE264F"/>
    <w:rsid w:val="00EE2834"/>
    <w:rsid w:val="00EE2897"/>
    <w:rsid w:val="00EE2988"/>
    <w:rsid w:val="00EE299F"/>
    <w:rsid w:val="00EE2B60"/>
    <w:rsid w:val="00EE3185"/>
    <w:rsid w:val="00EE3311"/>
    <w:rsid w:val="00EE33D1"/>
    <w:rsid w:val="00EE36DA"/>
    <w:rsid w:val="00EE370D"/>
    <w:rsid w:val="00EE3729"/>
    <w:rsid w:val="00EE393C"/>
    <w:rsid w:val="00EE3A97"/>
    <w:rsid w:val="00EE3AEA"/>
    <w:rsid w:val="00EE3AFE"/>
    <w:rsid w:val="00EE3BAE"/>
    <w:rsid w:val="00EE3BEA"/>
    <w:rsid w:val="00EE3EA8"/>
    <w:rsid w:val="00EE3EFD"/>
    <w:rsid w:val="00EE4009"/>
    <w:rsid w:val="00EE408B"/>
    <w:rsid w:val="00EE411E"/>
    <w:rsid w:val="00EE43AB"/>
    <w:rsid w:val="00EE47DD"/>
    <w:rsid w:val="00EE49DA"/>
    <w:rsid w:val="00EE4B2C"/>
    <w:rsid w:val="00EE4DA0"/>
    <w:rsid w:val="00EE4E1B"/>
    <w:rsid w:val="00EE4F04"/>
    <w:rsid w:val="00EE5384"/>
    <w:rsid w:val="00EE53FE"/>
    <w:rsid w:val="00EE55E5"/>
    <w:rsid w:val="00EE5645"/>
    <w:rsid w:val="00EE5654"/>
    <w:rsid w:val="00EE5672"/>
    <w:rsid w:val="00EE57A9"/>
    <w:rsid w:val="00EE585D"/>
    <w:rsid w:val="00EE58BB"/>
    <w:rsid w:val="00EE59BF"/>
    <w:rsid w:val="00EE59DA"/>
    <w:rsid w:val="00EE5B73"/>
    <w:rsid w:val="00EE5CD7"/>
    <w:rsid w:val="00EE5CE0"/>
    <w:rsid w:val="00EE5D45"/>
    <w:rsid w:val="00EE5DB1"/>
    <w:rsid w:val="00EE5E9D"/>
    <w:rsid w:val="00EE5F43"/>
    <w:rsid w:val="00EE5F82"/>
    <w:rsid w:val="00EE5FB8"/>
    <w:rsid w:val="00EE6126"/>
    <w:rsid w:val="00EE6178"/>
    <w:rsid w:val="00EE62EC"/>
    <w:rsid w:val="00EE63A6"/>
    <w:rsid w:val="00EE6571"/>
    <w:rsid w:val="00EE65EE"/>
    <w:rsid w:val="00EE66E5"/>
    <w:rsid w:val="00EE67BB"/>
    <w:rsid w:val="00EE6917"/>
    <w:rsid w:val="00EE698E"/>
    <w:rsid w:val="00EE6AF4"/>
    <w:rsid w:val="00EE6BA9"/>
    <w:rsid w:val="00EE6D7A"/>
    <w:rsid w:val="00EE6FD1"/>
    <w:rsid w:val="00EE710B"/>
    <w:rsid w:val="00EE750B"/>
    <w:rsid w:val="00EE771C"/>
    <w:rsid w:val="00EE7866"/>
    <w:rsid w:val="00EE7A8B"/>
    <w:rsid w:val="00EE7D21"/>
    <w:rsid w:val="00EE7F88"/>
    <w:rsid w:val="00EF0080"/>
    <w:rsid w:val="00EF0081"/>
    <w:rsid w:val="00EF00F4"/>
    <w:rsid w:val="00EF016A"/>
    <w:rsid w:val="00EF017A"/>
    <w:rsid w:val="00EF0217"/>
    <w:rsid w:val="00EF0568"/>
    <w:rsid w:val="00EF0867"/>
    <w:rsid w:val="00EF08D8"/>
    <w:rsid w:val="00EF0A39"/>
    <w:rsid w:val="00EF0D21"/>
    <w:rsid w:val="00EF0E28"/>
    <w:rsid w:val="00EF0FA9"/>
    <w:rsid w:val="00EF0FBB"/>
    <w:rsid w:val="00EF1296"/>
    <w:rsid w:val="00EF129C"/>
    <w:rsid w:val="00EF1666"/>
    <w:rsid w:val="00EF1ABD"/>
    <w:rsid w:val="00EF1BBD"/>
    <w:rsid w:val="00EF1C08"/>
    <w:rsid w:val="00EF1CF7"/>
    <w:rsid w:val="00EF1DF9"/>
    <w:rsid w:val="00EF1F20"/>
    <w:rsid w:val="00EF220F"/>
    <w:rsid w:val="00EF236D"/>
    <w:rsid w:val="00EF2413"/>
    <w:rsid w:val="00EF26A0"/>
    <w:rsid w:val="00EF271D"/>
    <w:rsid w:val="00EF2723"/>
    <w:rsid w:val="00EF290E"/>
    <w:rsid w:val="00EF2A21"/>
    <w:rsid w:val="00EF2BD9"/>
    <w:rsid w:val="00EF2D6D"/>
    <w:rsid w:val="00EF2DFD"/>
    <w:rsid w:val="00EF2E83"/>
    <w:rsid w:val="00EF3510"/>
    <w:rsid w:val="00EF3520"/>
    <w:rsid w:val="00EF35D5"/>
    <w:rsid w:val="00EF3747"/>
    <w:rsid w:val="00EF374B"/>
    <w:rsid w:val="00EF3ACD"/>
    <w:rsid w:val="00EF3B0D"/>
    <w:rsid w:val="00EF3B51"/>
    <w:rsid w:val="00EF3E21"/>
    <w:rsid w:val="00EF4645"/>
    <w:rsid w:val="00EF47FF"/>
    <w:rsid w:val="00EF483F"/>
    <w:rsid w:val="00EF4909"/>
    <w:rsid w:val="00EF4B6F"/>
    <w:rsid w:val="00EF4C77"/>
    <w:rsid w:val="00EF5281"/>
    <w:rsid w:val="00EF5343"/>
    <w:rsid w:val="00EF5349"/>
    <w:rsid w:val="00EF559D"/>
    <w:rsid w:val="00EF55D1"/>
    <w:rsid w:val="00EF5829"/>
    <w:rsid w:val="00EF5874"/>
    <w:rsid w:val="00EF589C"/>
    <w:rsid w:val="00EF5901"/>
    <w:rsid w:val="00EF5963"/>
    <w:rsid w:val="00EF5E55"/>
    <w:rsid w:val="00EF5ED2"/>
    <w:rsid w:val="00EF5EF3"/>
    <w:rsid w:val="00EF5F3A"/>
    <w:rsid w:val="00EF5F7D"/>
    <w:rsid w:val="00EF6001"/>
    <w:rsid w:val="00EF605F"/>
    <w:rsid w:val="00EF6076"/>
    <w:rsid w:val="00EF6139"/>
    <w:rsid w:val="00EF62BD"/>
    <w:rsid w:val="00EF63B0"/>
    <w:rsid w:val="00EF6478"/>
    <w:rsid w:val="00EF666B"/>
    <w:rsid w:val="00EF677A"/>
    <w:rsid w:val="00EF6903"/>
    <w:rsid w:val="00EF69B6"/>
    <w:rsid w:val="00EF6AB4"/>
    <w:rsid w:val="00EF6B40"/>
    <w:rsid w:val="00EF6B5C"/>
    <w:rsid w:val="00EF6C13"/>
    <w:rsid w:val="00EF6C65"/>
    <w:rsid w:val="00EF6F0C"/>
    <w:rsid w:val="00EF710E"/>
    <w:rsid w:val="00EF715A"/>
    <w:rsid w:val="00EF71E2"/>
    <w:rsid w:val="00EF7313"/>
    <w:rsid w:val="00EF737B"/>
    <w:rsid w:val="00EF73FC"/>
    <w:rsid w:val="00EF7505"/>
    <w:rsid w:val="00EF759A"/>
    <w:rsid w:val="00EF76AF"/>
    <w:rsid w:val="00EF78E4"/>
    <w:rsid w:val="00EF7B45"/>
    <w:rsid w:val="00EF7B58"/>
    <w:rsid w:val="00EF7B8E"/>
    <w:rsid w:val="00EF7EBD"/>
    <w:rsid w:val="00F00099"/>
    <w:rsid w:val="00F000B1"/>
    <w:rsid w:val="00F001E4"/>
    <w:rsid w:val="00F0020D"/>
    <w:rsid w:val="00F002EB"/>
    <w:rsid w:val="00F00326"/>
    <w:rsid w:val="00F0038F"/>
    <w:rsid w:val="00F0041B"/>
    <w:rsid w:val="00F0059D"/>
    <w:rsid w:val="00F0071E"/>
    <w:rsid w:val="00F00815"/>
    <w:rsid w:val="00F0082A"/>
    <w:rsid w:val="00F00BE8"/>
    <w:rsid w:val="00F00CBD"/>
    <w:rsid w:val="00F00ECF"/>
    <w:rsid w:val="00F014B9"/>
    <w:rsid w:val="00F0177D"/>
    <w:rsid w:val="00F0183E"/>
    <w:rsid w:val="00F018B3"/>
    <w:rsid w:val="00F01913"/>
    <w:rsid w:val="00F01B4D"/>
    <w:rsid w:val="00F01C30"/>
    <w:rsid w:val="00F01C5E"/>
    <w:rsid w:val="00F01EFC"/>
    <w:rsid w:val="00F01F04"/>
    <w:rsid w:val="00F01FAD"/>
    <w:rsid w:val="00F020C0"/>
    <w:rsid w:val="00F02145"/>
    <w:rsid w:val="00F02624"/>
    <w:rsid w:val="00F027DF"/>
    <w:rsid w:val="00F02817"/>
    <w:rsid w:val="00F02858"/>
    <w:rsid w:val="00F028DA"/>
    <w:rsid w:val="00F02E3B"/>
    <w:rsid w:val="00F02EA2"/>
    <w:rsid w:val="00F02F66"/>
    <w:rsid w:val="00F02F95"/>
    <w:rsid w:val="00F030B1"/>
    <w:rsid w:val="00F0333B"/>
    <w:rsid w:val="00F033B6"/>
    <w:rsid w:val="00F035A3"/>
    <w:rsid w:val="00F035D3"/>
    <w:rsid w:val="00F036A6"/>
    <w:rsid w:val="00F03785"/>
    <w:rsid w:val="00F03947"/>
    <w:rsid w:val="00F03BE9"/>
    <w:rsid w:val="00F03D6F"/>
    <w:rsid w:val="00F03E71"/>
    <w:rsid w:val="00F03ED8"/>
    <w:rsid w:val="00F03F97"/>
    <w:rsid w:val="00F04144"/>
    <w:rsid w:val="00F04232"/>
    <w:rsid w:val="00F0428A"/>
    <w:rsid w:val="00F0434A"/>
    <w:rsid w:val="00F043D3"/>
    <w:rsid w:val="00F04452"/>
    <w:rsid w:val="00F04472"/>
    <w:rsid w:val="00F04667"/>
    <w:rsid w:val="00F0483B"/>
    <w:rsid w:val="00F04885"/>
    <w:rsid w:val="00F048E1"/>
    <w:rsid w:val="00F04B2E"/>
    <w:rsid w:val="00F04D1B"/>
    <w:rsid w:val="00F04F65"/>
    <w:rsid w:val="00F04FE5"/>
    <w:rsid w:val="00F05055"/>
    <w:rsid w:val="00F050DD"/>
    <w:rsid w:val="00F0512E"/>
    <w:rsid w:val="00F051A9"/>
    <w:rsid w:val="00F05353"/>
    <w:rsid w:val="00F0548D"/>
    <w:rsid w:val="00F05520"/>
    <w:rsid w:val="00F055E6"/>
    <w:rsid w:val="00F05622"/>
    <w:rsid w:val="00F05637"/>
    <w:rsid w:val="00F0567E"/>
    <w:rsid w:val="00F056D1"/>
    <w:rsid w:val="00F059F7"/>
    <w:rsid w:val="00F05CD1"/>
    <w:rsid w:val="00F05D1F"/>
    <w:rsid w:val="00F05F1A"/>
    <w:rsid w:val="00F05FC7"/>
    <w:rsid w:val="00F062E5"/>
    <w:rsid w:val="00F0638A"/>
    <w:rsid w:val="00F06612"/>
    <w:rsid w:val="00F066DC"/>
    <w:rsid w:val="00F067DE"/>
    <w:rsid w:val="00F06898"/>
    <w:rsid w:val="00F068A1"/>
    <w:rsid w:val="00F068AE"/>
    <w:rsid w:val="00F06A3D"/>
    <w:rsid w:val="00F06BAF"/>
    <w:rsid w:val="00F06D64"/>
    <w:rsid w:val="00F06DD1"/>
    <w:rsid w:val="00F06E0B"/>
    <w:rsid w:val="00F072CA"/>
    <w:rsid w:val="00F0731B"/>
    <w:rsid w:val="00F07342"/>
    <w:rsid w:val="00F075BE"/>
    <w:rsid w:val="00F0771F"/>
    <w:rsid w:val="00F077E0"/>
    <w:rsid w:val="00F07919"/>
    <w:rsid w:val="00F07A5E"/>
    <w:rsid w:val="00F07A7B"/>
    <w:rsid w:val="00F07C33"/>
    <w:rsid w:val="00F1002C"/>
    <w:rsid w:val="00F100AD"/>
    <w:rsid w:val="00F10146"/>
    <w:rsid w:val="00F1063F"/>
    <w:rsid w:val="00F1080A"/>
    <w:rsid w:val="00F10C17"/>
    <w:rsid w:val="00F10E31"/>
    <w:rsid w:val="00F11297"/>
    <w:rsid w:val="00F11439"/>
    <w:rsid w:val="00F11644"/>
    <w:rsid w:val="00F11846"/>
    <w:rsid w:val="00F1184C"/>
    <w:rsid w:val="00F119F6"/>
    <w:rsid w:val="00F11A13"/>
    <w:rsid w:val="00F11B0F"/>
    <w:rsid w:val="00F11BAC"/>
    <w:rsid w:val="00F11D54"/>
    <w:rsid w:val="00F11DBA"/>
    <w:rsid w:val="00F11FFD"/>
    <w:rsid w:val="00F12008"/>
    <w:rsid w:val="00F12149"/>
    <w:rsid w:val="00F12216"/>
    <w:rsid w:val="00F12364"/>
    <w:rsid w:val="00F1245E"/>
    <w:rsid w:val="00F1255E"/>
    <w:rsid w:val="00F1255F"/>
    <w:rsid w:val="00F1268A"/>
    <w:rsid w:val="00F12852"/>
    <w:rsid w:val="00F128E0"/>
    <w:rsid w:val="00F12B37"/>
    <w:rsid w:val="00F12B88"/>
    <w:rsid w:val="00F12BA0"/>
    <w:rsid w:val="00F12DAA"/>
    <w:rsid w:val="00F12FA2"/>
    <w:rsid w:val="00F13514"/>
    <w:rsid w:val="00F135F2"/>
    <w:rsid w:val="00F13609"/>
    <w:rsid w:val="00F138B2"/>
    <w:rsid w:val="00F13A2B"/>
    <w:rsid w:val="00F13C0A"/>
    <w:rsid w:val="00F13C25"/>
    <w:rsid w:val="00F13E10"/>
    <w:rsid w:val="00F13EB9"/>
    <w:rsid w:val="00F14133"/>
    <w:rsid w:val="00F141AF"/>
    <w:rsid w:val="00F142F0"/>
    <w:rsid w:val="00F143A4"/>
    <w:rsid w:val="00F14412"/>
    <w:rsid w:val="00F14489"/>
    <w:rsid w:val="00F14578"/>
    <w:rsid w:val="00F145B3"/>
    <w:rsid w:val="00F14643"/>
    <w:rsid w:val="00F14A72"/>
    <w:rsid w:val="00F14B8F"/>
    <w:rsid w:val="00F14BE2"/>
    <w:rsid w:val="00F14C1D"/>
    <w:rsid w:val="00F14D65"/>
    <w:rsid w:val="00F14D7B"/>
    <w:rsid w:val="00F14FA3"/>
    <w:rsid w:val="00F14FE5"/>
    <w:rsid w:val="00F1513F"/>
    <w:rsid w:val="00F151B8"/>
    <w:rsid w:val="00F1539F"/>
    <w:rsid w:val="00F153B1"/>
    <w:rsid w:val="00F157B1"/>
    <w:rsid w:val="00F157C1"/>
    <w:rsid w:val="00F15842"/>
    <w:rsid w:val="00F15A7F"/>
    <w:rsid w:val="00F15AE1"/>
    <w:rsid w:val="00F15B41"/>
    <w:rsid w:val="00F15C81"/>
    <w:rsid w:val="00F15CDB"/>
    <w:rsid w:val="00F15E06"/>
    <w:rsid w:val="00F161C0"/>
    <w:rsid w:val="00F16227"/>
    <w:rsid w:val="00F16250"/>
    <w:rsid w:val="00F1657E"/>
    <w:rsid w:val="00F165D9"/>
    <w:rsid w:val="00F16679"/>
    <w:rsid w:val="00F166FB"/>
    <w:rsid w:val="00F16891"/>
    <w:rsid w:val="00F16912"/>
    <w:rsid w:val="00F16999"/>
    <w:rsid w:val="00F16CF6"/>
    <w:rsid w:val="00F16D26"/>
    <w:rsid w:val="00F17075"/>
    <w:rsid w:val="00F1707C"/>
    <w:rsid w:val="00F1708F"/>
    <w:rsid w:val="00F17255"/>
    <w:rsid w:val="00F17706"/>
    <w:rsid w:val="00F1777E"/>
    <w:rsid w:val="00F1778A"/>
    <w:rsid w:val="00F17819"/>
    <w:rsid w:val="00F1783C"/>
    <w:rsid w:val="00F179AA"/>
    <w:rsid w:val="00F179EC"/>
    <w:rsid w:val="00F17B3B"/>
    <w:rsid w:val="00F17CA5"/>
    <w:rsid w:val="00F17E89"/>
    <w:rsid w:val="00F17EF7"/>
    <w:rsid w:val="00F17F23"/>
    <w:rsid w:val="00F201FA"/>
    <w:rsid w:val="00F202CB"/>
    <w:rsid w:val="00F2030C"/>
    <w:rsid w:val="00F204A6"/>
    <w:rsid w:val="00F204AE"/>
    <w:rsid w:val="00F20571"/>
    <w:rsid w:val="00F205D6"/>
    <w:rsid w:val="00F206E1"/>
    <w:rsid w:val="00F2079F"/>
    <w:rsid w:val="00F20B67"/>
    <w:rsid w:val="00F20B99"/>
    <w:rsid w:val="00F20E66"/>
    <w:rsid w:val="00F20FC7"/>
    <w:rsid w:val="00F20FE5"/>
    <w:rsid w:val="00F21010"/>
    <w:rsid w:val="00F21030"/>
    <w:rsid w:val="00F21227"/>
    <w:rsid w:val="00F21275"/>
    <w:rsid w:val="00F212EC"/>
    <w:rsid w:val="00F213FD"/>
    <w:rsid w:val="00F2142D"/>
    <w:rsid w:val="00F21835"/>
    <w:rsid w:val="00F21A92"/>
    <w:rsid w:val="00F21AD0"/>
    <w:rsid w:val="00F21AFB"/>
    <w:rsid w:val="00F21B2F"/>
    <w:rsid w:val="00F21BA7"/>
    <w:rsid w:val="00F21D1E"/>
    <w:rsid w:val="00F22181"/>
    <w:rsid w:val="00F22236"/>
    <w:rsid w:val="00F22254"/>
    <w:rsid w:val="00F22375"/>
    <w:rsid w:val="00F223A8"/>
    <w:rsid w:val="00F223B7"/>
    <w:rsid w:val="00F224A8"/>
    <w:rsid w:val="00F2250E"/>
    <w:rsid w:val="00F22633"/>
    <w:rsid w:val="00F228A6"/>
    <w:rsid w:val="00F228C1"/>
    <w:rsid w:val="00F22975"/>
    <w:rsid w:val="00F22B8F"/>
    <w:rsid w:val="00F22D7E"/>
    <w:rsid w:val="00F2315B"/>
    <w:rsid w:val="00F23194"/>
    <w:rsid w:val="00F232E7"/>
    <w:rsid w:val="00F23303"/>
    <w:rsid w:val="00F2346D"/>
    <w:rsid w:val="00F236C1"/>
    <w:rsid w:val="00F2370B"/>
    <w:rsid w:val="00F23718"/>
    <w:rsid w:val="00F2372D"/>
    <w:rsid w:val="00F23768"/>
    <w:rsid w:val="00F23831"/>
    <w:rsid w:val="00F239D5"/>
    <w:rsid w:val="00F23AE0"/>
    <w:rsid w:val="00F23C81"/>
    <w:rsid w:val="00F23E31"/>
    <w:rsid w:val="00F24081"/>
    <w:rsid w:val="00F2428D"/>
    <w:rsid w:val="00F242A3"/>
    <w:rsid w:val="00F2434D"/>
    <w:rsid w:val="00F24365"/>
    <w:rsid w:val="00F2442F"/>
    <w:rsid w:val="00F244D3"/>
    <w:rsid w:val="00F24511"/>
    <w:rsid w:val="00F245C9"/>
    <w:rsid w:val="00F24615"/>
    <w:rsid w:val="00F24666"/>
    <w:rsid w:val="00F246BC"/>
    <w:rsid w:val="00F246F6"/>
    <w:rsid w:val="00F24739"/>
    <w:rsid w:val="00F248D0"/>
    <w:rsid w:val="00F248E8"/>
    <w:rsid w:val="00F249BA"/>
    <w:rsid w:val="00F24A59"/>
    <w:rsid w:val="00F24A89"/>
    <w:rsid w:val="00F24CA5"/>
    <w:rsid w:val="00F24CB6"/>
    <w:rsid w:val="00F24D11"/>
    <w:rsid w:val="00F24DA4"/>
    <w:rsid w:val="00F24EA3"/>
    <w:rsid w:val="00F24F02"/>
    <w:rsid w:val="00F25066"/>
    <w:rsid w:val="00F250BB"/>
    <w:rsid w:val="00F25533"/>
    <w:rsid w:val="00F255FF"/>
    <w:rsid w:val="00F25607"/>
    <w:rsid w:val="00F25668"/>
    <w:rsid w:val="00F258A4"/>
    <w:rsid w:val="00F259B4"/>
    <w:rsid w:val="00F259EC"/>
    <w:rsid w:val="00F25B65"/>
    <w:rsid w:val="00F25B67"/>
    <w:rsid w:val="00F25C78"/>
    <w:rsid w:val="00F25D19"/>
    <w:rsid w:val="00F25D20"/>
    <w:rsid w:val="00F25EEC"/>
    <w:rsid w:val="00F26110"/>
    <w:rsid w:val="00F2611B"/>
    <w:rsid w:val="00F261D2"/>
    <w:rsid w:val="00F26315"/>
    <w:rsid w:val="00F2635E"/>
    <w:rsid w:val="00F26368"/>
    <w:rsid w:val="00F2644A"/>
    <w:rsid w:val="00F26506"/>
    <w:rsid w:val="00F26525"/>
    <w:rsid w:val="00F26558"/>
    <w:rsid w:val="00F26561"/>
    <w:rsid w:val="00F267AC"/>
    <w:rsid w:val="00F269E8"/>
    <w:rsid w:val="00F26CD1"/>
    <w:rsid w:val="00F26DBF"/>
    <w:rsid w:val="00F26EE1"/>
    <w:rsid w:val="00F26EFE"/>
    <w:rsid w:val="00F26F58"/>
    <w:rsid w:val="00F2708C"/>
    <w:rsid w:val="00F27154"/>
    <w:rsid w:val="00F2716A"/>
    <w:rsid w:val="00F27348"/>
    <w:rsid w:val="00F2736C"/>
    <w:rsid w:val="00F27459"/>
    <w:rsid w:val="00F274E5"/>
    <w:rsid w:val="00F27527"/>
    <w:rsid w:val="00F27719"/>
    <w:rsid w:val="00F27985"/>
    <w:rsid w:val="00F279B8"/>
    <w:rsid w:val="00F27A92"/>
    <w:rsid w:val="00F27AB3"/>
    <w:rsid w:val="00F27AD4"/>
    <w:rsid w:val="00F27B6C"/>
    <w:rsid w:val="00F27C75"/>
    <w:rsid w:val="00F27F7E"/>
    <w:rsid w:val="00F27FCB"/>
    <w:rsid w:val="00F300A9"/>
    <w:rsid w:val="00F300C1"/>
    <w:rsid w:val="00F300CC"/>
    <w:rsid w:val="00F30200"/>
    <w:rsid w:val="00F30278"/>
    <w:rsid w:val="00F306CA"/>
    <w:rsid w:val="00F30705"/>
    <w:rsid w:val="00F307F9"/>
    <w:rsid w:val="00F30AC3"/>
    <w:rsid w:val="00F30B6A"/>
    <w:rsid w:val="00F30CE1"/>
    <w:rsid w:val="00F30D95"/>
    <w:rsid w:val="00F30D99"/>
    <w:rsid w:val="00F31045"/>
    <w:rsid w:val="00F310CD"/>
    <w:rsid w:val="00F312A6"/>
    <w:rsid w:val="00F3130B"/>
    <w:rsid w:val="00F31342"/>
    <w:rsid w:val="00F3141C"/>
    <w:rsid w:val="00F31697"/>
    <w:rsid w:val="00F31863"/>
    <w:rsid w:val="00F3187F"/>
    <w:rsid w:val="00F318C3"/>
    <w:rsid w:val="00F31B6B"/>
    <w:rsid w:val="00F31D0E"/>
    <w:rsid w:val="00F32000"/>
    <w:rsid w:val="00F3210A"/>
    <w:rsid w:val="00F321D8"/>
    <w:rsid w:val="00F3237A"/>
    <w:rsid w:val="00F32871"/>
    <w:rsid w:val="00F32B34"/>
    <w:rsid w:val="00F32C78"/>
    <w:rsid w:val="00F32DA8"/>
    <w:rsid w:val="00F32DE1"/>
    <w:rsid w:val="00F32FC4"/>
    <w:rsid w:val="00F33184"/>
    <w:rsid w:val="00F331C1"/>
    <w:rsid w:val="00F331D5"/>
    <w:rsid w:val="00F332F1"/>
    <w:rsid w:val="00F33300"/>
    <w:rsid w:val="00F3377A"/>
    <w:rsid w:val="00F33829"/>
    <w:rsid w:val="00F338A5"/>
    <w:rsid w:val="00F33A6A"/>
    <w:rsid w:val="00F33B21"/>
    <w:rsid w:val="00F33CE4"/>
    <w:rsid w:val="00F33D30"/>
    <w:rsid w:val="00F33EA2"/>
    <w:rsid w:val="00F33F4D"/>
    <w:rsid w:val="00F33FDB"/>
    <w:rsid w:val="00F3418E"/>
    <w:rsid w:val="00F34214"/>
    <w:rsid w:val="00F34313"/>
    <w:rsid w:val="00F3443C"/>
    <w:rsid w:val="00F344B0"/>
    <w:rsid w:val="00F3451A"/>
    <w:rsid w:val="00F34634"/>
    <w:rsid w:val="00F34699"/>
    <w:rsid w:val="00F34842"/>
    <w:rsid w:val="00F348BE"/>
    <w:rsid w:val="00F349F9"/>
    <w:rsid w:val="00F34B9F"/>
    <w:rsid w:val="00F34BA9"/>
    <w:rsid w:val="00F34C4D"/>
    <w:rsid w:val="00F34C94"/>
    <w:rsid w:val="00F34DE8"/>
    <w:rsid w:val="00F34EE1"/>
    <w:rsid w:val="00F34F97"/>
    <w:rsid w:val="00F34FC5"/>
    <w:rsid w:val="00F3533B"/>
    <w:rsid w:val="00F35383"/>
    <w:rsid w:val="00F3565D"/>
    <w:rsid w:val="00F3572D"/>
    <w:rsid w:val="00F3577B"/>
    <w:rsid w:val="00F35912"/>
    <w:rsid w:val="00F359B7"/>
    <w:rsid w:val="00F35B00"/>
    <w:rsid w:val="00F35B10"/>
    <w:rsid w:val="00F35B68"/>
    <w:rsid w:val="00F35B73"/>
    <w:rsid w:val="00F36094"/>
    <w:rsid w:val="00F36095"/>
    <w:rsid w:val="00F360DF"/>
    <w:rsid w:val="00F36464"/>
    <w:rsid w:val="00F36474"/>
    <w:rsid w:val="00F3656E"/>
    <w:rsid w:val="00F365EF"/>
    <w:rsid w:val="00F365FA"/>
    <w:rsid w:val="00F36643"/>
    <w:rsid w:val="00F3664F"/>
    <w:rsid w:val="00F366EA"/>
    <w:rsid w:val="00F36713"/>
    <w:rsid w:val="00F36796"/>
    <w:rsid w:val="00F3679C"/>
    <w:rsid w:val="00F3683E"/>
    <w:rsid w:val="00F368FD"/>
    <w:rsid w:val="00F36939"/>
    <w:rsid w:val="00F369A3"/>
    <w:rsid w:val="00F36B59"/>
    <w:rsid w:val="00F36BC8"/>
    <w:rsid w:val="00F36BDC"/>
    <w:rsid w:val="00F36C11"/>
    <w:rsid w:val="00F37010"/>
    <w:rsid w:val="00F3708D"/>
    <w:rsid w:val="00F37248"/>
    <w:rsid w:val="00F373B7"/>
    <w:rsid w:val="00F3744C"/>
    <w:rsid w:val="00F378A1"/>
    <w:rsid w:val="00F378EE"/>
    <w:rsid w:val="00F37A0F"/>
    <w:rsid w:val="00F37A4D"/>
    <w:rsid w:val="00F37AFF"/>
    <w:rsid w:val="00F37B8F"/>
    <w:rsid w:val="00F37C01"/>
    <w:rsid w:val="00F37DAC"/>
    <w:rsid w:val="00F4009A"/>
    <w:rsid w:val="00F4012C"/>
    <w:rsid w:val="00F402B2"/>
    <w:rsid w:val="00F40383"/>
    <w:rsid w:val="00F404CB"/>
    <w:rsid w:val="00F4067A"/>
    <w:rsid w:val="00F4095D"/>
    <w:rsid w:val="00F40968"/>
    <w:rsid w:val="00F40BF4"/>
    <w:rsid w:val="00F40C1A"/>
    <w:rsid w:val="00F40D3C"/>
    <w:rsid w:val="00F40D9D"/>
    <w:rsid w:val="00F40DBC"/>
    <w:rsid w:val="00F40FC6"/>
    <w:rsid w:val="00F41163"/>
    <w:rsid w:val="00F411F1"/>
    <w:rsid w:val="00F412AE"/>
    <w:rsid w:val="00F41655"/>
    <w:rsid w:val="00F41776"/>
    <w:rsid w:val="00F41875"/>
    <w:rsid w:val="00F41AAC"/>
    <w:rsid w:val="00F41AD0"/>
    <w:rsid w:val="00F41B12"/>
    <w:rsid w:val="00F41EFA"/>
    <w:rsid w:val="00F4208B"/>
    <w:rsid w:val="00F42185"/>
    <w:rsid w:val="00F42217"/>
    <w:rsid w:val="00F42356"/>
    <w:rsid w:val="00F4255E"/>
    <w:rsid w:val="00F425E7"/>
    <w:rsid w:val="00F428E3"/>
    <w:rsid w:val="00F4292B"/>
    <w:rsid w:val="00F4297D"/>
    <w:rsid w:val="00F42D75"/>
    <w:rsid w:val="00F42FB1"/>
    <w:rsid w:val="00F4302B"/>
    <w:rsid w:val="00F43059"/>
    <w:rsid w:val="00F43067"/>
    <w:rsid w:val="00F430FB"/>
    <w:rsid w:val="00F43181"/>
    <w:rsid w:val="00F43373"/>
    <w:rsid w:val="00F433D5"/>
    <w:rsid w:val="00F4357A"/>
    <w:rsid w:val="00F4365B"/>
    <w:rsid w:val="00F436C7"/>
    <w:rsid w:val="00F4396D"/>
    <w:rsid w:val="00F43B2F"/>
    <w:rsid w:val="00F43B3F"/>
    <w:rsid w:val="00F43B94"/>
    <w:rsid w:val="00F43EBD"/>
    <w:rsid w:val="00F44234"/>
    <w:rsid w:val="00F44335"/>
    <w:rsid w:val="00F44529"/>
    <w:rsid w:val="00F445DC"/>
    <w:rsid w:val="00F44684"/>
    <w:rsid w:val="00F44750"/>
    <w:rsid w:val="00F44789"/>
    <w:rsid w:val="00F44815"/>
    <w:rsid w:val="00F4493E"/>
    <w:rsid w:val="00F44951"/>
    <w:rsid w:val="00F44A83"/>
    <w:rsid w:val="00F44B6B"/>
    <w:rsid w:val="00F44C70"/>
    <w:rsid w:val="00F44DCE"/>
    <w:rsid w:val="00F44F66"/>
    <w:rsid w:val="00F45125"/>
    <w:rsid w:val="00F45150"/>
    <w:rsid w:val="00F4520D"/>
    <w:rsid w:val="00F4521F"/>
    <w:rsid w:val="00F4549E"/>
    <w:rsid w:val="00F454E6"/>
    <w:rsid w:val="00F4576B"/>
    <w:rsid w:val="00F45BAF"/>
    <w:rsid w:val="00F45BE4"/>
    <w:rsid w:val="00F45C10"/>
    <w:rsid w:val="00F45CAE"/>
    <w:rsid w:val="00F46246"/>
    <w:rsid w:val="00F46382"/>
    <w:rsid w:val="00F46650"/>
    <w:rsid w:val="00F46662"/>
    <w:rsid w:val="00F46732"/>
    <w:rsid w:val="00F467AC"/>
    <w:rsid w:val="00F4683D"/>
    <w:rsid w:val="00F46870"/>
    <w:rsid w:val="00F46A57"/>
    <w:rsid w:val="00F46C25"/>
    <w:rsid w:val="00F46D0B"/>
    <w:rsid w:val="00F46DB5"/>
    <w:rsid w:val="00F46E86"/>
    <w:rsid w:val="00F4702B"/>
    <w:rsid w:val="00F4736C"/>
    <w:rsid w:val="00F4736E"/>
    <w:rsid w:val="00F47534"/>
    <w:rsid w:val="00F4760B"/>
    <w:rsid w:val="00F476D1"/>
    <w:rsid w:val="00F476E3"/>
    <w:rsid w:val="00F477C2"/>
    <w:rsid w:val="00F4794A"/>
    <w:rsid w:val="00F479D7"/>
    <w:rsid w:val="00F479EF"/>
    <w:rsid w:val="00F47A06"/>
    <w:rsid w:val="00F47C1A"/>
    <w:rsid w:val="00F47C64"/>
    <w:rsid w:val="00F47CF9"/>
    <w:rsid w:val="00F47D4C"/>
    <w:rsid w:val="00F47E20"/>
    <w:rsid w:val="00F47E96"/>
    <w:rsid w:val="00F500FA"/>
    <w:rsid w:val="00F501C3"/>
    <w:rsid w:val="00F502A9"/>
    <w:rsid w:val="00F5066A"/>
    <w:rsid w:val="00F5077D"/>
    <w:rsid w:val="00F507E8"/>
    <w:rsid w:val="00F50B20"/>
    <w:rsid w:val="00F50F97"/>
    <w:rsid w:val="00F51108"/>
    <w:rsid w:val="00F51414"/>
    <w:rsid w:val="00F516A6"/>
    <w:rsid w:val="00F5180E"/>
    <w:rsid w:val="00F51A31"/>
    <w:rsid w:val="00F51C65"/>
    <w:rsid w:val="00F51CA1"/>
    <w:rsid w:val="00F51F1C"/>
    <w:rsid w:val="00F51F4F"/>
    <w:rsid w:val="00F52063"/>
    <w:rsid w:val="00F5211E"/>
    <w:rsid w:val="00F5253E"/>
    <w:rsid w:val="00F52706"/>
    <w:rsid w:val="00F5270B"/>
    <w:rsid w:val="00F528FC"/>
    <w:rsid w:val="00F529A1"/>
    <w:rsid w:val="00F52A60"/>
    <w:rsid w:val="00F52C03"/>
    <w:rsid w:val="00F52C83"/>
    <w:rsid w:val="00F52CAE"/>
    <w:rsid w:val="00F52D65"/>
    <w:rsid w:val="00F52ECF"/>
    <w:rsid w:val="00F52F75"/>
    <w:rsid w:val="00F530F1"/>
    <w:rsid w:val="00F532FF"/>
    <w:rsid w:val="00F5332B"/>
    <w:rsid w:val="00F5341B"/>
    <w:rsid w:val="00F536BC"/>
    <w:rsid w:val="00F5375F"/>
    <w:rsid w:val="00F5379D"/>
    <w:rsid w:val="00F539BA"/>
    <w:rsid w:val="00F53A77"/>
    <w:rsid w:val="00F53AF3"/>
    <w:rsid w:val="00F53B10"/>
    <w:rsid w:val="00F53DA6"/>
    <w:rsid w:val="00F53F96"/>
    <w:rsid w:val="00F54303"/>
    <w:rsid w:val="00F543C3"/>
    <w:rsid w:val="00F5445F"/>
    <w:rsid w:val="00F5449C"/>
    <w:rsid w:val="00F54541"/>
    <w:rsid w:val="00F54763"/>
    <w:rsid w:val="00F5478B"/>
    <w:rsid w:val="00F547FF"/>
    <w:rsid w:val="00F54C20"/>
    <w:rsid w:val="00F54CF3"/>
    <w:rsid w:val="00F54D03"/>
    <w:rsid w:val="00F54D1A"/>
    <w:rsid w:val="00F54D54"/>
    <w:rsid w:val="00F54E99"/>
    <w:rsid w:val="00F55143"/>
    <w:rsid w:val="00F5518E"/>
    <w:rsid w:val="00F551AB"/>
    <w:rsid w:val="00F553E5"/>
    <w:rsid w:val="00F5545F"/>
    <w:rsid w:val="00F5552C"/>
    <w:rsid w:val="00F55544"/>
    <w:rsid w:val="00F55604"/>
    <w:rsid w:val="00F55654"/>
    <w:rsid w:val="00F55788"/>
    <w:rsid w:val="00F55982"/>
    <w:rsid w:val="00F55A95"/>
    <w:rsid w:val="00F55B2E"/>
    <w:rsid w:val="00F55B75"/>
    <w:rsid w:val="00F55E58"/>
    <w:rsid w:val="00F55E85"/>
    <w:rsid w:val="00F55EAF"/>
    <w:rsid w:val="00F56297"/>
    <w:rsid w:val="00F56604"/>
    <w:rsid w:val="00F56626"/>
    <w:rsid w:val="00F566C1"/>
    <w:rsid w:val="00F567A8"/>
    <w:rsid w:val="00F568D9"/>
    <w:rsid w:val="00F5690E"/>
    <w:rsid w:val="00F569B7"/>
    <w:rsid w:val="00F569FC"/>
    <w:rsid w:val="00F56A19"/>
    <w:rsid w:val="00F56A2F"/>
    <w:rsid w:val="00F56BFE"/>
    <w:rsid w:val="00F56D74"/>
    <w:rsid w:val="00F56DD7"/>
    <w:rsid w:val="00F56DE2"/>
    <w:rsid w:val="00F57049"/>
    <w:rsid w:val="00F5752E"/>
    <w:rsid w:val="00F5757D"/>
    <w:rsid w:val="00F57776"/>
    <w:rsid w:val="00F5785D"/>
    <w:rsid w:val="00F57901"/>
    <w:rsid w:val="00F57983"/>
    <w:rsid w:val="00F57987"/>
    <w:rsid w:val="00F579B3"/>
    <w:rsid w:val="00F579F1"/>
    <w:rsid w:val="00F57A55"/>
    <w:rsid w:val="00F57B22"/>
    <w:rsid w:val="00F57D38"/>
    <w:rsid w:val="00F57D82"/>
    <w:rsid w:val="00F57F27"/>
    <w:rsid w:val="00F57FDC"/>
    <w:rsid w:val="00F6000E"/>
    <w:rsid w:val="00F60043"/>
    <w:rsid w:val="00F60062"/>
    <w:rsid w:val="00F60099"/>
    <w:rsid w:val="00F6037E"/>
    <w:rsid w:val="00F603AF"/>
    <w:rsid w:val="00F603FB"/>
    <w:rsid w:val="00F60554"/>
    <w:rsid w:val="00F605BF"/>
    <w:rsid w:val="00F6081B"/>
    <w:rsid w:val="00F60931"/>
    <w:rsid w:val="00F60B4B"/>
    <w:rsid w:val="00F60BE8"/>
    <w:rsid w:val="00F60CF6"/>
    <w:rsid w:val="00F60DA6"/>
    <w:rsid w:val="00F60E67"/>
    <w:rsid w:val="00F60F96"/>
    <w:rsid w:val="00F610FF"/>
    <w:rsid w:val="00F6119C"/>
    <w:rsid w:val="00F61228"/>
    <w:rsid w:val="00F61264"/>
    <w:rsid w:val="00F613B6"/>
    <w:rsid w:val="00F6166B"/>
    <w:rsid w:val="00F61735"/>
    <w:rsid w:val="00F61895"/>
    <w:rsid w:val="00F61913"/>
    <w:rsid w:val="00F61A2C"/>
    <w:rsid w:val="00F61BCE"/>
    <w:rsid w:val="00F61D5F"/>
    <w:rsid w:val="00F61E68"/>
    <w:rsid w:val="00F61FCD"/>
    <w:rsid w:val="00F62002"/>
    <w:rsid w:val="00F62292"/>
    <w:rsid w:val="00F623A3"/>
    <w:rsid w:val="00F62547"/>
    <w:rsid w:val="00F625F7"/>
    <w:rsid w:val="00F628B6"/>
    <w:rsid w:val="00F62A28"/>
    <w:rsid w:val="00F62C77"/>
    <w:rsid w:val="00F62D2C"/>
    <w:rsid w:val="00F63432"/>
    <w:rsid w:val="00F6345C"/>
    <w:rsid w:val="00F63749"/>
    <w:rsid w:val="00F63861"/>
    <w:rsid w:val="00F638A8"/>
    <w:rsid w:val="00F63BB4"/>
    <w:rsid w:val="00F63CCB"/>
    <w:rsid w:val="00F64039"/>
    <w:rsid w:val="00F64072"/>
    <w:rsid w:val="00F64082"/>
    <w:rsid w:val="00F640BD"/>
    <w:rsid w:val="00F640D8"/>
    <w:rsid w:val="00F64205"/>
    <w:rsid w:val="00F6435A"/>
    <w:rsid w:val="00F64398"/>
    <w:rsid w:val="00F64871"/>
    <w:rsid w:val="00F648DF"/>
    <w:rsid w:val="00F649BA"/>
    <w:rsid w:val="00F64A7B"/>
    <w:rsid w:val="00F64BBD"/>
    <w:rsid w:val="00F64DCA"/>
    <w:rsid w:val="00F65044"/>
    <w:rsid w:val="00F6508B"/>
    <w:rsid w:val="00F650BC"/>
    <w:rsid w:val="00F6527C"/>
    <w:rsid w:val="00F65562"/>
    <w:rsid w:val="00F65AB5"/>
    <w:rsid w:val="00F65C30"/>
    <w:rsid w:val="00F65CDB"/>
    <w:rsid w:val="00F65DF3"/>
    <w:rsid w:val="00F65E76"/>
    <w:rsid w:val="00F65FCF"/>
    <w:rsid w:val="00F66015"/>
    <w:rsid w:val="00F6608B"/>
    <w:rsid w:val="00F66233"/>
    <w:rsid w:val="00F6682F"/>
    <w:rsid w:val="00F66A7A"/>
    <w:rsid w:val="00F66BB2"/>
    <w:rsid w:val="00F66BDF"/>
    <w:rsid w:val="00F66BF0"/>
    <w:rsid w:val="00F66C15"/>
    <w:rsid w:val="00F66CB3"/>
    <w:rsid w:val="00F66DFA"/>
    <w:rsid w:val="00F66E52"/>
    <w:rsid w:val="00F66F30"/>
    <w:rsid w:val="00F66F49"/>
    <w:rsid w:val="00F67038"/>
    <w:rsid w:val="00F67207"/>
    <w:rsid w:val="00F67229"/>
    <w:rsid w:val="00F67A5F"/>
    <w:rsid w:val="00F67ADF"/>
    <w:rsid w:val="00F67B5A"/>
    <w:rsid w:val="00F67BF7"/>
    <w:rsid w:val="00F67C00"/>
    <w:rsid w:val="00F67C08"/>
    <w:rsid w:val="00F67D28"/>
    <w:rsid w:val="00F67D58"/>
    <w:rsid w:val="00F67D9A"/>
    <w:rsid w:val="00F67DB2"/>
    <w:rsid w:val="00F67EAE"/>
    <w:rsid w:val="00F67EAF"/>
    <w:rsid w:val="00F67ECF"/>
    <w:rsid w:val="00F7003E"/>
    <w:rsid w:val="00F702DC"/>
    <w:rsid w:val="00F70376"/>
    <w:rsid w:val="00F70512"/>
    <w:rsid w:val="00F70648"/>
    <w:rsid w:val="00F70756"/>
    <w:rsid w:val="00F707FF"/>
    <w:rsid w:val="00F708DD"/>
    <w:rsid w:val="00F70A22"/>
    <w:rsid w:val="00F70A6B"/>
    <w:rsid w:val="00F70D59"/>
    <w:rsid w:val="00F70DFD"/>
    <w:rsid w:val="00F70E31"/>
    <w:rsid w:val="00F70E48"/>
    <w:rsid w:val="00F71091"/>
    <w:rsid w:val="00F71113"/>
    <w:rsid w:val="00F71373"/>
    <w:rsid w:val="00F713EC"/>
    <w:rsid w:val="00F7151D"/>
    <w:rsid w:val="00F71688"/>
    <w:rsid w:val="00F7169E"/>
    <w:rsid w:val="00F716B2"/>
    <w:rsid w:val="00F71765"/>
    <w:rsid w:val="00F71775"/>
    <w:rsid w:val="00F71951"/>
    <w:rsid w:val="00F71ABF"/>
    <w:rsid w:val="00F71CCD"/>
    <w:rsid w:val="00F71D8D"/>
    <w:rsid w:val="00F71F80"/>
    <w:rsid w:val="00F72155"/>
    <w:rsid w:val="00F7225E"/>
    <w:rsid w:val="00F72304"/>
    <w:rsid w:val="00F72535"/>
    <w:rsid w:val="00F72682"/>
    <w:rsid w:val="00F72798"/>
    <w:rsid w:val="00F72816"/>
    <w:rsid w:val="00F72943"/>
    <w:rsid w:val="00F72B24"/>
    <w:rsid w:val="00F72B4A"/>
    <w:rsid w:val="00F72C2F"/>
    <w:rsid w:val="00F7323C"/>
    <w:rsid w:val="00F732C7"/>
    <w:rsid w:val="00F73423"/>
    <w:rsid w:val="00F73565"/>
    <w:rsid w:val="00F73570"/>
    <w:rsid w:val="00F737DE"/>
    <w:rsid w:val="00F738CC"/>
    <w:rsid w:val="00F73955"/>
    <w:rsid w:val="00F7397B"/>
    <w:rsid w:val="00F739BA"/>
    <w:rsid w:val="00F73A3C"/>
    <w:rsid w:val="00F73AA4"/>
    <w:rsid w:val="00F73BFD"/>
    <w:rsid w:val="00F73C17"/>
    <w:rsid w:val="00F73C27"/>
    <w:rsid w:val="00F73D70"/>
    <w:rsid w:val="00F73DCE"/>
    <w:rsid w:val="00F73FBF"/>
    <w:rsid w:val="00F73FE6"/>
    <w:rsid w:val="00F74101"/>
    <w:rsid w:val="00F7424D"/>
    <w:rsid w:val="00F7453B"/>
    <w:rsid w:val="00F74644"/>
    <w:rsid w:val="00F7472A"/>
    <w:rsid w:val="00F74970"/>
    <w:rsid w:val="00F749B0"/>
    <w:rsid w:val="00F74A8E"/>
    <w:rsid w:val="00F74B23"/>
    <w:rsid w:val="00F74BDE"/>
    <w:rsid w:val="00F74DB8"/>
    <w:rsid w:val="00F74DE7"/>
    <w:rsid w:val="00F74FF9"/>
    <w:rsid w:val="00F7512C"/>
    <w:rsid w:val="00F751EC"/>
    <w:rsid w:val="00F752EF"/>
    <w:rsid w:val="00F7548D"/>
    <w:rsid w:val="00F75706"/>
    <w:rsid w:val="00F7587D"/>
    <w:rsid w:val="00F7596F"/>
    <w:rsid w:val="00F75ABE"/>
    <w:rsid w:val="00F75D57"/>
    <w:rsid w:val="00F75E84"/>
    <w:rsid w:val="00F75FB2"/>
    <w:rsid w:val="00F76039"/>
    <w:rsid w:val="00F76046"/>
    <w:rsid w:val="00F760FF"/>
    <w:rsid w:val="00F761AF"/>
    <w:rsid w:val="00F763A8"/>
    <w:rsid w:val="00F76628"/>
    <w:rsid w:val="00F76672"/>
    <w:rsid w:val="00F768B3"/>
    <w:rsid w:val="00F76B2D"/>
    <w:rsid w:val="00F76C34"/>
    <w:rsid w:val="00F76C43"/>
    <w:rsid w:val="00F76C4D"/>
    <w:rsid w:val="00F76CE6"/>
    <w:rsid w:val="00F76EF4"/>
    <w:rsid w:val="00F76F25"/>
    <w:rsid w:val="00F770A2"/>
    <w:rsid w:val="00F770EC"/>
    <w:rsid w:val="00F7728A"/>
    <w:rsid w:val="00F77330"/>
    <w:rsid w:val="00F77331"/>
    <w:rsid w:val="00F77534"/>
    <w:rsid w:val="00F7765B"/>
    <w:rsid w:val="00F7774E"/>
    <w:rsid w:val="00F77889"/>
    <w:rsid w:val="00F778F4"/>
    <w:rsid w:val="00F779B0"/>
    <w:rsid w:val="00F77A3A"/>
    <w:rsid w:val="00F77CEF"/>
    <w:rsid w:val="00F77F24"/>
    <w:rsid w:val="00F77F49"/>
    <w:rsid w:val="00F77F5E"/>
    <w:rsid w:val="00F80022"/>
    <w:rsid w:val="00F80134"/>
    <w:rsid w:val="00F80239"/>
    <w:rsid w:val="00F8046F"/>
    <w:rsid w:val="00F804C0"/>
    <w:rsid w:val="00F80756"/>
    <w:rsid w:val="00F8088A"/>
    <w:rsid w:val="00F80A9C"/>
    <w:rsid w:val="00F80B8A"/>
    <w:rsid w:val="00F80C06"/>
    <w:rsid w:val="00F80C94"/>
    <w:rsid w:val="00F80DD7"/>
    <w:rsid w:val="00F8104D"/>
    <w:rsid w:val="00F8126B"/>
    <w:rsid w:val="00F81585"/>
    <w:rsid w:val="00F81995"/>
    <w:rsid w:val="00F81C1F"/>
    <w:rsid w:val="00F81C27"/>
    <w:rsid w:val="00F81CBA"/>
    <w:rsid w:val="00F81E12"/>
    <w:rsid w:val="00F821A0"/>
    <w:rsid w:val="00F8227E"/>
    <w:rsid w:val="00F8231E"/>
    <w:rsid w:val="00F82666"/>
    <w:rsid w:val="00F8269D"/>
    <w:rsid w:val="00F826CD"/>
    <w:rsid w:val="00F8275D"/>
    <w:rsid w:val="00F827AA"/>
    <w:rsid w:val="00F82946"/>
    <w:rsid w:val="00F82A34"/>
    <w:rsid w:val="00F82AB3"/>
    <w:rsid w:val="00F82B95"/>
    <w:rsid w:val="00F82C4E"/>
    <w:rsid w:val="00F82E7C"/>
    <w:rsid w:val="00F83035"/>
    <w:rsid w:val="00F83085"/>
    <w:rsid w:val="00F831EC"/>
    <w:rsid w:val="00F83270"/>
    <w:rsid w:val="00F83345"/>
    <w:rsid w:val="00F8336D"/>
    <w:rsid w:val="00F8358A"/>
    <w:rsid w:val="00F8366A"/>
    <w:rsid w:val="00F836A5"/>
    <w:rsid w:val="00F83929"/>
    <w:rsid w:val="00F83948"/>
    <w:rsid w:val="00F83BAE"/>
    <w:rsid w:val="00F83EF4"/>
    <w:rsid w:val="00F83FCC"/>
    <w:rsid w:val="00F84309"/>
    <w:rsid w:val="00F843F1"/>
    <w:rsid w:val="00F84405"/>
    <w:rsid w:val="00F844E4"/>
    <w:rsid w:val="00F84547"/>
    <w:rsid w:val="00F846BF"/>
    <w:rsid w:val="00F8474D"/>
    <w:rsid w:val="00F8496A"/>
    <w:rsid w:val="00F84AEE"/>
    <w:rsid w:val="00F84B49"/>
    <w:rsid w:val="00F84BA0"/>
    <w:rsid w:val="00F84C8F"/>
    <w:rsid w:val="00F84D1F"/>
    <w:rsid w:val="00F84DA2"/>
    <w:rsid w:val="00F84F11"/>
    <w:rsid w:val="00F84F5E"/>
    <w:rsid w:val="00F8516F"/>
    <w:rsid w:val="00F85184"/>
    <w:rsid w:val="00F85244"/>
    <w:rsid w:val="00F8545D"/>
    <w:rsid w:val="00F8554A"/>
    <w:rsid w:val="00F85622"/>
    <w:rsid w:val="00F856B0"/>
    <w:rsid w:val="00F856F3"/>
    <w:rsid w:val="00F85769"/>
    <w:rsid w:val="00F85816"/>
    <w:rsid w:val="00F85989"/>
    <w:rsid w:val="00F85B71"/>
    <w:rsid w:val="00F85C7D"/>
    <w:rsid w:val="00F85F07"/>
    <w:rsid w:val="00F860BF"/>
    <w:rsid w:val="00F8658A"/>
    <w:rsid w:val="00F86796"/>
    <w:rsid w:val="00F8684E"/>
    <w:rsid w:val="00F86925"/>
    <w:rsid w:val="00F869C6"/>
    <w:rsid w:val="00F86A06"/>
    <w:rsid w:val="00F86B61"/>
    <w:rsid w:val="00F86CE8"/>
    <w:rsid w:val="00F86FC0"/>
    <w:rsid w:val="00F86FD4"/>
    <w:rsid w:val="00F8714E"/>
    <w:rsid w:val="00F8717F"/>
    <w:rsid w:val="00F87342"/>
    <w:rsid w:val="00F87672"/>
    <w:rsid w:val="00F87762"/>
    <w:rsid w:val="00F87789"/>
    <w:rsid w:val="00F87976"/>
    <w:rsid w:val="00F87C77"/>
    <w:rsid w:val="00F87CA3"/>
    <w:rsid w:val="00F87CF4"/>
    <w:rsid w:val="00F903B4"/>
    <w:rsid w:val="00F903E5"/>
    <w:rsid w:val="00F90417"/>
    <w:rsid w:val="00F90460"/>
    <w:rsid w:val="00F90762"/>
    <w:rsid w:val="00F90821"/>
    <w:rsid w:val="00F9082E"/>
    <w:rsid w:val="00F908CA"/>
    <w:rsid w:val="00F909EE"/>
    <w:rsid w:val="00F90A0B"/>
    <w:rsid w:val="00F90B60"/>
    <w:rsid w:val="00F90BF7"/>
    <w:rsid w:val="00F90C30"/>
    <w:rsid w:val="00F90D67"/>
    <w:rsid w:val="00F90DC7"/>
    <w:rsid w:val="00F912B3"/>
    <w:rsid w:val="00F91328"/>
    <w:rsid w:val="00F91A3D"/>
    <w:rsid w:val="00F91B10"/>
    <w:rsid w:val="00F91C12"/>
    <w:rsid w:val="00F91C8C"/>
    <w:rsid w:val="00F91D63"/>
    <w:rsid w:val="00F91EAF"/>
    <w:rsid w:val="00F9209F"/>
    <w:rsid w:val="00F92497"/>
    <w:rsid w:val="00F924EE"/>
    <w:rsid w:val="00F92615"/>
    <w:rsid w:val="00F9280F"/>
    <w:rsid w:val="00F92985"/>
    <w:rsid w:val="00F92A86"/>
    <w:rsid w:val="00F92A8F"/>
    <w:rsid w:val="00F92AA9"/>
    <w:rsid w:val="00F92C52"/>
    <w:rsid w:val="00F92EEE"/>
    <w:rsid w:val="00F9324F"/>
    <w:rsid w:val="00F93546"/>
    <w:rsid w:val="00F939F3"/>
    <w:rsid w:val="00F93B09"/>
    <w:rsid w:val="00F93F35"/>
    <w:rsid w:val="00F93F66"/>
    <w:rsid w:val="00F94299"/>
    <w:rsid w:val="00F9434F"/>
    <w:rsid w:val="00F9447B"/>
    <w:rsid w:val="00F944D7"/>
    <w:rsid w:val="00F94503"/>
    <w:rsid w:val="00F94728"/>
    <w:rsid w:val="00F948A0"/>
    <w:rsid w:val="00F948B8"/>
    <w:rsid w:val="00F949FD"/>
    <w:rsid w:val="00F94ABE"/>
    <w:rsid w:val="00F94AFE"/>
    <w:rsid w:val="00F94B62"/>
    <w:rsid w:val="00F94E80"/>
    <w:rsid w:val="00F94E95"/>
    <w:rsid w:val="00F94E96"/>
    <w:rsid w:val="00F94F36"/>
    <w:rsid w:val="00F950BD"/>
    <w:rsid w:val="00F95287"/>
    <w:rsid w:val="00F953C6"/>
    <w:rsid w:val="00F9584A"/>
    <w:rsid w:val="00F95A10"/>
    <w:rsid w:val="00F95A49"/>
    <w:rsid w:val="00F95AD7"/>
    <w:rsid w:val="00F95B51"/>
    <w:rsid w:val="00F95ED1"/>
    <w:rsid w:val="00F95F43"/>
    <w:rsid w:val="00F96015"/>
    <w:rsid w:val="00F9603F"/>
    <w:rsid w:val="00F961B4"/>
    <w:rsid w:val="00F963CE"/>
    <w:rsid w:val="00F9649F"/>
    <w:rsid w:val="00F96690"/>
    <w:rsid w:val="00F96757"/>
    <w:rsid w:val="00F96854"/>
    <w:rsid w:val="00F96987"/>
    <w:rsid w:val="00F96AF6"/>
    <w:rsid w:val="00F96C39"/>
    <w:rsid w:val="00F96D50"/>
    <w:rsid w:val="00F96FF4"/>
    <w:rsid w:val="00F97236"/>
    <w:rsid w:val="00F97256"/>
    <w:rsid w:val="00F972A1"/>
    <w:rsid w:val="00F97556"/>
    <w:rsid w:val="00F976BC"/>
    <w:rsid w:val="00F97782"/>
    <w:rsid w:val="00F978B8"/>
    <w:rsid w:val="00F97976"/>
    <w:rsid w:val="00F979A7"/>
    <w:rsid w:val="00F979D9"/>
    <w:rsid w:val="00F97B4B"/>
    <w:rsid w:val="00F97BC9"/>
    <w:rsid w:val="00F97E0D"/>
    <w:rsid w:val="00F97E40"/>
    <w:rsid w:val="00F97EAD"/>
    <w:rsid w:val="00FA0014"/>
    <w:rsid w:val="00FA013A"/>
    <w:rsid w:val="00FA023A"/>
    <w:rsid w:val="00FA026C"/>
    <w:rsid w:val="00FA03E9"/>
    <w:rsid w:val="00FA04A0"/>
    <w:rsid w:val="00FA06C4"/>
    <w:rsid w:val="00FA0902"/>
    <w:rsid w:val="00FA09E9"/>
    <w:rsid w:val="00FA0C78"/>
    <w:rsid w:val="00FA0D42"/>
    <w:rsid w:val="00FA0FE3"/>
    <w:rsid w:val="00FA12CA"/>
    <w:rsid w:val="00FA13AF"/>
    <w:rsid w:val="00FA13B2"/>
    <w:rsid w:val="00FA1431"/>
    <w:rsid w:val="00FA1631"/>
    <w:rsid w:val="00FA1640"/>
    <w:rsid w:val="00FA16F6"/>
    <w:rsid w:val="00FA1771"/>
    <w:rsid w:val="00FA17A8"/>
    <w:rsid w:val="00FA17C8"/>
    <w:rsid w:val="00FA1914"/>
    <w:rsid w:val="00FA191F"/>
    <w:rsid w:val="00FA1A58"/>
    <w:rsid w:val="00FA1A63"/>
    <w:rsid w:val="00FA1AB5"/>
    <w:rsid w:val="00FA1D40"/>
    <w:rsid w:val="00FA1DDF"/>
    <w:rsid w:val="00FA1F05"/>
    <w:rsid w:val="00FA1FD6"/>
    <w:rsid w:val="00FA2094"/>
    <w:rsid w:val="00FA2183"/>
    <w:rsid w:val="00FA21DF"/>
    <w:rsid w:val="00FA220C"/>
    <w:rsid w:val="00FA2331"/>
    <w:rsid w:val="00FA247C"/>
    <w:rsid w:val="00FA24AD"/>
    <w:rsid w:val="00FA2578"/>
    <w:rsid w:val="00FA2676"/>
    <w:rsid w:val="00FA2AB8"/>
    <w:rsid w:val="00FA2BD9"/>
    <w:rsid w:val="00FA2C12"/>
    <w:rsid w:val="00FA2C7E"/>
    <w:rsid w:val="00FA2ECD"/>
    <w:rsid w:val="00FA30B6"/>
    <w:rsid w:val="00FA31DB"/>
    <w:rsid w:val="00FA3284"/>
    <w:rsid w:val="00FA33D8"/>
    <w:rsid w:val="00FA3675"/>
    <w:rsid w:val="00FA3792"/>
    <w:rsid w:val="00FA3919"/>
    <w:rsid w:val="00FA3ABA"/>
    <w:rsid w:val="00FA3AF0"/>
    <w:rsid w:val="00FA3C19"/>
    <w:rsid w:val="00FA3C95"/>
    <w:rsid w:val="00FA3DAB"/>
    <w:rsid w:val="00FA3DEA"/>
    <w:rsid w:val="00FA3F0D"/>
    <w:rsid w:val="00FA4001"/>
    <w:rsid w:val="00FA40E9"/>
    <w:rsid w:val="00FA4184"/>
    <w:rsid w:val="00FA41A0"/>
    <w:rsid w:val="00FA44DF"/>
    <w:rsid w:val="00FA4509"/>
    <w:rsid w:val="00FA4586"/>
    <w:rsid w:val="00FA45CA"/>
    <w:rsid w:val="00FA47A4"/>
    <w:rsid w:val="00FA47E0"/>
    <w:rsid w:val="00FA47F4"/>
    <w:rsid w:val="00FA48A2"/>
    <w:rsid w:val="00FA4B7D"/>
    <w:rsid w:val="00FA4C0D"/>
    <w:rsid w:val="00FA4C7B"/>
    <w:rsid w:val="00FA4F2F"/>
    <w:rsid w:val="00FA5194"/>
    <w:rsid w:val="00FA5296"/>
    <w:rsid w:val="00FA5328"/>
    <w:rsid w:val="00FA5479"/>
    <w:rsid w:val="00FA552B"/>
    <w:rsid w:val="00FA552E"/>
    <w:rsid w:val="00FA58A5"/>
    <w:rsid w:val="00FA5A8E"/>
    <w:rsid w:val="00FA5B8B"/>
    <w:rsid w:val="00FA5EC8"/>
    <w:rsid w:val="00FA5F57"/>
    <w:rsid w:val="00FA5FB5"/>
    <w:rsid w:val="00FA620D"/>
    <w:rsid w:val="00FA6334"/>
    <w:rsid w:val="00FA638B"/>
    <w:rsid w:val="00FA63C7"/>
    <w:rsid w:val="00FA64C3"/>
    <w:rsid w:val="00FA66B8"/>
    <w:rsid w:val="00FA679D"/>
    <w:rsid w:val="00FA6878"/>
    <w:rsid w:val="00FA68B7"/>
    <w:rsid w:val="00FA6A80"/>
    <w:rsid w:val="00FA6C40"/>
    <w:rsid w:val="00FA6CDF"/>
    <w:rsid w:val="00FA6D71"/>
    <w:rsid w:val="00FA6E74"/>
    <w:rsid w:val="00FA6EEE"/>
    <w:rsid w:val="00FA6FB1"/>
    <w:rsid w:val="00FA7048"/>
    <w:rsid w:val="00FA7305"/>
    <w:rsid w:val="00FA736E"/>
    <w:rsid w:val="00FA74C2"/>
    <w:rsid w:val="00FA750B"/>
    <w:rsid w:val="00FA7BAA"/>
    <w:rsid w:val="00FA7C62"/>
    <w:rsid w:val="00FA7F43"/>
    <w:rsid w:val="00FA7F46"/>
    <w:rsid w:val="00FB007F"/>
    <w:rsid w:val="00FB0361"/>
    <w:rsid w:val="00FB04F5"/>
    <w:rsid w:val="00FB05AA"/>
    <w:rsid w:val="00FB0626"/>
    <w:rsid w:val="00FB077C"/>
    <w:rsid w:val="00FB0B13"/>
    <w:rsid w:val="00FB0B2E"/>
    <w:rsid w:val="00FB0B67"/>
    <w:rsid w:val="00FB0E60"/>
    <w:rsid w:val="00FB1059"/>
    <w:rsid w:val="00FB15FE"/>
    <w:rsid w:val="00FB1614"/>
    <w:rsid w:val="00FB16C3"/>
    <w:rsid w:val="00FB1775"/>
    <w:rsid w:val="00FB17A8"/>
    <w:rsid w:val="00FB194E"/>
    <w:rsid w:val="00FB1F18"/>
    <w:rsid w:val="00FB1FEB"/>
    <w:rsid w:val="00FB210C"/>
    <w:rsid w:val="00FB21CB"/>
    <w:rsid w:val="00FB2243"/>
    <w:rsid w:val="00FB22D8"/>
    <w:rsid w:val="00FB233C"/>
    <w:rsid w:val="00FB245F"/>
    <w:rsid w:val="00FB24B6"/>
    <w:rsid w:val="00FB2691"/>
    <w:rsid w:val="00FB26BE"/>
    <w:rsid w:val="00FB2A58"/>
    <w:rsid w:val="00FB2B69"/>
    <w:rsid w:val="00FB2B81"/>
    <w:rsid w:val="00FB2BBA"/>
    <w:rsid w:val="00FB2C9F"/>
    <w:rsid w:val="00FB2CA2"/>
    <w:rsid w:val="00FB2CBC"/>
    <w:rsid w:val="00FB2D57"/>
    <w:rsid w:val="00FB2DC5"/>
    <w:rsid w:val="00FB2DED"/>
    <w:rsid w:val="00FB303A"/>
    <w:rsid w:val="00FB310F"/>
    <w:rsid w:val="00FB3227"/>
    <w:rsid w:val="00FB3249"/>
    <w:rsid w:val="00FB33C5"/>
    <w:rsid w:val="00FB3533"/>
    <w:rsid w:val="00FB358C"/>
    <w:rsid w:val="00FB360C"/>
    <w:rsid w:val="00FB377B"/>
    <w:rsid w:val="00FB37FC"/>
    <w:rsid w:val="00FB389D"/>
    <w:rsid w:val="00FB3987"/>
    <w:rsid w:val="00FB3BDE"/>
    <w:rsid w:val="00FB3C38"/>
    <w:rsid w:val="00FB3F2F"/>
    <w:rsid w:val="00FB3FB7"/>
    <w:rsid w:val="00FB410C"/>
    <w:rsid w:val="00FB4137"/>
    <w:rsid w:val="00FB42DA"/>
    <w:rsid w:val="00FB42F5"/>
    <w:rsid w:val="00FB4353"/>
    <w:rsid w:val="00FB43F2"/>
    <w:rsid w:val="00FB44C7"/>
    <w:rsid w:val="00FB45DD"/>
    <w:rsid w:val="00FB462B"/>
    <w:rsid w:val="00FB463B"/>
    <w:rsid w:val="00FB47AD"/>
    <w:rsid w:val="00FB4905"/>
    <w:rsid w:val="00FB4981"/>
    <w:rsid w:val="00FB4B29"/>
    <w:rsid w:val="00FB4C6E"/>
    <w:rsid w:val="00FB4C79"/>
    <w:rsid w:val="00FB4CDD"/>
    <w:rsid w:val="00FB4F51"/>
    <w:rsid w:val="00FB4F5E"/>
    <w:rsid w:val="00FB5056"/>
    <w:rsid w:val="00FB5124"/>
    <w:rsid w:val="00FB516B"/>
    <w:rsid w:val="00FB5185"/>
    <w:rsid w:val="00FB51CB"/>
    <w:rsid w:val="00FB52C7"/>
    <w:rsid w:val="00FB549C"/>
    <w:rsid w:val="00FB5578"/>
    <w:rsid w:val="00FB562B"/>
    <w:rsid w:val="00FB5756"/>
    <w:rsid w:val="00FB57D9"/>
    <w:rsid w:val="00FB5890"/>
    <w:rsid w:val="00FB58A5"/>
    <w:rsid w:val="00FB5A80"/>
    <w:rsid w:val="00FB5A94"/>
    <w:rsid w:val="00FB5BA5"/>
    <w:rsid w:val="00FB5C90"/>
    <w:rsid w:val="00FB5CB6"/>
    <w:rsid w:val="00FB5D64"/>
    <w:rsid w:val="00FB5DEE"/>
    <w:rsid w:val="00FB5E00"/>
    <w:rsid w:val="00FB60BD"/>
    <w:rsid w:val="00FB62B8"/>
    <w:rsid w:val="00FB6381"/>
    <w:rsid w:val="00FB6403"/>
    <w:rsid w:val="00FB6425"/>
    <w:rsid w:val="00FB67DB"/>
    <w:rsid w:val="00FB68E8"/>
    <w:rsid w:val="00FB6942"/>
    <w:rsid w:val="00FB6C49"/>
    <w:rsid w:val="00FB6EE8"/>
    <w:rsid w:val="00FB7207"/>
    <w:rsid w:val="00FB73B5"/>
    <w:rsid w:val="00FB73D4"/>
    <w:rsid w:val="00FB7450"/>
    <w:rsid w:val="00FB74F3"/>
    <w:rsid w:val="00FB7603"/>
    <w:rsid w:val="00FB761B"/>
    <w:rsid w:val="00FB7880"/>
    <w:rsid w:val="00FB79C1"/>
    <w:rsid w:val="00FB7A9F"/>
    <w:rsid w:val="00FB7AA1"/>
    <w:rsid w:val="00FB7E41"/>
    <w:rsid w:val="00FC001C"/>
    <w:rsid w:val="00FC0106"/>
    <w:rsid w:val="00FC0142"/>
    <w:rsid w:val="00FC01E5"/>
    <w:rsid w:val="00FC01EF"/>
    <w:rsid w:val="00FC031A"/>
    <w:rsid w:val="00FC0396"/>
    <w:rsid w:val="00FC0516"/>
    <w:rsid w:val="00FC0702"/>
    <w:rsid w:val="00FC0821"/>
    <w:rsid w:val="00FC0869"/>
    <w:rsid w:val="00FC087F"/>
    <w:rsid w:val="00FC08D0"/>
    <w:rsid w:val="00FC0A31"/>
    <w:rsid w:val="00FC0C0A"/>
    <w:rsid w:val="00FC0D87"/>
    <w:rsid w:val="00FC0DCC"/>
    <w:rsid w:val="00FC0EA8"/>
    <w:rsid w:val="00FC1049"/>
    <w:rsid w:val="00FC10AA"/>
    <w:rsid w:val="00FC10CA"/>
    <w:rsid w:val="00FC113C"/>
    <w:rsid w:val="00FC12FF"/>
    <w:rsid w:val="00FC140C"/>
    <w:rsid w:val="00FC1476"/>
    <w:rsid w:val="00FC1896"/>
    <w:rsid w:val="00FC18C8"/>
    <w:rsid w:val="00FC18DD"/>
    <w:rsid w:val="00FC19D4"/>
    <w:rsid w:val="00FC1B95"/>
    <w:rsid w:val="00FC2076"/>
    <w:rsid w:val="00FC21E6"/>
    <w:rsid w:val="00FC237E"/>
    <w:rsid w:val="00FC2636"/>
    <w:rsid w:val="00FC27DB"/>
    <w:rsid w:val="00FC2814"/>
    <w:rsid w:val="00FC2861"/>
    <w:rsid w:val="00FC2898"/>
    <w:rsid w:val="00FC28FF"/>
    <w:rsid w:val="00FC2BF4"/>
    <w:rsid w:val="00FC2CFD"/>
    <w:rsid w:val="00FC2DC0"/>
    <w:rsid w:val="00FC2EED"/>
    <w:rsid w:val="00FC3128"/>
    <w:rsid w:val="00FC3194"/>
    <w:rsid w:val="00FC319A"/>
    <w:rsid w:val="00FC3274"/>
    <w:rsid w:val="00FC3913"/>
    <w:rsid w:val="00FC3A97"/>
    <w:rsid w:val="00FC3AB3"/>
    <w:rsid w:val="00FC3BBF"/>
    <w:rsid w:val="00FC3D4A"/>
    <w:rsid w:val="00FC3D9C"/>
    <w:rsid w:val="00FC3F3B"/>
    <w:rsid w:val="00FC3FC9"/>
    <w:rsid w:val="00FC421F"/>
    <w:rsid w:val="00FC42A3"/>
    <w:rsid w:val="00FC44CF"/>
    <w:rsid w:val="00FC44E3"/>
    <w:rsid w:val="00FC462F"/>
    <w:rsid w:val="00FC4812"/>
    <w:rsid w:val="00FC4823"/>
    <w:rsid w:val="00FC4A67"/>
    <w:rsid w:val="00FC5072"/>
    <w:rsid w:val="00FC50F0"/>
    <w:rsid w:val="00FC511F"/>
    <w:rsid w:val="00FC526B"/>
    <w:rsid w:val="00FC545F"/>
    <w:rsid w:val="00FC553D"/>
    <w:rsid w:val="00FC558E"/>
    <w:rsid w:val="00FC565D"/>
    <w:rsid w:val="00FC5980"/>
    <w:rsid w:val="00FC59F0"/>
    <w:rsid w:val="00FC5AB3"/>
    <w:rsid w:val="00FC5BC1"/>
    <w:rsid w:val="00FC5C61"/>
    <w:rsid w:val="00FC5EE1"/>
    <w:rsid w:val="00FC5EFE"/>
    <w:rsid w:val="00FC5FF8"/>
    <w:rsid w:val="00FC6043"/>
    <w:rsid w:val="00FC608B"/>
    <w:rsid w:val="00FC60CC"/>
    <w:rsid w:val="00FC6279"/>
    <w:rsid w:val="00FC630C"/>
    <w:rsid w:val="00FC631A"/>
    <w:rsid w:val="00FC65CE"/>
    <w:rsid w:val="00FC667A"/>
    <w:rsid w:val="00FC6A1D"/>
    <w:rsid w:val="00FC6AF0"/>
    <w:rsid w:val="00FC6B1D"/>
    <w:rsid w:val="00FC6BF2"/>
    <w:rsid w:val="00FC6C9B"/>
    <w:rsid w:val="00FC6D38"/>
    <w:rsid w:val="00FC6D93"/>
    <w:rsid w:val="00FC70DF"/>
    <w:rsid w:val="00FC7100"/>
    <w:rsid w:val="00FC7378"/>
    <w:rsid w:val="00FC772F"/>
    <w:rsid w:val="00FC776A"/>
    <w:rsid w:val="00FC77CA"/>
    <w:rsid w:val="00FC77D5"/>
    <w:rsid w:val="00FC7B5C"/>
    <w:rsid w:val="00FC7BF6"/>
    <w:rsid w:val="00FC7E47"/>
    <w:rsid w:val="00FC7E58"/>
    <w:rsid w:val="00FC7F0D"/>
    <w:rsid w:val="00FD00A3"/>
    <w:rsid w:val="00FD020A"/>
    <w:rsid w:val="00FD02A8"/>
    <w:rsid w:val="00FD0382"/>
    <w:rsid w:val="00FD03C1"/>
    <w:rsid w:val="00FD03C8"/>
    <w:rsid w:val="00FD03EE"/>
    <w:rsid w:val="00FD0650"/>
    <w:rsid w:val="00FD06E7"/>
    <w:rsid w:val="00FD0776"/>
    <w:rsid w:val="00FD07F1"/>
    <w:rsid w:val="00FD0871"/>
    <w:rsid w:val="00FD0906"/>
    <w:rsid w:val="00FD0A11"/>
    <w:rsid w:val="00FD0B75"/>
    <w:rsid w:val="00FD0BD1"/>
    <w:rsid w:val="00FD0BF6"/>
    <w:rsid w:val="00FD0CFA"/>
    <w:rsid w:val="00FD0D64"/>
    <w:rsid w:val="00FD0DF2"/>
    <w:rsid w:val="00FD0F91"/>
    <w:rsid w:val="00FD0FE7"/>
    <w:rsid w:val="00FD1172"/>
    <w:rsid w:val="00FD13E6"/>
    <w:rsid w:val="00FD140E"/>
    <w:rsid w:val="00FD1572"/>
    <w:rsid w:val="00FD15CD"/>
    <w:rsid w:val="00FD15E0"/>
    <w:rsid w:val="00FD1662"/>
    <w:rsid w:val="00FD1689"/>
    <w:rsid w:val="00FD17F2"/>
    <w:rsid w:val="00FD18FC"/>
    <w:rsid w:val="00FD1989"/>
    <w:rsid w:val="00FD1D09"/>
    <w:rsid w:val="00FD1FA6"/>
    <w:rsid w:val="00FD1FF6"/>
    <w:rsid w:val="00FD21D2"/>
    <w:rsid w:val="00FD242F"/>
    <w:rsid w:val="00FD245E"/>
    <w:rsid w:val="00FD24B9"/>
    <w:rsid w:val="00FD2579"/>
    <w:rsid w:val="00FD266F"/>
    <w:rsid w:val="00FD269F"/>
    <w:rsid w:val="00FD2733"/>
    <w:rsid w:val="00FD27BF"/>
    <w:rsid w:val="00FD2801"/>
    <w:rsid w:val="00FD28FE"/>
    <w:rsid w:val="00FD2C13"/>
    <w:rsid w:val="00FD2D90"/>
    <w:rsid w:val="00FD30E4"/>
    <w:rsid w:val="00FD30F3"/>
    <w:rsid w:val="00FD32DF"/>
    <w:rsid w:val="00FD33F6"/>
    <w:rsid w:val="00FD34AE"/>
    <w:rsid w:val="00FD34CC"/>
    <w:rsid w:val="00FD34D2"/>
    <w:rsid w:val="00FD35B2"/>
    <w:rsid w:val="00FD3633"/>
    <w:rsid w:val="00FD3647"/>
    <w:rsid w:val="00FD3720"/>
    <w:rsid w:val="00FD3C09"/>
    <w:rsid w:val="00FD3C45"/>
    <w:rsid w:val="00FD3C5E"/>
    <w:rsid w:val="00FD3CC2"/>
    <w:rsid w:val="00FD3D12"/>
    <w:rsid w:val="00FD3EDB"/>
    <w:rsid w:val="00FD3EF6"/>
    <w:rsid w:val="00FD40DE"/>
    <w:rsid w:val="00FD4194"/>
    <w:rsid w:val="00FD42C5"/>
    <w:rsid w:val="00FD438D"/>
    <w:rsid w:val="00FD462E"/>
    <w:rsid w:val="00FD4692"/>
    <w:rsid w:val="00FD46BB"/>
    <w:rsid w:val="00FD47B9"/>
    <w:rsid w:val="00FD4A4B"/>
    <w:rsid w:val="00FD4B29"/>
    <w:rsid w:val="00FD4B57"/>
    <w:rsid w:val="00FD4B79"/>
    <w:rsid w:val="00FD4C1A"/>
    <w:rsid w:val="00FD4F11"/>
    <w:rsid w:val="00FD4F1F"/>
    <w:rsid w:val="00FD4F8C"/>
    <w:rsid w:val="00FD5105"/>
    <w:rsid w:val="00FD52DE"/>
    <w:rsid w:val="00FD5575"/>
    <w:rsid w:val="00FD55BB"/>
    <w:rsid w:val="00FD56F7"/>
    <w:rsid w:val="00FD5A29"/>
    <w:rsid w:val="00FD5BB2"/>
    <w:rsid w:val="00FD5BB4"/>
    <w:rsid w:val="00FD5C20"/>
    <w:rsid w:val="00FD5C3E"/>
    <w:rsid w:val="00FD5D21"/>
    <w:rsid w:val="00FD5D54"/>
    <w:rsid w:val="00FD5DF6"/>
    <w:rsid w:val="00FD5DF7"/>
    <w:rsid w:val="00FD6195"/>
    <w:rsid w:val="00FD628F"/>
    <w:rsid w:val="00FD63DE"/>
    <w:rsid w:val="00FD63EB"/>
    <w:rsid w:val="00FD63F7"/>
    <w:rsid w:val="00FD648E"/>
    <w:rsid w:val="00FD64F3"/>
    <w:rsid w:val="00FD65BE"/>
    <w:rsid w:val="00FD67A3"/>
    <w:rsid w:val="00FD67FC"/>
    <w:rsid w:val="00FD69BD"/>
    <w:rsid w:val="00FD69D0"/>
    <w:rsid w:val="00FD6A93"/>
    <w:rsid w:val="00FD6BD5"/>
    <w:rsid w:val="00FD6C55"/>
    <w:rsid w:val="00FD6F0C"/>
    <w:rsid w:val="00FD6F62"/>
    <w:rsid w:val="00FD6FA1"/>
    <w:rsid w:val="00FD6FBA"/>
    <w:rsid w:val="00FD7034"/>
    <w:rsid w:val="00FD719D"/>
    <w:rsid w:val="00FD732E"/>
    <w:rsid w:val="00FD7345"/>
    <w:rsid w:val="00FD736E"/>
    <w:rsid w:val="00FD73E9"/>
    <w:rsid w:val="00FD74F3"/>
    <w:rsid w:val="00FD759D"/>
    <w:rsid w:val="00FD793A"/>
    <w:rsid w:val="00FD7B9D"/>
    <w:rsid w:val="00FD7DFC"/>
    <w:rsid w:val="00FD7F3F"/>
    <w:rsid w:val="00FD7FE0"/>
    <w:rsid w:val="00FE024C"/>
    <w:rsid w:val="00FE04D8"/>
    <w:rsid w:val="00FE0631"/>
    <w:rsid w:val="00FE08D3"/>
    <w:rsid w:val="00FE0937"/>
    <w:rsid w:val="00FE09B2"/>
    <w:rsid w:val="00FE09E9"/>
    <w:rsid w:val="00FE0BA9"/>
    <w:rsid w:val="00FE0CA5"/>
    <w:rsid w:val="00FE0CB2"/>
    <w:rsid w:val="00FE0CF4"/>
    <w:rsid w:val="00FE0DAB"/>
    <w:rsid w:val="00FE0EAA"/>
    <w:rsid w:val="00FE10C5"/>
    <w:rsid w:val="00FE132C"/>
    <w:rsid w:val="00FE136E"/>
    <w:rsid w:val="00FE13F8"/>
    <w:rsid w:val="00FE160C"/>
    <w:rsid w:val="00FE169D"/>
    <w:rsid w:val="00FE199D"/>
    <w:rsid w:val="00FE1AAF"/>
    <w:rsid w:val="00FE1D12"/>
    <w:rsid w:val="00FE1EDE"/>
    <w:rsid w:val="00FE227C"/>
    <w:rsid w:val="00FE25BC"/>
    <w:rsid w:val="00FE286F"/>
    <w:rsid w:val="00FE29E7"/>
    <w:rsid w:val="00FE2A1D"/>
    <w:rsid w:val="00FE2A9F"/>
    <w:rsid w:val="00FE2BD6"/>
    <w:rsid w:val="00FE2C3C"/>
    <w:rsid w:val="00FE2C53"/>
    <w:rsid w:val="00FE2C8E"/>
    <w:rsid w:val="00FE2CEF"/>
    <w:rsid w:val="00FE3060"/>
    <w:rsid w:val="00FE3143"/>
    <w:rsid w:val="00FE31CA"/>
    <w:rsid w:val="00FE3230"/>
    <w:rsid w:val="00FE32AB"/>
    <w:rsid w:val="00FE3686"/>
    <w:rsid w:val="00FE36D1"/>
    <w:rsid w:val="00FE3754"/>
    <w:rsid w:val="00FE3C56"/>
    <w:rsid w:val="00FE3E43"/>
    <w:rsid w:val="00FE3FEC"/>
    <w:rsid w:val="00FE400B"/>
    <w:rsid w:val="00FE4064"/>
    <w:rsid w:val="00FE40B5"/>
    <w:rsid w:val="00FE41EE"/>
    <w:rsid w:val="00FE425F"/>
    <w:rsid w:val="00FE433A"/>
    <w:rsid w:val="00FE4682"/>
    <w:rsid w:val="00FE4788"/>
    <w:rsid w:val="00FE4915"/>
    <w:rsid w:val="00FE493A"/>
    <w:rsid w:val="00FE4BA8"/>
    <w:rsid w:val="00FE4BB2"/>
    <w:rsid w:val="00FE4C2B"/>
    <w:rsid w:val="00FE4CAB"/>
    <w:rsid w:val="00FE50FB"/>
    <w:rsid w:val="00FE5142"/>
    <w:rsid w:val="00FE5450"/>
    <w:rsid w:val="00FE55F5"/>
    <w:rsid w:val="00FE5622"/>
    <w:rsid w:val="00FE57E3"/>
    <w:rsid w:val="00FE59BE"/>
    <w:rsid w:val="00FE5ADC"/>
    <w:rsid w:val="00FE5B04"/>
    <w:rsid w:val="00FE5B3D"/>
    <w:rsid w:val="00FE5EBC"/>
    <w:rsid w:val="00FE604D"/>
    <w:rsid w:val="00FE609F"/>
    <w:rsid w:val="00FE64D6"/>
    <w:rsid w:val="00FE664C"/>
    <w:rsid w:val="00FE6A5B"/>
    <w:rsid w:val="00FE6AF1"/>
    <w:rsid w:val="00FE6E49"/>
    <w:rsid w:val="00FE7155"/>
    <w:rsid w:val="00FE7203"/>
    <w:rsid w:val="00FE73A9"/>
    <w:rsid w:val="00FE750E"/>
    <w:rsid w:val="00FE767B"/>
    <w:rsid w:val="00FE76CB"/>
    <w:rsid w:val="00FE77A3"/>
    <w:rsid w:val="00FE77B8"/>
    <w:rsid w:val="00FE781D"/>
    <w:rsid w:val="00FE785B"/>
    <w:rsid w:val="00FE7863"/>
    <w:rsid w:val="00FE79ED"/>
    <w:rsid w:val="00FE7A4F"/>
    <w:rsid w:val="00FF00B8"/>
    <w:rsid w:val="00FF01B0"/>
    <w:rsid w:val="00FF03D2"/>
    <w:rsid w:val="00FF052C"/>
    <w:rsid w:val="00FF07DA"/>
    <w:rsid w:val="00FF0919"/>
    <w:rsid w:val="00FF09EB"/>
    <w:rsid w:val="00FF0A22"/>
    <w:rsid w:val="00FF0A52"/>
    <w:rsid w:val="00FF0C60"/>
    <w:rsid w:val="00FF0FC1"/>
    <w:rsid w:val="00FF1733"/>
    <w:rsid w:val="00FF1A17"/>
    <w:rsid w:val="00FF1A7B"/>
    <w:rsid w:val="00FF1BE2"/>
    <w:rsid w:val="00FF1D2D"/>
    <w:rsid w:val="00FF1DBF"/>
    <w:rsid w:val="00FF1E1A"/>
    <w:rsid w:val="00FF1F5D"/>
    <w:rsid w:val="00FF1FAC"/>
    <w:rsid w:val="00FF2057"/>
    <w:rsid w:val="00FF2074"/>
    <w:rsid w:val="00FF20D4"/>
    <w:rsid w:val="00FF23F7"/>
    <w:rsid w:val="00FF24A9"/>
    <w:rsid w:val="00FF264A"/>
    <w:rsid w:val="00FF29CD"/>
    <w:rsid w:val="00FF2AFE"/>
    <w:rsid w:val="00FF2B18"/>
    <w:rsid w:val="00FF32EC"/>
    <w:rsid w:val="00FF3322"/>
    <w:rsid w:val="00FF336C"/>
    <w:rsid w:val="00FF33D7"/>
    <w:rsid w:val="00FF33E2"/>
    <w:rsid w:val="00FF33EA"/>
    <w:rsid w:val="00FF354C"/>
    <w:rsid w:val="00FF3652"/>
    <w:rsid w:val="00FF36FC"/>
    <w:rsid w:val="00FF37FD"/>
    <w:rsid w:val="00FF386E"/>
    <w:rsid w:val="00FF3AE7"/>
    <w:rsid w:val="00FF3AFD"/>
    <w:rsid w:val="00FF3BDF"/>
    <w:rsid w:val="00FF3BF6"/>
    <w:rsid w:val="00FF3C42"/>
    <w:rsid w:val="00FF3D92"/>
    <w:rsid w:val="00FF3EDD"/>
    <w:rsid w:val="00FF4038"/>
    <w:rsid w:val="00FF40AE"/>
    <w:rsid w:val="00FF42BF"/>
    <w:rsid w:val="00FF431E"/>
    <w:rsid w:val="00FF439A"/>
    <w:rsid w:val="00FF45C4"/>
    <w:rsid w:val="00FF4A90"/>
    <w:rsid w:val="00FF4D35"/>
    <w:rsid w:val="00FF4EC6"/>
    <w:rsid w:val="00FF4F02"/>
    <w:rsid w:val="00FF50BB"/>
    <w:rsid w:val="00FF518F"/>
    <w:rsid w:val="00FF5206"/>
    <w:rsid w:val="00FF5254"/>
    <w:rsid w:val="00FF52C3"/>
    <w:rsid w:val="00FF52EA"/>
    <w:rsid w:val="00FF545B"/>
    <w:rsid w:val="00FF54C6"/>
    <w:rsid w:val="00FF56CD"/>
    <w:rsid w:val="00FF5730"/>
    <w:rsid w:val="00FF57A6"/>
    <w:rsid w:val="00FF5870"/>
    <w:rsid w:val="00FF5985"/>
    <w:rsid w:val="00FF5A7D"/>
    <w:rsid w:val="00FF5AE9"/>
    <w:rsid w:val="00FF5CC4"/>
    <w:rsid w:val="00FF5CE1"/>
    <w:rsid w:val="00FF5D49"/>
    <w:rsid w:val="00FF60A6"/>
    <w:rsid w:val="00FF60DD"/>
    <w:rsid w:val="00FF6211"/>
    <w:rsid w:val="00FF626D"/>
    <w:rsid w:val="00FF643A"/>
    <w:rsid w:val="00FF6468"/>
    <w:rsid w:val="00FF66B5"/>
    <w:rsid w:val="00FF6851"/>
    <w:rsid w:val="00FF68D2"/>
    <w:rsid w:val="00FF68E2"/>
    <w:rsid w:val="00FF6965"/>
    <w:rsid w:val="00FF6978"/>
    <w:rsid w:val="00FF6A4D"/>
    <w:rsid w:val="00FF6B05"/>
    <w:rsid w:val="00FF6B3C"/>
    <w:rsid w:val="00FF6BE9"/>
    <w:rsid w:val="00FF6E20"/>
    <w:rsid w:val="00FF7054"/>
    <w:rsid w:val="00FF71C8"/>
    <w:rsid w:val="00FF7515"/>
    <w:rsid w:val="00FF751A"/>
    <w:rsid w:val="00FF7698"/>
    <w:rsid w:val="00FF76FB"/>
    <w:rsid w:val="00FF77E3"/>
    <w:rsid w:val="00FF795C"/>
    <w:rsid w:val="00FF7AC9"/>
    <w:rsid w:val="00FF7CC5"/>
    <w:rsid w:val="00FF7D23"/>
    <w:rsid w:val="00FF7D5B"/>
    <w:rsid w:val="00FF7D73"/>
    <w:rsid w:val="00FF7F58"/>
    <w:rsid w:val="095F003E"/>
    <w:rsid w:val="0EA60294"/>
    <w:rsid w:val="14DB5FD1"/>
    <w:rsid w:val="1A21126E"/>
    <w:rsid w:val="231D37DE"/>
    <w:rsid w:val="2EBF3297"/>
    <w:rsid w:val="35F25941"/>
    <w:rsid w:val="3849754F"/>
    <w:rsid w:val="441C7B21"/>
    <w:rsid w:val="4EBB2A4E"/>
    <w:rsid w:val="50975C60"/>
    <w:rsid w:val="5ED516A0"/>
    <w:rsid w:val="62DE624F"/>
    <w:rsid w:val="6638480C"/>
    <w:rsid w:val="6E1B603E"/>
    <w:rsid w:val="6F5B7603"/>
    <w:rsid w:val="70DB402A"/>
    <w:rsid w:val="7A727DB2"/>
    <w:rsid w:val="7C860A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iPriority="0" w:semiHidden="0" w:name="endnote reference"/>
    <w:lsdException w:qFormat="1"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99" w:semiHidden="0" w:name="Body Text First Indent 2"/>
    <w:lsdException w:qFormat="1" w:unhideWhenUsed="0" w:uiPriority="0" w:semiHidden="0"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semiHidden="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semiHidden="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99" w:semiHidden="0" w:name="Balloon Text"/>
    <w:lsdException w:qFormat="1" w:unhideWhenUsed="0" w:uiPriority="3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28"/>
      <w:lang w:val="en-US" w:eastAsia="zh-CN" w:bidi="ar-SA"/>
    </w:rPr>
  </w:style>
  <w:style w:type="paragraph" w:styleId="3">
    <w:name w:val="heading 1"/>
    <w:basedOn w:val="1"/>
    <w:next w:val="1"/>
    <w:link w:val="398"/>
    <w:qFormat/>
    <w:uiPriority w:val="9"/>
    <w:pPr>
      <w:keepNext/>
      <w:keepLines/>
      <w:pageBreakBefore/>
      <w:tabs>
        <w:tab w:val="left" w:pos="1080"/>
      </w:tabs>
      <w:spacing w:before="360" w:after="240" w:line="576" w:lineRule="auto"/>
      <w:ind w:left="425" w:hanging="425"/>
      <w:jc w:val="center"/>
      <w:outlineLvl w:val="0"/>
    </w:pPr>
    <w:rPr>
      <w:rFonts w:eastAsia="宋体"/>
      <w:b/>
      <w:kern w:val="44"/>
      <w:sz w:val="36"/>
    </w:rPr>
  </w:style>
  <w:style w:type="paragraph" w:styleId="4">
    <w:name w:val="heading 2"/>
    <w:basedOn w:val="1"/>
    <w:next w:val="5"/>
    <w:link w:val="151"/>
    <w:qFormat/>
    <w:uiPriority w:val="9"/>
    <w:pPr>
      <w:keepNext/>
      <w:keepLines/>
      <w:tabs>
        <w:tab w:val="left" w:pos="567"/>
      </w:tabs>
      <w:spacing w:before="120" w:after="60"/>
      <w:ind w:left="567" w:hanging="567"/>
      <w:outlineLvl w:val="1"/>
    </w:pPr>
    <w:rPr>
      <w:rFonts w:ascii="黑体" w:hAnsi="Arial" w:eastAsia="黑体"/>
    </w:rPr>
  </w:style>
  <w:style w:type="paragraph" w:styleId="6">
    <w:name w:val="heading 3"/>
    <w:basedOn w:val="1"/>
    <w:next w:val="5"/>
    <w:link w:val="152"/>
    <w:qFormat/>
    <w:uiPriority w:val="9"/>
    <w:pPr>
      <w:keepNext/>
      <w:keepLines/>
      <w:tabs>
        <w:tab w:val="left" w:pos="1789"/>
      </w:tabs>
      <w:spacing w:before="120" w:after="120"/>
      <w:ind w:left="1418" w:hanging="709"/>
      <w:outlineLvl w:val="2"/>
    </w:pPr>
    <w:rPr>
      <w:rFonts w:ascii="仿宋_GB2312"/>
      <w:b/>
      <w:bCs/>
      <w:sz w:val="24"/>
    </w:rPr>
  </w:style>
  <w:style w:type="paragraph" w:styleId="7">
    <w:name w:val="heading 4"/>
    <w:basedOn w:val="1"/>
    <w:next w:val="5"/>
    <w:link w:val="388"/>
    <w:qFormat/>
    <w:uiPriority w:val="9"/>
    <w:pPr>
      <w:keepNext/>
      <w:keepLines/>
      <w:tabs>
        <w:tab w:val="left" w:pos="4008"/>
      </w:tabs>
      <w:spacing w:line="500" w:lineRule="exact"/>
      <w:ind w:left="4008" w:hanging="563"/>
      <w:jc w:val="center"/>
      <w:outlineLvl w:val="3"/>
    </w:pPr>
    <w:rPr>
      <w:rFonts w:ascii="Arial" w:hAnsi="Arial"/>
      <w:b/>
      <w:color w:val="000000"/>
      <w:sz w:val="24"/>
    </w:rPr>
  </w:style>
  <w:style w:type="paragraph" w:styleId="8">
    <w:name w:val="heading 5"/>
    <w:basedOn w:val="1"/>
    <w:next w:val="1"/>
    <w:link w:val="516"/>
    <w:qFormat/>
    <w:uiPriority w:val="9"/>
    <w:pPr>
      <w:keepNext/>
      <w:keepLines/>
      <w:tabs>
        <w:tab w:val="left" w:pos="1008"/>
      </w:tabs>
      <w:spacing w:before="120" w:after="120" w:line="120" w:lineRule="atLeast"/>
      <w:ind w:left="1008" w:hanging="1008"/>
      <w:outlineLvl w:val="4"/>
    </w:pPr>
    <w:rPr>
      <w:b/>
      <w:bCs/>
      <w:sz w:val="21"/>
      <w:szCs w:val="28"/>
    </w:rPr>
  </w:style>
  <w:style w:type="paragraph" w:styleId="9">
    <w:name w:val="heading 6"/>
    <w:basedOn w:val="1"/>
    <w:next w:val="1"/>
    <w:link w:val="396"/>
    <w:qFormat/>
    <w:uiPriority w:val="9"/>
    <w:pPr>
      <w:keepNext/>
      <w:keepLines/>
      <w:tabs>
        <w:tab w:val="left" w:pos="1152"/>
      </w:tabs>
      <w:spacing w:before="240" w:after="64" w:line="317" w:lineRule="auto"/>
      <w:ind w:left="1152" w:hanging="1152"/>
      <w:outlineLvl w:val="5"/>
    </w:pPr>
    <w:rPr>
      <w:rFonts w:ascii="Arial" w:hAnsi="Arial" w:eastAsia="黑体"/>
      <w:b/>
      <w:bCs/>
      <w:sz w:val="24"/>
      <w:szCs w:val="24"/>
    </w:rPr>
  </w:style>
  <w:style w:type="paragraph" w:styleId="10">
    <w:name w:val="heading 7"/>
    <w:basedOn w:val="1"/>
    <w:next w:val="1"/>
    <w:link w:val="462"/>
    <w:qFormat/>
    <w:uiPriority w:val="9"/>
    <w:pPr>
      <w:keepNext/>
      <w:keepLines/>
      <w:tabs>
        <w:tab w:val="left" w:pos="1296"/>
      </w:tabs>
      <w:spacing w:before="240" w:after="64" w:line="317" w:lineRule="auto"/>
      <w:ind w:left="1296" w:hanging="1296"/>
      <w:outlineLvl w:val="6"/>
    </w:pPr>
    <w:rPr>
      <w:rFonts w:eastAsia="宋体"/>
      <w:b/>
      <w:bCs/>
      <w:sz w:val="24"/>
      <w:szCs w:val="24"/>
    </w:rPr>
  </w:style>
  <w:style w:type="paragraph" w:styleId="11">
    <w:name w:val="heading 8"/>
    <w:basedOn w:val="1"/>
    <w:next w:val="1"/>
    <w:link w:val="289"/>
    <w:qFormat/>
    <w:uiPriority w:val="9"/>
    <w:pPr>
      <w:keepNext/>
      <w:keepLines/>
      <w:tabs>
        <w:tab w:val="left" w:pos="1440"/>
      </w:tabs>
      <w:spacing w:before="240" w:after="64" w:line="317" w:lineRule="auto"/>
      <w:ind w:left="1440" w:hanging="1440"/>
      <w:outlineLvl w:val="7"/>
    </w:pPr>
    <w:rPr>
      <w:rFonts w:ascii="Arial" w:hAnsi="Arial" w:eastAsia="黑体"/>
      <w:sz w:val="24"/>
      <w:szCs w:val="24"/>
    </w:rPr>
  </w:style>
  <w:style w:type="paragraph" w:styleId="12">
    <w:name w:val="heading 9"/>
    <w:basedOn w:val="1"/>
    <w:next w:val="1"/>
    <w:link w:val="517"/>
    <w:qFormat/>
    <w:uiPriority w:val="0"/>
    <w:pPr>
      <w:keepNext/>
      <w:keepLines/>
      <w:tabs>
        <w:tab w:val="left" w:pos="1584"/>
      </w:tabs>
      <w:spacing w:before="240" w:after="64" w:line="317" w:lineRule="auto"/>
      <w:ind w:left="1584" w:hanging="1584"/>
      <w:outlineLvl w:val="8"/>
    </w:pPr>
    <w:rPr>
      <w:rFonts w:ascii="Arial" w:hAnsi="Arial" w:eastAsia="黑体"/>
      <w:sz w:val="21"/>
      <w:szCs w:val="21"/>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Layout w:type="fixed"/>
      <w:tblCellMar>
        <w:top w:w="0" w:type="dxa"/>
        <w:left w:w="108" w:type="dxa"/>
        <w:bottom w:w="0" w:type="dxa"/>
        <w:right w:w="108" w:type="dxa"/>
      </w:tblCellMar>
    </w:tblPr>
  </w:style>
  <w:style w:type="paragraph" w:styleId="2">
    <w:name w:val="macro"/>
    <w:link w:val="260"/>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textAlignment w:val="baseline"/>
    </w:pPr>
    <w:rPr>
      <w:rFonts w:ascii="Times New Roman" w:hAnsi="Times New Roman" w:eastAsia="Times New Roman" w:cs="Times New Roman"/>
      <w:kern w:val="2"/>
      <w:sz w:val="18"/>
      <w:szCs w:val="18"/>
      <w:lang w:val="en-US" w:eastAsia="zh-CN" w:bidi="ar-SA"/>
    </w:rPr>
  </w:style>
  <w:style w:type="paragraph" w:styleId="5">
    <w:name w:val="Normal Indent"/>
    <w:basedOn w:val="1"/>
    <w:link w:val="355"/>
    <w:qFormat/>
    <w:uiPriority w:val="0"/>
    <w:pPr>
      <w:spacing w:line="264" w:lineRule="auto"/>
      <w:ind w:firstLine="476"/>
    </w:pPr>
    <w:rPr>
      <w:rFonts w:ascii="Arial" w:hAnsi="Arial" w:eastAsia="宋体" w:cs="Arial"/>
      <w:spacing w:val="10"/>
      <w:sz w:val="24"/>
    </w:rPr>
  </w:style>
  <w:style w:type="paragraph" w:styleId="13">
    <w:name w:val="List 3"/>
    <w:basedOn w:val="1"/>
    <w:qFormat/>
    <w:uiPriority w:val="0"/>
    <w:pPr>
      <w:snapToGrid w:val="0"/>
      <w:spacing w:line="360" w:lineRule="auto"/>
      <w:ind w:left="100" w:leftChars="400" w:hanging="200" w:hangingChars="200"/>
    </w:pPr>
    <w:rPr>
      <w:rFonts w:eastAsia="宋体"/>
      <w:kern w:val="0"/>
      <w:sz w:val="24"/>
      <w:szCs w:val="28"/>
    </w:rPr>
  </w:style>
  <w:style w:type="paragraph" w:styleId="14">
    <w:name w:val="toc 7"/>
    <w:basedOn w:val="1"/>
    <w:next w:val="1"/>
    <w:qFormat/>
    <w:uiPriority w:val="39"/>
    <w:pPr>
      <w:ind w:left="1680"/>
      <w:jc w:val="left"/>
    </w:pPr>
    <w:rPr>
      <w:szCs w:val="21"/>
    </w:rPr>
  </w:style>
  <w:style w:type="paragraph" w:styleId="15">
    <w:name w:val="List Number 2"/>
    <w:basedOn w:val="1"/>
    <w:qFormat/>
    <w:uiPriority w:val="0"/>
    <w:pPr>
      <w:tabs>
        <w:tab w:val="left" w:pos="360"/>
      </w:tabs>
      <w:snapToGrid w:val="0"/>
      <w:spacing w:line="360" w:lineRule="auto"/>
    </w:pPr>
    <w:rPr>
      <w:rFonts w:eastAsia="宋体"/>
      <w:kern w:val="0"/>
      <w:sz w:val="24"/>
      <w:szCs w:val="28"/>
    </w:rPr>
  </w:style>
  <w:style w:type="paragraph" w:styleId="16">
    <w:name w:val="table of authorities"/>
    <w:basedOn w:val="1"/>
    <w:next w:val="1"/>
    <w:qFormat/>
    <w:uiPriority w:val="0"/>
    <w:pPr>
      <w:snapToGrid w:val="0"/>
      <w:ind w:left="420" w:leftChars="200"/>
    </w:pPr>
    <w:rPr>
      <w:rFonts w:eastAsia="宋体"/>
      <w:sz w:val="24"/>
      <w:szCs w:val="24"/>
    </w:rPr>
  </w:style>
  <w:style w:type="paragraph" w:styleId="17">
    <w:name w:val="Note Heading"/>
    <w:basedOn w:val="1"/>
    <w:next w:val="1"/>
    <w:link w:val="247"/>
    <w:qFormat/>
    <w:uiPriority w:val="0"/>
    <w:pPr>
      <w:jc w:val="center"/>
    </w:pPr>
    <w:rPr>
      <w:rFonts w:eastAsia="宋体"/>
      <w:sz w:val="21"/>
      <w:szCs w:val="24"/>
    </w:rPr>
  </w:style>
  <w:style w:type="paragraph" w:styleId="18">
    <w:name w:val="List Bullet 4"/>
    <w:basedOn w:val="1"/>
    <w:qFormat/>
    <w:uiPriority w:val="0"/>
    <w:pPr>
      <w:tabs>
        <w:tab w:val="left" w:pos="360"/>
      </w:tabs>
      <w:snapToGrid w:val="0"/>
      <w:spacing w:line="360" w:lineRule="auto"/>
    </w:pPr>
    <w:rPr>
      <w:rFonts w:eastAsia="宋体"/>
      <w:kern w:val="0"/>
      <w:sz w:val="24"/>
      <w:szCs w:val="28"/>
    </w:rPr>
  </w:style>
  <w:style w:type="paragraph" w:styleId="19">
    <w:name w:val="index 8"/>
    <w:basedOn w:val="1"/>
    <w:next w:val="1"/>
    <w:qFormat/>
    <w:uiPriority w:val="0"/>
    <w:pPr>
      <w:snapToGrid w:val="0"/>
      <w:ind w:left="2240" w:hanging="280"/>
      <w:jc w:val="left"/>
    </w:pPr>
    <w:rPr>
      <w:rFonts w:eastAsia="宋体"/>
      <w:sz w:val="24"/>
      <w:szCs w:val="24"/>
    </w:rPr>
  </w:style>
  <w:style w:type="paragraph" w:styleId="20">
    <w:name w:val="E-mail Signature"/>
    <w:basedOn w:val="1"/>
    <w:link w:val="647"/>
    <w:qFormat/>
    <w:uiPriority w:val="0"/>
    <w:pPr>
      <w:snapToGrid w:val="0"/>
      <w:spacing w:line="360" w:lineRule="auto"/>
      <w:ind w:firstLine="200" w:firstLineChars="200"/>
    </w:pPr>
    <w:rPr>
      <w:rFonts w:eastAsia="宋体"/>
      <w:kern w:val="0"/>
      <w:sz w:val="24"/>
      <w:szCs w:val="28"/>
    </w:rPr>
  </w:style>
  <w:style w:type="paragraph" w:styleId="21">
    <w:name w:val="List Number"/>
    <w:basedOn w:val="1"/>
    <w:qFormat/>
    <w:uiPriority w:val="0"/>
    <w:pPr>
      <w:tabs>
        <w:tab w:val="left" w:pos="360"/>
      </w:tabs>
      <w:ind w:left="360" w:hanging="360" w:hangingChars="200"/>
    </w:pPr>
    <w:rPr>
      <w:rFonts w:eastAsia="宋体"/>
      <w:sz w:val="21"/>
      <w:szCs w:val="24"/>
    </w:rPr>
  </w:style>
  <w:style w:type="paragraph" w:styleId="22">
    <w:name w:val="caption"/>
    <w:basedOn w:val="1"/>
    <w:next w:val="1"/>
    <w:link w:val="454"/>
    <w:qFormat/>
    <w:uiPriority w:val="35"/>
    <w:pPr>
      <w:spacing w:before="152" w:after="160"/>
    </w:pPr>
    <w:rPr>
      <w:rFonts w:ascii="Arial" w:hAnsi="Arial" w:eastAsia="黑体"/>
      <w:sz w:val="20"/>
    </w:rPr>
  </w:style>
  <w:style w:type="paragraph" w:styleId="23">
    <w:name w:val="index 5"/>
    <w:basedOn w:val="1"/>
    <w:next w:val="1"/>
    <w:qFormat/>
    <w:uiPriority w:val="0"/>
    <w:pPr>
      <w:snapToGrid w:val="0"/>
      <w:ind w:left="1400" w:hanging="280"/>
      <w:jc w:val="left"/>
    </w:pPr>
    <w:rPr>
      <w:rFonts w:eastAsia="宋体"/>
      <w:sz w:val="24"/>
      <w:szCs w:val="24"/>
    </w:rPr>
  </w:style>
  <w:style w:type="paragraph" w:styleId="24">
    <w:name w:val="List Bullet"/>
    <w:basedOn w:val="1"/>
    <w:qFormat/>
    <w:uiPriority w:val="0"/>
    <w:pPr>
      <w:tabs>
        <w:tab w:val="left" w:pos="648"/>
      </w:tabs>
      <w:ind w:left="648" w:hanging="420"/>
    </w:pPr>
  </w:style>
  <w:style w:type="paragraph" w:styleId="25">
    <w:name w:val="envelope address"/>
    <w:basedOn w:val="1"/>
    <w:qFormat/>
    <w:uiPriority w:val="0"/>
    <w:pPr>
      <w:framePr w:w="7920" w:h="1980" w:hRule="exact" w:hSpace="180" w:wrap="around" w:vAnchor="margin" w:hAnchor="page" w:xAlign="center" w:yAlign="bottom"/>
      <w:snapToGrid w:val="0"/>
      <w:spacing w:line="360" w:lineRule="auto"/>
      <w:ind w:left="100" w:leftChars="1400" w:firstLine="200" w:firstLineChars="200"/>
    </w:pPr>
    <w:rPr>
      <w:rFonts w:ascii="Arial" w:hAnsi="Arial" w:eastAsia="宋体" w:cs="Arial"/>
      <w:kern w:val="0"/>
      <w:sz w:val="24"/>
      <w:szCs w:val="24"/>
    </w:rPr>
  </w:style>
  <w:style w:type="paragraph" w:styleId="26">
    <w:name w:val="Document Map"/>
    <w:basedOn w:val="1"/>
    <w:link w:val="500"/>
    <w:qFormat/>
    <w:uiPriority w:val="0"/>
    <w:pPr>
      <w:shd w:val="clear" w:color="auto" w:fill="000080"/>
    </w:pPr>
  </w:style>
  <w:style w:type="paragraph" w:styleId="27">
    <w:name w:val="toa heading"/>
    <w:basedOn w:val="1"/>
    <w:next w:val="1"/>
    <w:qFormat/>
    <w:uiPriority w:val="0"/>
    <w:pPr>
      <w:spacing w:before="120" w:line="520" w:lineRule="exact"/>
      <w:ind w:firstLine="200" w:firstLineChars="200"/>
    </w:pPr>
    <w:rPr>
      <w:rFonts w:ascii="Arial" w:hAnsi="Arial" w:eastAsia="宋体"/>
      <w:b/>
      <w:sz w:val="24"/>
    </w:rPr>
  </w:style>
  <w:style w:type="paragraph" w:styleId="28">
    <w:name w:val="annotation text"/>
    <w:basedOn w:val="1"/>
    <w:link w:val="228"/>
    <w:qFormat/>
    <w:uiPriority w:val="99"/>
    <w:pPr>
      <w:jc w:val="left"/>
    </w:pPr>
  </w:style>
  <w:style w:type="paragraph" w:styleId="29">
    <w:name w:val="index 6"/>
    <w:basedOn w:val="1"/>
    <w:next w:val="1"/>
    <w:qFormat/>
    <w:uiPriority w:val="0"/>
    <w:pPr>
      <w:snapToGrid w:val="0"/>
      <w:ind w:left="1680" w:hanging="280"/>
      <w:jc w:val="left"/>
    </w:pPr>
    <w:rPr>
      <w:rFonts w:eastAsia="宋体"/>
      <w:sz w:val="24"/>
      <w:szCs w:val="24"/>
    </w:rPr>
  </w:style>
  <w:style w:type="paragraph" w:styleId="30">
    <w:name w:val="Salutation"/>
    <w:basedOn w:val="1"/>
    <w:next w:val="1"/>
    <w:link w:val="420"/>
    <w:qFormat/>
    <w:uiPriority w:val="0"/>
    <w:pPr>
      <w:adjustRightInd w:val="0"/>
      <w:snapToGrid w:val="0"/>
      <w:ind w:firstLine="200" w:firstLineChars="200"/>
      <w:jc w:val="left"/>
    </w:pPr>
    <w:rPr>
      <w:rFonts w:ascii="宋体" w:hAnsi="Cambria" w:eastAsia="宋体"/>
      <w:b/>
      <w:bCs/>
      <w:kern w:val="0"/>
      <w:sz w:val="32"/>
      <w:szCs w:val="32"/>
      <w:lang w:bidi="en-US"/>
    </w:rPr>
  </w:style>
  <w:style w:type="paragraph" w:styleId="31">
    <w:name w:val="Body Text 3"/>
    <w:basedOn w:val="1"/>
    <w:link w:val="1865"/>
    <w:qFormat/>
    <w:uiPriority w:val="0"/>
    <w:pPr>
      <w:spacing w:after="120"/>
    </w:pPr>
    <w:rPr>
      <w:rFonts w:eastAsia="宋体"/>
      <w:sz w:val="16"/>
      <w:szCs w:val="16"/>
    </w:rPr>
  </w:style>
  <w:style w:type="paragraph" w:styleId="32">
    <w:name w:val="Closing"/>
    <w:basedOn w:val="1"/>
    <w:link w:val="2285"/>
    <w:qFormat/>
    <w:uiPriority w:val="0"/>
    <w:pPr>
      <w:ind w:left="100" w:leftChars="2100"/>
    </w:pPr>
    <w:rPr>
      <w:rFonts w:ascii="华文楷体" w:hAnsi="华文楷体" w:eastAsia="楷体_GB2312"/>
      <w:bCs/>
      <w:szCs w:val="24"/>
    </w:rPr>
  </w:style>
  <w:style w:type="paragraph" w:styleId="33">
    <w:name w:val="List Bullet 3"/>
    <w:basedOn w:val="1"/>
    <w:qFormat/>
    <w:uiPriority w:val="0"/>
    <w:pPr>
      <w:tabs>
        <w:tab w:val="left" w:pos="1200"/>
      </w:tabs>
      <w:ind w:left="1200" w:hanging="360"/>
    </w:pPr>
    <w:rPr>
      <w:rFonts w:ascii="宋体" w:eastAsia="宋体"/>
      <w:szCs w:val="28"/>
    </w:rPr>
  </w:style>
  <w:style w:type="paragraph" w:styleId="34">
    <w:name w:val="Body Text"/>
    <w:basedOn w:val="1"/>
    <w:link w:val="457"/>
    <w:qFormat/>
    <w:uiPriority w:val="99"/>
    <w:pPr>
      <w:spacing w:after="120"/>
    </w:pPr>
  </w:style>
  <w:style w:type="paragraph" w:styleId="35">
    <w:name w:val="Body Text Indent"/>
    <w:basedOn w:val="1"/>
    <w:link w:val="325"/>
    <w:qFormat/>
    <w:uiPriority w:val="99"/>
    <w:pPr>
      <w:ind w:firstLine="324"/>
    </w:pPr>
    <w:rPr>
      <w:rFonts w:eastAsia="宋体"/>
      <w:sz w:val="21"/>
    </w:rPr>
  </w:style>
  <w:style w:type="paragraph" w:styleId="36">
    <w:name w:val="List Number 3"/>
    <w:basedOn w:val="1"/>
    <w:qFormat/>
    <w:uiPriority w:val="0"/>
    <w:pPr>
      <w:tabs>
        <w:tab w:val="left" w:pos="2040"/>
      </w:tabs>
      <w:spacing w:line="500" w:lineRule="exact"/>
      <w:ind w:left="2040" w:hanging="360"/>
    </w:pPr>
    <w:rPr>
      <w:rFonts w:eastAsia="宋体"/>
      <w:szCs w:val="24"/>
    </w:rPr>
  </w:style>
  <w:style w:type="paragraph" w:styleId="37">
    <w:name w:val="List 2"/>
    <w:basedOn w:val="1"/>
    <w:qFormat/>
    <w:uiPriority w:val="0"/>
    <w:pPr>
      <w:snapToGrid w:val="0"/>
      <w:spacing w:line="360" w:lineRule="auto"/>
      <w:ind w:left="100" w:leftChars="200" w:hanging="200" w:hangingChars="200"/>
    </w:pPr>
    <w:rPr>
      <w:rFonts w:eastAsia="宋体"/>
      <w:kern w:val="0"/>
      <w:sz w:val="24"/>
      <w:szCs w:val="28"/>
    </w:rPr>
  </w:style>
  <w:style w:type="paragraph" w:styleId="38">
    <w:name w:val="List Continue"/>
    <w:basedOn w:val="1"/>
    <w:qFormat/>
    <w:uiPriority w:val="0"/>
    <w:pPr>
      <w:snapToGrid w:val="0"/>
      <w:spacing w:after="120" w:line="360" w:lineRule="auto"/>
      <w:ind w:left="420" w:leftChars="200" w:firstLine="200" w:firstLineChars="200"/>
    </w:pPr>
    <w:rPr>
      <w:rFonts w:eastAsia="宋体"/>
      <w:kern w:val="0"/>
      <w:sz w:val="24"/>
      <w:szCs w:val="28"/>
    </w:rPr>
  </w:style>
  <w:style w:type="paragraph" w:styleId="39">
    <w:name w:val="Block Text"/>
    <w:basedOn w:val="1"/>
    <w:qFormat/>
    <w:uiPriority w:val="0"/>
    <w:pPr>
      <w:tabs>
        <w:tab w:val="left" w:pos="3360"/>
      </w:tabs>
      <w:spacing w:line="360" w:lineRule="auto"/>
      <w:ind w:left="7" w:right="11" w:firstLine="630"/>
    </w:pPr>
    <w:rPr>
      <w:rFonts w:eastAsia="宋体"/>
      <w:sz w:val="24"/>
      <w:szCs w:val="24"/>
    </w:rPr>
  </w:style>
  <w:style w:type="paragraph" w:styleId="40">
    <w:name w:val="List Bullet 2"/>
    <w:basedOn w:val="1"/>
    <w:next w:val="41"/>
    <w:qFormat/>
    <w:uiPriority w:val="0"/>
    <w:pPr>
      <w:adjustRightInd w:val="0"/>
      <w:spacing w:line="400" w:lineRule="exact"/>
      <w:textAlignment w:val="baseline"/>
    </w:pPr>
    <w:rPr>
      <w:rFonts w:eastAsia="宋体"/>
      <w:color w:val="000000"/>
      <w:spacing w:val="-20"/>
      <w:kern w:val="0"/>
      <w:sz w:val="24"/>
    </w:rPr>
  </w:style>
  <w:style w:type="paragraph" w:styleId="41">
    <w:name w:val="Body Text First Indent"/>
    <w:basedOn w:val="34"/>
    <w:link w:val="443"/>
    <w:qFormat/>
    <w:uiPriority w:val="99"/>
    <w:pPr>
      <w:ind w:firstLine="420" w:firstLineChars="100"/>
    </w:pPr>
  </w:style>
  <w:style w:type="paragraph" w:styleId="42">
    <w:name w:val="HTML Address"/>
    <w:basedOn w:val="1"/>
    <w:link w:val="520"/>
    <w:qFormat/>
    <w:uiPriority w:val="0"/>
    <w:pPr>
      <w:snapToGrid w:val="0"/>
      <w:spacing w:line="360" w:lineRule="auto"/>
      <w:ind w:firstLine="200" w:firstLineChars="200"/>
    </w:pPr>
    <w:rPr>
      <w:sz w:val="18"/>
    </w:rPr>
  </w:style>
  <w:style w:type="paragraph" w:styleId="43">
    <w:name w:val="index 4"/>
    <w:basedOn w:val="1"/>
    <w:next w:val="1"/>
    <w:qFormat/>
    <w:uiPriority w:val="0"/>
    <w:pPr>
      <w:snapToGrid w:val="0"/>
      <w:ind w:left="1120" w:hanging="280"/>
      <w:jc w:val="left"/>
    </w:pPr>
    <w:rPr>
      <w:rFonts w:eastAsia="宋体"/>
      <w:sz w:val="24"/>
      <w:szCs w:val="24"/>
    </w:rPr>
  </w:style>
  <w:style w:type="paragraph" w:styleId="44">
    <w:name w:val="toc 5"/>
    <w:basedOn w:val="1"/>
    <w:next w:val="1"/>
    <w:qFormat/>
    <w:uiPriority w:val="39"/>
    <w:pPr>
      <w:ind w:left="1120"/>
      <w:jc w:val="left"/>
    </w:pPr>
    <w:rPr>
      <w:szCs w:val="21"/>
    </w:rPr>
  </w:style>
  <w:style w:type="paragraph" w:styleId="45">
    <w:name w:val="toc 3"/>
    <w:basedOn w:val="1"/>
    <w:next w:val="1"/>
    <w:qFormat/>
    <w:uiPriority w:val="39"/>
    <w:pPr>
      <w:ind w:left="560"/>
      <w:jc w:val="left"/>
    </w:pPr>
    <w:rPr>
      <w:i/>
      <w:iCs/>
      <w:szCs w:val="24"/>
    </w:rPr>
  </w:style>
  <w:style w:type="paragraph" w:styleId="46">
    <w:name w:val="Plain Text"/>
    <w:basedOn w:val="1"/>
    <w:link w:val="274"/>
    <w:qFormat/>
    <w:uiPriority w:val="0"/>
    <w:rPr>
      <w:rFonts w:ascii="宋体" w:hAnsi="Courier New" w:eastAsia="宋体"/>
      <w:sz w:val="21"/>
    </w:rPr>
  </w:style>
  <w:style w:type="paragraph" w:styleId="47">
    <w:name w:val="List Bullet 5"/>
    <w:basedOn w:val="1"/>
    <w:qFormat/>
    <w:uiPriority w:val="0"/>
    <w:pPr>
      <w:tabs>
        <w:tab w:val="left" w:pos="360"/>
      </w:tabs>
      <w:snapToGrid w:val="0"/>
      <w:spacing w:line="360" w:lineRule="auto"/>
    </w:pPr>
    <w:rPr>
      <w:rFonts w:eastAsia="宋体"/>
      <w:kern w:val="0"/>
      <w:sz w:val="24"/>
      <w:szCs w:val="28"/>
    </w:rPr>
  </w:style>
  <w:style w:type="paragraph" w:styleId="48">
    <w:name w:val="List Number 4"/>
    <w:basedOn w:val="1"/>
    <w:qFormat/>
    <w:uiPriority w:val="0"/>
    <w:pPr>
      <w:tabs>
        <w:tab w:val="left" w:pos="360"/>
      </w:tabs>
      <w:snapToGrid w:val="0"/>
      <w:spacing w:line="360" w:lineRule="auto"/>
    </w:pPr>
    <w:rPr>
      <w:rFonts w:eastAsia="宋体"/>
      <w:kern w:val="0"/>
      <w:sz w:val="24"/>
      <w:szCs w:val="28"/>
    </w:rPr>
  </w:style>
  <w:style w:type="paragraph" w:styleId="49">
    <w:name w:val="toc 8"/>
    <w:basedOn w:val="1"/>
    <w:next w:val="1"/>
    <w:qFormat/>
    <w:uiPriority w:val="39"/>
    <w:pPr>
      <w:ind w:left="1960"/>
      <w:jc w:val="left"/>
    </w:pPr>
    <w:rPr>
      <w:szCs w:val="21"/>
    </w:rPr>
  </w:style>
  <w:style w:type="paragraph" w:styleId="50">
    <w:name w:val="index 3"/>
    <w:basedOn w:val="1"/>
    <w:next w:val="1"/>
    <w:qFormat/>
    <w:uiPriority w:val="0"/>
    <w:pPr>
      <w:snapToGrid w:val="0"/>
      <w:ind w:left="840" w:hanging="280"/>
      <w:jc w:val="left"/>
    </w:pPr>
    <w:rPr>
      <w:rFonts w:eastAsia="宋体"/>
      <w:sz w:val="24"/>
      <w:szCs w:val="24"/>
    </w:rPr>
  </w:style>
  <w:style w:type="paragraph" w:styleId="51">
    <w:name w:val="Date"/>
    <w:basedOn w:val="1"/>
    <w:next w:val="1"/>
    <w:link w:val="418"/>
    <w:qFormat/>
    <w:uiPriority w:val="0"/>
    <w:rPr>
      <w:rFonts w:eastAsia="宋体"/>
      <w:sz w:val="24"/>
    </w:rPr>
  </w:style>
  <w:style w:type="paragraph" w:styleId="52">
    <w:name w:val="Body Text Indent 2"/>
    <w:basedOn w:val="1"/>
    <w:link w:val="550"/>
    <w:qFormat/>
    <w:uiPriority w:val="0"/>
    <w:pPr>
      <w:ind w:firstLine="420"/>
    </w:pPr>
    <w:rPr>
      <w:rFonts w:ascii="宋体" w:hAnsi="宋体" w:eastAsia="宋体"/>
      <w:sz w:val="24"/>
    </w:rPr>
  </w:style>
  <w:style w:type="paragraph" w:styleId="53">
    <w:name w:val="endnote text"/>
    <w:basedOn w:val="1"/>
    <w:link w:val="231"/>
    <w:unhideWhenUsed/>
    <w:qFormat/>
    <w:uiPriority w:val="0"/>
    <w:pPr>
      <w:snapToGrid w:val="0"/>
      <w:jc w:val="left"/>
    </w:pPr>
    <w:rPr>
      <w:rFonts w:ascii="Arial" w:hAnsi="Arial" w:eastAsia="黑体"/>
      <w:b/>
      <w:bCs/>
      <w:szCs w:val="28"/>
    </w:rPr>
  </w:style>
  <w:style w:type="paragraph" w:styleId="54">
    <w:name w:val="List Continue 5"/>
    <w:basedOn w:val="1"/>
    <w:qFormat/>
    <w:uiPriority w:val="0"/>
    <w:pPr>
      <w:snapToGrid w:val="0"/>
      <w:spacing w:after="120" w:line="360" w:lineRule="auto"/>
      <w:ind w:left="2100" w:leftChars="1000" w:firstLine="200" w:firstLineChars="200"/>
    </w:pPr>
    <w:rPr>
      <w:rFonts w:eastAsia="宋体"/>
      <w:kern w:val="0"/>
      <w:sz w:val="24"/>
      <w:szCs w:val="28"/>
    </w:rPr>
  </w:style>
  <w:style w:type="paragraph" w:styleId="55">
    <w:name w:val="Balloon Text"/>
    <w:basedOn w:val="1"/>
    <w:link w:val="626"/>
    <w:qFormat/>
    <w:uiPriority w:val="99"/>
    <w:rPr>
      <w:sz w:val="18"/>
      <w:szCs w:val="18"/>
    </w:rPr>
  </w:style>
  <w:style w:type="paragraph" w:styleId="56">
    <w:name w:val="footer"/>
    <w:basedOn w:val="1"/>
    <w:link w:val="403"/>
    <w:qFormat/>
    <w:uiPriority w:val="99"/>
    <w:pPr>
      <w:tabs>
        <w:tab w:val="center" w:pos="4153"/>
        <w:tab w:val="right" w:pos="8306"/>
      </w:tabs>
      <w:snapToGrid w:val="0"/>
      <w:jc w:val="left"/>
    </w:pPr>
    <w:rPr>
      <w:sz w:val="18"/>
    </w:rPr>
  </w:style>
  <w:style w:type="paragraph" w:styleId="57">
    <w:name w:val="envelope return"/>
    <w:basedOn w:val="1"/>
    <w:qFormat/>
    <w:uiPriority w:val="0"/>
    <w:pPr>
      <w:snapToGrid w:val="0"/>
      <w:spacing w:line="360" w:lineRule="auto"/>
      <w:ind w:firstLine="200" w:firstLineChars="200"/>
    </w:pPr>
    <w:rPr>
      <w:rFonts w:ascii="Arial" w:hAnsi="Arial" w:eastAsia="宋体" w:cs="Arial"/>
      <w:kern w:val="0"/>
      <w:sz w:val="24"/>
      <w:szCs w:val="28"/>
    </w:rPr>
  </w:style>
  <w:style w:type="paragraph" w:styleId="58">
    <w:name w:val="header"/>
    <w:basedOn w:val="1"/>
    <w:link w:val="502"/>
    <w:qFormat/>
    <w:uiPriority w:val="0"/>
    <w:pPr>
      <w:pBdr>
        <w:bottom w:val="single" w:color="auto" w:sz="6" w:space="1"/>
      </w:pBdr>
      <w:tabs>
        <w:tab w:val="center" w:pos="4153"/>
        <w:tab w:val="right" w:pos="8306"/>
      </w:tabs>
      <w:snapToGrid w:val="0"/>
      <w:jc w:val="center"/>
    </w:pPr>
    <w:rPr>
      <w:sz w:val="18"/>
    </w:rPr>
  </w:style>
  <w:style w:type="paragraph" w:styleId="59">
    <w:name w:val="Signature"/>
    <w:basedOn w:val="1"/>
    <w:link w:val="648"/>
    <w:qFormat/>
    <w:uiPriority w:val="0"/>
    <w:pPr>
      <w:snapToGrid w:val="0"/>
      <w:spacing w:line="360" w:lineRule="auto"/>
      <w:ind w:left="100" w:leftChars="2100" w:firstLine="200" w:firstLineChars="200"/>
    </w:pPr>
    <w:rPr>
      <w:rFonts w:eastAsia="宋体"/>
      <w:kern w:val="0"/>
      <w:sz w:val="24"/>
      <w:szCs w:val="28"/>
    </w:rPr>
  </w:style>
  <w:style w:type="paragraph" w:styleId="60">
    <w:name w:val="toc 1"/>
    <w:basedOn w:val="1"/>
    <w:next w:val="1"/>
    <w:qFormat/>
    <w:uiPriority w:val="39"/>
    <w:pPr>
      <w:tabs>
        <w:tab w:val="left" w:pos="1120"/>
        <w:tab w:val="right" w:leader="dot" w:pos="8767"/>
      </w:tabs>
      <w:jc w:val="left"/>
    </w:pPr>
    <w:rPr>
      <w:rFonts w:ascii="宋体" w:hAnsi="宋体" w:eastAsia="宋体"/>
      <w:b/>
      <w:bCs/>
      <w:caps/>
      <w:sz w:val="24"/>
      <w:szCs w:val="36"/>
    </w:rPr>
  </w:style>
  <w:style w:type="paragraph" w:styleId="61">
    <w:name w:val="List Continue 4"/>
    <w:basedOn w:val="1"/>
    <w:qFormat/>
    <w:uiPriority w:val="0"/>
    <w:pPr>
      <w:snapToGrid w:val="0"/>
      <w:spacing w:after="120" w:line="360" w:lineRule="auto"/>
      <w:ind w:left="1680" w:leftChars="800" w:firstLine="200" w:firstLineChars="200"/>
    </w:pPr>
    <w:rPr>
      <w:rFonts w:eastAsia="宋体"/>
      <w:kern w:val="0"/>
      <w:sz w:val="24"/>
      <w:szCs w:val="28"/>
    </w:rPr>
  </w:style>
  <w:style w:type="paragraph" w:styleId="62">
    <w:name w:val="toc 4"/>
    <w:basedOn w:val="1"/>
    <w:next w:val="1"/>
    <w:qFormat/>
    <w:uiPriority w:val="39"/>
    <w:pPr>
      <w:ind w:left="840"/>
      <w:jc w:val="left"/>
    </w:pPr>
    <w:rPr>
      <w:szCs w:val="21"/>
    </w:rPr>
  </w:style>
  <w:style w:type="paragraph" w:styleId="63">
    <w:name w:val="index heading"/>
    <w:basedOn w:val="1"/>
    <w:next w:val="64"/>
    <w:qFormat/>
    <w:uiPriority w:val="0"/>
    <w:rPr>
      <w:rFonts w:eastAsia="宋体"/>
      <w:sz w:val="21"/>
      <w:szCs w:val="24"/>
    </w:rPr>
  </w:style>
  <w:style w:type="paragraph" w:styleId="64">
    <w:name w:val="index 1"/>
    <w:basedOn w:val="1"/>
    <w:next w:val="1"/>
    <w:qFormat/>
    <w:uiPriority w:val="0"/>
    <w:pPr>
      <w:jc w:val="center"/>
    </w:pPr>
    <w:rPr>
      <w:rFonts w:eastAsia="宋体"/>
      <w:color w:val="000000"/>
      <w:sz w:val="21"/>
      <w:szCs w:val="24"/>
    </w:rPr>
  </w:style>
  <w:style w:type="paragraph" w:styleId="65">
    <w:name w:val="Subtitle"/>
    <w:basedOn w:val="1"/>
    <w:next w:val="1"/>
    <w:link w:val="1951"/>
    <w:qFormat/>
    <w:uiPriority w:val="0"/>
    <w:pPr>
      <w:spacing w:line="360" w:lineRule="auto"/>
      <w:jc w:val="center"/>
      <w:outlineLvl w:val="1"/>
    </w:pPr>
    <w:rPr>
      <w:rFonts w:ascii="Cambria" w:hAnsi="Cambria" w:eastAsia="黑体"/>
      <w:bCs/>
      <w:kern w:val="28"/>
      <w:sz w:val="24"/>
      <w:szCs w:val="32"/>
    </w:rPr>
  </w:style>
  <w:style w:type="paragraph" w:styleId="66">
    <w:name w:val="List Number 5"/>
    <w:basedOn w:val="1"/>
    <w:qFormat/>
    <w:uiPriority w:val="0"/>
    <w:pPr>
      <w:tabs>
        <w:tab w:val="left" w:pos="360"/>
      </w:tabs>
      <w:snapToGrid w:val="0"/>
      <w:spacing w:line="360" w:lineRule="auto"/>
    </w:pPr>
    <w:rPr>
      <w:rFonts w:eastAsia="宋体"/>
      <w:kern w:val="0"/>
      <w:sz w:val="24"/>
      <w:szCs w:val="28"/>
    </w:rPr>
  </w:style>
  <w:style w:type="paragraph" w:styleId="67">
    <w:name w:val="List"/>
    <w:basedOn w:val="1"/>
    <w:qFormat/>
    <w:uiPriority w:val="0"/>
    <w:pPr>
      <w:autoSpaceDE w:val="0"/>
      <w:autoSpaceDN w:val="0"/>
      <w:adjustRightInd w:val="0"/>
      <w:spacing w:line="480" w:lineRule="exact"/>
      <w:ind w:left="420" w:hanging="420" w:firstLineChars="200"/>
      <w:jc w:val="left"/>
      <w:textAlignment w:val="baseline"/>
    </w:pPr>
    <w:rPr>
      <w:rFonts w:ascii="宋体" w:eastAsia="宋体"/>
      <w:kern w:val="0"/>
      <w:sz w:val="34"/>
    </w:rPr>
  </w:style>
  <w:style w:type="paragraph" w:styleId="68">
    <w:name w:val="footnote text"/>
    <w:basedOn w:val="1"/>
    <w:link w:val="1823"/>
    <w:qFormat/>
    <w:uiPriority w:val="0"/>
    <w:pPr>
      <w:snapToGrid w:val="0"/>
      <w:jc w:val="left"/>
    </w:pPr>
    <w:rPr>
      <w:sz w:val="18"/>
    </w:rPr>
  </w:style>
  <w:style w:type="paragraph" w:styleId="69">
    <w:name w:val="toc 6"/>
    <w:basedOn w:val="1"/>
    <w:next w:val="1"/>
    <w:qFormat/>
    <w:uiPriority w:val="39"/>
    <w:pPr>
      <w:ind w:left="1400"/>
      <w:jc w:val="left"/>
    </w:pPr>
    <w:rPr>
      <w:szCs w:val="21"/>
    </w:rPr>
  </w:style>
  <w:style w:type="paragraph" w:styleId="70">
    <w:name w:val="List 5"/>
    <w:basedOn w:val="1"/>
    <w:qFormat/>
    <w:uiPriority w:val="0"/>
    <w:pPr>
      <w:snapToGrid w:val="0"/>
      <w:spacing w:line="360" w:lineRule="auto"/>
      <w:ind w:left="100" w:leftChars="800" w:hanging="200" w:hangingChars="200"/>
    </w:pPr>
    <w:rPr>
      <w:rFonts w:eastAsia="宋体"/>
      <w:kern w:val="0"/>
      <w:sz w:val="24"/>
      <w:szCs w:val="28"/>
    </w:rPr>
  </w:style>
  <w:style w:type="paragraph" w:styleId="71">
    <w:name w:val="Body Text Indent 3"/>
    <w:basedOn w:val="1"/>
    <w:link w:val="371"/>
    <w:qFormat/>
    <w:uiPriority w:val="0"/>
    <w:pPr>
      <w:ind w:firstLine="424" w:firstLineChars="200"/>
    </w:pPr>
    <w:rPr>
      <w:rFonts w:ascii="宋体" w:hAnsi="宋体" w:eastAsia="宋体"/>
      <w:color w:val="000000"/>
      <w:sz w:val="24"/>
    </w:rPr>
  </w:style>
  <w:style w:type="paragraph" w:styleId="72">
    <w:name w:val="index 7"/>
    <w:basedOn w:val="1"/>
    <w:next w:val="1"/>
    <w:qFormat/>
    <w:uiPriority w:val="0"/>
    <w:pPr>
      <w:snapToGrid w:val="0"/>
      <w:ind w:left="1960" w:hanging="280"/>
      <w:jc w:val="left"/>
    </w:pPr>
    <w:rPr>
      <w:rFonts w:eastAsia="宋体"/>
      <w:sz w:val="24"/>
      <w:szCs w:val="24"/>
    </w:rPr>
  </w:style>
  <w:style w:type="paragraph" w:styleId="73">
    <w:name w:val="index 9"/>
    <w:basedOn w:val="1"/>
    <w:next w:val="1"/>
    <w:qFormat/>
    <w:uiPriority w:val="0"/>
    <w:pPr>
      <w:snapToGrid w:val="0"/>
      <w:ind w:left="2520" w:hanging="280"/>
      <w:jc w:val="left"/>
    </w:pPr>
    <w:rPr>
      <w:rFonts w:eastAsia="宋体"/>
      <w:sz w:val="24"/>
      <w:szCs w:val="24"/>
    </w:rPr>
  </w:style>
  <w:style w:type="paragraph" w:styleId="74">
    <w:name w:val="table of figures"/>
    <w:basedOn w:val="1"/>
    <w:next w:val="1"/>
    <w:qFormat/>
    <w:uiPriority w:val="0"/>
    <w:pPr>
      <w:ind w:firstLine="390"/>
      <w:jc w:val="center"/>
    </w:pPr>
    <w:rPr>
      <w:rFonts w:eastAsia="宋体"/>
      <w:b/>
      <w:bCs/>
      <w:spacing w:val="-8"/>
      <w:kern w:val="0"/>
      <w:sz w:val="21"/>
      <w:szCs w:val="21"/>
    </w:rPr>
  </w:style>
  <w:style w:type="paragraph" w:styleId="75">
    <w:name w:val="toc 2"/>
    <w:basedOn w:val="1"/>
    <w:next w:val="1"/>
    <w:qFormat/>
    <w:uiPriority w:val="39"/>
    <w:pPr>
      <w:tabs>
        <w:tab w:val="left" w:pos="1120"/>
        <w:tab w:val="right" w:leader="dot" w:pos="8767"/>
      </w:tabs>
      <w:spacing w:line="0" w:lineRule="atLeast"/>
      <w:ind w:left="278"/>
      <w:jc w:val="left"/>
    </w:pPr>
    <w:rPr>
      <w:rFonts w:ascii="宋体" w:hAnsi="宋体" w:eastAsia="宋体"/>
      <w:smallCaps/>
      <w:sz w:val="21"/>
      <w:szCs w:val="28"/>
    </w:rPr>
  </w:style>
  <w:style w:type="paragraph" w:styleId="76">
    <w:name w:val="toc 9"/>
    <w:basedOn w:val="1"/>
    <w:next w:val="1"/>
    <w:qFormat/>
    <w:uiPriority w:val="39"/>
    <w:pPr>
      <w:ind w:left="2240"/>
      <w:jc w:val="left"/>
    </w:pPr>
    <w:rPr>
      <w:szCs w:val="21"/>
    </w:rPr>
  </w:style>
  <w:style w:type="paragraph" w:styleId="77">
    <w:name w:val="Body Text 2"/>
    <w:basedOn w:val="1"/>
    <w:link w:val="464"/>
    <w:qFormat/>
    <w:uiPriority w:val="99"/>
    <w:pPr>
      <w:jc w:val="center"/>
    </w:pPr>
    <w:rPr>
      <w:rFonts w:ascii="Arial" w:hAnsi="Arial" w:eastAsia="宋体" w:cs="Arial"/>
      <w:sz w:val="21"/>
    </w:rPr>
  </w:style>
  <w:style w:type="paragraph" w:styleId="78">
    <w:name w:val="List 4"/>
    <w:basedOn w:val="1"/>
    <w:qFormat/>
    <w:uiPriority w:val="0"/>
    <w:pPr>
      <w:spacing w:line="440" w:lineRule="exact"/>
      <w:ind w:left="100" w:leftChars="600" w:hanging="200" w:hangingChars="200"/>
    </w:pPr>
    <w:rPr>
      <w:rFonts w:eastAsia="宋体"/>
      <w:color w:val="000000"/>
      <w:sz w:val="24"/>
      <w:u w:color="FF00FF"/>
    </w:rPr>
  </w:style>
  <w:style w:type="paragraph" w:styleId="79">
    <w:name w:val="List Continue 2"/>
    <w:basedOn w:val="1"/>
    <w:qFormat/>
    <w:uiPriority w:val="0"/>
    <w:pPr>
      <w:snapToGrid w:val="0"/>
      <w:spacing w:after="120" w:line="360" w:lineRule="auto"/>
      <w:ind w:left="840" w:leftChars="400" w:firstLine="200" w:firstLineChars="200"/>
    </w:pPr>
    <w:rPr>
      <w:rFonts w:eastAsia="宋体"/>
      <w:kern w:val="0"/>
      <w:sz w:val="24"/>
      <w:szCs w:val="28"/>
    </w:rPr>
  </w:style>
  <w:style w:type="paragraph" w:styleId="80">
    <w:name w:val="Message Header"/>
    <w:basedOn w:val="1"/>
    <w:link w:val="2572"/>
    <w:qFormat/>
    <w:uiPriority w:val="0"/>
    <w:pPr>
      <w:pBdr>
        <w:top w:val="single" w:color="auto" w:sz="6" w:space="1"/>
        <w:left w:val="single" w:color="auto" w:sz="6" w:space="1"/>
        <w:bottom w:val="single" w:color="auto" w:sz="6" w:space="1"/>
        <w:right w:val="single" w:color="auto" w:sz="6" w:space="1"/>
      </w:pBdr>
      <w:shd w:val="pct20" w:color="auto" w:fill="auto"/>
      <w:snapToGrid w:val="0"/>
      <w:spacing w:line="360" w:lineRule="auto"/>
      <w:ind w:left="1080" w:leftChars="500" w:hanging="1080" w:hangingChars="500"/>
    </w:pPr>
    <w:rPr>
      <w:rFonts w:ascii="Arial" w:hAnsi="Arial" w:eastAsia="宋体"/>
      <w:kern w:val="0"/>
      <w:sz w:val="24"/>
      <w:szCs w:val="24"/>
    </w:rPr>
  </w:style>
  <w:style w:type="paragraph" w:styleId="81">
    <w:name w:val="HTML Preformatted"/>
    <w:basedOn w:val="1"/>
    <w:link w:val="628"/>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rPr>
  </w:style>
  <w:style w:type="paragraph" w:styleId="82">
    <w:name w:val="Normal (Web)"/>
    <w:basedOn w:val="1"/>
    <w:qFormat/>
    <w:uiPriority w:val="99"/>
    <w:pPr>
      <w:widowControl/>
      <w:spacing w:before="100" w:beforeAutospacing="1" w:after="100" w:afterAutospacing="1"/>
      <w:jc w:val="left"/>
    </w:pPr>
    <w:rPr>
      <w:rFonts w:ascii="Arial Unicode MS" w:hAnsi="Arial Unicode MS" w:eastAsia="Times New Roman"/>
      <w:kern w:val="0"/>
      <w:sz w:val="24"/>
      <w:szCs w:val="24"/>
    </w:rPr>
  </w:style>
  <w:style w:type="paragraph" w:styleId="83">
    <w:name w:val="List Continue 3"/>
    <w:basedOn w:val="1"/>
    <w:qFormat/>
    <w:uiPriority w:val="0"/>
    <w:pPr>
      <w:snapToGrid w:val="0"/>
      <w:spacing w:after="120" w:line="360" w:lineRule="auto"/>
      <w:ind w:left="1260" w:leftChars="600" w:firstLine="200" w:firstLineChars="200"/>
    </w:pPr>
    <w:rPr>
      <w:rFonts w:eastAsia="宋体"/>
      <w:kern w:val="0"/>
      <w:sz w:val="24"/>
      <w:szCs w:val="28"/>
    </w:rPr>
  </w:style>
  <w:style w:type="paragraph" w:styleId="84">
    <w:name w:val="index 2"/>
    <w:basedOn w:val="1"/>
    <w:next w:val="1"/>
    <w:qFormat/>
    <w:uiPriority w:val="0"/>
    <w:pPr>
      <w:snapToGrid w:val="0"/>
      <w:ind w:left="560" w:hanging="280"/>
      <w:jc w:val="left"/>
    </w:pPr>
    <w:rPr>
      <w:rFonts w:eastAsia="宋体"/>
      <w:sz w:val="24"/>
      <w:szCs w:val="24"/>
    </w:rPr>
  </w:style>
  <w:style w:type="paragraph" w:styleId="85">
    <w:name w:val="Title"/>
    <w:basedOn w:val="6"/>
    <w:next w:val="1"/>
    <w:link w:val="387"/>
    <w:qFormat/>
    <w:uiPriority w:val="0"/>
    <w:pPr>
      <w:tabs>
        <w:tab w:val="left" w:pos="1080"/>
      </w:tabs>
      <w:spacing w:line="413" w:lineRule="auto"/>
      <w:ind w:left="0" w:firstLine="0"/>
    </w:pPr>
    <w:rPr>
      <w:rFonts w:ascii="黑体" w:hAnsi="宋体" w:eastAsia="黑体"/>
      <w:color w:val="0000FF"/>
      <w:szCs w:val="24"/>
    </w:rPr>
  </w:style>
  <w:style w:type="paragraph" w:styleId="86">
    <w:name w:val="annotation subject"/>
    <w:basedOn w:val="28"/>
    <w:next w:val="28"/>
    <w:link w:val="2701"/>
    <w:qFormat/>
    <w:uiPriority w:val="99"/>
    <w:rPr>
      <w:b/>
      <w:bCs/>
    </w:rPr>
  </w:style>
  <w:style w:type="paragraph" w:styleId="87">
    <w:name w:val="Body Text First Indent 2"/>
    <w:basedOn w:val="35"/>
    <w:link w:val="2350"/>
    <w:qFormat/>
    <w:uiPriority w:val="99"/>
    <w:pPr>
      <w:spacing w:after="120"/>
      <w:ind w:left="420" w:leftChars="200" w:firstLine="420" w:firstLineChars="200"/>
    </w:pPr>
    <w:rPr>
      <w:rFonts w:eastAsia="仿宋_GB2312"/>
      <w:sz w:val="28"/>
    </w:rPr>
  </w:style>
  <w:style w:type="table" w:styleId="89">
    <w:name w:val="Table Grid"/>
    <w:basedOn w:val="8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90">
    <w:name w:val="Table Theme"/>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91">
    <w:name w:val="Table Colorful 1"/>
    <w:basedOn w:val="88"/>
    <w:semiHidden/>
    <w:qFormat/>
    <w:uiPriority w:val="0"/>
    <w:pPr>
      <w:widowControl w:val="0"/>
      <w:spacing w:line="490" w:lineRule="exact"/>
      <w:ind w:firstLine="200" w:firstLineChars="20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Layout w:type="fixed"/>
      <w:tblCellMar>
        <w:top w:w="0" w:type="dxa"/>
        <w:left w:w="108" w:type="dxa"/>
        <w:bottom w:w="0" w:type="dxa"/>
        <w:right w:w="108" w:type="dxa"/>
      </w:tblCellMar>
    </w:tblPr>
    <w:tcPr>
      <w:shd w:val="solid" w:color="008080" w:fill="FFFFFF"/>
    </w:tcPr>
    <w:tblStylePr w:type="firstRow">
      <w:rPr>
        <w:b/>
        <w:bCs/>
        <w:i/>
        <w:iCs/>
      </w:rPr>
      <w:tblPr>
        <w:tblLayout w:type="fixed"/>
      </w:tblPr>
      <w:tcPr>
        <w:tcBorders>
          <w:top w:val="nil"/>
          <w:left w:val="nil"/>
          <w:bottom w:val="nil"/>
          <w:right w:val="nil"/>
          <w:insideH w:val="nil"/>
          <w:insideV w:val="nil"/>
          <w:tl2br w:val="nil"/>
          <w:tr2bl w:val="nil"/>
        </w:tcBorders>
        <w:shd w:val="solid" w:color="000000" w:fill="FFFFFF"/>
      </w:tcPr>
    </w:tblStylePr>
    <w:tblStylePr w:type="firstCol">
      <w:rPr>
        <w:b/>
        <w:bCs/>
        <w:i/>
        <w:iCs/>
      </w:rPr>
      <w:tblPr>
        <w:tblLayout w:type="fixed"/>
      </w:tblPr>
      <w:tcPr>
        <w:tcBorders>
          <w:top w:val="nil"/>
          <w:left w:val="nil"/>
          <w:bottom w:val="nil"/>
          <w:right w:val="nil"/>
          <w:insideH w:val="nil"/>
          <w:insideV w:val="nil"/>
          <w:tl2br w:val="nil"/>
          <w:tr2bl w:val="nil"/>
        </w:tcBorders>
        <w:shd w:val="solid" w:color="000080" w:fill="FFFFFF"/>
      </w:tcPr>
    </w:tblStylePr>
    <w:tblStylePr w:type="nwCell">
      <w:tblPr>
        <w:tblLayout w:type="fixed"/>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blLayout w:type="fixed"/>
      </w:tblPr>
      <w:tcPr>
        <w:tcBorders>
          <w:top w:val="nil"/>
          <w:left w:val="nil"/>
          <w:bottom w:val="nil"/>
          <w:right w:val="nil"/>
          <w:insideH w:val="nil"/>
          <w:insideV w:val="nil"/>
          <w:tl2br w:val="nil"/>
          <w:tr2bl w:val="nil"/>
        </w:tcBorders>
      </w:tcPr>
    </w:tblStylePr>
  </w:style>
  <w:style w:type="table" w:styleId="92">
    <w:name w:val="Table Colorful 2"/>
    <w:basedOn w:val="88"/>
    <w:semiHidden/>
    <w:qFormat/>
    <w:uiPriority w:val="0"/>
    <w:pPr>
      <w:widowControl w:val="0"/>
      <w:spacing w:line="490" w:lineRule="exact"/>
      <w:ind w:firstLine="200" w:firstLineChars="200"/>
      <w:jc w:val="both"/>
    </w:pPr>
    <w:tblPr>
      <w:tblBorders>
        <w:bottom w:val="single" w:color="000000" w:sz="12" w:space="0"/>
      </w:tblBorders>
      <w:tblLayout w:type="fixed"/>
      <w:tblCellMar>
        <w:top w:w="0" w:type="dxa"/>
        <w:left w:w="108" w:type="dxa"/>
        <w:bottom w:w="0" w:type="dxa"/>
        <w:right w:w="108" w:type="dxa"/>
      </w:tblCellMar>
    </w:tblPr>
    <w:tcPr>
      <w:shd w:val="pct20" w:color="FFFF00" w:fill="FFFFFF"/>
    </w:tcPr>
    <w:tblStylePr w:type="firstRow">
      <w:rPr>
        <w:b/>
        <w:bCs/>
        <w:i/>
        <w:iCs/>
        <w:color w:val="FFFFFF"/>
      </w:rPr>
      <w:tblPr>
        <w:tblLayout w:type="fixed"/>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blLayout w:type="fixed"/>
      </w:tblPr>
      <w:tcPr>
        <w:tcBorders>
          <w:top w:val="nil"/>
          <w:left w:val="nil"/>
          <w:bottom w:val="nil"/>
          <w:right w:val="nil"/>
          <w:insideH w:val="nil"/>
          <w:insideV w:val="nil"/>
          <w:tl2br w:val="nil"/>
          <w:tr2bl w:val="nil"/>
        </w:tcBorders>
      </w:tcPr>
    </w:tblStylePr>
    <w:tblStylePr w:type="lastCol">
      <w:tblPr>
        <w:tblLayout w:type="fixed"/>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blLayout w:type="fixed"/>
      </w:tblPr>
      <w:tcPr>
        <w:tcBorders>
          <w:top w:val="nil"/>
          <w:left w:val="nil"/>
          <w:bottom w:val="nil"/>
          <w:right w:val="nil"/>
          <w:insideH w:val="nil"/>
          <w:insideV w:val="nil"/>
          <w:tl2br w:val="nil"/>
          <w:tr2bl w:val="nil"/>
        </w:tcBorders>
      </w:tcPr>
    </w:tblStylePr>
  </w:style>
  <w:style w:type="table" w:styleId="93">
    <w:name w:val="Table Colorful 3"/>
    <w:basedOn w:val="88"/>
    <w:semiHidden/>
    <w:qFormat/>
    <w:uiPriority w:val="0"/>
    <w:pPr>
      <w:widowControl w:val="0"/>
      <w:spacing w:line="490" w:lineRule="exact"/>
      <w:ind w:firstLine="200" w:firstLineChars="200"/>
      <w:jc w:val="both"/>
    </w:pPr>
    <w:tblPr>
      <w:tblBorders>
        <w:top w:val="single" w:color="000000" w:sz="18" w:space="0"/>
        <w:left w:val="single" w:color="000000" w:sz="18" w:space="0"/>
        <w:bottom w:val="single" w:color="000000" w:sz="18" w:space="0"/>
        <w:right w:val="single" w:color="000000" w:sz="18" w:space="0"/>
        <w:insideH w:val="single" w:color="C0C0C0" w:sz="6" w:space="0"/>
      </w:tblBorders>
      <w:tblLayout w:type="fixed"/>
      <w:tblCellMar>
        <w:top w:w="0" w:type="dxa"/>
        <w:left w:w="108" w:type="dxa"/>
        <w:bottom w:w="0" w:type="dxa"/>
        <w:right w:w="108" w:type="dxa"/>
      </w:tblCellMar>
    </w:tblPr>
    <w:tcPr>
      <w:shd w:val="pct25" w:color="008080" w:fill="FFFFFF"/>
    </w:tcPr>
    <w:tblStylePr w:type="firstRow">
      <w:tblPr>
        <w:tblLayout w:type="fixed"/>
      </w:tblPr>
      <w:tcPr>
        <w:tcBorders>
          <w:top w:val="nil"/>
          <w:left w:val="single" w:color="000000" w:sz="6" w:space="0"/>
          <w:bottom w:val="nil"/>
          <w:right w:val="nil"/>
          <w:insideH w:val="nil"/>
          <w:insideV w:val="nil"/>
          <w:tl2br w:val="nil"/>
          <w:tr2bl w:val="nil"/>
        </w:tcBorders>
        <w:shd w:val="solid" w:color="008080" w:fill="FFFFFF"/>
      </w:tcPr>
    </w:tblStylePr>
    <w:tblStylePr w:type="firstCol">
      <w:tblPr>
        <w:tblLayout w:type="fixed"/>
      </w:tblPr>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blPr>
        <w:tblLayout w:type="fixed"/>
      </w:tblPr>
      <w:tcPr>
        <w:tcBorders>
          <w:top w:val="nil"/>
          <w:left w:val="nil"/>
          <w:bottom w:val="nil"/>
          <w:right w:val="nil"/>
          <w:insideH w:val="nil"/>
          <w:insideV w:val="nil"/>
          <w:tl2br w:val="nil"/>
          <w:tr2bl w:val="nil"/>
        </w:tcBorders>
        <w:shd w:val="solid" w:color="000000" w:fill="FFFFFF"/>
      </w:tcPr>
    </w:tblStylePr>
  </w:style>
  <w:style w:type="table" w:styleId="94">
    <w:name w:val="Table Elegant"/>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caps/>
        <w:color w:val="auto"/>
      </w:rPr>
      <w:tblPr>
        <w:tblLayout w:type="fixed"/>
      </w:tblPr>
      <w:tcPr>
        <w:tcBorders>
          <w:top w:val="nil"/>
          <w:left w:val="nil"/>
          <w:bottom w:val="nil"/>
          <w:right w:val="nil"/>
          <w:insideH w:val="nil"/>
          <w:insideV w:val="nil"/>
          <w:tl2br w:val="nil"/>
          <w:tr2bl w:val="nil"/>
        </w:tcBorders>
      </w:tcPr>
    </w:tblStylePr>
  </w:style>
  <w:style w:type="table" w:styleId="95">
    <w:name w:val="Table Classic 1"/>
    <w:basedOn w:val="88"/>
    <w:semiHidden/>
    <w:qFormat/>
    <w:uiPriority w:val="0"/>
    <w:pPr>
      <w:widowControl w:val="0"/>
      <w:spacing w:line="490" w:lineRule="exact"/>
      <w:ind w:firstLine="200" w:firstLineChars="200"/>
      <w:jc w:val="both"/>
    </w:pPr>
    <w:tblPr>
      <w:tblBorders>
        <w:top w:val="single" w:color="000000" w:sz="12" w:space="0"/>
        <w:bottom w:val="single" w:color="000000" w:sz="12" w:space="0"/>
      </w:tblBorders>
      <w:tblLayout w:type="fixed"/>
      <w:tblCellMar>
        <w:top w:w="0" w:type="dxa"/>
        <w:left w:w="108" w:type="dxa"/>
        <w:bottom w:w="0" w:type="dxa"/>
        <w:right w:w="108" w:type="dxa"/>
      </w:tblCellMar>
    </w:tblPr>
    <w:tcPr>
      <w:shd w:val="clear" w:color="auto" w:fill="auto"/>
    </w:tcPr>
    <w:tblStylePr w:type="firstRow">
      <w:rPr>
        <w:i/>
        <w:iCs/>
      </w:rPr>
      <w:tblPr>
        <w:tblLayout w:type="fixed"/>
      </w:tblPr>
      <w:tcPr>
        <w:tcBorders>
          <w:top w:val="nil"/>
          <w:left w:val="single" w:color="000000" w:sz="6" w:space="0"/>
          <w:bottom w:val="nil"/>
          <w:right w:val="nil"/>
          <w:insideH w:val="nil"/>
          <w:insideV w:val="nil"/>
          <w:tl2br w:val="nil"/>
          <w:tr2bl w:val="nil"/>
        </w:tcBorders>
      </w:tcPr>
    </w:tblStylePr>
    <w:tblStylePr w:type="lastRow">
      <w:rPr>
        <w:color w:val="auto"/>
      </w:rPr>
      <w:tblPr>
        <w:tblLayout w:type="fixed"/>
      </w:tblPr>
      <w:tcPr>
        <w:tcBorders>
          <w:top w:val="single" w:color="000000" w:sz="6" w:space="0"/>
          <w:left w:val="nil"/>
          <w:bottom w:val="nil"/>
          <w:right w:val="nil"/>
          <w:insideH w:val="nil"/>
          <w:insideV w:val="nil"/>
          <w:tl2br w:val="nil"/>
          <w:tr2bl w:val="nil"/>
        </w:tcBorders>
      </w:tcPr>
    </w:tblStylePr>
    <w:tblStylePr w:type="firstCol">
      <w:tblPr>
        <w:tblLayout w:type="fixed"/>
      </w:tblPr>
      <w:tcPr>
        <w:tcBorders>
          <w:top w:val="nil"/>
          <w:left w:val="nil"/>
          <w:bottom w:val="nil"/>
          <w:right w:val="single" w:color="000000" w:sz="6" w:space="0"/>
          <w:insideH w:val="nil"/>
          <w:insideV w:val="nil"/>
          <w:tl2br w:val="nil"/>
          <w:tr2bl w:val="nil"/>
        </w:tcBorders>
      </w:tcPr>
    </w:tblStylePr>
    <w:tblStylePr w:type="neCell">
      <w:rPr>
        <w:b/>
        <w:bCs/>
        <w:i w:val="0"/>
        <w:iCs w:val="0"/>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96">
    <w:name w:val="Table Classic 2"/>
    <w:basedOn w:val="88"/>
    <w:semiHidden/>
    <w:qFormat/>
    <w:uiPriority w:val="0"/>
    <w:pPr>
      <w:widowControl w:val="0"/>
      <w:spacing w:line="490" w:lineRule="exact"/>
      <w:ind w:firstLine="200" w:firstLineChars="200"/>
      <w:jc w:val="both"/>
    </w:pPr>
    <w:tblPr>
      <w:tblBorders>
        <w:top w:val="single" w:color="000000" w:sz="12" w:space="0"/>
        <w:bottom w:val="single" w:color="000000" w:sz="12" w:space="0"/>
      </w:tblBorders>
      <w:tblLayout w:type="fixed"/>
      <w:tblCellMar>
        <w:top w:w="0" w:type="dxa"/>
        <w:left w:w="108" w:type="dxa"/>
        <w:bottom w:w="0" w:type="dxa"/>
        <w:right w:w="108" w:type="dxa"/>
      </w:tblCellMar>
    </w:tblPr>
    <w:tcPr>
      <w:shd w:val="clear" w:color="auto" w:fill="auto"/>
    </w:tcPr>
    <w:tblStylePr w:type="firstRow">
      <w:rPr>
        <w:color w:val="FFFFFF"/>
      </w:rPr>
      <w:tblPr>
        <w:tblLayout w:type="fixed"/>
      </w:tblPr>
      <w:tcPr>
        <w:tcBorders>
          <w:top w:val="nil"/>
          <w:left w:val="single" w:color="000000" w:sz="6" w:space="0"/>
          <w:bottom w:val="nil"/>
          <w:right w:val="nil"/>
          <w:insideH w:val="nil"/>
          <w:insideV w:val="nil"/>
          <w:tl2br w:val="nil"/>
          <w:tr2bl w:val="nil"/>
        </w:tcBorders>
        <w:shd w:val="solid" w:color="800080" w:fill="FFFFFF"/>
      </w:tcPr>
    </w:tblStylePr>
    <w:tblStylePr w:type="lastRow">
      <w:tblPr>
        <w:tblLayout w:type="fixed"/>
      </w:tblPr>
      <w:tcPr>
        <w:tcBorders>
          <w:top w:val="single" w:color="00000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shd w:val="solid" w:color="C0C0C0" w:fill="FFFFFF"/>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nil"/>
          <w:tr2bl w:val="nil"/>
        </w:tcBorders>
        <w:shd w:val="solid" w:color="800080" w:fill="FFFFFF"/>
      </w:tcPr>
    </w:tblStylePr>
    <w:tblStylePr w:type="swCell">
      <w:rPr>
        <w:color w:val="000080"/>
      </w:rPr>
      <w:tblPr>
        <w:tblLayout w:type="fixed"/>
      </w:tblPr>
      <w:tcPr>
        <w:tcBorders>
          <w:top w:val="nil"/>
          <w:left w:val="nil"/>
          <w:bottom w:val="nil"/>
          <w:right w:val="nil"/>
          <w:insideH w:val="nil"/>
          <w:insideV w:val="nil"/>
          <w:tl2br w:val="nil"/>
          <w:tr2bl w:val="nil"/>
        </w:tcBorders>
      </w:tcPr>
    </w:tblStylePr>
  </w:style>
  <w:style w:type="table" w:styleId="97">
    <w:name w:val="Table Classic 3"/>
    <w:basedOn w:val="88"/>
    <w:semiHidden/>
    <w:qFormat/>
    <w:uiPriority w:val="0"/>
    <w:pPr>
      <w:widowControl w:val="0"/>
      <w:spacing w:line="490" w:lineRule="exact"/>
      <w:ind w:firstLine="200" w:firstLineChars="200"/>
      <w:jc w:val="both"/>
    </w:pPr>
    <w:rPr>
      <w:color w:val="000080"/>
    </w:r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cPr>
      <w:shd w:val="solid" w:color="C0C0C0" w:fill="FFFFFF"/>
    </w:tcPr>
    <w:tblStylePr w:type="firstRow">
      <w:rPr>
        <w:b/>
        <w:bCs/>
        <w:i/>
        <w:iCs/>
        <w:color w:val="FFFFFF"/>
      </w:rPr>
      <w:tblPr>
        <w:tblLayout w:type="fixed"/>
      </w:tbl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blPr>
        <w:tblLayout w:type="fixed"/>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blLayout w:type="fixed"/>
      </w:tblPr>
      <w:tcPr>
        <w:tcBorders>
          <w:top w:val="nil"/>
          <w:left w:val="nil"/>
          <w:bottom w:val="nil"/>
          <w:right w:val="nil"/>
          <w:insideH w:val="nil"/>
          <w:insideV w:val="nil"/>
          <w:tl2br w:val="nil"/>
          <w:tr2bl w:val="nil"/>
        </w:tcBorders>
      </w:tcPr>
    </w:tblStylePr>
  </w:style>
  <w:style w:type="table" w:styleId="98">
    <w:name w:val="Table Classic 4"/>
    <w:basedOn w:val="88"/>
    <w:semiHidden/>
    <w:qFormat/>
    <w:uiPriority w:val="0"/>
    <w:pPr>
      <w:widowControl w:val="0"/>
      <w:spacing w:line="490" w:lineRule="exact"/>
      <w:ind w:firstLine="200" w:firstLineChars="200"/>
      <w:jc w:val="both"/>
    </w:pPr>
    <w:tblPr>
      <w:tblBorders>
        <w:top w:val="single" w:color="000000" w:sz="12" w:space="0"/>
        <w:left w:val="single" w:color="000000" w:sz="6" w:space="0"/>
        <w:bottom w:val="single" w:color="000000" w:sz="12" w:space="0"/>
        <w:right w:val="single" w:color="000000" w:sz="6" w:space="0"/>
      </w:tblBorders>
      <w:tblLayout w:type="fixed"/>
      <w:tblCellMar>
        <w:top w:w="0" w:type="dxa"/>
        <w:left w:w="108" w:type="dxa"/>
        <w:bottom w:w="0" w:type="dxa"/>
        <w:right w:w="108" w:type="dxa"/>
      </w:tblCellMar>
    </w:tblPr>
    <w:tcPr>
      <w:shd w:val="clear" w:color="auto" w:fill="auto"/>
    </w:tcPr>
    <w:tblStylePr w:type="firstRow">
      <w:rPr>
        <w:b/>
        <w:bCs/>
        <w:i/>
        <w:iCs/>
        <w:color w:val="FFFFFF"/>
      </w:rPr>
      <w:tblPr>
        <w:tblLayout w:type="fixed"/>
      </w:tbl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blPr>
        <w:tblLayout w:type="fixed"/>
      </w:tbl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nwCell">
      <w:rPr>
        <w:b/>
        <w:bCs/>
      </w:rPr>
      <w:tblPr>
        <w:tblLayout w:type="fixed"/>
      </w:tblPr>
      <w:tcPr>
        <w:tcBorders>
          <w:top w:val="nil"/>
          <w:left w:val="nil"/>
          <w:bottom w:val="nil"/>
          <w:right w:val="nil"/>
          <w:insideH w:val="nil"/>
          <w:insideV w:val="nil"/>
          <w:tl2br w:val="nil"/>
          <w:tr2bl w:val="nil"/>
        </w:tcBorders>
      </w:tcPr>
    </w:tblStylePr>
    <w:tblStylePr w:type="swCell">
      <w:rPr>
        <w:color w:val="000080"/>
      </w:rPr>
      <w:tblPr>
        <w:tblLayout w:type="fixed"/>
      </w:tblPr>
      <w:tcPr>
        <w:tcBorders>
          <w:top w:val="nil"/>
          <w:left w:val="nil"/>
          <w:bottom w:val="nil"/>
          <w:right w:val="nil"/>
          <w:insideH w:val="nil"/>
          <w:insideV w:val="nil"/>
          <w:tl2br w:val="nil"/>
          <w:tr2bl w:val="nil"/>
        </w:tcBorders>
      </w:tcPr>
    </w:tblStylePr>
  </w:style>
  <w:style w:type="table" w:styleId="99">
    <w:name w:val="Table Simple 1"/>
    <w:basedOn w:val="88"/>
    <w:qFormat/>
    <w:uiPriority w:val="0"/>
    <w:pPr>
      <w:widowControl w:val="0"/>
      <w:jc w:val="both"/>
    </w:pPr>
    <w:tblPr>
      <w:tblBorders>
        <w:top w:val="single" w:color="008000" w:sz="12" w:space="0"/>
        <w:bottom w:val="single" w:color="008000" w:sz="12"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top w:val="nil"/>
          <w:left w:val="single" w:color="008000" w:sz="6" w:space="0"/>
          <w:bottom w:val="nil"/>
          <w:right w:val="nil"/>
          <w:insideH w:val="nil"/>
          <w:insideV w:val="nil"/>
          <w:tl2br w:val="nil"/>
          <w:tr2bl w:val="nil"/>
        </w:tcBorders>
      </w:tcPr>
    </w:tblStylePr>
    <w:tblStylePr w:type="lastRow">
      <w:tblPr>
        <w:tblLayout w:type="fixed"/>
      </w:tblPr>
      <w:tcPr>
        <w:tcBorders>
          <w:top w:val="single" w:color="008000" w:sz="6" w:space="0"/>
          <w:left w:val="nil"/>
          <w:bottom w:val="nil"/>
          <w:right w:val="nil"/>
          <w:insideH w:val="nil"/>
          <w:insideV w:val="nil"/>
          <w:tl2br w:val="nil"/>
          <w:tr2bl w:val="nil"/>
        </w:tcBorders>
      </w:tcPr>
    </w:tblStylePr>
  </w:style>
  <w:style w:type="table" w:styleId="100">
    <w:name w:val="Table Simple 2"/>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blStylePr w:type="firstRow">
      <w:rPr>
        <w:b/>
        <w:bCs/>
      </w:rPr>
      <w:tblPr>
        <w:tblLayout w:type="fixed"/>
      </w:tblPr>
      <w:tcPr>
        <w:tcBorders>
          <w:top w:val="nil"/>
          <w:left w:val="single" w:color="000000" w:sz="12" w:space="0"/>
          <w:bottom w:val="nil"/>
          <w:right w:val="nil"/>
          <w:insideH w:val="nil"/>
          <w:insideV w:val="nil"/>
          <w:tl2br w:val="nil"/>
          <w:tr2bl w:val="nil"/>
        </w:tcBorders>
      </w:tcPr>
    </w:tblStylePr>
    <w:tblStylePr w:type="lastRow">
      <w:rPr>
        <w:b/>
        <w:bCs/>
        <w:color w:val="auto"/>
      </w:rPr>
      <w:tblPr>
        <w:tblLayout w:type="fixed"/>
      </w:tblPr>
      <w:tcPr>
        <w:tcBorders>
          <w:top w:val="single" w:color="00000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single" w:color="000000" w:sz="12" w:space="0"/>
          <w:insideH w:val="nil"/>
          <w:insideV w:val="nil"/>
          <w:tl2br w:val="nil"/>
          <w:tr2bl w:val="nil"/>
        </w:tcBorders>
      </w:tcPr>
    </w:tblStylePr>
    <w:tblStylePr w:type="lastCol">
      <w:rPr>
        <w:b/>
        <w:bCs/>
      </w:rPr>
      <w:tblPr>
        <w:tblLayout w:type="fixed"/>
      </w:tblPr>
      <w:tcPr>
        <w:tcBorders>
          <w:top w:val="nil"/>
          <w:left w:val="nil"/>
          <w:bottom w:val="single" w:color="000000" w:sz="6" w:space="0"/>
          <w:right w:val="nil"/>
          <w:insideH w:val="nil"/>
          <w:insideV w:val="nil"/>
          <w:tl2br w:val="nil"/>
          <w:tr2bl w:val="nil"/>
        </w:tcBorders>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1">
    <w:name w:val="Table Simple 3"/>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top w:val="nil"/>
          <w:left w:val="nil"/>
          <w:bottom w:val="nil"/>
          <w:right w:val="nil"/>
          <w:insideH w:val="nil"/>
          <w:insideV w:val="nil"/>
          <w:tl2br w:val="nil"/>
          <w:tr2bl w:val="nil"/>
        </w:tcBorders>
        <w:shd w:val="solid" w:color="000000" w:fill="FFFFFF"/>
      </w:tcPr>
    </w:tblStylePr>
  </w:style>
  <w:style w:type="table" w:styleId="102">
    <w:name w:val="Table Subtle 1"/>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blStylePr w:type="firstRow">
      <w:tblPr>
        <w:tblLayout w:type="fixed"/>
      </w:tblPr>
      <w:tcPr>
        <w:tcBorders>
          <w:top w:val="single" w:color="000000" w:sz="6" w:space="0"/>
          <w:left w:val="single" w:color="000000" w:sz="12" w:space="0"/>
          <w:bottom w:val="nil"/>
          <w:right w:val="nil"/>
          <w:insideH w:val="nil"/>
          <w:insideV w:val="nil"/>
          <w:tl2br w:val="nil"/>
          <w:tr2bl w:val="nil"/>
        </w:tcBorders>
      </w:tcPr>
    </w:tblStylePr>
    <w:tblStylePr w:type="lastRow">
      <w:tblPr>
        <w:tblLayout w:type="fixed"/>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blLayout w:type="fixed"/>
      </w:tblPr>
      <w:tcPr>
        <w:tcBorders>
          <w:top w:val="nil"/>
          <w:left w:val="nil"/>
          <w:bottom w:val="nil"/>
          <w:right w:val="single" w:color="000000" w:sz="12" w:space="0"/>
          <w:insideH w:val="nil"/>
          <w:insideV w:val="nil"/>
          <w:tl2br w:val="nil"/>
          <w:tr2bl w:val="nil"/>
        </w:tcBorders>
      </w:tcPr>
    </w:tblStylePr>
    <w:tblStylePr w:type="lastCol">
      <w:tblPr>
        <w:tblLayout w:type="fixed"/>
      </w:tblPr>
      <w:tcPr>
        <w:tcBorders>
          <w:top w:val="nil"/>
          <w:left w:val="nil"/>
          <w:bottom w:val="single" w:color="000000" w:sz="12" w:space="0"/>
          <w:right w:val="nil"/>
          <w:insideH w:val="nil"/>
          <w:insideV w:val="nil"/>
          <w:tl2br w:val="nil"/>
          <w:tr2bl w:val="nil"/>
        </w:tcBorders>
      </w:tcPr>
    </w:tblStylePr>
    <w:tblStylePr w:type="band1Horz">
      <w:tblPr>
        <w:tblLayout w:type="fixed"/>
      </w:tblPr>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3">
    <w:name w:val="Table Subtle 2"/>
    <w:basedOn w:val="88"/>
    <w:semiHidden/>
    <w:qFormat/>
    <w:uiPriority w:val="0"/>
    <w:pPr>
      <w:widowControl w:val="0"/>
      <w:spacing w:line="490" w:lineRule="exact"/>
      <w:ind w:firstLine="200" w:firstLineChars="200"/>
      <w:jc w:val="both"/>
    </w:pPr>
    <w:tblPr>
      <w:tblBorders>
        <w:left w:val="single" w:color="000000" w:sz="6" w:space="0"/>
        <w:right w:val="single" w:color="000000" w:sz="6" w:space="0"/>
      </w:tblBorders>
      <w:tblLayout w:type="fixed"/>
      <w:tblCellMar>
        <w:top w:w="0" w:type="dxa"/>
        <w:left w:w="108" w:type="dxa"/>
        <w:bottom w:w="0" w:type="dxa"/>
        <w:right w:w="108" w:type="dxa"/>
      </w:tblCellMar>
    </w:tblPr>
    <w:tblStylePr w:type="firstRow">
      <w:tblPr>
        <w:tblLayout w:type="fixed"/>
      </w:tblPr>
      <w:tcPr>
        <w:tcBorders>
          <w:top w:val="nil"/>
          <w:left w:val="single" w:color="000000" w:sz="12" w:space="0"/>
          <w:bottom w:val="nil"/>
          <w:right w:val="nil"/>
          <w:insideH w:val="nil"/>
          <w:insideV w:val="nil"/>
          <w:tl2br w:val="nil"/>
          <w:tr2bl w:val="nil"/>
        </w:tcBorders>
      </w:tcPr>
    </w:tblStylePr>
    <w:tblStylePr w:type="lastRow">
      <w:tblPr>
        <w:tblLayout w:type="fixed"/>
      </w:tblPr>
      <w:tcPr>
        <w:tcBorders>
          <w:top w:val="single" w:color="000000" w:sz="12" w:space="0"/>
          <w:left w:val="nil"/>
          <w:bottom w:val="nil"/>
          <w:right w:val="nil"/>
          <w:insideH w:val="nil"/>
          <w:insideV w:val="nil"/>
          <w:tl2br w:val="nil"/>
          <w:tr2bl w:val="nil"/>
        </w:tcBorders>
      </w:tcPr>
    </w:tblStylePr>
    <w:tblStylePr w:type="firstCol">
      <w:tblPr>
        <w:tblLayout w:type="fixed"/>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blLayout w:type="fixed"/>
      </w:tblPr>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4">
    <w:name w:val="Table 3D effects 1"/>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cPr>
      <w:shd w:val="solid" w:color="C0C0C0" w:fill="FFFFFF"/>
    </w:tcPr>
    <w:tblStylePr w:type="firstRow">
      <w:rPr>
        <w:b/>
        <w:bCs/>
        <w:color w:val="800080"/>
      </w:rPr>
      <w:tblPr>
        <w:tblLayout w:type="fixed"/>
      </w:tblPr>
      <w:tcPr>
        <w:tcBorders>
          <w:top w:val="nil"/>
          <w:left w:val="single" w:color="808080" w:sz="6" w:space="0"/>
          <w:bottom w:val="nil"/>
          <w:right w:val="nil"/>
          <w:insideH w:val="nil"/>
          <w:insideV w:val="nil"/>
          <w:tl2br w:val="nil"/>
          <w:tr2bl w:val="nil"/>
        </w:tcBorders>
      </w:tcPr>
    </w:tblStylePr>
    <w:tblStylePr w:type="lastRow">
      <w:tblPr>
        <w:tblLayout w:type="fixed"/>
      </w:tblPr>
      <w:tcPr>
        <w:tcBorders>
          <w:top w:val="single" w:color="FFFFFF"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single" w:color="808080" w:sz="6" w:space="0"/>
          <w:insideH w:val="nil"/>
          <w:insideV w:val="nil"/>
          <w:tl2br w:val="nil"/>
          <w:tr2bl w:val="nil"/>
        </w:tcBorders>
      </w:tcPr>
    </w:tblStylePr>
    <w:tblStylePr w:type="lastCol">
      <w:tblPr>
        <w:tblLayout w:type="fixed"/>
      </w:tblPr>
      <w:tcPr>
        <w:tcBorders>
          <w:top w:val="nil"/>
          <w:left w:val="nil"/>
          <w:bottom w:val="single" w:color="FFFFFF" w:sz="6" w:space="0"/>
          <w:right w:val="nil"/>
          <w:insideH w:val="nil"/>
          <w:insideV w:val="nil"/>
          <w:tl2br w:val="nil"/>
          <w:tr2bl w:val="nil"/>
        </w:tcBorders>
      </w:tcPr>
    </w:tblStylePr>
    <w:tblStylePr w:type="neCell">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nil"/>
          <w:tr2bl w:val="nil"/>
        </w:tcBorders>
      </w:tcPr>
    </w:tblStylePr>
    <w:tblStylePr w:type="seCell">
      <w:tblPr>
        <w:tblLayout w:type="fixed"/>
      </w:tblPr>
      <w:tcPr>
        <w:tcBorders>
          <w:top w:val="nil"/>
          <w:left w:val="nil"/>
          <w:bottom w:val="nil"/>
          <w:right w:val="nil"/>
          <w:insideH w:val="nil"/>
          <w:insideV w:val="nil"/>
          <w:tl2br w:val="nil"/>
          <w:tr2bl w:val="nil"/>
        </w:tcBorders>
      </w:tcPr>
    </w:tblStylePr>
    <w:tblStylePr w:type="swCell">
      <w:rPr>
        <w:color w:val="000080"/>
      </w:rPr>
      <w:tblPr>
        <w:tblLayout w:type="fixed"/>
      </w:tblPr>
      <w:tcPr>
        <w:tcBorders>
          <w:top w:val="nil"/>
          <w:left w:val="nil"/>
          <w:bottom w:val="nil"/>
          <w:right w:val="nil"/>
          <w:insideH w:val="nil"/>
          <w:insideV w:val="nil"/>
          <w:tl2br w:val="nil"/>
          <w:tr2bl w:val="nil"/>
        </w:tcBorders>
      </w:tcPr>
    </w:tblStylePr>
  </w:style>
  <w:style w:type="table" w:styleId="105">
    <w:name w:val="Table 3D effects 2"/>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cPr>
      <w:shd w:val="solid" w:color="C0C0C0" w:fill="FFFFFF"/>
    </w:tcPr>
    <w:tblStylePr w:type="firstRow">
      <w:rPr>
        <w:b/>
        <w:bCs/>
      </w:rPr>
      <w:tblPr>
        <w:tblLayout w:type="fixed"/>
      </w:tblPr>
      <w:tcPr>
        <w:tcBorders>
          <w:top w:val="nil"/>
          <w:left w:val="nil"/>
          <w:bottom w:val="nil"/>
          <w:right w:val="nil"/>
          <w:insideH w:val="nil"/>
          <w:insideV w:val="nil"/>
          <w:tl2br w:val="nil"/>
          <w:tr2bl w:val="nil"/>
        </w:tcBorders>
      </w:tcPr>
    </w:tblStylePr>
    <w:tblStylePr w:type="firstCol">
      <w:tblPr>
        <w:tblLayout w:type="fixed"/>
      </w:tblPr>
      <w:tcPr>
        <w:tcBorders>
          <w:top w:val="nil"/>
          <w:left w:val="nil"/>
          <w:bottom w:val="nil"/>
          <w:right w:val="single" w:color="808080" w:sz="6" w:space="0"/>
          <w:insideH w:val="nil"/>
          <w:insideV w:val="nil"/>
          <w:tl2br w:val="nil"/>
          <w:tr2bl w:val="nil"/>
        </w:tcBorders>
      </w:tcPr>
    </w:tblStylePr>
    <w:tblStylePr w:type="lastCol">
      <w:tblPr>
        <w:tblLayout w:type="fixed"/>
      </w:tblPr>
      <w:tcPr>
        <w:tcBorders>
          <w:top w:val="nil"/>
          <w:left w:val="nil"/>
          <w:bottom w:val="nil"/>
          <w:right w:val="single" w:color="FFFFFF" w:sz="6" w:space="0"/>
          <w:insideH w:val="nil"/>
          <w:insideV w:val="nil"/>
          <w:tl2br w:val="nil"/>
          <w:tr2bl w:val="nil"/>
        </w:tcBorders>
      </w:tcPr>
    </w:tblStylePr>
    <w:tblStylePr w:type="band1Horz">
      <w:tblPr>
        <w:tblLayout w:type="fixed"/>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6">
    <w:name w:val="Table 3D effects 3"/>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blStylePr w:type="firstRow">
      <w:rPr>
        <w:b/>
        <w:bCs/>
      </w:rPr>
      <w:tblPr>
        <w:tblLayout w:type="fixed"/>
      </w:tblPr>
      <w:tcPr>
        <w:tcBorders>
          <w:top w:val="nil"/>
          <w:left w:val="nil"/>
          <w:bottom w:val="nil"/>
          <w:right w:val="nil"/>
          <w:insideH w:val="nil"/>
          <w:insideV w:val="nil"/>
          <w:tl2br w:val="nil"/>
          <w:tr2bl w:val="nil"/>
        </w:tcBorders>
      </w:tcPr>
    </w:tblStylePr>
    <w:tblStylePr w:type="firstCol">
      <w:tblPr>
        <w:tblLayout w:type="fixed"/>
      </w:tblPr>
      <w:tcPr>
        <w:tcBorders>
          <w:top w:val="nil"/>
          <w:left w:val="nil"/>
          <w:bottom w:val="nil"/>
          <w:right w:val="single" w:color="808080" w:sz="6" w:space="0"/>
          <w:insideH w:val="nil"/>
          <w:insideV w:val="nil"/>
          <w:tl2br w:val="nil"/>
          <w:tr2bl w:val="nil"/>
        </w:tcBorders>
      </w:tcPr>
    </w:tblStylePr>
    <w:tblStylePr w:type="lastCol">
      <w:tblPr>
        <w:tblLayout w:type="fixed"/>
      </w:tblPr>
      <w:tcPr>
        <w:tcBorders>
          <w:top w:val="nil"/>
          <w:left w:val="nil"/>
          <w:bottom w:val="nil"/>
          <w:right w:val="single" w:color="FFFFFF" w:sz="6" w:space="0"/>
          <w:insideH w:val="nil"/>
          <w:insideV w:val="nil"/>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50" w:color="C0C0C0" w:fill="FFFFFF"/>
      </w:tcPr>
    </w:tblStylePr>
    <w:tblStylePr w:type="band1Horz">
      <w:tblPr>
        <w:tblLayout w:type="fixed"/>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7">
    <w:name w:val="Table List 1"/>
    <w:basedOn w:val="88"/>
    <w:semiHidden/>
    <w:qFormat/>
    <w:uiPriority w:val="0"/>
    <w:pPr>
      <w:widowControl w:val="0"/>
      <w:spacing w:line="490" w:lineRule="exact"/>
      <w:ind w:firstLine="200" w:firstLineChars="200"/>
      <w:jc w:val="both"/>
    </w:pPr>
    <w:tblPr>
      <w:tblBorders>
        <w:top w:val="single" w:color="008080" w:sz="12" w:space="0"/>
        <w:left w:val="single" w:color="008080" w:sz="6" w:space="0"/>
        <w:bottom w:val="single" w:color="008080" w:sz="12" w:space="0"/>
        <w:right w:val="single" w:color="008080" w:sz="6" w:space="0"/>
      </w:tblBorders>
      <w:tblLayout w:type="fixed"/>
      <w:tblCellMar>
        <w:top w:w="0" w:type="dxa"/>
        <w:left w:w="108" w:type="dxa"/>
        <w:bottom w:w="0" w:type="dxa"/>
        <w:right w:w="108" w:type="dxa"/>
      </w:tblCellMar>
    </w:tblPr>
    <w:tblStylePr w:type="firstRow">
      <w:rPr>
        <w:b/>
        <w:bCs/>
        <w:i/>
        <w:iCs/>
        <w:color w:val="800000"/>
      </w:rPr>
      <w:tblPr>
        <w:tblLayout w:type="fixed"/>
      </w:tblPr>
      <w:tcPr>
        <w:tcBorders>
          <w:top w:val="nil"/>
          <w:left w:val="single" w:color="000000" w:sz="6" w:space="0"/>
          <w:bottom w:val="nil"/>
          <w:right w:val="nil"/>
          <w:insideH w:val="nil"/>
          <w:insideV w:val="nil"/>
          <w:tl2br w:val="nil"/>
          <w:tr2bl w:val="nil"/>
        </w:tcBorders>
        <w:shd w:val="solid" w:color="C0C0C0" w:fill="FFFFFF"/>
      </w:tcPr>
    </w:tblStylePr>
    <w:tblStylePr w:type="lastRow">
      <w:tblPr>
        <w:tblLayout w:type="fixed"/>
      </w:tblPr>
      <w:tcPr>
        <w:tcBorders>
          <w:top w:val="single" w:color="000000" w:sz="6" w:space="0"/>
          <w:left w:val="nil"/>
          <w:bottom w:val="nil"/>
          <w:right w:val="nil"/>
          <w:insideH w:val="nil"/>
          <w:insideV w:val="nil"/>
          <w:tl2br w:val="nil"/>
          <w:tr2bl w:val="nil"/>
        </w:tcBorders>
      </w:tcPr>
    </w:tblStylePr>
    <w:tblStylePr w:type="band1Horz">
      <w:rPr>
        <w:color w:val="auto"/>
      </w:rPr>
      <w:tblPr>
        <w:tblLayout w:type="fixed"/>
      </w:tblPr>
      <w:tcPr>
        <w:tcBorders>
          <w:top w:val="nil"/>
          <w:left w:val="nil"/>
          <w:bottom w:val="nil"/>
          <w:right w:val="nil"/>
          <w:insideH w:val="nil"/>
          <w:insideV w:val="nil"/>
          <w:tl2br w:val="nil"/>
          <w:tr2bl w:val="nil"/>
        </w:tcBorders>
        <w:shd w:val="solid" w:color="C0C0C0" w:fill="FFFFFF"/>
      </w:tcPr>
    </w:tblStylePr>
    <w:tblStylePr w:type="band2Horz">
      <w:rPr>
        <w:color w:val="auto"/>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8">
    <w:name w:val="Table List 2"/>
    <w:basedOn w:val="88"/>
    <w:semiHidden/>
    <w:qFormat/>
    <w:uiPriority w:val="0"/>
    <w:pPr>
      <w:widowControl w:val="0"/>
      <w:spacing w:line="490" w:lineRule="exact"/>
      <w:ind w:firstLine="200" w:firstLineChars="200"/>
      <w:jc w:val="both"/>
    </w:pPr>
    <w:tblPr>
      <w:tblBorders>
        <w:bottom w:val="single" w:color="808080" w:sz="12" w:space="0"/>
      </w:tblBorders>
      <w:tblLayout w:type="fixed"/>
      <w:tblCellMar>
        <w:top w:w="0" w:type="dxa"/>
        <w:left w:w="108" w:type="dxa"/>
        <w:bottom w:w="0" w:type="dxa"/>
        <w:right w:w="108" w:type="dxa"/>
      </w:tblCellMar>
    </w:tblPr>
    <w:tblStylePr w:type="firstRow">
      <w:rPr>
        <w:b/>
        <w:bCs/>
        <w:color w:val="FFFFFF"/>
      </w:rPr>
      <w:tblPr>
        <w:tblLayout w:type="fixed"/>
      </w:tblPr>
      <w:tcPr>
        <w:tcBorders>
          <w:top w:val="nil"/>
          <w:left w:val="single" w:color="000000" w:sz="6" w:space="0"/>
          <w:bottom w:val="nil"/>
          <w:right w:val="nil"/>
          <w:insideH w:val="nil"/>
          <w:insideV w:val="nil"/>
          <w:tl2br w:val="nil"/>
          <w:tr2bl w:val="nil"/>
        </w:tcBorders>
        <w:shd w:val="pct75" w:color="008080" w:fill="008000"/>
      </w:tcPr>
    </w:tblStylePr>
    <w:tblStylePr w:type="lastRow">
      <w:tblPr>
        <w:tblLayout w:type="fixed"/>
      </w:tblPr>
      <w:tcPr>
        <w:tcBorders>
          <w:top w:val="single" w:color="000000" w:sz="6" w:space="0"/>
          <w:left w:val="nil"/>
          <w:bottom w:val="nil"/>
          <w:right w:val="nil"/>
          <w:insideH w:val="nil"/>
          <w:insideV w:val="nil"/>
          <w:tl2br w:val="nil"/>
          <w:tr2bl w:val="nil"/>
        </w:tcBorders>
      </w:tcPr>
    </w:tblStylePr>
    <w:tblStylePr w:type="band1Horz">
      <w:rPr>
        <w:color w:val="auto"/>
      </w:rPr>
      <w:tblPr>
        <w:tblLayout w:type="fixed"/>
      </w:tblPr>
      <w:tcPr>
        <w:tcBorders>
          <w:top w:val="nil"/>
          <w:left w:val="nil"/>
          <w:bottom w:val="nil"/>
          <w:right w:val="nil"/>
          <w:insideH w:val="nil"/>
          <w:insideV w:val="nil"/>
          <w:tl2br w:val="nil"/>
          <w:tr2bl w:val="nil"/>
        </w:tcBorders>
        <w:shd w:val="pct20" w:color="00FF00" w:fill="FFFFFF"/>
      </w:tcPr>
    </w:tblStylePr>
    <w:tblStylePr w:type="band2Horz">
      <w:rPr>
        <w:color w:val="auto"/>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09">
    <w:name w:val="Table List 3"/>
    <w:basedOn w:val="88"/>
    <w:semiHidden/>
    <w:qFormat/>
    <w:uiPriority w:val="0"/>
    <w:pPr>
      <w:widowControl w:val="0"/>
      <w:spacing w:line="490" w:lineRule="exact"/>
      <w:ind w:firstLine="200" w:firstLineChars="200"/>
      <w:jc w:val="both"/>
    </w:pPr>
    <w:tblPr>
      <w:tblBorders>
        <w:top w:val="single" w:color="000000" w:sz="12" w:space="0"/>
        <w:bottom w:val="single" w:color="000000" w:sz="12"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000080"/>
      </w:rPr>
      <w:tblPr>
        <w:tblLayout w:type="fixed"/>
      </w:tblPr>
      <w:tcPr>
        <w:tcBorders>
          <w:top w:val="nil"/>
          <w:left w:val="single" w:color="000000" w:sz="12" w:space="0"/>
          <w:bottom w:val="nil"/>
          <w:right w:val="nil"/>
          <w:insideH w:val="nil"/>
          <w:insideV w:val="nil"/>
          <w:tl2br w:val="nil"/>
          <w:tr2bl w:val="nil"/>
        </w:tcBorders>
      </w:tcPr>
    </w:tblStylePr>
    <w:tblStylePr w:type="lastRow">
      <w:tblPr>
        <w:tblLayout w:type="fixed"/>
      </w:tblPr>
      <w:tcPr>
        <w:tcBorders>
          <w:top w:val="single" w:color="000000" w:sz="12" w:space="0"/>
          <w:left w:val="nil"/>
          <w:bottom w:val="nil"/>
          <w:right w:val="nil"/>
          <w:insideH w:val="nil"/>
          <w:insideV w:val="nil"/>
          <w:tl2br w:val="nil"/>
          <w:tr2bl w:val="nil"/>
        </w:tcBorders>
      </w:tcPr>
    </w:tblStylePr>
    <w:tblStylePr w:type="swCell">
      <w:rPr>
        <w:i/>
        <w:iCs/>
        <w:color w:val="000080"/>
      </w:rPr>
      <w:tblPr>
        <w:tblLayout w:type="fixed"/>
      </w:tblPr>
      <w:tcPr>
        <w:tcBorders>
          <w:top w:val="nil"/>
          <w:left w:val="nil"/>
          <w:bottom w:val="nil"/>
          <w:right w:val="nil"/>
          <w:insideH w:val="nil"/>
          <w:insideV w:val="nil"/>
          <w:tl2br w:val="nil"/>
          <w:tr2bl w:val="nil"/>
        </w:tcBorders>
      </w:tcPr>
    </w:tblStylePr>
  </w:style>
  <w:style w:type="table" w:styleId="110">
    <w:name w:val="Table List 4"/>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top w:val="nil"/>
          <w:left w:val="single" w:color="000000" w:sz="12" w:space="0"/>
          <w:bottom w:val="nil"/>
          <w:right w:val="nil"/>
          <w:insideH w:val="nil"/>
          <w:insideV w:val="nil"/>
          <w:tl2br w:val="nil"/>
          <w:tr2bl w:val="nil"/>
        </w:tcBorders>
        <w:shd w:val="solid" w:color="808080" w:fill="FFFFFF"/>
      </w:tcPr>
    </w:tblStylePr>
  </w:style>
  <w:style w:type="table" w:styleId="111">
    <w:name w:val="Table List 5"/>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top w:val="nil"/>
          <w:left w:val="single" w:color="000000" w:sz="12" w:space="0"/>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style>
  <w:style w:type="table" w:styleId="112">
    <w:name w:val="Table List 6"/>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tblBorders>
      <w:tblLayout w:type="fixed"/>
      <w:tblCellMar>
        <w:top w:w="0" w:type="dxa"/>
        <w:left w:w="108" w:type="dxa"/>
        <w:bottom w:w="0" w:type="dxa"/>
        <w:right w:w="108" w:type="dxa"/>
      </w:tblCellMar>
    </w:tblPr>
    <w:tcPr>
      <w:shd w:val="pct50" w:color="000000" w:fill="FFFFFF"/>
    </w:tcPr>
    <w:tblStylePr w:type="firstRow">
      <w:rPr>
        <w:b/>
        <w:bCs/>
      </w:rPr>
      <w:tblPr>
        <w:tblLayout w:type="fixed"/>
      </w:tblPr>
      <w:tcPr>
        <w:tcBorders>
          <w:top w:val="nil"/>
          <w:left w:val="single" w:color="000000" w:sz="12" w:space="0"/>
          <w:bottom w:val="nil"/>
          <w:right w:val="nil"/>
          <w:insideH w:val="nil"/>
          <w:insideV w:val="nil"/>
          <w:tl2br w:val="nil"/>
          <w:tr2bl w:val="nil"/>
        </w:tcBorders>
      </w:tcPr>
    </w:tblStylePr>
    <w:tblStylePr w:type="firstCol">
      <w:rPr>
        <w:b/>
        <w:bCs/>
      </w:rPr>
      <w:tblPr>
        <w:tblLayout w:type="fixed"/>
      </w:tblPr>
      <w:tcPr>
        <w:tcBorders>
          <w:top w:val="nil"/>
          <w:left w:val="nil"/>
          <w:bottom w:val="nil"/>
          <w:right w:val="single" w:color="000000" w:sz="12" w:space="0"/>
          <w:insideH w:val="nil"/>
          <w:insideV w:val="nil"/>
          <w:tl2br w:val="nil"/>
          <w:tr2bl w:val="nil"/>
        </w:tcBorders>
      </w:tcPr>
    </w:tblStylePr>
    <w:tblStylePr w:type="band1Horz">
      <w:tblPr>
        <w:tblLayout w:type="fixed"/>
      </w:tblPr>
      <w:tcPr>
        <w:tcBorders>
          <w:top w:val="nil"/>
          <w:left w:val="nil"/>
          <w:bottom w:val="nil"/>
          <w:right w:val="nil"/>
          <w:insideH w:val="nil"/>
          <w:insideV w:val="nil"/>
          <w:tl2br w:val="nil"/>
          <w:tr2bl w:val="nil"/>
        </w:tcBorders>
        <w:shd w:val="pct25" w:color="000000" w:fill="FFFFFF"/>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13">
    <w:name w:val="Table List 7"/>
    <w:basedOn w:val="88"/>
    <w:semiHidden/>
    <w:qFormat/>
    <w:uiPriority w:val="0"/>
    <w:pPr>
      <w:widowControl w:val="0"/>
      <w:spacing w:line="490" w:lineRule="exact"/>
      <w:ind w:firstLine="20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Layout w:type="fixed"/>
      <w:tblCellMar>
        <w:top w:w="0" w:type="dxa"/>
        <w:left w:w="108" w:type="dxa"/>
        <w:bottom w:w="0" w:type="dxa"/>
        <w:right w:w="108" w:type="dxa"/>
      </w:tblCellMar>
    </w:tblPr>
    <w:tblStylePr w:type="firstRow">
      <w:rPr>
        <w:b/>
        <w:bCs/>
      </w:rPr>
      <w:tblPr>
        <w:tblLayout w:type="fixed"/>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blLayout w:type="fixed"/>
      </w:tblPr>
      <w:tcPr>
        <w:tcBorders>
          <w:top w:val="single" w:color="008000" w:sz="12"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band1Horz">
      <w:rPr>
        <w:color w:val="auto"/>
      </w:rPr>
      <w:tblPr>
        <w:tblLayout w:type="fixed"/>
      </w:tblPr>
      <w:tcPr>
        <w:tcBorders>
          <w:top w:val="nil"/>
          <w:left w:val="nil"/>
          <w:bottom w:val="nil"/>
          <w:right w:val="nil"/>
          <w:insideH w:val="nil"/>
          <w:insideV w:val="nil"/>
          <w:tl2br w:val="nil"/>
          <w:tr2bl w:val="nil"/>
        </w:tcBorders>
        <w:shd w:val="pct20" w:color="000000" w:fill="FFFFFF"/>
      </w:tcPr>
    </w:tblStylePr>
    <w:tblStylePr w:type="band2Horz">
      <w:tblPr>
        <w:tblLayout w:type="fixed"/>
      </w:tblPr>
      <w:tcPr>
        <w:tcBorders>
          <w:top w:val="nil"/>
          <w:left w:val="nil"/>
          <w:bottom w:val="nil"/>
          <w:right w:val="nil"/>
          <w:insideH w:val="nil"/>
          <w:insideV w:val="nil"/>
          <w:tl2br w:val="nil"/>
          <w:tr2bl w:val="nil"/>
        </w:tcBorders>
        <w:shd w:val="pct25" w:color="FFFF00" w:fill="FFFFFF"/>
      </w:tcPr>
    </w:tblStylePr>
  </w:style>
  <w:style w:type="table" w:styleId="114">
    <w:name w:val="Table List 8"/>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V w:val="single" w:color="000000" w:sz="6" w:space="0"/>
      </w:tblBorders>
      <w:tblLayout w:type="fixed"/>
      <w:tblCellMar>
        <w:top w:w="0" w:type="dxa"/>
        <w:left w:w="108" w:type="dxa"/>
        <w:bottom w:w="0" w:type="dxa"/>
        <w:right w:w="108" w:type="dxa"/>
      </w:tblCellMar>
    </w:tblPr>
    <w:tblStylePr w:type="firstRow">
      <w:rPr>
        <w:b/>
        <w:bCs/>
        <w:i/>
        <w:iCs/>
      </w:rPr>
      <w:tblPr>
        <w:tblLayout w:type="fixed"/>
      </w:tbl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blPr>
        <w:tblLayout w:type="fixed"/>
      </w:tblPr>
      <w:tcPr>
        <w:tcBorders>
          <w:top w:val="single" w:color="00000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band1Horz">
      <w:rPr>
        <w:color w:val="auto"/>
      </w:rPr>
      <w:tblPr>
        <w:tblLayout w:type="fixed"/>
      </w:tblPr>
      <w:tcPr>
        <w:tcBorders>
          <w:top w:val="nil"/>
          <w:left w:val="nil"/>
          <w:bottom w:val="nil"/>
          <w:right w:val="nil"/>
          <w:insideH w:val="nil"/>
          <w:insideV w:val="nil"/>
          <w:tl2br w:val="nil"/>
          <w:tr2bl w:val="nil"/>
        </w:tcBorders>
        <w:shd w:val="pct25" w:color="FFFF00" w:fill="FFFFFF"/>
      </w:tcPr>
    </w:tblStylePr>
    <w:tblStylePr w:type="band2Horz">
      <w:tblPr>
        <w:tblLayout w:type="fixed"/>
      </w:tblPr>
      <w:tcPr>
        <w:tcBorders>
          <w:top w:val="nil"/>
          <w:left w:val="nil"/>
          <w:bottom w:val="nil"/>
          <w:right w:val="nil"/>
          <w:insideH w:val="nil"/>
          <w:insideV w:val="nil"/>
          <w:tl2br w:val="nil"/>
          <w:tr2bl w:val="nil"/>
        </w:tcBorders>
        <w:shd w:val="pct50" w:color="FF0000" w:fill="FFFFFF"/>
      </w:tcPr>
    </w:tblStylePr>
    <w:tblStylePr w:type="nwCell">
      <w:tblPr>
        <w:tblLayout w:type="fixed"/>
      </w:tblPr>
      <w:tcPr>
        <w:tcBorders>
          <w:top w:val="nil"/>
          <w:left w:val="nil"/>
          <w:bottom w:val="nil"/>
          <w:right w:val="nil"/>
          <w:insideH w:val="nil"/>
          <w:insideV w:val="nil"/>
          <w:tl2br w:val="single" w:color="auto" w:sz="6" w:space="0"/>
          <w:tr2bl w:val="nil"/>
        </w:tcBorders>
      </w:tcPr>
    </w:tblStylePr>
  </w:style>
  <w:style w:type="table" w:styleId="115">
    <w:name w:val="Table Contemporary"/>
    <w:basedOn w:val="88"/>
    <w:semiHidden/>
    <w:qFormat/>
    <w:uiPriority w:val="0"/>
    <w:pPr>
      <w:widowControl w:val="0"/>
      <w:spacing w:line="490" w:lineRule="exact"/>
      <w:ind w:firstLine="200" w:firstLineChars="200"/>
      <w:jc w:val="both"/>
    </w:pPr>
    <w:tblPr>
      <w:tblBorders>
        <w:insideH w:val="single" w:color="FFFFFF" w:sz="18" w:space="0"/>
        <w:insideV w:val="single" w:color="FFFFFF" w:sz="18" w:space="0"/>
      </w:tblBorders>
      <w:tblLayout w:type="fixed"/>
      <w:tblCellMar>
        <w:top w:w="0" w:type="dxa"/>
        <w:left w:w="108" w:type="dxa"/>
        <w:bottom w:w="0" w:type="dxa"/>
        <w:right w:w="108" w:type="dxa"/>
      </w:tblCellMar>
    </w:tblPr>
    <w:tblStylePr w:type="firstRow">
      <w:rPr>
        <w:b/>
        <w:bCs/>
        <w:color w:val="auto"/>
      </w:rPr>
      <w:tblPr>
        <w:tblLayout w:type="fixed"/>
      </w:tblPr>
      <w:tcPr>
        <w:tcBorders>
          <w:top w:val="nil"/>
          <w:left w:val="nil"/>
          <w:bottom w:val="nil"/>
          <w:right w:val="nil"/>
          <w:insideH w:val="nil"/>
          <w:insideV w:val="nil"/>
          <w:tl2br w:val="nil"/>
          <w:tr2bl w:val="nil"/>
        </w:tcBorders>
        <w:shd w:val="pct20" w:color="000000" w:fill="FFFFFF"/>
      </w:tcPr>
    </w:tblStylePr>
    <w:tblStylePr w:type="band1Horz">
      <w:rPr>
        <w:color w:val="auto"/>
      </w:rPr>
      <w:tblPr>
        <w:tblLayout w:type="fixed"/>
      </w:tblPr>
      <w:tcPr>
        <w:tcBorders>
          <w:top w:val="nil"/>
          <w:left w:val="nil"/>
          <w:bottom w:val="nil"/>
          <w:right w:val="nil"/>
          <w:insideH w:val="nil"/>
          <w:insideV w:val="nil"/>
          <w:tl2br w:val="nil"/>
          <w:tr2bl w:val="nil"/>
        </w:tcBorders>
        <w:shd w:val="pct5" w:color="000000" w:fill="FFFFFF"/>
      </w:tcPr>
    </w:tblStylePr>
    <w:tblStylePr w:type="band2Horz">
      <w:rPr>
        <w:color w:val="auto"/>
      </w:rPr>
      <w:tblPr>
        <w:tblLayout w:type="fixed"/>
      </w:tblPr>
      <w:tcPr>
        <w:tcBorders>
          <w:top w:val="nil"/>
          <w:left w:val="nil"/>
          <w:bottom w:val="nil"/>
          <w:right w:val="nil"/>
          <w:insideH w:val="nil"/>
          <w:insideV w:val="nil"/>
          <w:tl2br w:val="nil"/>
          <w:tr2bl w:val="nil"/>
        </w:tcBorders>
        <w:shd w:val="pct20" w:color="000000" w:fill="FFFFFF"/>
      </w:tcPr>
    </w:tblStylePr>
  </w:style>
  <w:style w:type="table" w:styleId="116">
    <w:name w:val="Table Columns 1"/>
    <w:basedOn w:val="88"/>
    <w:semiHidden/>
    <w:qFormat/>
    <w:uiPriority w:val="0"/>
    <w:pPr>
      <w:widowControl w:val="0"/>
      <w:spacing w:line="49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blStylePr w:type="firstRow">
      <w:rPr>
        <w:b w:val="0"/>
        <w:bCs w:val="0"/>
      </w:rPr>
      <w:tblPr>
        <w:tblLayout w:type="fixed"/>
      </w:tblPr>
      <w:tcPr>
        <w:tcBorders>
          <w:top w:val="nil"/>
          <w:left w:val="double" w:color="000000" w:sz="6" w:space="0"/>
          <w:bottom w:val="nil"/>
          <w:right w:val="nil"/>
          <w:insideH w:val="nil"/>
          <w:insideV w:val="nil"/>
          <w:tl2br w:val="nil"/>
          <w:tr2bl w:val="nil"/>
        </w:tcBorders>
      </w:tcPr>
    </w:tblStylePr>
    <w:tblStylePr w:type="lastRow">
      <w:rPr>
        <w:b w:val="0"/>
        <w:bCs w:val="0"/>
      </w:rPr>
      <w:tblPr>
        <w:tblLayout w:type="fixed"/>
      </w:tblPr>
      <w:tcPr>
        <w:tcBorders>
          <w:top w:val="nil"/>
          <w:left w:val="nil"/>
          <w:bottom w:val="nil"/>
          <w:right w:val="nil"/>
          <w:insideH w:val="nil"/>
          <w:insideV w:val="nil"/>
          <w:tl2br w:val="nil"/>
          <w:tr2bl w:val="nil"/>
        </w:tcBorders>
      </w:tcPr>
    </w:tblStylePr>
    <w:tblStylePr w:type="firstCol">
      <w:rPr>
        <w:b w:val="0"/>
        <w:bCs w:val="0"/>
      </w:rPr>
      <w:tblPr>
        <w:tblLayout w:type="fixed"/>
      </w:tblPr>
      <w:tcPr>
        <w:tcBorders>
          <w:top w:val="nil"/>
          <w:left w:val="nil"/>
          <w:bottom w:val="nil"/>
          <w:right w:val="nil"/>
          <w:insideH w:val="nil"/>
          <w:insideV w:val="nil"/>
          <w:tl2br w:val="nil"/>
          <w:tr2bl w:val="nil"/>
        </w:tcBorders>
      </w:tcPr>
    </w:tblStylePr>
    <w:tblStylePr w:type="lastCol">
      <w:rPr>
        <w:b w:val="0"/>
        <w:bCs w:val="0"/>
      </w:rPr>
      <w:tblPr>
        <w:tblLayout w:type="fixed"/>
      </w:tblPr>
      <w:tcPr>
        <w:tcBorders>
          <w:top w:val="nil"/>
          <w:left w:val="nil"/>
          <w:bottom w:val="nil"/>
          <w:right w:val="nil"/>
          <w:insideH w:val="nil"/>
          <w:insideV w:val="nil"/>
          <w:tl2br w:val="nil"/>
          <w:tr2bl w:val="nil"/>
        </w:tcBorders>
      </w:tcPr>
    </w:tblStylePr>
    <w:tblStylePr w:type="band1Vert">
      <w:rPr>
        <w:color w:val="auto"/>
      </w:rPr>
      <w:tblPr>
        <w:tblLayout w:type="fixed"/>
      </w:tblPr>
      <w:tcPr>
        <w:shd w:val="pct25" w:color="000000" w:fill="FFFFFF"/>
      </w:tcPr>
    </w:tblStylePr>
    <w:tblStylePr w:type="band2Vert">
      <w:rPr>
        <w:color w:val="auto"/>
      </w:rPr>
      <w:tblPr>
        <w:tblLayout w:type="fixed"/>
      </w:tblPr>
      <w:tcPr>
        <w:shd w:val="pct25" w:color="FFFF00" w:fill="FFFFFF"/>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17">
    <w:name w:val="Table Columns 2"/>
    <w:basedOn w:val="88"/>
    <w:semiHidden/>
    <w:qFormat/>
    <w:uiPriority w:val="0"/>
    <w:pPr>
      <w:widowControl w:val="0"/>
      <w:spacing w:line="490" w:lineRule="exact"/>
      <w:ind w:firstLine="200" w:firstLineChars="200"/>
      <w:jc w:val="both"/>
    </w:pPr>
    <w:rPr>
      <w:b/>
      <w:bCs/>
    </w:rPr>
    <w:tblPr>
      <w:tblLayout w:type="fixed"/>
      <w:tblCellMar>
        <w:top w:w="0" w:type="dxa"/>
        <w:left w:w="108" w:type="dxa"/>
        <w:bottom w:w="0" w:type="dxa"/>
        <w:right w:w="108" w:type="dxa"/>
      </w:tblCellMar>
    </w:tblPr>
    <w:tblStylePr w:type="firstRow">
      <w:rPr>
        <w:color w:val="FFFFFF"/>
      </w:rPr>
      <w:tblPr>
        <w:tblLayout w:type="fixed"/>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blLayout w:type="fixed"/>
      </w:tblPr>
      <w:tcPr>
        <w:tcBorders>
          <w:top w:val="nil"/>
          <w:left w:val="nil"/>
          <w:bottom w:val="nil"/>
          <w:right w:val="nil"/>
          <w:insideH w:val="nil"/>
          <w:insideV w:val="nil"/>
          <w:tl2br w:val="nil"/>
          <w:tr2bl w:val="nil"/>
        </w:tcBorders>
      </w:tcPr>
    </w:tblStylePr>
    <w:tblStylePr w:type="firstCol">
      <w:rPr>
        <w:b w:val="0"/>
        <w:bCs w:val="0"/>
        <w:color w:val="000000"/>
      </w:rPr>
      <w:tblPr>
        <w:tblLayout w:type="fixed"/>
      </w:tblPr>
      <w:tcPr>
        <w:tcBorders>
          <w:top w:val="nil"/>
          <w:left w:val="nil"/>
          <w:bottom w:val="nil"/>
          <w:right w:val="nil"/>
          <w:insideH w:val="nil"/>
          <w:insideV w:val="nil"/>
          <w:tl2br w:val="nil"/>
          <w:tr2bl w:val="nil"/>
        </w:tcBorders>
      </w:tcPr>
    </w:tblStylePr>
    <w:tblStylePr w:type="lastCol">
      <w:rPr>
        <w:b w:val="0"/>
        <w:bCs w:val="0"/>
      </w:rPr>
      <w:tblPr>
        <w:tblLayout w:type="fixed"/>
      </w:tblPr>
      <w:tcPr>
        <w:tcBorders>
          <w:top w:val="nil"/>
          <w:left w:val="nil"/>
          <w:bottom w:val="nil"/>
          <w:right w:val="nil"/>
          <w:insideH w:val="nil"/>
          <w:insideV w:val="nil"/>
          <w:tl2br w:val="nil"/>
          <w:tr2bl w:val="nil"/>
        </w:tcBorders>
      </w:tcPr>
    </w:tblStylePr>
    <w:tblStylePr w:type="band1Vert">
      <w:rPr>
        <w:color w:val="auto"/>
      </w:rPr>
      <w:tblPr>
        <w:tblLayout w:type="fixed"/>
      </w:tblPr>
      <w:tcPr>
        <w:shd w:val="pct30" w:color="000000" w:fill="FFFFFF"/>
      </w:tcPr>
    </w:tblStylePr>
    <w:tblStylePr w:type="band2Vert">
      <w:rPr>
        <w:color w:val="auto"/>
      </w:rPr>
      <w:tblPr>
        <w:tblLayout w:type="fixed"/>
      </w:tblPr>
      <w:tcPr>
        <w:shd w:val="pct25" w:color="00FF00" w:fill="FFFFFF"/>
      </w:tcPr>
    </w:tblStylePr>
    <w:tblStylePr w:type="neCell">
      <w:rPr>
        <w:b/>
        <w:bCs/>
      </w:rPr>
      <w:tblPr>
        <w:tblLayout w:type="fixed"/>
      </w:tblPr>
      <w:tcPr>
        <w:tcBorders>
          <w:top w:val="nil"/>
          <w:left w:val="nil"/>
          <w:bottom w:val="nil"/>
          <w:right w:val="nil"/>
          <w:insideH w:val="nil"/>
          <w:insideV w:val="nil"/>
          <w:tl2br w:val="nil"/>
          <w:tr2bl w:val="nil"/>
        </w:tcBorders>
      </w:tcPr>
    </w:tblStylePr>
    <w:tblStylePr w:type="swCell">
      <w:rPr>
        <w:b/>
        <w:bCs/>
      </w:rPr>
      <w:tblPr>
        <w:tblLayout w:type="fixed"/>
      </w:tblPr>
      <w:tcPr>
        <w:tcBorders>
          <w:top w:val="nil"/>
          <w:left w:val="nil"/>
          <w:bottom w:val="nil"/>
          <w:right w:val="nil"/>
          <w:insideH w:val="nil"/>
          <w:insideV w:val="nil"/>
          <w:tl2br w:val="nil"/>
          <w:tr2bl w:val="nil"/>
        </w:tcBorders>
      </w:tcPr>
    </w:tblStylePr>
  </w:style>
  <w:style w:type="table" w:styleId="118">
    <w:name w:val="Table Columns 3"/>
    <w:basedOn w:val="88"/>
    <w:semiHidden/>
    <w:qFormat/>
    <w:uiPriority w:val="0"/>
    <w:pPr>
      <w:widowControl w:val="0"/>
      <w:spacing w:line="490" w:lineRule="exact"/>
      <w:ind w:firstLine="200" w:firstLineChars="20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Layout w:type="fixed"/>
      <w:tblCellMar>
        <w:top w:w="0" w:type="dxa"/>
        <w:left w:w="108" w:type="dxa"/>
        <w:bottom w:w="0" w:type="dxa"/>
        <w:right w:w="108" w:type="dxa"/>
      </w:tblCellMar>
    </w:tblPr>
    <w:tblStylePr w:type="firstRow">
      <w:rPr>
        <w:color w:val="FFFFFF"/>
      </w:rPr>
      <w:tblPr>
        <w:tblLayout w:type="fixed"/>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blLayout w:type="fixed"/>
      </w:tblPr>
      <w:tcPr>
        <w:tcBorders>
          <w:top w:val="single" w:color="000080" w:sz="6" w:space="0"/>
          <w:left w:val="nil"/>
          <w:bottom w:val="nil"/>
          <w:right w:val="nil"/>
          <w:insideH w:val="nil"/>
          <w:insideV w:val="nil"/>
          <w:tl2br w:val="nil"/>
          <w:tr2bl w:val="nil"/>
        </w:tcBorders>
      </w:tcPr>
    </w:tblStylePr>
    <w:tblStylePr w:type="firstCol">
      <w:rPr>
        <w:b w:val="0"/>
        <w:bCs w:val="0"/>
      </w:rPr>
      <w:tblPr>
        <w:tblLayout w:type="fixed"/>
      </w:tblPr>
      <w:tcPr>
        <w:tcBorders>
          <w:top w:val="nil"/>
          <w:left w:val="nil"/>
          <w:bottom w:val="nil"/>
          <w:right w:val="nil"/>
          <w:insideH w:val="nil"/>
          <w:insideV w:val="nil"/>
          <w:tl2br w:val="nil"/>
          <w:tr2bl w:val="nil"/>
        </w:tcBorders>
      </w:tcPr>
    </w:tblStylePr>
    <w:tblStylePr w:type="lastCol">
      <w:rPr>
        <w:b w:val="0"/>
        <w:bCs w:val="0"/>
      </w:rPr>
      <w:tblPr>
        <w:tblLayout w:type="fixed"/>
      </w:tblPr>
      <w:tcPr>
        <w:tcBorders>
          <w:top w:val="nil"/>
          <w:left w:val="nil"/>
          <w:bottom w:val="nil"/>
          <w:right w:val="nil"/>
          <w:insideH w:val="nil"/>
          <w:insideV w:val="nil"/>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10" w:color="000000" w:fill="FFFFFF"/>
      </w:tcPr>
    </w:tblStylePr>
    <w:tblStylePr w:type="neCell">
      <w:rPr>
        <w:b/>
        <w:bCs/>
      </w:rPr>
      <w:tblPr>
        <w:tblLayout w:type="fixed"/>
      </w:tblPr>
      <w:tcPr>
        <w:tcBorders>
          <w:top w:val="nil"/>
          <w:left w:val="nil"/>
          <w:bottom w:val="nil"/>
          <w:right w:val="nil"/>
          <w:insideH w:val="nil"/>
          <w:insideV w:val="nil"/>
          <w:tl2br w:val="nil"/>
          <w:tr2bl w:val="nil"/>
        </w:tcBorders>
      </w:tcPr>
    </w:tblStylePr>
  </w:style>
  <w:style w:type="table" w:styleId="119">
    <w:name w:val="Table Columns 4"/>
    <w:basedOn w:val="88"/>
    <w:semiHidden/>
    <w:qFormat/>
    <w:uiPriority w:val="0"/>
    <w:pPr>
      <w:widowControl w:val="0"/>
      <w:spacing w:line="490" w:lineRule="exact"/>
      <w:ind w:firstLine="200" w:firstLineChars="200"/>
      <w:jc w:val="both"/>
    </w:pPr>
    <w:tblPr>
      <w:tblLayout w:type="fixed"/>
      <w:tblCellMar>
        <w:top w:w="0" w:type="dxa"/>
        <w:left w:w="108" w:type="dxa"/>
        <w:bottom w:w="0" w:type="dxa"/>
        <w:right w:w="108" w:type="dxa"/>
      </w:tblCellMar>
    </w:tblPr>
    <w:tblStylePr w:type="firstRow">
      <w:rPr>
        <w:color w:val="FFFFFF"/>
      </w:rPr>
      <w:tblPr>
        <w:tblLayout w:type="fixed"/>
      </w:tblPr>
      <w:tcPr>
        <w:tcBorders>
          <w:top w:val="nil"/>
          <w:left w:val="nil"/>
          <w:bottom w:val="nil"/>
          <w:right w:val="nil"/>
          <w:insideH w:val="nil"/>
          <w:insideV w:val="nil"/>
          <w:tl2br w:val="nil"/>
          <w:tr2bl w:val="nil"/>
        </w:tcBorders>
        <w:shd w:val="solid" w:color="000000" w:fill="FFFFFF"/>
      </w:tcPr>
    </w:tblStylePr>
    <w:tblStylePr w:type="lastRow">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band1Vert">
      <w:rPr>
        <w:color w:val="auto"/>
      </w:rPr>
      <w:tblPr>
        <w:tblLayout w:type="fixed"/>
      </w:tblPr>
      <w:tcPr>
        <w:shd w:val="pct50" w:color="008080" w:fill="FFFFFF"/>
      </w:tcPr>
    </w:tblStylePr>
    <w:tblStylePr w:type="band2Vert">
      <w:rPr>
        <w:color w:val="auto"/>
      </w:rPr>
      <w:tblPr>
        <w:tblLayout w:type="fixed"/>
      </w:tblPr>
      <w:tcPr>
        <w:shd w:val="pct10" w:color="000000" w:fill="FFFFFF"/>
      </w:tcPr>
    </w:tblStylePr>
  </w:style>
  <w:style w:type="table" w:styleId="120">
    <w:name w:val="Table Columns 5"/>
    <w:basedOn w:val="88"/>
    <w:semiHidden/>
    <w:qFormat/>
    <w:uiPriority w:val="0"/>
    <w:pPr>
      <w:widowControl w:val="0"/>
      <w:spacing w:line="490" w:lineRule="exact"/>
      <w:ind w:firstLine="200" w:firstLineChars="200"/>
      <w:jc w:val="both"/>
    </w:pPr>
    <w:tblPr>
      <w:tblBorders>
        <w:top w:val="single" w:color="808080" w:sz="12" w:space="0"/>
        <w:left w:val="single" w:color="808080" w:sz="12" w:space="0"/>
        <w:bottom w:val="single" w:color="808080" w:sz="12" w:space="0"/>
        <w:right w:val="single" w:color="808080" w:sz="12" w:space="0"/>
        <w:insideV w:val="single" w:color="C0C0C0" w:sz="6" w:space="0"/>
      </w:tblBorders>
      <w:tblLayout w:type="fixed"/>
      <w:tblCellMar>
        <w:top w:w="0" w:type="dxa"/>
        <w:left w:w="108" w:type="dxa"/>
        <w:bottom w:w="0" w:type="dxa"/>
        <w:right w:w="108" w:type="dxa"/>
      </w:tblCellMar>
    </w:tblPr>
    <w:tblStylePr w:type="firstRow">
      <w:rPr>
        <w:b/>
        <w:bCs/>
        <w:i/>
        <w:iCs/>
      </w:rPr>
      <w:tblPr>
        <w:tblLayout w:type="fixed"/>
      </w:tblPr>
      <w:tcPr>
        <w:tcBorders>
          <w:top w:val="nil"/>
          <w:left w:val="single" w:color="808080" w:sz="6" w:space="0"/>
          <w:bottom w:val="nil"/>
          <w:right w:val="nil"/>
          <w:insideH w:val="nil"/>
          <w:insideV w:val="nil"/>
          <w:tl2br w:val="nil"/>
          <w:tr2bl w:val="nil"/>
        </w:tcBorders>
      </w:tcPr>
    </w:tblStylePr>
    <w:tblStylePr w:type="lastRow">
      <w:rPr>
        <w:b/>
        <w:bCs/>
      </w:rPr>
      <w:tblPr>
        <w:tblLayout w:type="fixed"/>
      </w:tblPr>
      <w:tcPr>
        <w:tcBorders>
          <w:top w:val="single" w:color="80808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band1Vert">
      <w:rPr>
        <w:color w:val="auto"/>
      </w:rPr>
      <w:tblPr>
        <w:tblLayout w:type="fixed"/>
      </w:tblPr>
      <w:tcPr>
        <w:shd w:val="solid" w:color="C0C0C0" w:fill="FFFFFF"/>
      </w:tcPr>
    </w:tblStylePr>
    <w:tblStylePr w:type="band2Vert">
      <w:rPr>
        <w:color w:val="auto"/>
      </w:rPr>
    </w:tblStylePr>
  </w:style>
  <w:style w:type="table" w:styleId="121">
    <w:name w:val="Table Grid 1"/>
    <w:basedOn w:val="88"/>
    <w:qFormat/>
    <w:uiPriority w:val="0"/>
    <w:pPr>
      <w:widowControl w:val="0"/>
      <w:adjustRightInd w:val="0"/>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lastRow">
      <w:rPr>
        <w:i/>
        <w:iCs/>
      </w:rPr>
      <w:tblPr>
        <w:tblLayout w:type="fixed"/>
      </w:tblPr>
      <w:tcPr>
        <w:tcBorders>
          <w:top w:val="nil"/>
          <w:left w:val="nil"/>
          <w:bottom w:val="nil"/>
          <w:right w:val="nil"/>
          <w:insideH w:val="nil"/>
          <w:insideV w:val="nil"/>
          <w:tl2br w:val="nil"/>
          <w:tr2bl w:val="nil"/>
        </w:tcBorders>
      </w:tcPr>
    </w:tblStylePr>
    <w:tblStylePr w:type="lastCol">
      <w:rPr>
        <w:i/>
        <w:i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22">
    <w:name w:val="Table Grid 2"/>
    <w:basedOn w:val="88"/>
    <w:semiHidden/>
    <w:qFormat/>
    <w:uiPriority w:val="0"/>
    <w:pPr>
      <w:widowControl w:val="0"/>
      <w:spacing w:line="490" w:lineRule="exact"/>
      <w:ind w:firstLine="200" w:firstLineChars="200"/>
      <w:jc w:val="both"/>
    </w:pPr>
    <w:tblPr>
      <w:tblBorders>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top w:val="nil"/>
          <w:left w:val="nil"/>
          <w:bottom w:val="nil"/>
          <w:right w:val="nil"/>
          <w:insideH w:val="nil"/>
          <w:insideV w:val="nil"/>
          <w:tl2br w:val="nil"/>
          <w:tr2bl w:val="nil"/>
        </w:tcBorders>
      </w:tcPr>
    </w:tblStylePr>
    <w:tblStylePr w:type="lastRow">
      <w:rPr>
        <w:b/>
        <w:bCs/>
      </w:rPr>
      <w:tblPr>
        <w:tblLayout w:type="fixed"/>
      </w:tblPr>
      <w:tcPr>
        <w:tcBorders>
          <w:top w:val="single" w:color="00000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style>
  <w:style w:type="table" w:styleId="123">
    <w:name w:val="Table Grid 3"/>
    <w:basedOn w:val="88"/>
    <w:semiHidden/>
    <w:qFormat/>
    <w:uiPriority w:val="0"/>
    <w:pPr>
      <w:widowControl w:val="0"/>
      <w:spacing w:line="490" w:lineRule="exact"/>
      <w:ind w:firstLine="200" w:firstLineChars="200"/>
      <w:jc w:val="both"/>
    </w:pPr>
    <w:tblPr>
      <w:tblBorders>
        <w:top w:val="single" w:color="000000" w:sz="6" w:space="0"/>
        <w:left w:val="single" w:color="000000" w:sz="12" w:space="0"/>
        <w:bottom w:val="single" w:color="000000" w:sz="6" w:space="0"/>
        <w:right w:val="single" w:color="000000" w:sz="12" w:space="0"/>
        <w:insideV w:val="single" w:color="000000" w:sz="6"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24">
    <w:name w:val="Table Grid 4"/>
    <w:basedOn w:val="88"/>
    <w:semiHidden/>
    <w:qFormat/>
    <w:uiPriority w:val="0"/>
    <w:pPr>
      <w:widowControl w:val="0"/>
      <w:spacing w:line="490" w:lineRule="exact"/>
      <w:ind w:firstLine="200" w:firstLineChars="200"/>
      <w:jc w:val="both"/>
    </w:pPr>
    <w:tblPr>
      <w:tblBorders>
        <w:left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color w:val="auto"/>
      </w:rPr>
      <w:tblPr>
        <w:tblLayout w:type="fixed"/>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blLayout w:type="fixed"/>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blLayout w:type="fixed"/>
      </w:tblPr>
      <w:tcPr>
        <w:tcBorders>
          <w:top w:val="nil"/>
          <w:left w:val="nil"/>
          <w:bottom w:val="nil"/>
          <w:right w:val="nil"/>
          <w:insideH w:val="nil"/>
          <w:insideV w:val="nil"/>
          <w:tl2br w:val="nil"/>
          <w:tr2bl w:val="nil"/>
        </w:tcBorders>
      </w:tcPr>
    </w:tblStylePr>
  </w:style>
  <w:style w:type="table" w:styleId="125">
    <w:name w:val="Table Grid 5"/>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top w:val="nil"/>
          <w:left w:val="single" w:color="000000" w:sz="12" w:space="0"/>
          <w:bottom w:val="nil"/>
          <w:right w:val="nil"/>
          <w:insideH w:val="nil"/>
          <w:insideV w:val="nil"/>
          <w:tl2br w:val="nil"/>
          <w:tr2bl w:val="nil"/>
        </w:tcBorders>
      </w:tcPr>
    </w:tblStylePr>
    <w:tblStylePr w:type="lastRow">
      <w:rPr>
        <w:b/>
        <w:bCs/>
      </w:rPr>
      <w:tblPr>
        <w:tblLayout w:type="fixed"/>
      </w:tblPr>
      <w:tcPr>
        <w:tcBorders>
          <w:top w:val="nil"/>
          <w:left w:val="nil"/>
          <w:bottom w:val="nil"/>
          <w:right w:val="nil"/>
          <w:insideH w:val="nil"/>
          <w:insideV w:val="nil"/>
          <w:tl2br w:val="nil"/>
          <w:tr2bl w:val="nil"/>
        </w:tcBorders>
      </w:tcPr>
    </w:tblStylePr>
    <w:tblStylePr w:type="lastCol">
      <w:rPr>
        <w:b/>
        <w:b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26">
    <w:name w:val="Table Grid 6"/>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top w:val="nil"/>
          <w:left w:val="single" w:color="000000" w:sz="6" w:space="0"/>
          <w:bottom w:val="nil"/>
          <w:right w:val="nil"/>
          <w:insideH w:val="nil"/>
          <w:insideV w:val="nil"/>
          <w:tl2br w:val="nil"/>
          <w:tr2bl w:val="nil"/>
        </w:tcBorders>
      </w:tcPr>
    </w:tblStylePr>
    <w:tblStylePr w:type="lastRow">
      <w:rPr>
        <w:color w:val="auto"/>
      </w:rPr>
      <w:tblPr>
        <w:tblLayout w:type="fixed"/>
      </w:tblPr>
      <w:tcPr>
        <w:tcBorders>
          <w:top w:val="single" w:color="000000" w:sz="6" w:space="0"/>
          <w:left w:val="nil"/>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27">
    <w:name w:val="Table Grid 7"/>
    <w:basedOn w:val="88"/>
    <w:semiHidden/>
    <w:qFormat/>
    <w:uiPriority w:val="0"/>
    <w:pPr>
      <w:widowControl w:val="0"/>
      <w:spacing w:line="49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val="0"/>
        <w:bCs w:val="0"/>
      </w:rPr>
      <w:tblPr>
        <w:tblLayout w:type="fixed"/>
      </w:tblPr>
      <w:tcPr>
        <w:tcBorders>
          <w:top w:val="nil"/>
          <w:left w:val="single" w:color="000000" w:sz="12" w:space="0"/>
          <w:bottom w:val="nil"/>
          <w:right w:val="nil"/>
          <w:insideH w:val="nil"/>
          <w:insideV w:val="nil"/>
          <w:tl2br w:val="nil"/>
          <w:tr2bl w:val="nil"/>
        </w:tcBorders>
      </w:tcPr>
    </w:tblStylePr>
    <w:tblStylePr w:type="lastRow">
      <w:rPr>
        <w:b w:val="0"/>
        <w:bCs w:val="0"/>
      </w:rPr>
      <w:tblPr>
        <w:tblLayout w:type="fixed"/>
      </w:tblPr>
      <w:tcPr>
        <w:tcBorders>
          <w:top w:val="single" w:color="000000" w:sz="6" w:space="0"/>
          <w:left w:val="nil"/>
          <w:bottom w:val="nil"/>
          <w:right w:val="nil"/>
          <w:insideH w:val="nil"/>
          <w:insideV w:val="nil"/>
          <w:tl2br w:val="nil"/>
          <w:tr2bl w:val="nil"/>
        </w:tcBorders>
      </w:tcPr>
    </w:tblStylePr>
    <w:tblStylePr w:type="firstCol">
      <w:rPr>
        <w:b w:val="0"/>
        <w:bCs w:val="0"/>
      </w:rPr>
      <w:tblPr>
        <w:tblLayout w:type="fixed"/>
      </w:tblPr>
      <w:tcPr>
        <w:tcBorders>
          <w:top w:val="nil"/>
          <w:left w:val="nil"/>
          <w:bottom w:val="nil"/>
          <w:right w:val="nil"/>
          <w:insideH w:val="nil"/>
          <w:insideV w:val="nil"/>
          <w:tl2br w:val="nil"/>
          <w:tr2bl w:val="nil"/>
        </w:tcBorders>
      </w:tcPr>
    </w:tblStylePr>
    <w:tblStylePr w:type="lastCol">
      <w:rPr>
        <w:b w:val="0"/>
        <w:bCs w:val="0"/>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table" w:styleId="128">
    <w:name w:val="Table Grid 8"/>
    <w:basedOn w:val="88"/>
    <w:semiHidden/>
    <w:qFormat/>
    <w:uiPriority w:val="0"/>
    <w:pPr>
      <w:widowControl w:val="0"/>
      <w:spacing w:line="490" w:lineRule="exact"/>
      <w:ind w:firstLine="200" w:firstLineChars="20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blLayout w:type="fixed"/>
      </w:tblPr>
      <w:tcPr>
        <w:tcBorders>
          <w:top w:val="nil"/>
          <w:left w:val="nil"/>
          <w:bottom w:val="nil"/>
          <w:right w:val="nil"/>
          <w:insideH w:val="nil"/>
          <w:insideV w:val="nil"/>
          <w:tl2br w:val="nil"/>
          <w:tr2bl w:val="nil"/>
        </w:tcBorders>
      </w:tcPr>
    </w:tblStylePr>
    <w:tblStylePr w:type="lastCol">
      <w:rPr>
        <w:b/>
        <w:bCs/>
        <w:color w:val="auto"/>
      </w:rPr>
      <w:tblPr>
        <w:tblLayout w:type="fixed"/>
      </w:tblPr>
      <w:tcPr>
        <w:tcBorders>
          <w:top w:val="nil"/>
          <w:left w:val="nil"/>
          <w:bottom w:val="nil"/>
          <w:right w:val="nil"/>
          <w:insideH w:val="nil"/>
          <w:insideV w:val="nil"/>
          <w:tl2br w:val="nil"/>
          <w:tr2bl w:val="nil"/>
        </w:tcBorders>
      </w:tcPr>
    </w:tblStylePr>
  </w:style>
  <w:style w:type="table" w:styleId="129">
    <w:name w:val="Table Web 1"/>
    <w:basedOn w:val="88"/>
    <w:semiHidden/>
    <w:qFormat/>
    <w:uiPriority w:val="0"/>
    <w:pPr>
      <w:widowControl w:val="0"/>
      <w:spacing w:line="490" w:lineRule="exact"/>
      <w:ind w:firstLine="200" w:firstLineChars="20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op w:val="nil"/>
          <w:left w:val="nil"/>
          <w:bottom w:val="nil"/>
          <w:right w:val="nil"/>
          <w:insideH w:val="nil"/>
          <w:insideV w:val="nil"/>
          <w:tl2br w:val="nil"/>
          <w:tr2bl w:val="nil"/>
        </w:tcBorders>
      </w:tcPr>
    </w:tblStylePr>
  </w:style>
  <w:style w:type="table" w:styleId="130">
    <w:name w:val="Table Web 2"/>
    <w:basedOn w:val="88"/>
    <w:semiHidden/>
    <w:qFormat/>
    <w:uiPriority w:val="0"/>
    <w:pPr>
      <w:widowControl w:val="0"/>
      <w:spacing w:line="490" w:lineRule="exact"/>
      <w:ind w:firstLine="200" w:firstLineChars="20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op w:val="nil"/>
          <w:left w:val="nil"/>
          <w:bottom w:val="nil"/>
          <w:right w:val="nil"/>
          <w:insideH w:val="nil"/>
          <w:insideV w:val="nil"/>
          <w:tl2br w:val="nil"/>
          <w:tr2bl w:val="nil"/>
        </w:tcBorders>
      </w:tcPr>
    </w:tblStylePr>
  </w:style>
  <w:style w:type="table" w:styleId="131">
    <w:name w:val="Table Web 3"/>
    <w:basedOn w:val="88"/>
    <w:semiHidden/>
    <w:qFormat/>
    <w:uiPriority w:val="0"/>
    <w:pPr>
      <w:widowControl w:val="0"/>
      <w:spacing w:line="490" w:lineRule="exact"/>
      <w:ind w:firstLine="200" w:firstLineChars="20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op w:val="nil"/>
          <w:left w:val="nil"/>
          <w:bottom w:val="nil"/>
          <w:right w:val="nil"/>
          <w:insideH w:val="nil"/>
          <w:insideV w:val="nil"/>
          <w:tl2br w:val="nil"/>
          <w:tr2bl w:val="nil"/>
        </w:tcBorders>
      </w:tcPr>
    </w:tblStylePr>
  </w:style>
  <w:style w:type="table" w:styleId="132">
    <w:name w:val="Table Professional"/>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auto"/>
      </w:rPr>
      <w:tblPr>
        <w:tblLayout w:type="fixed"/>
      </w:tblPr>
      <w:tcPr>
        <w:tcBorders>
          <w:top w:val="nil"/>
          <w:left w:val="nil"/>
          <w:bottom w:val="nil"/>
          <w:right w:val="nil"/>
          <w:insideH w:val="nil"/>
          <w:insideV w:val="nil"/>
          <w:tl2br w:val="nil"/>
          <w:tr2bl w:val="nil"/>
        </w:tcBorders>
        <w:shd w:val="solid" w:color="000000" w:fill="FFFFFF"/>
      </w:tcPr>
    </w:tblStylePr>
  </w:style>
  <w:style w:type="character" w:styleId="134">
    <w:name w:val="Strong"/>
    <w:qFormat/>
    <w:uiPriority w:val="0"/>
    <w:rPr>
      <w:b/>
    </w:rPr>
  </w:style>
  <w:style w:type="character" w:styleId="135">
    <w:name w:val="endnote reference"/>
    <w:unhideWhenUsed/>
    <w:qFormat/>
    <w:uiPriority w:val="0"/>
    <w:rPr>
      <w:vertAlign w:val="superscript"/>
    </w:rPr>
  </w:style>
  <w:style w:type="character" w:styleId="136">
    <w:name w:val="page number"/>
    <w:basedOn w:val="133"/>
    <w:qFormat/>
    <w:uiPriority w:val="0"/>
  </w:style>
  <w:style w:type="character" w:styleId="137">
    <w:name w:val="FollowedHyperlink"/>
    <w:qFormat/>
    <w:uiPriority w:val="99"/>
    <w:rPr>
      <w:color w:val="800080"/>
      <w:u w:val="single"/>
    </w:rPr>
  </w:style>
  <w:style w:type="character" w:styleId="138">
    <w:name w:val="Emphasis"/>
    <w:qFormat/>
    <w:uiPriority w:val="0"/>
    <w:rPr>
      <w:color w:val="CC0000"/>
    </w:rPr>
  </w:style>
  <w:style w:type="character" w:styleId="139">
    <w:name w:val="line number"/>
    <w:basedOn w:val="133"/>
    <w:qFormat/>
    <w:uiPriority w:val="0"/>
  </w:style>
  <w:style w:type="character" w:styleId="140">
    <w:name w:val="HTML Definition"/>
    <w:qFormat/>
    <w:uiPriority w:val="0"/>
    <w:rPr>
      <w:i/>
      <w:iCs/>
    </w:rPr>
  </w:style>
  <w:style w:type="character" w:styleId="141">
    <w:name w:val="HTML Typewriter"/>
    <w:qFormat/>
    <w:uiPriority w:val="0"/>
    <w:rPr>
      <w:rFonts w:ascii="宋体" w:hAnsi="宋体" w:eastAsia="宋体" w:cs="宋体"/>
      <w:sz w:val="24"/>
      <w:szCs w:val="24"/>
    </w:rPr>
  </w:style>
  <w:style w:type="character" w:styleId="142">
    <w:name w:val="HTML Acronym"/>
    <w:basedOn w:val="133"/>
    <w:qFormat/>
    <w:uiPriority w:val="0"/>
  </w:style>
  <w:style w:type="character" w:styleId="143">
    <w:name w:val="HTML Variable"/>
    <w:qFormat/>
    <w:uiPriority w:val="0"/>
    <w:rPr>
      <w:i/>
      <w:iCs/>
    </w:rPr>
  </w:style>
  <w:style w:type="character" w:styleId="144">
    <w:name w:val="Hyperlink"/>
    <w:qFormat/>
    <w:uiPriority w:val="99"/>
    <w:rPr>
      <w:color w:val="0000FF"/>
      <w:u w:val="single"/>
    </w:rPr>
  </w:style>
  <w:style w:type="character" w:styleId="145">
    <w:name w:val="HTML Code"/>
    <w:qFormat/>
    <w:uiPriority w:val="0"/>
    <w:rPr>
      <w:rFonts w:ascii="Courier New" w:hAnsi="Courier New" w:cs="Courier New"/>
      <w:sz w:val="20"/>
      <w:szCs w:val="20"/>
    </w:rPr>
  </w:style>
  <w:style w:type="character" w:styleId="146">
    <w:name w:val="annotation reference"/>
    <w:qFormat/>
    <w:uiPriority w:val="99"/>
    <w:rPr>
      <w:sz w:val="21"/>
    </w:rPr>
  </w:style>
  <w:style w:type="character" w:styleId="147">
    <w:name w:val="HTML Cite"/>
    <w:qFormat/>
    <w:uiPriority w:val="0"/>
    <w:rPr>
      <w:i/>
      <w:iCs/>
    </w:rPr>
  </w:style>
  <w:style w:type="character" w:styleId="148">
    <w:name w:val="footnote reference"/>
    <w:qFormat/>
    <w:uiPriority w:val="0"/>
    <w:rPr>
      <w:vertAlign w:val="superscript"/>
    </w:rPr>
  </w:style>
  <w:style w:type="character" w:styleId="149">
    <w:name w:val="HTML Keyboard"/>
    <w:qFormat/>
    <w:uiPriority w:val="0"/>
    <w:rPr>
      <w:rFonts w:ascii="Courier New" w:hAnsi="Courier New" w:cs="Courier New"/>
      <w:sz w:val="20"/>
      <w:szCs w:val="20"/>
    </w:rPr>
  </w:style>
  <w:style w:type="character" w:styleId="150">
    <w:name w:val="HTML Sample"/>
    <w:qFormat/>
    <w:uiPriority w:val="0"/>
    <w:rPr>
      <w:rFonts w:ascii="Courier New" w:hAnsi="Courier New" w:cs="Courier New"/>
    </w:rPr>
  </w:style>
  <w:style w:type="character" w:customStyle="1" w:styleId="151">
    <w:name w:val="标题 2 Char"/>
    <w:link w:val="4"/>
    <w:qFormat/>
    <w:uiPriority w:val="9"/>
    <w:rPr>
      <w:rFonts w:ascii="黑体" w:hAnsi="Arial" w:eastAsia="黑体"/>
      <w:kern w:val="2"/>
      <w:sz w:val="28"/>
      <w:lang w:bidi="ar-SA"/>
    </w:rPr>
  </w:style>
  <w:style w:type="character" w:customStyle="1" w:styleId="152">
    <w:name w:val="标题 3 Char"/>
    <w:link w:val="6"/>
    <w:qFormat/>
    <w:uiPriority w:val="9"/>
    <w:rPr>
      <w:rFonts w:ascii="仿宋_GB2312" w:eastAsia="仿宋_GB2312"/>
      <w:b/>
      <w:bCs/>
      <w:kern w:val="2"/>
      <w:sz w:val="24"/>
      <w:lang w:bidi="ar-SA"/>
    </w:rPr>
  </w:style>
  <w:style w:type="character" w:customStyle="1" w:styleId="153">
    <w:name w:val="at_4"/>
    <w:qFormat/>
    <w:uiPriority w:val="0"/>
    <w:rPr>
      <w:rFonts w:ascii="宋体" w:hAnsi="宋体" w:eastAsia="Arial" w:cs="宋体"/>
      <w:kern w:val="2"/>
      <w:sz w:val="24"/>
      <w:szCs w:val="24"/>
      <w:lang w:val="en-US" w:eastAsia="zh-CN" w:bidi="ar-SA"/>
    </w:rPr>
  </w:style>
  <w:style w:type="character" w:customStyle="1" w:styleId="154">
    <w:name w:val="Char Char13"/>
    <w:qFormat/>
    <w:uiPriority w:val="0"/>
    <w:rPr>
      <w:rFonts w:eastAsia="宋体"/>
      <w:kern w:val="2"/>
      <w:sz w:val="21"/>
      <w:szCs w:val="24"/>
      <w:lang w:val="en-US" w:eastAsia="zh-CN" w:bidi="ar-SA"/>
    </w:rPr>
  </w:style>
  <w:style w:type="character" w:customStyle="1" w:styleId="155">
    <w:name w:val="图表 Char Char"/>
    <w:link w:val="156"/>
    <w:qFormat/>
    <w:uiPriority w:val="0"/>
    <w:rPr>
      <w:rFonts w:eastAsia="宋体"/>
      <w:szCs w:val="24"/>
      <w:lang w:bidi="ar-SA"/>
    </w:rPr>
  </w:style>
  <w:style w:type="paragraph" w:customStyle="1" w:styleId="156">
    <w:name w:val="图表"/>
    <w:basedOn w:val="1"/>
    <w:link w:val="155"/>
    <w:qFormat/>
    <w:uiPriority w:val="0"/>
    <w:pPr>
      <w:jc w:val="center"/>
    </w:pPr>
    <w:rPr>
      <w:rFonts w:eastAsia="宋体"/>
      <w:kern w:val="0"/>
      <w:sz w:val="20"/>
      <w:szCs w:val="24"/>
    </w:rPr>
  </w:style>
  <w:style w:type="character" w:customStyle="1" w:styleId="157">
    <w:name w:val="标题1.1.1.1.1.1 Char"/>
    <w:qFormat/>
    <w:uiPriority w:val="0"/>
    <w:rPr>
      <w:rFonts w:ascii="Arial" w:hAnsi="Arial" w:eastAsia="黑体"/>
      <w:b/>
      <w:bCs/>
      <w:kern w:val="2"/>
      <w:sz w:val="24"/>
      <w:szCs w:val="24"/>
      <w:lang w:val="en-US" w:eastAsia="zh-CN" w:bidi="ar-SA"/>
    </w:rPr>
  </w:style>
  <w:style w:type="character" w:customStyle="1" w:styleId="158">
    <w:name w:val="1正文段落 Char"/>
    <w:link w:val="159"/>
    <w:qFormat/>
    <w:uiPriority w:val="0"/>
    <w:rPr>
      <w:snapToGrid/>
      <w:sz w:val="24"/>
      <w:szCs w:val="24"/>
      <w:lang w:bidi="ar-SA"/>
    </w:rPr>
  </w:style>
  <w:style w:type="paragraph" w:customStyle="1" w:styleId="159">
    <w:name w:val="1正文段落"/>
    <w:basedOn w:val="1"/>
    <w:link w:val="158"/>
    <w:qFormat/>
    <w:uiPriority w:val="0"/>
    <w:pPr>
      <w:spacing w:line="360" w:lineRule="auto"/>
      <w:ind w:firstLine="480" w:firstLineChars="200"/>
      <w:jc w:val="left"/>
    </w:pPr>
    <w:rPr>
      <w:rFonts w:eastAsia="宋体"/>
      <w:kern w:val="0"/>
      <w:sz w:val="24"/>
      <w:szCs w:val="24"/>
    </w:rPr>
  </w:style>
  <w:style w:type="character" w:customStyle="1" w:styleId="160">
    <w:name w:val="正文文档 Char"/>
    <w:link w:val="161"/>
    <w:qFormat/>
    <w:uiPriority w:val="0"/>
    <w:rPr>
      <w:sz w:val="24"/>
      <w:szCs w:val="24"/>
      <w:lang w:bidi="ar-SA"/>
    </w:rPr>
  </w:style>
  <w:style w:type="paragraph" w:customStyle="1" w:styleId="161">
    <w:name w:val="正文文档"/>
    <w:basedOn w:val="1"/>
    <w:link w:val="160"/>
    <w:qFormat/>
    <w:uiPriority w:val="0"/>
    <w:pPr>
      <w:spacing w:line="360" w:lineRule="auto"/>
      <w:ind w:firstLine="480" w:firstLineChars="200"/>
    </w:pPr>
    <w:rPr>
      <w:rFonts w:eastAsia="Times New Roman"/>
      <w:kern w:val="0"/>
      <w:sz w:val="24"/>
      <w:szCs w:val="24"/>
    </w:rPr>
  </w:style>
  <w:style w:type="character" w:customStyle="1" w:styleId="162">
    <w:name w:val="标题章 Char"/>
    <w:qFormat/>
    <w:uiPriority w:val="0"/>
    <w:rPr>
      <w:rFonts w:eastAsia="宋体"/>
      <w:b/>
      <w:kern w:val="44"/>
      <w:sz w:val="36"/>
      <w:lang w:bidi="ar-SA"/>
    </w:rPr>
  </w:style>
  <w:style w:type="character" w:customStyle="1" w:styleId="163">
    <w:name w:val="news1"/>
    <w:qFormat/>
    <w:uiPriority w:val="0"/>
    <w:rPr>
      <w:sz w:val="20"/>
      <w:szCs w:val="20"/>
    </w:rPr>
  </w:style>
  <w:style w:type="character" w:customStyle="1" w:styleId="164">
    <w:name w:val="无页眉 Char1"/>
    <w:qFormat/>
    <w:uiPriority w:val="99"/>
    <w:rPr>
      <w:rFonts w:eastAsia="仿宋_GB2312"/>
      <w:kern w:val="2"/>
      <w:sz w:val="18"/>
      <w:lang w:val="en-US" w:eastAsia="zh-CN" w:bidi="ar-SA"/>
    </w:rPr>
  </w:style>
  <w:style w:type="character" w:customStyle="1" w:styleId="165">
    <w:name w:val="3标题(治) Char"/>
    <w:link w:val="166"/>
    <w:qFormat/>
    <w:uiPriority w:val="0"/>
    <w:rPr>
      <w:rFonts w:eastAsia="宋体"/>
      <w:b/>
      <w:kern w:val="2"/>
      <w:sz w:val="28"/>
      <w:szCs w:val="28"/>
      <w:lang w:val="zh-CN" w:bidi="ar-SA"/>
    </w:rPr>
  </w:style>
  <w:style w:type="paragraph" w:customStyle="1" w:styleId="166">
    <w:name w:val="3标题(治)"/>
    <w:basedOn w:val="6"/>
    <w:link w:val="165"/>
    <w:qFormat/>
    <w:uiPriority w:val="0"/>
    <w:pPr>
      <w:tabs>
        <w:tab w:val="left" w:pos="142"/>
        <w:tab w:val="left" w:pos="284"/>
        <w:tab w:val="left" w:pos="709"/>
        <w:tab w:val="left" w:pos="1134"/>
      </w:tabs>
      <w:adjustRightInd w:val="0"/>
      <w:snapToGrid w:val="0"/>
      <w:spacing w:before="0" w:after="0" w:line="500" w:lineRule="exact"/>
      <w:ind w:left="1518" w:hanging="1518" w:hangingChars="540"/>
      <w:jc w:val="left"/>
      <w:textAlignment w:val="baseline"/>
    </w:pPr>
    <w:rPr>
      <w:rFonts w:ascii="Times New Roman" w:eastAsia="宋体"/>
      <w:bCs w:val="0"/>
      <w:sz w:val="28"/>
      <w:szCs w:val="28"/>
      <w:lang w:val="zh-CN"/>
    </w:rPr>
  </w:style>
  <w:style w:type="character" w:customStyle="1" w:styleId="167">
    <w:name w:val="正文文字缩进 2 Char3"/>
    <w:qFormat/>
    <w:uiPriority w:val="0"/>
    <w:rPr>
      <w:rFonts w:ascii="宋体" w:hAnsi="宋体"/>
      <w:kern w:val="2"/>
      <w:sz w:val="24"/>
    </w:rPr>
  </w:style>
  <w:style w:type="character" w:customStyle="1" w:styleId="168">
    <w:name w:val="报告正文 Char"/>
    <w:qFormat/>
    <w:uiPriority w:val="0"/>
    <w:rPr>
      <w:rFonts w:eastAsia="宋体"/>
      <w:color w:val="000000"/>
      <w:kern w:val="2"/>
      <w:sz w:val="24"/>
      <w:szCs w:val="24"/>
      <w:lang w:val="en-US" w:eastAsia="zh-CN" w:bidi="ar-SA"/>
    </w:rPr>
  </w:style>
  <w:style w:type="character" w:customStyle="1" w:styleId="169">
    <w:name w:val="Char Char8"/>
    <w:qFormat/>
    <w:uiPriority w:val="0"/>
    <w:rPr>
      <w:rFonts w:eastAsia="宋体"/>
      <w:kern w:val="2"/>
      <w:sz w:val="21"/>
      <w:szCs w:val="24"/>
      <w:lang w:val="en-US" w:eastAsia="zh-CN" w:bidi="ar-SA"/>
    </w:rPr>
  </w:style>
  <w:style w:type="character" w:customStyle="1" w:styleId="170">
    <w:name w:val="表格标题2 Char"/>
    <w:link w:val="171"/>
    <w:qFormat/>
    <w:uiPriority w:val="0"/>
    <w:rPr>
      <w:rFonts w:ascii="Arial" w:hAnsi="Arial" w:eastAsia="黑体"/>
      <w:b/>
      <w:sz w:val="24"/>
      <w:lang w:val="en-US" w:eastAsia="zh-CN" w:bidi="ar-SA"/>
    </w:rPr>
  </w:style>
  <w:style w:type="paragraph" w:customStyle="1" w:styleId="171">
    <w:name w:val="表格标题2"/>
    <w:basedOn w:val="1"/>
    <w:link w:val="170"/>
    <w:qFormat/>
    <w:uiPriority w:val="0"/>
    <w:pPr>
      <w:keepNext/>
      <w:widowControl/>
      <w:overflowPunct w:val="0"/>
      <w:adjustRightInd w:val="0"/>
      <w:snapToGrid w:val="0"/>
      <w:spacing w:before="360" w:after="120" w:line="480" w:lineRule="exact"/>
      <w:jc w:val="center"/>
      <w:textAlignment w:val="baseline"/>
    </w:pPr>
    <w:rPr>
      <w:rFonts w:ascii="Arial" w:hAnsi="Arial" w:eastAsia="黑体"/>
      <w:b/>
      <w:kern w:val="0"/>
      <w:sz w:val="24"/>
    </w:rPr>
  </w:style>
  <w:style w:type="character" w:customStyle="1" w:styleId="172">
    <w:name w:val="表头 Char2"/>
    <w:qFormat/>
    <w:uiPriority w:val="0"/>
    <w:rPr>
      <w:rFonts w:ascii="宋体"/>
      <w:spacing w:val="10"/>
      <w:sz w:val="24"/>
      <w:lang w:val="en-US" w:eastAsia="zh-CN" w:bidi="ar-SA"/>
    </w:rPr>
  </w:style>
  <w:style w:type="character" w:customStyle="1" w:styleId="173">
    <w:name w:val="正文首行缩进 Char2 Char"/>
    <w:qFormat/>
    <w:uiPriority w:val="0"/>
    <w:rPr>
      <w:rFonts w:ascii="宋体" w:hAnsi="Times New Roman" w:eastAsia="宋体" w:cs="Times New Roman"/>
      <w:kern w:val="2"/>
      <w:sz w:val="24"/>
      <w:szCs w:val="20"/>
      <w:lang w:val="en-US" w:eastAsia="zh-CN" w:bidi="ar-SA"/>
    </w:rPr>
  </w:style>
  <w:style w:type="character" w:customStyle="1" w:styleId="174">
    <w:name w:val="样式 题注 + 首行缩进:  2 字符 Char"/>
    <w:semiHidden/>
    <w:qFormat/>
    <w:uiPriority w:val="0"/>
    <w:rPr>
      <w:rFonts w:ascii="Arial" w:hAnsi="Arial" w:eastAsia="黑体" w:cs="宋体"/>
      <w:bCs/>
      <w:snapToGrid/>
      <w:sz w:val="21"/>
      <w:szCs w:val="28"/>
      <w:lang w:val="en-US" w:eastAsia="zh-CN" w:bidi="ar-SA"/>
    </w:rPr>
  </w:style>
  <w:style w:type="character" w:customStyle="1" w:styleId="175">
    <w:name w:val="tit"/>
    <w:basedOn w:val="133"/>
    <w:qFormat/>
    <w:uiPriority w:val="0"/>
  </w:style>
  <w:style w:type="character" w:customStyle="1" w:styleId="176">
    <w:name w:val="HTML Markup"/>
    <w:qFormat/>
    <w:uiPriority w:val="0"/>
    <w:rPr>
      <w:vanish/>
      <w:color w:val="FF0000"/>
    </w:rPr>
  </w:style>
  <w:style w:type="character" w:customStyle="1" w:styleId="177">
    <w:name w:val="题注 Char Char"/>
    <w:qFormat/>
    <w:uiPriority w:val="0"/>
    <w:rPr>
      <w:rFonts w:ascii="Arial" w:hAnsi="Arial" w:eastAsia="黑体" w:cs="Arial"/>
      <w:kern w:val="2"/>
    </w:rPr>
  </w:style>
  <w:style w:type="character" w:customStyle="1" w:styleId="178">
    <w:name w:val="lux 表格 标题 Char Char"/>
    <w:link w:val="179"/>
    <w:qFormat/>
    <w:uiPriority w:val="0"/>
    <w:rPr>
      <w:rFonts w:eastAsia="黑体"/>
      <w:bCs/>
      <w:kern w:val="2"/>
      <w:sz w:val="24"/>
      <w:szCs w:val="21"/>
      <w:lang w:val="en-US" w:eastAsia="zh-CN" w:bidi="ar-SA"/>
    </w:rPr>
  </w:style>
  <w:style w:type="paragraph" w:customStyle="1" w:styleId="179">
    <w:name w:val="lux 表格 标题"/>
    <w:next w:val="1"/>
    <w:link w:val="178"/>
    <w:qFormat/>
    <w:uiPriority w:val="0"/>
    <w:pPr>
      <w:spacing w:beforeLines="50" w:afterLines="50" w:line="360" w:lineRule="auto"/>
      <w:ind w:firstLine="482"/>
      <w:jc w:val="center"/>
    </w:pPr>
    <w:rPr>
      <w:rFonts w:ascii="Times New Roman" w:hAnsi="Times New Roman" w:eastAsia="黑体" w:cs="Times New Roman"/>
      <w:bCs/>
      <w:kern w:val="2"/>
      <w:sz w:val="24"/>
      <w:szCs w:val="21"/>
      <w:lang w:val="en-US" w:eastAsia="zh-CN" w:bidi="ar-SA"/>
    </w:rPr>
  </w:style>
  <w:style w:type="character" w:customStyle="1" w:styleId="180">
    <w:name w:val="样式 正文缩进首行缩进两字标题4正文不缩进s4正文（首行缩进两字） Char Char Char Char Char ... Char Char"/>
    <w:qFormat/>
    <w:uiPriority w:val="0"/>
    <w:rPr>
      <w:rFonts w:ascii="Arial" w:hAnsi="Arial" w:eastAsia="宋体" w:cs="Arial"/>
      <w:color w:val="000000"/>
      <w:spacing w:val="10"/>
      <w:kern w:val="2"/>
      <w:sz w:val="24"/>
      <w:szCs w:val="24"/>
      <w:lang w:val="en-US" w:eastAsia="zh-CN" w:bidi="ar-SA"/>
    </w:rPr>
  </w:style>
  <w:style w:type="character" w:customStyle="1" w:styleId="181">
    <w:name w:val="text11"/>
    <w:semiHidden/>
    <w:qFormat/>
    <w:uiPriority w:val="0"/>
    <w:rPr>
      <w:sz w:val="18"/>
      <w:szCs w:val="18"/>
    </w:rPr>
  </w:style>
  <w:style w:type="character" w:customStyle="1" w:styleId="182">
    <w:name w:val="正文首行缩进2个字 Char Char"/>
    <w:link w:val="183"/>
    <w:qFormat/>
    <w:uiPriority w:val="0"/>
    <w:rPr>
      <w:rFonts w:ascii="宋体" w:hAnsi="宋体" w:eastAsia="宋体" w:cs="宋体"/>
      <w:kern w:val="2"/>
      <w:sz w:val="24"/>
      <w:szCs w:val="24"/>
      <w:lang w:val="en-US" w:eastAsia="zh-CN" w:bidi="ar-SA"/>
    </w:rPr>
  </w:style>
  <w:style w:type="paragraph" w:customStyle="1" w:styleId="183">
    <w:name w:val="正文首行缩进2个字"/>
    <w:basedOn w:val="1"/>
    <w:link w:val="182"/>
    <w:qFormat/>
    <w:uiPriority w:val="0"/>
    <w:pPr>
      <w:spacing w:line="360" w:lineRule="auto"/>
      <w:ind w:firstLine="480" w:firstLineChars="200"/>
    </w:pPr>
    <w:rPr>
      <w:rFonts w:ascii="宋体" w:hAnsi="宋体" w:eastAsia="宋体" w:cs="宋体"/>
      <w:sz w:val="24"/>
      <w:szCs w:val="24"/>
    </w:rPr>
  </w:style>
  <w:style w:type="character" w:customStyle="1" w:styleId="184">
    <w:name w:val="标题 3 Char Char3"/>
    <w:qFormat/>
    <w:uiPriority w:val="0"/>
    <w:rPr>
      <w:rFonts w:eastAsia="宋体"/>
      <w:b/>
      <w:bCs/>
      <w:kern w:val="2"/>
      <w:sz w:val="28"/>
      <w:lang w:val="en-US" w:eastAsia="zh-CN" w:bidi="ar-SA"/>
    </w:rPr>
  </w:style>
  <w:style w:type="character" w:customStyle="1" w:styleId="185">
    <w:name w:val="样式 (中文) 仿宋_GB2312 小三"/>
    <w:semiHidden/>
    <w:qFormat/>
    <w:uiPriority w:val="0"/>
    <w:rPr>
      <w:rFonts w:eastAsia="仿宋_GB2312"/>
      <w:sz w:val="28"/>
    </w:rPr>
  </w:style>
  <w:style w:type="character" w:customStyle="1" w:styleId="186">
    <w:name w:val="large1"/>
    <w:qFormat/>
    <w:uiPriority w:val="0"/>
    <w:rPr>
      <w:rFonts w:hint="eastAsia" w:ascii="宋体" w:hAnsi="宋体" w:eastAsia="宋体"/>
      <w:sz w:val="30"/>
      <w:szCs w:val="30"/>
    </w:rPr>
  </w:style>
  <w:style w:type="character" w:customStyle="1" w:styleId="187">
    <w:name w:val="样式 (中文) 黑体 小四 加粗"/>
    <w:qFormat/>
    <w:uiPriority w:val="0"/>
    <w:rPr>
      <w:rFonts w:eastAsia="黑体"/>
      <w:bCs/>
      <w:sz w:val="24"/>
    </w:rPr>
  </w:style>
  <w:style w:type="character" w:customStyle="1" w:styleId="188">
    <w:name w:val="表题 Char Char Char"/>
    <w:link w:val="189"/>
    <w:qFormat/>
    <w:uiPriority w:val="0"/>
    <w:rPr>
      <w:rFonts w:ascii="黑体" w:hAnsi="宋体" w:eastAsia="黑体" w:cs="宋体"/>
      <w:bCs/>
      <w:sz w:val="24"/>
      <w:szCs w:val="24"/>
      <w:lang w:val="en-US" w:eastAsia="zh-CN" w:bidi="ar-SA"/>
    </w:rPr>
  </w:style>
  <w:style w:type="paragraph" w:customStyle="1" w:styleId="189">
    <w:name w:val="表题 Char Char"/>
    <w:basedOn w:val="1"/>
    <w:link w:val="188"/>
    <w:qFormat/>
    <w:uiPriority w:val="0"/>
    <w:pPr>
      <w:widowControl/>
      <w:spacing w:line="360" w:lineRule="auto"/>
      <w:jc w:val="center"/>
    </w:pPr>
    <w:rPr>
      <w:rFonts w:ascii="黑体" w:hAnsi="宋体" w:eastAsia="黑体" w:cs="宋体"/>
      <w:bCs/>
      <w:kern w:val="0"/>
      <w:sz w:val="24"/>
      <w:szCs w:val="24"/>
    </w:rPr>
  </w:style>
  <w:style w:type="character" w:customStyle="1" w:styleId="190">
    <w:name w:val="宗兴正文 Char"/>
    <w:link w:val="191"/>
    <w:qFormat/>
    <w:uiPriority w:val="0"/>
    <w:rPr>
      <w:rFonts w:eastAsia="宋体"/>
      <w:kern w:val="2"/>
      <w:sz w:val="24"/>
      <w:szCs w:val="24"/>
      <w:lang w:bidi="ar-SA"/>
    </w:rPr>
  </w:style>
  <w:style w:type="paragraph" w:customStyle="1" w:styleId="191">
    <w:name w:val="宗兴正文"/>
    <w:basedOn w:val="1"/>
    <w:link w:val="190"/>
    <w:qFormat/>
    <w:uiPriority w:val="0"/>
    <w:pPr>
      <w:spacing w:before="93" w:after="93" w:line="360" w:lineRule="auto"/>
      <w:ind w:firstLine="480" w:firstLineChars="200"/>
    </w:pPr>
    <w:rPr>
      <w:rFonts w:eastAsia="宋体"/>
      <w:sz w:val="24"/>
      <w:szCs w:val="24"/>
    </w:rPr>
  </w:style>
  <w:style w:type="character" w:customStyle="1" w:styleId="192">
    <w:name w:val="章节标题 Char"/>
    <w:qFormat/>
    <w:uiPriority w:val="0"/>
    <w:rPr>
      <w:rFonts w:eastAsia="楷体_GB2312"/>
      <w:b/>
      <w:bCs/>
      <w:kern w:val="44"/>
      <w:sz w:val="44"/>
      <w:szCs w:val="44"/>
      <w:lang w:val="en-US" w:eastAsia="zh-CN" w:bidi="ar-SA"/>
    </w:rPr>
  </w:style>
  <w:style w:type="character" w:customStyle="1" w:styleId="193">
    <w:name w:val="样式 7表格(治) + (中文) 黑体 加粗 Char"/>
    <w:link w:val="194"/>
    <w:qFormat/>
    <w:uiPriority w:val="0"/>
    <w:rPr>
      <w:rFonts w:eastAsia="宋体"/>
      <w:bCs/>
      <w:color w:val="000000"/>
      <w:kern w:val="2"/>
      <w:sz w:val="24"/>
      <w:lang w:bidi="ar-SA"/>
    </w:rPr>
  </w:style>
  <w:style w:type="paragraph" w:customStyle="1" w:styleId="194">
    <w:name w:val="样式 7表格(治) + (中文) 黑体 加粗"/>
    <w:basedOn w:val="195"/>
    <w:link w:val="193"/>
    <w:qFormat/>
    <w:uiPriority w:val="0"/>
    <w:rPr>
      <w:rFonts w:hAnsi="Times New Roman" w:eastAsia="宋体"/>
      <w:bCs/>
      <w:kern w:val="2"/>
      <w:szCs w:val="20"/>
    </w:rPr>
  </w:style>
  <w:style w:type="paragraph" w:customStyle="1" w:styleId="195">
    <w:name w:val="7表格(治)"/>
    <w:link w:val="531"/>
    <w:qFormat/>
    <w:uiPriority w:val="0"/>
    <w:pPr>
      <w:spacing w:line="440" w:lineRule="exact"/>
      <w:ind w:firstLine="600" w:firstLineChars="250"/>
    </w:pPr>
    <w:rPr>
      <w:rFonts w:ascii="Times New Roman" w:hAnsi="宋体" w:eastAsia="Times New Roman" w:cs="Times New Roman"/>
      <w:color w:val="000000"/>
      <w:sz w:val="24"/>
      <w:szCs w:val="24"/>
      <w:lang w:val="en-US" w:eastAsia="zh-CN" w:bidi="ar-SA"/>
    </w:rPr>
  </w:style>
  <w:style w:type="character" w:customStyle="1" w:styleId="196">
    <w:name w:val="Job"/>
    <w:basedOn w:val="133"/>
    <w:qFormat/>
    <w:uiPriority w:val="0"/>
  </w:style>
  <w:style w:type="character" w:customStyle="1" w:styleId="197">
    <w:name w:val="标题（一） Char"/>
    <w:qFormat/>
    <w:uiPriority w:val="0"/>
    <w:rPr>
      <w:rFonts w:eastAsia="仿宋_GB2312"/>
      <w:b/>
      <w:bCs/>
      <w:kern w:val="2"/>
      <w:sz w:val="21"/>
      <w:szCs w:val="28"/>
      <w:lang w:val="en-US" w:eastAsia="zh-CN" w:bidi="ar-SA"/>
    </w:rPr>
  </w:style>
  <w:style w:type="character" w:customStyle="1" w:styleId="198">
    <w:name w:val="标题 2 Char Char1"/>
    <w:qFormat/>
    <w:uiPriority w:val="0"/>
    <w:rPr>
      <w:rFonts w:ascii="黑体" w:hAnsi="Arial" w:eastAsia="黑体"/>
      <w:kern w:val="2"/>
      <w:sz w:val="28"/>
      <w:lang w:bidi="ar-SA"/>
    </w:rPr>
  </w:style>
  <w:style w:type="character" w:customStyle="1" w:styleId="199">
    <w:name w:val="样式 标题 4款标题1.1.1.1标题 4 Char Char标题 4 Char四表格1目H4H41L4Mi...3 Char"/>
    <w:link w:val="200"/>
    <w:qFormat/>
    <w:uiPriority w:val="0"/>
    <w:rPr>
      <w:rFonts w:ascii="宋体" w:hAnsi="宋体" w:eastAsia="宋体" w:cs="宋体"/>
      <w:b/>
      <w:bCs/>
      <w:color w:val="000000"/>
      <w:kern w:val="2"/>
      <w:sz w:val="24"/>
      <w:szCs w:val="24"/>
      <w:lang w:val="en-US" w:eastAsia="zh-CN" w:bidi="ar-SA"/>
    </w:rPr>
  </w:style>
  <w:style w:type="paragraph" w:customStyle="1" w:styleId="200">
    <w:name w:val="样式 标题 4款标题1.1.1.1标题 4 Char Char标题 4 Char四表格1目H4H41L4Mi...3"/>
    <w:basedOn w:val="7"/>
    <w:link w:val="199"/>
    <w:qFormat/>
    <w:uiPriority w:val="0"/>
    <w:pPr>
      <w:keepLines w:val="0"/>
      <w:adjustRightInd w:val="0"/>
      <w:snapToGrid w:val="0"/>
      <w:spacing w:line="360" w:lineRule="auto"/>
      <w:ind w:left="1334" w:leftChars="200"/>
      <w:textAlignment w:val="baseline"/>
    </w:pPr>
    <w:rPr>
      <w:rFonts w:ascii="宋体" w:hAnsi="宋体" w:eastAsia="宋体"/>
      <w:bCs/>
      <w:kern w:val="0"/>
    </w:rPr>
  </w:style>
  <w:style w:type="character" w:customStyle="1" w:styleId="201">
    <w:name w:val="标题 4 Char Char Char"/>
    <w:qFormat/>
    <w:uiPriority w:val="0"/>
    <w:rPr>
      <w:rFonts w:ascii="Arial" w:hAnsi="Arial" w:eastAsia="仿宋_GB2312"/>
      <w:b/>
      <w:color w:val="000000"/>
      <w:kern w:val="2"/>
      <w:sz w:val="24"/>
      <w:lang w:bidi="ar-SA"/>
    </w:rPr>
  </w:style>
  <w:style w:type="character" w:customStyle="1" w:styleId="202">
    <w:name w:val="原文22"/>
    <w:semiHidden/>
    <w:qFormat/>
    <w:uiPriority w:val="0"/>
    <w:rPr>
      <w:rFonts w:ascii="Times New Roman" w:hAnsi="Times New Roman"/>
      <w:color w:val="0000FF"/>
      <w:kern w:val="22"/>
      <w:sz w:val="22"/>
    </w:rPr>
  </w:style>
  <w:style w:type="character" w:customStyle="1" w:styleId="203">
    <w:name w:val="正文文字 2 Char"/>
    <w:qFormat/>
    <w:uiPriority w:val="0"/>
    <w:rPr>
      <w:rFonts w:ascii="Arial" w:hAnsi="Arial" w:eastAsia="宋体" w:cs="Arial"/>
      <w:kern w:val="2"/>
      <w:sz w:val="21"/>
      <w:lang w:val="en-US" w:eastAsia="zh-CN" w:bidi="ar-SA"/>
    </w:rPr>
  </w:style>
  <w:style w:type="character" w:customStyle="1" w:styleId="204">
    <w:name w:val="Char Char37"/>
    <w:qFormat/>
    <w:uiPriority w:val="0"/>
    <w:rPr>
      <w:rFonts w:ascii="Arial" w:hAnsi="Arial" w:eastAsia="宋体" w:cs="Arial"/>
      <w:spacing w:val="10"/>
      <w:kern w:val="2"/>
      <w:sz w:val="24"/>
      <w:lang w:val="en-US" w:eastAsia="zh-CN" w:bidi="ar-SA"/>
    </w:rPr>
  </w:style>
  <w:style w:type="character" w:customStyle="1" w:styleId="205">
    <w:name w:val="样式 正文首行缩进 + 首行缩进:  2 字符 Char"/>
    <w:link w:val="206"/>
    <w:qFormat/>
    <w:uiPriority w:val="0"/>
    <w:rPr>
      <w:rFonts w:ascii="宋体" w:eastAsia="仿宋_GB2312" w:cs="宋体"/>
      <w:kern w:val="2"/>
      <w:sz w:val="28"/>
      <w:szCs w:val="28"/>
      <w:lang w:val="en-US" w:eastAsia="zh-CN" w:bidi="ar-SA"/>
    </w:rPr>
  </w:style>
  <w:style w:type="paragraph" w:customStyle="1" w:styleId="206">
    <w:name w:val="样式 正文首行缩进 + 首行缩进:  2 字符"/>
    <w:basedOn w:val="41"/>
    <w:link w:val="205"/>
    <w:qFormat/>
    <w:uiPriority w:val="0"/>
    <w:pPr>
      <w:spacing w:before="120" w:line="360" w:lineRule="auto"/>
      <w:ind w:firstLine="432" w:firstLineChars="200"/>
    </w:pPr>
    <w:rPr>
      <w:rFonts w:ascii="宋体" w:cs="宋体"/>
      <w:szCs w:val="28"/>
    </w:rPr>
  </w:style>
  <w:style w:type="character" w:customStyle="1" w:styleId="207">
    <w:name w:val="君邦正文 Char2"/>
    <w:link w:val="208"/>
    <w:qFormat/>
    <w:uiPriority w:val="0"/>
    <w:rPr>
      <w:bCs/>
      <w:sz w:val="24"/>
      <w:lang w:val="en-US" w:eastAsia="zh-CN" w:bidi="ar-SA"/>
    </w:rPr>
  </w:style>
  <w:style w:type="paragraph" w:customStyle="1" w:styleId="208">
    <w:name w:val="君邦正文"/>
    <w:link w:val="207"/>
    <w:qFormat/>
    <w:uiPriority w:val="0"/>
    <w:pPr>
      <w:spacing w:after="60" w:line="360" w:lineRule="auto"/>
      <w:ind w:firstLine="480" w:firstLineChars="200"/>
      <w:jc w:val="both"/>
    </w:pPr>
    <w:rPr>
      <w:rFonts w:ascii="Times New Roman" w:hAnsi="Times New Roman" w:eastAsia="宋体" w:cs="Times New Roman"/>
      <w:bCs/>
      <w:sz w:val="24"/>
      <w:lang w:val="en-US" w:eastAsia="zh-CN" w:bidi="ar-SA"/>
    </w:rPr>
  </w:style>
  <w:style w:type="character" w:customStyle="1" w:styleId="209">
    <w:name w:val="安评正文 Char"/>
    <w:link w:val="210"/>
    <w:semiHidden/>
    <w:qFormat/>
    <w:uiPriority w:val="0"/>
    <w:rPr>
      <w:rFonts w:eastAsia="宋体"/>
      <w:color w:val="000000"/>
      <w:kern w:val="2"/>
      <w:sz w:val="24"/>
      <w:lang w:bidi="ar-SA"/>
    </w:rPr>
  </w:style>
  <w:style w:type="paragraph" w:customStyle="1" w:styleId="210">
    <w:name w:val="安评正文"/>
    <w:basedOn w:val="1"/>
    <w:link w:val="209"/>
    <w:semiHidden/>
    <w:qFormat/>
    <w:uiPriority w:val="0"/>
    <w:pPr>
      <w:snapToGrid w:val="0"/>
      <w:spacing w:line="360" w:lineRule="auto"/>
      <w:ind w:firstLine="480" w:firstLineChars="200"/>
    </w:pPr>
    <w:rPr>
      <w:rFonts w:eastAsia="宋体"/>
      <w:color w:val="000000"/>
      <w:sz w:val="24"/>
    </w:rPr>
  </w:style>
  <w:style w:type="character" w:customStyle="1" w:styleId="211">
    <w:name w:val="Char1 Char Char"/>
    <w:qFormat/>
    <w:uiPriority w:val="0"/>
    <w:rPr>
      <w:rFonts w:ascii="Times New Roman" w:hAnsi="Times New Roman"/>
      <w:b/>
      <w:bCs/>
      <w:kern w:val="2"/>
      <w:sz w:val="24"/>
      <w:szCs w:val="24"/>
    </w:rPr>
  </w:style>
  <w:style w:type="character" w:customStyle="1" w:styleId="212">
    <w:name w:val="文本正文 Char"/>
    <w:link w:val="213"/>
    <w:qFormat/>
    <w:uiPriority w:val="0"/>
    <w:rPr>
      <w:rFonts w:eastAsia="宋体" w:cs="宋体"/>
      <w:kern w:val="2"/>
      <w:sz w:val="28"/>
      <w:szCs w:val="28"/>
      <w:lang w:val="en-US" w:eastAsia="zh-CN" w:bidi="ar-SA"/>
    </w:rPr>
  </w:style>
  <w:style w:type="paragraph" w:customStyle="1" w:styleId="213">
    <w:name w:val="文本正文"/>
    <w:basedOn w:val="1"/>
    <w:link w:val="212"/>
    <w:qFormat/>
    <w:uiPriority w:val="0"/>
    <w:pPr>
      <w:snapToGrid w:val="0"/>
      <w:spacing w:line="360" w:lineRule="auto"/>
      <w:ind w:firstLine="560" w:firstLineChars="200"/>
      <w:jc w:val="left"/>
    </w:pPr>
    <w:rPr>
      <w:rFonts w:eastAsia="宋体" w:cs="宋体"/>
      <w:szCs w:val="28"/>
    </w:rPr>
  </w:style>
  <w:style w:type="character" w:customStyle="1" w:styleId="214">
    <w:name w:val="标题 1 Char Char1 Char"/>
    <w:qFormat/>
    <w:uiPriority w:val="0"/>
    <w:rPr>
      <w:rFonts w:eastAsia="文鼎粗钢笔行楷"/>
      <w:b/>
      <w:bCs/>
      <w:kern w:val="44"/>
      <w:sz w:val="44"/>
      <w:szCs w:val="44"/>
      <w:lang w:val="en-US" w:eastAsia="zh-CN" w:bidi="ar-SA"/>
    </w:rPr>
  </w:style>
  <w:style w:type="character" w:customStyle="1" w:styleId="215">
    <w:name w:val="a章 Char Char"/>
    <w:link w:val="216"/>
    <w:qFormat/>
    <w:uiPriority w:val="0"/>
    <w:rPr>
      <w:rFonts w:ascii="黑体" w:hAnsi="宋体" w:eastAsia="黑体"/>
      <w:bCs/>
      <w:kern w:val="44"/>
      <w:sz w:val="24"/>
      <w:szCs w:val="44"/>
      <w:lang w:bidi="ar-SA"/>
    </w:rPr>
  </w:style>
  <w:style w:type="paragraph" w:customStyle="1" w:styleId="216">
    <w:name w:val="a章"/>
    <w:basedOn w:val="3"/>
    <w:next w:val="1"/>
    <w:link w:val="215"/>
    <w:qFormat/>
    <w:uiPriority w:val="0"/>
    <w:pPr>
      <w:keepNext w:val="0"/>
      <w:keepLines w:val="0"/>
      <w:pageBreakBefore w:val="0"/>
      <w:autoSpaceDE w:val="0"/>
      <w:autoSpaceDN w:val="0"/>
      <w:snapToGrid w:val="0"/>
      <w:spacing w:before="0" w:after="0" w:line="360" w:lineRule="auto"/>
      <w:ind w:left="0" w:firstLine="480" w:firstLineChars="200"/>
      <w:jc w:val="left"/>
    </w:pPr>
    <w:rPr>
      <w:rFonts w:ascii="黑体" w:hAnsi="宋体" w:eastAsia="黑体"/>
      <w:b w:val="0"/>
      <w:bCs/>
      <w:sz w:val="24"/>
      <w:szCs w:val="44"/>
    </w:rPr>
  </w:style>
  <w:style w:type="character" w:customStyle="1" w:styleId="217">
    <w:name w:val="样式20 Char"/>
    <w:link w:val="218"/>
    <w:qFormat/>
    <w:uiPriority w:val="0"/>
    <w:rPr>
      <w:rFonts w:hAnsi="宋体" w:eastAsia="宋体"/>
      <w:kern w:val="2"/>
      <w:sz w:val="24"/>
      <w:szCs w:val="24"/>
      <w:lang w:bidi="ar-SA"/>
    </w:rPr>
  </w:style>
  <w:style w:type="paragraph" w:customStyle="1" w:styleId="218">
    <w:name w:val="样式20"/>
    <w:basedOn w:val="1"/>
    <w:link w:val="217"/>
    <w:qFormat/>
    <w:uiPriority w:val="0"/>
    <w:pPr>
      <w:spacing w:line="360" w:lineRule="auto"/>
      <w:ind w:firstLine="480" w:firstLineChars="200"/>
    </w:pPr>
    <w:rPr>
      <w:rFonts w:hAnsi="宋体" w:eastAsia="宋体"/>
      <w:sz w:val="24"/>
      <w:szCs w:val="24"/>
    </w:rPr>
  </w:style>
  <w:style w:type="character" w:customStyle="1" w:styleId="219">
    <w:name w:val="正文文字缩进 3 Char1"/>
    <w:qFormat/>
    <w:uiPriority w:val="0"/>
    <w:rPr>
      <w:rFonts w:ascii="宋体" w:hAnsi="宋体" w:eastAsia="宋体"/>
      <w:color w:val="000000"/>
      <w:kern w:val="2"/>
      <w:sz w:val="24"/>
      <w:lang w:val="en-US" w:eastAsia="zh-CN" w:bidi="ar-SA"/>
    </w:rPr>
  </w:style>
  <w:style w:type="character" w:customStyle="1" w:styleId="220">
    <w:name w:val="项标题(1) Char1"/>
    <w:qFormat/>
    <w:uiPriority w:val="0"/>
    <w:rPr>
      <w:rFonts w:eastAsia="宋体"/>
      <w:b/>
      <w:bCs/>
      <w:kern w:val="2"/>
      <w:sz w:val="24"/>
      <w:szCs w:val="24"/>
      <w:lang w:val="en-US" w:eastAsia="zh-CN" w:bidi="ar-SA"/>
    </w:rPr>
  </w:style>
  <w:style w:type="character" w:customStyle="1" w:styleId="221">
    <w:name w:val="网格型c Char"/>
    <w:qFormat/>
    <w:uiPriority w:val="0"/>
    <w:rPr>
      <w:rFonts w:eastAsia="宋体"/>
      <w:kern w:val="2"/>
      <w:sz w:val="21"/>
      <w:szCs w:val="21"/>
      <w:lang w:val="en-US" w:eastAsia="zh-CN" w:bidi="ar-SA"/>
    </w:rPr>
  </w:style>
  <w:style w:type="character" w:customStyle="1" w:styleId="222">
    <w:name w:val="干标题(a) Char Char"/>
    <w:qFormat/>
    <w:uiPriority w:val="0"/>
    <w:rPr>
      <w:rFonts w:ascii="Arial" w:hAnsi="Arial" w:eastAsia="黑体"/>
      <w:spacing w:val="10"/>
      <w:sz w:val="24"/>
    </w:rPr>
  </w:style>
  <w:style w:type="character" w:customStyle="1" w:styleId="223">
    <w:name w:val="表头 Char"/>
    <w:link w:val="224"/>
    <w:qFormat/>
    <w:uiPriority w:val="0"/>
    <w:rPr>
      <w:rFonts w:ascii="宋体"/>
      <w:spacing w:val="10"/>
      <w:sz w:val="24"/>
      <w:lang w:val="en-US" w:eastAsia="zh-CN" w:bidi="ar-SA"/>
    </w:rPr>
  </w:style>
  <w:style w:type="paragraph" w:customStyle="1" w:styleId="224">
    <w:name w:val="表头"/>
    <w:link w:val="223"/>
    <w:qFormat/>
    <w:uiPriority w:val="0"/>
    <w:pPr>
      <w:spacing w:before="240" w:after="240"/>
      <w:jc w:val="center"/>
    </w:pPr>
    <w:rPr>
      <w:rFonts w:ascii="宋体" w:hAnsi="Times New Roman" w:eastAsia="宋体" w:cs="Times New Roman"/>
      <w:spacing w:val="10"/>
      <w:sz w:val="24"/>
      <w:lang w:val="en-US" w:eastAsia="zh-CN" w:bidi="ar-SA"/>
    </w:rPr>
  </w:style>
  <w:style w:type="character" w:customStyle="1" w:styleId="225">
    <w:name w:val=". [(iii)] Char Char"/>
    <w:qFormat/>
    <w:uiPriority w:val="0"/>
    <w:rPr>
      <w:rFonts w:ascii="Arial" w:hAnsi="Arial" w:eastAsia="黑体" w:cs="Times New Roman"/>
      <w:kern w:val="0"/>
      <w:sz w:val="24"/>
      <w:szCs w:val="20"/>
    </w:rPr>
  </w:style>
  <w:style w:type="character" w:customStyle="1" w:styleId="226">
    <w:name w:val="正文首行缩进 Char Char Char Char Char Char Char Char Char Char Char Char Char Char Char Char Char Char Char Char Char Char Char Char"/>
    <w:qFormat/>
    <w:uiPriority w:val="0"/>
    <w:rPr>
      <w:rFonts w:eastAsia="仿宋_GB2312"/>
      <w:kern w:val="2"/>
      <w:sz w:val="28"/>
      <w:lang w:val="en-US" w:eastAsia="zh-CN" w:bidi="ar-SA"/>
    </w:rPr>
  </w:style>
  <w:style w:type="character" w:customStyle="1" w:styleId="227">
    <w:name w:val="content_project11"/>
    <w:qFormat/>
    <w:uiPriority w:val="0"/>
    <w:rPr>
      <w:rFonts w:hint="default" w:ascii="ˎ̥" w:hAnsi="ˎ̥"/>
      <w:sz w:val="20"/>
      <w:szCs w:val="20"/>
    </w:rPr>
  </w:style>
  <w:style w:type="character" w:customStyle="1" w:styleId="228">
    <w:name w:val="批注文字 Char"/>
    <w:link w:val="28"/>
    <w:qFormat/>
    <w:uiPriority w:val="99"/>
    <w:rPr>
      <w:rFonts w:eastAsia="仿宋_GB2312"/>
      <w:kern w:val="2"/>
      <w:sz w:val="28"/>
      <w:lang w:val="en-US" w:eastAsia="zh-CN" w:bidi="ar-SA"/>
    </w:rPr>
  </w:style>
  <w:style w:type="character" w:customStyle="1" w:styleId="229">
    <w:name w:val="正文内容 Char"/>
    <w:link w:val="230"/>
    <w:qFormat/>
    <w:uiPriority w:val="0"/>
    <w:rPr>
      <w:rFonts w:ascii="仿宋_GB2312" w:eastAsia="仿宋_GB2312" w:cs="宋体"/>
      <w:kern w:val="2"/>
      <w:sz w:val="28"/>
      <w:lang w:val="en-US" w:eastAsia="zh-CN" w:bidi="ar-SA"/>
    </w:rPr>
  </w:style>
  <w:style w:type="paragraph" w:customStyle="1" w:styleId="230">
    <w:name w:val="正文内容"/>
    <w:basedOn w:val="1"/>
    <w:link w:val="229"/>
    <w:qFormat/>
    <w:uiPriority w:val="0"/>
    <w:pPr>
      <w:adjustRightInd w:val="0"/>
      <w:snapToGrid w:val="0"/>
      <w:spacing w:line="324" w:lineRule="auto"/>
      <w:ind w:firstLine="200" w:firstLineChars="200"/>
      <w:jc w:val="left"/>
    </w:pPr>
    <w:rPr>
      <w:rFonts w:ascii="仿宋_GB2312" w:cs="宋体"/>
    </w:rPr>
  </w:style>
  <w:style w:type="character" w:customStyle="1" w:styleId="231">
    <w:name w:val="尾注文本 Char"/>
    <w:link w:val="53"/>
    <w:qFormat/>
    <w:uiPriority w:val="0"/>
    <w:rPr>
      <w:rFonts w:ascii="Arial" w:hAnsi="Arial" w:eastAsia="黑体"/>
      <w:b/>
      <w:bCs/>
      <w:kern w:val="2"/>
      <w:sz w:val="28"/>
      <w:szCs w:val="28"/>
    </w:rPr>
  </w:style>
  <w:style w:type="character" w:customStyle="1" w:styleId="232">
    <w:name w:val="正文001 Char"/>
    <w:link w:val="233"/>
    <w:qFormat/>
    <w:uiPriority w:val="0"/>
    <w:rPr>
      <w:kern w:val="2"/>
      <w:sz w:val="24"/>
    </w:rPr>
  </w:style>
  <w:style w:type="paragraph" w:customStyle="1" w:styleId="233">
    <w:name w:val="正文001"/>
    <w:basedOn w:val="1"/>
    <w:link w:val="232"/>
    <w:qFormat/>
    <w:uiPriority w:val="0"/>
    <w:pPr>
      <w:spacing w:before="60" w:line="420" w:lineRule="exact"/>
      <w:ind w:firstLine="482"/>
    </w:pPr>
    <w:rPr>
      <w:rFonts w:eastAsia="宋体"/>
      <w:sz w:val="24"/>
    </w:rPr>
  </w:style>
  <w:style w:type="character" w:customStyle="1" w:styleId="234">
    <w:name w:val="表头文字 Char Char"/>
    <w:qFormat/>
    <w:uiPriority w:val="0"/>
    <w:rPr>
      <w:rFonts w:ascii="黑体" w:hAnsi="宋体" w:eastAsia="黑体"/>
      <w:kern w:val="2"/>
      <w:sz w:val="24"/>
      <w:lang w:val="en-US" w:eastAsia="zh-CN" w:bidi="ar-SA"/>
    </w:rPr>
  </w:style>
  <w:style w:type="character" w:customStyle="1" w:styleId="235">
    <w:name w:val="at_2"/>
    <w:qFormat/>
    <w:uiPriority w:val="0"/>
    <w:rPr>
      <w:rFonts w:ascii="宋体" w:hAnsi="宋体" w:eastAsia="Arial" w:cs="宋体"/>
      <w:kern w:val="2"/>
      <w:sz w:val="24"/>
      <w:szCs w:val="24"/>
      <w:lang w:val="en-US" w:eastAsia="zh-CN" w:bidi="ar-SA"/>
    </w:rPr>
  </w:style>
  <w:style w:type="character" w:customStyle="1" w:styleId="236">
    <w:name w:val="正文缩 Char Char"/>
    <w:link w:val="237"/>
    <w:qFormat/>
    <w:uiPriority w:val="0"/>
    <w:rPr>
      <w:rFonts w:eastAsia="宋体"/>
      <w:kern w:val="2"/>
      <w:sz w:val="24"/>
      <w:szCs w:val="24"/>
      <w:lang w:val="en-US" w:eastAsia="zh-CN" w:bidi="ar-SA"/>
    </w:rPr>
  </w:style>
  <w:style w:type="paragraph" w:customStyle="1" w:styleId="237">
    <w:name w:val="正文缩"/>
    <w:basedOn w:val="1"/>
    <w:link w:val="236"/>
    <w:qFormat/>
    <w:uiPriority w:val="0"/>
    <w:pPr>
      <w:ind w:firstLine="200" w:firstLineChars="200"/>
    </w:pPr>
    <w:rPr>
      <w:rFonts w:eastAsia="宋体"/>
      <w:sz w:val="24"/>
      <w:szCs w:val="24"/>
    </w:rPr>
  </w:style>
  <w:style w:type="character" w:customStyle="1" w:styleId="238">
    <w:name w:val="编号标题1.1 Char"/>
    <w:qFormat/>
    <w:uiPriority w:val="0"/>
    <w:rPr>
      <w:rFonts w:ascii="Arial" w:hAnsi="Arial" w:eastAsia="黑体" w:cs="Arial"/>
      <w:color w:val="000000"/>
      <w:kern w:val="2"/>
      <w:sz w:val="24"/>
      <w:szCs w:val="24"/>
      <w:lang w:val="en-US" w:eastAsia="zh-CN" w:bidi="ar-SA"/>
    </w:rPr>
  </w:style>
  <w:style w:type="character" w:customStyle="1" w:styleId="239">
    <w:name w:val="表内字 Char Char"/>
    <w:link w:val="240"/>
    <w:qFormat/>
    <w:uiPriority w:val="0"/>
    <w:rPr>
      <w:color w:val="000000"/>
      <w:sz w:val="21"/>
      <w:lang w:val="en-US" w:eastAsia="zh-CN" w:bidi="ar-SA"/>
    </w:rPr>
  </w:style>
  <w:style w:type="paragraph" w:customStyle="1" w:styleId="240">
    <w:name w:val="表内字"/>
    <w:link w:val="239"/>
    <w:qFormat/>
    <w:uiPriority w:val="0"/>
    <w:pPr>
      <w:spacing w:line="312" w:lineRule="auto"/>
      <w:jc w:val="center"/>
    </w:pPr>
    <w:rPr>
      <w:rFonts w:ascii="Times New Roman" w:hAnsi="Times New Roman" w:eastAsia="宋体" w:cs="Times New Roman"/>
      <w:color w:val="000000"/>
      <w:sz w:val="21"/>
      <w:lang w:val="en-US" w:eastAsia="zh-CN" w:bidi="ar-SA"/>
    </w:rPr>
  </w:style>
  <w:style w:type="character" w:customStyle="1" w:styleId="241">
    <w:name w:val="Char1 Char"/>
    <w:qFormat/>
    <w:uiPriority w:val="0"/>
    <w:rPr>
      <w:rFonts w:ascii="宋体" w:hAnsi="Courier New" w:eastAsia="宋体" w:cs="宋体"/>
      <w:kern w:val="2"/>
      <w:sz w:val="21"/>
      <w:szCs w:val="24"/>
      <w:lang w:val="en-US" w:eastAsia="zh-CN" w:bidi="ar-SA"/>
    </w:rPr>
  </w:style>
  <w:style w:type="character" w:customStyle="1" w:styleId="242">
    <w:name w:val="正文文本缩进 3 Char Char"/>
    <w:qFormat/>
    <w:uiPriority w:val="0"/>
    <w:rPr>
      <w:rFonts w:ascii="宋体" w:hAnsi="宋体" w:eastAsia="宋体" w:cs="宋体"/>
      <w:kern w:val="2"/>
      <w:sz w:val="16"/>
      <w:szCs w:val="16"/>
      <w:lang w:val="en-US" w:eastAsia="zh-CN" w:bidi="ar-SA"/>
    </w:rPr>
  </w:style>
  <w:style w:type="character" w:customStyle="1" w:styleId="243">
    <w:name w:val="列表(L) Char"/>
    <w:link w:val="244"/>
    <w:qFormat/>
    <w:uiPriority w:val="0"/>
    <w:rPr>
      <w:rFonts w:eastAsia="仿宋_GB2312"/>
      <w:kern w:val="2"/>
      <w:sz w:val="21"/>
      <w:lang w:bidi="ar-SA"/>
    </w:rPr>
  </w:style>
  <w:style w:type="paragraph" w:customStyle="1" w:styleId="244">
    <w:name w:val="列表(L)"/>
    <w:basedOn w:val="67"/>
    <w:link w:val="243"/>
    <w:qFormat/>
    <w:uiPriority w:val="0"/>
    <w:pPr>
      <w:autoSpaceDE/>
      <w:autoSpaceDN/>
      <w:adjustRightInd/>
      <w:snapToGrid w:val="0"/>
      <w:spacing w:line="240" w:lineRule="auto"/>
      <w:ind w:left="0" w:firstLine="0" w:firstLineChars="0"/>
      <w:jc w:val="both"/>
      <w:textAlignment w:val="auto"/>
    </w:pPr>
    <w:rPr>
      <w:rFonts w:ascii="Times New Roman" w:eastAsia="仿宋_GB2312"/>
      <w:kern w:val="2"/>
      <w:sz w:val="21"/>
    </w:rPr>
  </w:style>
  <w:style w:type="character" w:customStyle="1" w:styleId="245">
    <w:name w:val="未确定 Char Char"/>
    <w:link w:val="246"/>
    <w:qFormat/>
    <w:uiPriority w:val="0"/>
    <w:rPr>
      <w:rFonts w:eastAsia="宋体"/>
      <w:color w:val="800080"/>
      <w:kern w:val="2"/>
      <w:sz w:val="24"/>
      <w:szCs w:val="24"/>
      <w:lang w:val="en-US" w:eastAsia="zh-CN" w:bidi="ar-SA"/>
    </w:rPr>
  </w:style>
  <w:style w:type="paragraph" w:customStyle="1" w:styleId="246">
    <w:name w:val="未确定"/>
    <w:basedOn w:val="1"/>
    <w:link w:val="245"/>
    <w:qFormat/>
    <w:uiPriority w:val="0"/>
    <w:pPr>
      <w:adjustRightInd w:val="0"/>
      <w:snapToGrid w:val="0"/>
      <w:spacing w:before="156" w:beforeLines="50" w:line="400" w:lineRule="exact"/>
      <w:ind w:firstLine="480" w:firstLineChars="200"/>
      <w:jc w:val="left"/>
    </w:pPr>
    <w:rPr>
      <w:rFonts w:eastAsia="宋体"/>
      <w:color w:val="800080"/>
      <w:sz w:val="24"/>
      <w:szCs w:val="24"/>
    </w:rPr>
  </w:style>
  <w:style w:type="character" w:customStyle="1" w:styleId="247">
    <w:name w:val="注释标题 Char"/>
    <w:link w:val="17"/>
    <w:qFormat/>
    <w:uiPriority w:val="0"/>
    <w:rPr>
      <w:rFonts w:eastAsia="宋体"/>
      <w:kern w:val="2"/>
      <w:sz w:val="21"/>
      <w:szCs w:val="24"/>
      <w:lang w:bidi="ar-SA"/>
    </w:rPr>
  </w:style>
  <w:style w:type="character" w:customStyle="1" w:styleId="248">
    <w:name w:val="表格样式 钦州规划 Char"/>
    <w:link w:val="249"/>
    <w:qFormat/>
    <w:uiPriority w:val="0"/>
    <w:rPr>
      <w:rFonts w:ascii="华文细黑" w:hAnsi="华文细黑" w:eastAsia="华文细黑"/>
      <w:color w:val="000000"/>
      <w:sz w:val="21"/>
      <w:szCs w:val="21"/>
      <w:lang w:val="en-US" w:eastAsia="zh-CN" w:bidi="ar-SA"/>
    </w:rPr>
  </w:style>
  <w:style w:type="paragraph" w:customStyle="1" w:styleId="249">
    <w:name w:val="表格样式 钦州规划"/>
    <w:basedOn w:val="250"/>
    <w:link w:val="248"/>
    <w:qFormat/>
    <w:uiPriority w:val="0"/>
    <w:pPr>
      <w:widowControl w:val="0"/>
      <w:overflowPunct w:val="0"/>
      <w:adjustRightInd w:val="0"/>
      <w:spacing w:before="40" w:after="60" w:line="200" w:lineRule="atLeast"/>
      <w:ind w:firstLine="0" w:firstLineChars="0"/>
      <w:textAlignment w:val="baseline"/>
    </w:pPr>
    <w:rPr>
      <w:rFonts w:ascii="华文细黑" w:hAnsi="华文细黑" w:eastAsia="华文细黑"/>
      <w:color w:val="000000"/>
      <w:kern w:val="0"/>
    </w:rPr>
  </w:style>
  <w:style w:type="paragraph" w:customStyle="1" w:styleId="250">
    <w:name w:val="表格内容"/>
    <w:basedOn w:val="1"/>
    <w:link w:val="490"/>
    <w:qFormat/>
    <w:uiPriority w:val="0"/>
    <w:pPr>
      <w:widowControl/>
      <w:spacing w:line="288" w:lineRule="auto"/>
      <w:ind w:firstLine="480" w:firstLineChars="200"/>
      <w:jc w:val="center"/>
    </w:pPr>
    <w:rPr>
      <w:rFonts w:ascii="Arial" w:hAnsi="Arial" w:eastAsia="宋体"/>
      <w:sz w:val="21"/>
      <w:szCs w:val="21"/>
    </w:rPr>
  </w:style>
  <w:style w:type="character" w:customStyle="1" w:styleId="251">
    <w:name w:val="大图标格式 Char Char"/>
    <w:link w:val="252"/>
    <w:qFormat/>
    <w:uiPriority w:val="0"/>
    <w:rPr>
      <w:rFonts w:ascii="宋体" w:hAnsi="宋体" w:eastAsia="宋体" w:cs="宋体"/>
      <w:b/>
      <w:kern w:val="2"/>
      <w:sz w:val="24"/>
      <w:szCs w:val="24"/>
      <w:lang w:val="en-GB" w:eastAsia="zh-CN" w:bidi="ar-SA"/>
    </w:rPr>
  </w:style>
  <w:style w:type="paragraph" w:customStyle="1" w:styleId="252">
    <w:name w:val="大图标格式"/>
    <w:basedOn w:val="74"/>
    <w:link w:val="251"/>
    <w:qFormat/>
    <w:uiPriority w:val="0"/>
    <w:pPr>
      <w:ind w:left="539" w:leftChars="27" w:hanging="482" w:hangingChars="200"/>
    </w:pPr>
    <w:rPr>
      <w:rFonts w:ascii="宋体" w:hAnsi="宋体" w:cs="宋体"/>
      <w:bCs w:val="0"/>
      <w:spacing w:val="0"/>
      <w:kern w:val="2"/>
      <w:sz w:val="24"/>
      <w:szCs w:val="24"/>
      <w:lang w:val="en-GB"/>
    </w:rPr>
  </w:style>
  <w:style w:type="character" w:customStyle="1" w:styleId="253">
    <w:name w:val="样式 样式 样式 正文缩进s4 + 首行缩进:  2 字符 + 首行缩进:  2 字符 + Char"/>
    <w:semiHidden/>
    <w:qFormat/>
    <w:uiPriority w:val="0"/>
    <w:rPr>
      <w:rFonts w:eastAsia="仿宋_GB2312" w:cs="宋体"/>
      <w:color w:val="000000"/>
      <w:kern w:val="2"/>
      <w:sz w:val="28"/>
      <w:szCs w:val="28"/>
      <w:lang w:val="en-US" w:eastAsia="zh-CN" w:bidi="ar-SA"/>
    </w:rPr>
  </w:style>
  <w:style w:type="character" w:customStyle="1" w:styleId="254">
    <w:name w:val="arr"/>
    <w:basedOn w:val="133"/>
    <w:qFormat/>
    <w:uiPriority w:val="0"/>
  </w:style>
  <w:style w:type="character" w:customStyle="1" w:styleId="255">
    <w:name w:val="Char Char26"/>
    <w:qFormat/>
    <w:uiPriority w:val="0"/>
    <w:rPr>
      <w:rFonts w:ascii="Cambria" w:hAnsi="Cambria" w:eastAsia="黑体"/>
      <w:kern w:val="2"/>
      <w:lang w:bidi="ar-SA"/>
    </w:rPr>
  </w:style>
  <w:style w:type="character" w:customStyle="1" w:styleId="256">
    <w:name w:val="正文 + 首行缩进:  2 字符 Char"/>
    <w:link w:val="257"/>
    <w:qFormat/>
    <w:uiPriority w:val="0"/>
    <w:rPr>
      <w:rFonts w:eastAsia="宋体"/>
      <w:kern w:val="2"/>
      <w:sz w:val="24"/>
      <w:lang w:bidi="ar-SA"/>
    </w:rPr>
  </w:style>
  <w:style w:type="paragraph" w:customStyle="1" w:styleId="257">
    <w:name w:val="正文 + 首行缩进:  2 字符"/>
    <w:basedOn w:val="1"/>
    <w:link w:val="256"/>
    <w:qFormat/>
    <w:uiPriority w:val="0"/>
    <w:pPr>
      <w:spacing w:line="360" w:lineRule="auto"/>
      <w:ind w:firstLine="480" w:firstLineChars="200"/>
    </w:pPr>
    <w:rPr>
      <w:rFonts w:eastAsia="宋体"/>
      <w:sz w:val="24"/>
    </w:rPr>
  </w:style>
  <w:style w:type="character" w:customStyle="1" w:styleId="258">
    <w:name w:val="4标题(治) Char"/>
    <w:link w:val="259"/>
    <w:qFormat/>
    <w:uiPriority w:val="0"/>
    <w:rPr>
      <w:rFonts w:eastAsia="黑体"/>
      <w:sz w:val="28"/>
      <w:lang w:bidi="ar-SA"/>
    </w:rPr>
  </w:style>
  <w:style w:type="paragraph" w:customStyle="1" w:styleId="259">
    <w:name w:val="4标题(治)"/>
    <w:basedOn w:val="1"/>
    <w:next w:val="1"/>
    <w:link w:val="258"/>
    <w:qFormat/>
    <w:uiPriority w:val="0"/>
    <w:pPr>
      <w:adjustRightInd w:val="0"/>
      <w:snapToGrid w:val="0"/>
      <w:spacing w:line="360" w:lineRule="auto"/>
      <w:textAlignment w:val="baseline"/>
      <w:outlineLvl w:val="3"/>
    </w:pPr>
    <w:rPr>
      <w:rFonts w:eastAsia="黑体"/>
      <w:kern w:val="0"/>
    </w:rPr>
  </w:style>
  <w:style w:type="character" w:customStyle="1" w:styleId="260">
    <w:name w:val="宏文本 Char"/>
    <w:link w:val="2"/>
    <w:qFormat/>
    <w:uiPriority w:val="0"/>
    <w:rPr>
      <w:rFonts w:eastAsia="Times New Roman"/>
      <w:kern w:val="2"/>
      <w:sz w:val="18"/>
      <w:szCs w:val="18"/>
      <w:lang w:val="en-US" w:eastAsia="zh-CN" w:bidi="ar-SA"/>
    </w:rPr>
  </w:style>
  <w:style w:type="character" w:customStyle="1" w:styleId="261">
    <w:name w:val="文章正文文字 Char"/>
    <w:link w:val="262"/>
    <w:qFormat/>
    <w:uiPriority w:val="0"/>
    <w:rPr>
      <w:rFonts w:eastAsia="宋体"/>
      <w:kern w:val="2"/>
      <w:sz w:val="24"/>
      <w:szCs w:val="24"/>
      <w:lang w:val="en-US" w:eastAsia="zh-CN" w:bidi="ar-SA"/>
    </w:rPr>
  </w:style>
  <w:style w:type="paragraph" w:customStyle="1" w:styleId="262">
    <w:name w:val="文章正文文字"/>
    <w:basedOn w:val="1"/>
    <w:link w:val="261"/>
    <w:qFormat/>
    <w:uiPriority w:val="0"/>
    <w:pPr>
      <w:spacing w:line="520" w:lineRule="exact"/>
      <w:jc w:val="left"/>
    </w:pPr>
    <w:rPr>
      <w:rFonts w:eastAsia="宋体"/>
      <w:sz w:val="24"/>
      <w:szCs w:val="24"/>
    </w:rPr>
  </w:style>
  <w:style w:type="character" w:customStyle="1" w:styleId="263">
    <w:name w:val="无间隔 Char"/>
    <w:link w:val="264"/>
    <w:qFormat/>
    <w:uiPriority w:val="1"/>
    <w:rPr>
      <w:rFonts w:ascii="Calibri" w:hAnsi="Calibri" w:eastAsia="宋体"/>
      <w:sz w:val="22"/>
      <w:szCs w:val="22"/>
      <w:lang w:val="en-US" w:eastAsia="zh-CN" w:bidi="ar-SA"/>
    </w:rPr>
  </w:style>
  <w:style w:type="paragraph" w:customStyle="1" w:styleId="264">
    <w:name w:val="无间隔1"/>
    <w:link w:val="263"/>
    <w:qFormat/>
    <w:uiPriority w:val="0"/>
    <w:pPr>
      <w:widowControl w:val="0"/>
      <w:ind w:firstLine="465"/>
      <w:jc w:val="both"/>
    </w:pPr>
    <w:rPr>
      <w:rFonts w:ascii="Calibri" w:hAnsi="Calibri" w:eastAsia="宋体" w:cs="Times New Roman"/>
      <w:sz w:val="22"/>
      <w:szCs w:val="22"/>
      <w:lang w:val="en-US" w:eastAsia="zh-CN" w:bidi="ar-SA"/>
    </w:rPr>
  </w:style>
  <w:style w:type="character" w:customStyle="1" w:styleId="265">
    <w:name w:val="标题 3(CYM) Char Char"/>
    <w:qFormat/>
    <w:uiPriority w:val="0"/>
    <w:rPr>
      <w:rFonts w:hAnsi="宋体" w:eastAsia="宋体"/>
      <w:b/>
      <w:kern w:val="2"/>
      <w:sz w:val="24"/>
      <w:szCs w:val="24"/>
      <w:lang w:val="en-US" w:eastAsia="zh-CN" w:bidi="ar-SA"/>
    </w:rPr>
  </w:style>
  <w:style w:type="character" w:customStyle="1" w:styleId="266">
    <w:name w:val="headline-content2"/>
    <w:basedOn w:val="133"/>
    <w:qFormat/>
    <w:uiPriority w:val="0"/>
  </w:style>
  <w:style w:type="character" w:customStyle="1" w:styleId="267">
    <w:name w:val="样式 标题 2 + 黑体 小四 非加粗 Char"/>
    <w:link w:val="268"/>
    <w:qFormat/>
    <w:uiPriority w:val="0"/>
    <w:rPr>
      <w:rFonts w:ascii="黑体" w:hAnsi="黑体" w:eastAsia="黑体"/>
      <w:kern w:val="2"/>
      <w:sz w:val="24"/>
      <w:szCs w:val="32"/>
      <w:lang w:bidi="ar-SA"/>
    </w:rPr>
  </w:style>
  <w:style w:type="paragraph" w:customStyle="1" w:styleId="268">
    <w:name w:val="样式 标题 2 + 黑体 小四 非加粗"/>
    <w:basedOn w:val="4"/>
    <w:link w:val="267"/>
    <w:qFormat/>
    <w:uiPriority w:val="0"/>
    <w:pPr>
      <w:tabs>
        <w:tab w:val="clear" w:pos="567"/>
      </w:tabs>
      <w:spacing w:after="120" w:line="360" w:lineRule="auto"/>
      <w:ind w:left="0" w:firstLine="0"/>
      <w:jc w:val="left"/>
    </w:pPr>
    <w:rPr>
      <w:rFonts w:hAnsi="黑体"/>
      <w:sz w:val="24"/>
      <w:szCs w:val="32"/>
    </w:rPr>
  </w:style>
  <w:style w:type="character" w:customStyle="1" w:styleId="269">
    <w:name w:val="样式9 Char"/>
    <w:link w:val="270"/>
    <w:qFormat/>
    <w:uiPriority w:val="0"/>
    <w:rPr>
      <w:rFonts w:ascii="Arial" w:hAnsi="Arial" w:eastAsia="宋体" w:cs="Arial"/>
      <w:spacing w:val="10"/>
      <w:kern w:val="2"/>
      <w:sz w:val="24"/>
      <w:lang w:val="en-US" w:eastAsia="zh-CN" w:bidi="ar-SA"/>
    </w:rPr>
  </w:style>
  <w:style w:type="paragraph" w:customStyle="1" w:styleId="270">
    <w:name w:val="样式9"/>
    <w:basedOn w:val="5"/>
    <w:link w:val="269"/>
    <w:qFormat/>
    <w:uiPriority w:val="0"/>
  </w:style>
  <w:style w:type="character" w:customStyle="1" w:styleId="271">
    <w:name w:val="纯文本 Char1"/>
    <w:qFormat/>
    <w:uiPriority w:val="99"/>
    <w:rPr>
      <w:rFonts w:ascii="宋体" w:hAnsi="Courier New" w:eastAsia="宋体"/>
      <w:sz w:val="21"/>
      <w:lang w:val="en-US" w:eastAsia="zh-CN" w:bidi="ar-SA"/>
    </w:rPr>
  </w:style>
  <w:style w:type="character" w:customStyle="1" w:styleId="272">
    <w:name w:val="样式 正文缩进首行缩进两字标题4正文不缩进s4正文（首行缩进两字） Char Char Char Char Char ... Char"/>
    <w:link w:val="273"/>
    <w:qFormat/>
    <w:uiPriority w:val="0"/>
    <w:rPr>
      <w:rFonts w:ascii="Arial" w:hAnsi="Arial" w:eastAsia="宋体" w:cs="Arial"/>
      <w:spacing w:val="-2"/>
      <w:kern w:val="2"/>
      <w:sz w:val="24"/>
      <w:szCs w:val="24"/>
      <w:lang w:val="en-US" w:eastAsia="zh-CN" w:bidi="ar-SA"/>
    </w:rPr>
  </w:style>
  <w:style w:type="paragraph" w:customStyle="1" w:styleId="273">
    <w:name w:val="样式 正文缩进首行缩进两字标题4正文不缩进s4正文（首行缩进两字） Char Char Char Char Char ..."/>
    <w:basedOn w:val="5"/>
    <w:link w:val="272"/>
    <w:qFormat/>
    <w:uiPriority w:val="0"/>
    <w:pPr>
      <w:spacing w:line="360" w:lineRule="auto"/>
      <w:ind w:firstLine="480" w:firstLineChars="200"/>
    </w:pPr>
    <w:rPr>
      <w:spacing w:val="-2"/>
      <w:szCs w:val="24"/>
    </w:rPr>
  </w:style>
  <w:style w:type="character" w:customStyle="1" w:styleId="274">
    <w:name w:val="纯文本 Char"/>
    <w:link w:val="46"/>
    <w:qFormat/>
    <w:uiPriority w:val="99"/>
    <w:rPr>
      <w:rFonts w:ascii="宋体" w:hAnsi="Courier New" w:eastAsia="宋体"/>
      <w:kern w:val="2"/>
      <w:sz w:val="21"/>
      <w:lang w:val="en-US" w:eastAsia="zh-CN" w:bidi="ar-SA"/>
    </w:rPr>
  </w:style>
  <w:style w:type="character" w:customStyle="1" w:styleId="275">
    <w:name w:val="样式 +中文正文 四号"/>
    <w:qFormat/>
    <w:uiPriority w:val="0"/>
    <w:rPr>
      <w:rFonts w:ascii="宋体" w:hAnsi="宋体" w:eastAsia="宋体"/>
      <w:sz w:val="28"/>
    </w:rPr>
  </w:style>
  <w:style w:type="character" w:customStyle="1" w:styleId="276">
    <w:name w:val="书正文 Char"/>
    <w:link w:val="277"/>
    <w:qFormat/>
    <w:uiPriority w:val="0"/>
    <w:rPr>
      <w:rFonts w:ascii="Arial" w:hAnsi="Arial" w:cs="Arial"/>
      <w:kern w:val="2"/>
      <w:sz w:val="24"/>
      <w:szCs w:val="24"/>
      <w:lang w:val="en-US" w:eastAsia="zh-CN" w:bidi="ar-SA"/>
    </w:rPr>
  </w:style>
  <w:style w:type="paragraph" w:customStyle="1" w:styleId="277">
    <w:name w:val="书正文"/>
    <w:link w:val="276"/>
    <w:qFormat/>
    <w:uiPriority w:val="0"/>
    <w:pPr>
      <w:spacing w:before="60" w:line="460" w:lineRule="exact"/>
      <w:ind w:firstLine="200" w:firstLineChars="200"/>
      <w:jc w:val="both"/>
    </w:pPr>
    <w:rPr>
      <w:rFonts w:ascii="Arial" w:hAnsi="Arial" w:eastAsia="宋体" w:cs="Arial"/>
      <w:kern w:val="2"/>
      <w:sz w:val="24"/>
      <w:szCs w:val="24"/>
      <w:lang w:val="en-US" w:eastAsia="zh-CN" w:bidi="ar-SA"/>
    </w:rPr>
  </w:style>
  <w:style w:type="character" w:customStyle="1" w:styleId="278">
    <w:name w:val="内容 Char Char Char"/>
    <w:link w:val="279"/>
    <w:qFormat/>
    <w:uiPriority w:val="0"/>
    <w:rPr>
      <w:rFonts w:eastAsia="宋体"/>
      <w:kern w:val="2"/>
      <w:sz w:val="28"/>
      <w:lang w:val="en-US" w:eastAsia="zh-CN" w:bidi="ar-SA"/>
    </w:rPr>
  </w:style>
  <w:style w:type="paragraph" w:customStyle="1" w:styleId="279">
    <w:name w:val="内容 Char"/>
    <w:basedOn w:val="1"/>
    <w:link w:val="278"/>
    <w:qFormat/>
    <w:uiPriority w:val="0"/>
    <w:pPr>
      <w:spacing w:line="360" w:lineRule="auto"/>
    </w:pPr>
    <w:rPr>
      <w:rFonts w:eastAsia="宋体"/>
    </w:rPr>
  </w:style>
  <w:style w:type="character" w:customStyle="1" w:styleId="280">
    <w:name w:val="样式 报告标题3 + Times New Roman Char"/>
    <w:qFormat/>
    <w:uiPriority w:val="0"/>
    <w:rPr>
      <w:rFonts w:ascii="Arial" w:hAnsi="Arial" w:eastAsia="宋体" w:cs="宋体"/>
      <w:b/>
      <w:bCs/>
      <w:color w:val="000000"/>
      <w:kern w:val="2"/>
      <w:sz w:val="24"/>
      <w:szCs w:val="24"/>
      <w:lang w:val="en-US" w:eastAsia="zh-CN" w:bidi="ar-SA"/>
    </w:rPr>
  </w:style>
  <w:style w:type="character" w:customStyle="1" w:styleId="281">
    <w:name w:val="样式 标题 2标题 2 Char标题节标题节 Char Char标题 2 Char Char Char标题 2 Cha... Char Char"/>
    <w:qFormat/>
    <w:uiPriority w:val="0"/>
    <w:rPr>
      <w:rFonts w:ascii="Arial" w:hAnsi="Arial" w:eastAsia="黑体" w:cs="宋体"/>
      <w:color w:val="000000"/>
      <w:kern w:val="2"/>
      <w:sz w:val="28"/>
      <w:szCs w:val="24"/>
      <w:lang w:val="en-US" w:eastAsia="zh-CN" w:bidi="ar-SA"/>
    </w:rPr>
  </w:style>
  <w:style w:type="character" w:customStyle="1" w:styleId="282">
    <w:name w:val="表格文字居中 Char1"/>
    <w:link w:val="283"/>
    <w:qFormat/>
    <w:uiPriority w:val="0"/>
    <w:rPr>
      <w:rFonts w:ascii="宋体" w:hAnsi="宋体" w:eastAsia="宋体" w:cs="宋体"/>
      <w:bCs/>
      <w:kern w:val="2"/>
      <w:sz w:val="18"/>
      <w:szCs w:val="18"/>
      <w:lang w:val="en-US" w:eastAsia="zh-CN" w:bidi="ar-SA"/>
    </w:rPr>
  </w:style>
  <w:style w:type="paragraph" w:customStyle="1" w:styleId="283">
    <w:name w:val="表格文字居中"/>
    <w:basedOn w:val="41"/>
    <w:link w:val="282"/>
    <w:qFormat/>
    <w:uiPriority w:val="0"/>
    <w:pPr>
      <w:tabs>
        <w:tab w:val="left" w:pos="628"/>
        <w:tab w:val="left" w:pos="1727"/>
        <w:tab w:val="left" w:pos="1884"/>
      </w:tabs>
      <w:snapToGrid w:val="0"/>
      <w:spacing w:after="0"/>
      <w:ind w:firstLine="0" w:firstLineChars="200"/>
      <w:jc w:val="center"/>
    </w:pPr>
    <w:rPr>
      <w:rFonts w:ascii="宋体" w:hAnsi="宋体" w:eastAsia="宋体" w:cs="宋体"/>
      <w:bCs/>
      <w:sz w:val="18"/>
      <w:szCs w:val="18"/>
    </w:rPr>
  </w:style>
  <w:style w:type="character" w:customStyle="1" w:styleId="284">
    <w:name w:val="明显强调1"/>
    <w:qFormat/>
    <w:uiPriority w:val="0"/>
    <w:rPr>
      <w:b/>
      <w:bCs/>
      <w:i/>
      <w:iCs/>
      <w:color w:val="4F81BD"/>
    </w:rPr>
  </w:style>
  <w:style w:type="character" w:customStyle="1" w:styleId="285">
    <w:name w:val="标题3YHY Char"/>
    <w:link w:val="286"/>
    <w:qFormat/>
    <w:uiPriority w:val="0"/>
    <w:rPr>
      <w:rFonts w:eastAsia="宋体"/>
      <w:b/>
      <w:kern w:val="2"/>
      <w:sz w:val="24"/>
      <w:szCs w:val="24"/>
      <w:lang w:bidi="ar-SA"/>
    </w:rPr>
  </w:style>
  <w:style w:type="paragraph" w:customStyle="1" w:styleId="286">
    <w:name w:val="标题3YHY"/>
    <w:basedOn w:val="6"/>
    <w:next w:val="7"/>
    <w:link w:val="285"/>
    <w:qFormat/>
    <w:uiPriority w:val="0"/>
    <w:pPr>
      <w:adjustRightInd w:val="0"/>
      <w:snapToGrid w:val="0"/>
      <w:spacing w:before="50" w:beforeLines="50" w:after="50" w:afterLines="50" w:line="360" w:lineRule="auto"/>
      <w:ind w:left="0" w:firstLine="0"/>
    </w:pPr>
    <w:rPr>
      <w:rFonts w:ascii="Times New Roman" w:eastAsia="宋体"/>
      <w:bCs w:val="0"/>
      <w:szCs w:val="24"/>
    </w:rPr>
  </w:style>
  <w:style w:type="character" w:customStyle="1" w:styleId="287">
    <w:name w:val="消息标题号"/>
    <w:qFormat/>
    <w:uiPriority w:val="0"/>
    <w:rPr>
      <w:rFonts w:ascii="Arial Black" w:hAnsi="Arial Black" w:eastAsia="黑体"/>
      <w:b/>
      <w:bCs/>
      <w:sz w:val="21"/>
      <w:szCs w:val="21"/>
      <w:lang w:eastAsia="zh-CN"/>
    </w:rPr>
  </w:style>
  <w:style w:type="character" w:customStyle="1" w:styleId="288">
    <w:name w:val="title_project11"/>
    <w:qFormat/>
    <w:uiPriority w:val="0"/>
    <w:rPr>
      <w:b/>
      <w:bCs/>
      <w:sz w:val="20"/>
      <w:szCs w:val="20"/>
    </w:rPr>
  </w:style>
  <w:style w:type="character" w:customStyle="1" w:styleId="289">
    <w:name w:val="标题 8 Char"/>
    <w:link w:val="11"/>
    <w:qFormat/>
    <w:uiPriority w:val="9"/>
    <w:rPr>
      <w:rFonts w:ascii="Arial" w:hAnsi="Arial" w:eastAsia="黑体"/>
      <w:kern w:val="2"/>
      <w:sz w:val="24"/>
      <w:szCs w:val="24"/>
      <w:lang w:val="en-US" w:eastAsia="zh-CN" w:bidi="ar-SA"/>
    </w:rPr>
  </w:style>
  <w:style w:type="character" w:customStyle="1" w:styleId="290">
    <w:name w:val="样式 首行缩进:  2 字符 Char"/>
    <w:link w:val="291"/>
    <w:qFormat/>
    <w:uiPriority w:val="0"/>
    <w:rPr>
      <w:rFonts w:eastAsia="宋体" w:cs="宋体"/>
      <w:kern w:val="2"/>
      <w:sz w:val="24"/>
      <w:szCs w:val="24"/>
      <w:lang w:val="en-US" w:eastAsia="zh-CN" w:bidi="ar-SA"/>
    </w:rPr>
  </w:style>
  <w:style w:type="paragraph" w:customStyle="1" w:styleId="291">
    <w:name w:val="样式 首行缩进:  2 字符"/>
    <w:basedOn w:val="1"/>
    <w:link w:val="290"/>
    <w:qFormat/>
    <w:uiPriority w:val="0"/>
    <w:pPr>
      <w:spacing w:line="300" w:lineRule="auto"/>
      <w:ind w:firstLine="480" w:firstLineChars="200"/>
      <w:jc w:val="left"/>
    </w:pPr>
    <w:rPr>
      <w:rFonts w:eastAsia="宋体" w:cs="宋体"/>
      <w:sz w:val="24"/>
      <w:szCs w:val="24"/>
    </w:rPr>
  </w:style>
  <w:style w:type="character" w:customStyle="1" w:styleId="292">
    <w:name w:val="Char Char42"/>
    <w:qFormat/>
    <w:uiPriority w:val="0"/>
    <w:rPr>
      <w:rFonts w:ascii="Arial" w:hAnsi="Arial" w:eastAsia="宋体" w:cs="Arial"/>
      <w:spacing w:val="10"/>
      <w:kern w:val="2"/>
      <w:sz w:val="24"/>
      <w:lang w:val="en-US" w:eastAsia="zh-CN" w:bidi="ar-SA"/>
    </w:rPr>
  </w:style>
  <w:style w:type="character" w:customStyle="1" w:styleId="293">
    <w:name w:val="我的表格 Char"/>
    <w:link w:val="294"/>
    <w:qFormat/>
    <w:uiPriority w:val="0"/>
    <w:rPr>
      <w:rFonts w:eastAsia="仿宋_GB2312"/>
      <w:sz w:val="21"/>
      <w:szCs w:val="21"/>
    </w:rPr>
  </w:style>
  <w:style w:type="paragraph" w:customStyle="1" w:styleId="294">
    <w:name w:val="我的表格"/>
    <w:basedOn w:val="1"/>
    <w:link w:val="293"/>
    <w:qFormat/>
    <w:uiPriority w:val="0"/>
    <w:pPr>
      <w:autoSpaceDE w:val="0"/>
      <w:autoSpaceDN w:val="0"/>
      <w:adjustRightInd w:val="0"/>
      <w:jc w:val="center"/>
    </w:pPr>
    <w:rPr>
      <w:kern w:val="0"/>
      <w:sz w:val="21"/>
      <w:szCs w:val="21"/>
    </w:rPr>
  </w:style>
  <w:style w:type="character" w:customStyle="1" w:styleId="295">
    <w:name w:val="样式 标题 3条标题1.1.1 + 行距: 固定值 23 磅 Char"/>
    <w:link w:val="296"/>
    <w:qFormat/>
    <w:uiPriority w:val="0"/>
    <w:rPr>
      <w:rFonts w:eastAsia="楷体_GB2312"/>
      <w:b/>
      <w:bCs/>
      <w:spacing w:val="8"/>
      <w:sz w:val="28"/>
      <w:szCs w:val="28"/>
    </w:rPr>
  </w:style>
  <w:style w:type="paragraph" w:customStyle="1" w:styleId="296">
    <w:name w:val="样式 标题 3条标题1.1.1 + 行距: 固定值 23 磅"/>
    <w:basedOn w:val="6"/>
    <w:link w:val="295"/>
    <w:qFormat/>
    <w:uiPriority w:val="0"/>
    <w:pPr>
      <w:keepNext w:val="0"/>
      <w:keepLines w:val="0"/>
      <w:tabs>
        <w:tab w:val="clear" w:pos="1789"/>
      </w:tabs>
      <w:snapToGrid w:val="0"/>
      <w:spacing w:line="360" w:lineRule="auto"/>
      <w:jc w:val="left"/>
    </w:pPr>
    <w:rPr>
      <w:rFonts w:ascii="Times New Roman" w:eastAsia="楷体_GB2312"/>
      <w:spacing w:val="8"/>
      <w:kern w:val="0"/>
      <w:sz w:val="28"/>
      <w:szCs w:val="28"/>
    </w:rPr>
  </w:style>
  <w:style w:type="character" w:customStyle="1" w:styleId="297">
    <w:name w:val="表蕊 Char1"/>
    <w:link w:val="298"/>
    <w:qFormat/>
    <w:uiPriority w:val="0"/>
    <w:rPr>
      <w:rFonts w:eastAsia="宋体"/>
      <w:spacing w:val="8"/>
      <w:kern w:val="2"/>
      <w:sz w:val="21"/>
      <w:szCs w:val="24"/>
      <w:lang w:val="en-US" w:eastAsia="zh-CN" w:bidi="ar-SA"/>
    </w:rPr>
  </w:style>
  <w:style w:type="paragraph" w:customStyle="1" w:styleId="298">
    <w:name w:val="表蕊"/>
    <w:basedOn w:val="1"/>
    <w:link w:val="297"/>
    <w:qFormat/>
    <w:uiPriority w:val="0"/>
    <w:pPr>
      <w:spacing w:line="320" w:lineRule="exact"/>
      <w:jc w:val="center"/>
    </w:pPr>
    <w:rPr>
      <w:rFonts w:eastAsia="宋体"/>
      <w:spacing w:val="8"/>
      <w:sz w:val="21"/>
      <w:szCs w:val="24"/>
    </w:rPr>
  </w:style>
  <w:style w:type="character" w:customStyle="1" w:styleId="299">
    <w:name w:val="st1"/>
    <w:basedOn w:val="133"/>
    <w:qFormat/>
    <w:uiPriority w:val="0"/>
  </w:style>
  <w:style w:type="character" w:customStyle="1" w:styleId="300">
    <w:name w:val="tt11"/>
    <w:qFormat/>
    <w:uiPriority w:val="0"/>
    <w:rPr>
      <w:rFonts w:hint="default" w:ascii="ˎ̥" w:hAnsi="ˎ̥"/>
      <w:color w:val="1C1C1C"/>
      <w:sz w:val="18"/>
      <w:szCs w:val="18"/>
    </w:rPr>
  </w:style>
  <w:style w:type="character" w:customStyle="1" w:styleId="301">
    <w:name w:val="正文文字 2 Char2"/>
    <w:qFormat/>
    <w:uiPriority w:val="0"/>
    <w:rPr>
      <w:rFonts w:ascii="Arial" w:hAnsi="Arial" w:eastAsia="宋体" w:cs="Arial"/>
      <w:kern w:val="2"/>
      <w:sz w:val="21"/>
      <w:lang w:val="en-US" w:eastAsia="zh-CN" w:bidi="ar-SA"/>
    </w:rPr>
  </w:style>
  <w:style w:type="character" w:customStyle="1" w:styleId="302">
    <w:name w:val="select"/>
    <w:basedOn w:val="133"/>
    <w:qFormat/>
    <w:uiPriority w:val="0"/>
  </w:style>
  <w:style w:type="character" w:customStyle="1" w:styleId="303">
    <w:name w:val="普通文字 Char Char1"/>
    <w:qFormat/>
    <w:uiPriority w:val="0"/>
    <w:rPr>
      <w:rFonts w:ascii="宋体" w:hAnsi="Courier New" w:eastAsia="宋体"/>
      <w:kern w:val="2"/>
      <w:sz w:val="21"/>
      <w:lang w:val="en-US" w:eastAsia="zh-CN" w:bidi="ar-SA"/>
    </w:rPr>
  </w:style>
  <w:style w:type="character" w:customStyle="1" w:styleId="304">
    <w:name w:val="表号 Char Char"/>
    <w:link w:val="305"/>
    <w:qFormat/>
    <w:uiPriority w:val="0"/>
    <w:rPr>
      <w:rFonts w:ascii="Arial" w:hAnsi="Arial"/>
      <w:kern w:val="2"/>
      <w:sz w:val="21"/>
      <w:szCs w:val="24"/>
      <w:lang w:val="en-US" w:eastAsia="zh-CN" w:bidi="ar-SA"/>
    </w:rPr>
  </w:style>
  <w:style w:type="paragraph" w:customStyle="1" w:styleId="305">
    <w:name w:val="表号 Char"/>
    <w:next w:val="306"/>
    <w:link w:val="304"/>
    <w:qFormat/>
    <w:uiPriority w:val="0"/>
    <w:pPr>
      <w:adjustRightInd w:val="0"/>
      <w:snapToGrid w:val="0"/>
      <w:spacing w:line="360" w:lineRule="auto"/>
      <w:jc w:val="right"/>
    </w:pPr>
    <w:rPr>
      <w:rFonts w:ascii="Arial" w:hAnsi="Arial" w:eastAsia="宋体" w:cs="Times New Roman"/>
      <w:kern w:val="2"/>
      <w:sz w:val="21"/>
      <w:szCs w:val="24"/>
      <w:lang w:val="en-US" w:eastAsia="zh-CN" w:bidi="ar-SA"/>
    </w:rPr>
  </w:style>
  <w:style w:type="paragraph" w:customStyle="1" w:styleId="306">
    <w:name w:val="表文字"/>
    <w:basedOn w:val="1"/>
    <w:link w:val="620"/>
    <w:qFormat/>
    <w:uiPriority w:val="0"/>
    <w:pPr>
      <w:overflowPunct w:val="0"/>
      <w:autoSpaceDE w:val="0"/>
      <w:autoSpaceDN w:val="0"/>
      <w:adjustRightInd w:val="0"/>
      <w:spacing w:line="240" w:lineRule="atLeast"/>
      <w:jc w:val="center"/>
      <w:textAlignment w:val="baseline"/>
    </w:pPr>
    <w:rPr>
      <w:rFonts w:eastAsia="宋体"/>
      <w:kern w:val="0"/>
      <w:sz w:val="24"/>
    </w:rPr>
  </w:style>
  <w:style w:type="character" w:customStyle="1" w:styleId="307">
    <w:name w:val="表格正文 Char Char"/>
    <w:qFormat/>
    <w:uiPriority w:val="0"/>
    <w:rPr>
      <w:rFonts w:ascii="宋体" w:hAnsi="宋体" w:eastAsia="宋体" w:cs="宋体"/>
      <w:kern w:val="2"/>
      <w:sz w:val="21"/>
      <w:szCs w:val="24"/>
      <w:lang w:val="en-US" w:eastAsia="zh-CN" w:bidi="ar-SA"/>
    </w:rPr>
  </w:style>
  <w:style w:type="character" w:customStyle="1" w:styleId="308">
    <w:name w:val="apple-converted-space"/>
    <w:basedOn w:val="133"/>
    <w:qFormat/>
    <w:uiPriority w:val="0"/>
  </w:style>
  <w:style w:type="character" w:customStyle="1" w:styleId="309">
    <w:name w:val="tt3"/>
    <w:qFormat/>
    <w:uiPriority w:val="0"/>
    <w:rPr>
      <w:rFonts w:hint="default" w:ascii="Arial" w:hAnsi="Arial" w:cs="Arial"/>
      <w:b/>
      <w:bCs/>
      <w:color w:val="DB500D"/>
      <w:sz w:val="18"/>
      <w:szCs w:val="18"/>
    </w:rPr>
  </w:style>
  <w:style w:type="character" w:customStyle="1" w:styleId="310">
    <w:name w:val="文章正文样式 Char"/>
    <w:link w:val="311"/>
    <w:qFormat/>
    <w:uiPriority w:val="0"/>
    <w:rPr>
      <w:rFonts w:ascii="宋体" w:hAnsi="宋体" w:eastAsia="宋体" w:cs="宋体"/>
      <w:kern w:val="2"/>
      <w:sz w:val="24"/>
      <w:lang w:val="en-US" w:eastAsia="zh-CN" w:bidi="ar-SA"/>
    </w:rPr>
  </w:style>
  <w:style w:type="paragraph" w:customStyle="1" w:styleId="311">
    <w:name w:val="文章正文样式"/>
    <w:basedOn w:val="1"/>
    <w:link w:val="310"/>
    <w:qFormat/>
    <w:uiPriority w:val="0"/>
    <w:pPr>
      <w:spacing w:line="520" w:lineRule="exact"/>
      <w:ind w:firstLine="480" w:firstLineChars="200"/>
      <w:jc w:val="left"/>
    </w:pPr>
    <w:rPr>
      <w:rFonts w:ascii="宋体" w:hAnsi="宋体" w:eastAsia="宋体" w:cs="宋体"/>
      <w:sz w:val="24"/>
    </w:rPr>
  </w:style>
  <w:style w:type="character" w:customStyle="1" w:styleId="312">
    <w:name w:val="表格名称1 Char"/>
    <w:link w:val="313"/>
    <w:qFormat/>
    <w:uiPriority w:val="0"/>
    <w:rPr>
      <w:rFonts w:ascii="Arial" w:hAnsi="Arial" w:eastAsia="宋体" w:cs="Arial"/>
      <w:b/>
      <w:bCs/>
      <w:kern w:val="2"/>
      <w:sz w:val="24"/>
      <w:szCs w:val="24"/>
      <w:u w:val="single"/>
      <w:lang w:val="en-US" w:eastAsia="zh-CN" w:bidi="ar-SA"/>
    </w:rPr>
  </w:style>
  <w:style w:type="paragraph" w:customStyle="1" w:styleId="313">
    <w:name w:val="表格名称1"/>
    <w:basedOn w:val="1"/>
    <w:link w:val="312"/>
    <w:qFormat/>
    <w:uiPriority w:val="0"/>
    <w:pPr>
      <w:ind w:firstLine="449"/>
      <w:jc w:val="center"/>
    </w:pPr>
    <w:rPr>
      <w:rFonts w:ascii="Arial" w:hAnsi="Arial" w:eastAsia="宋体" w:cs="Arial"/>
      <w:b/>
      <w:bCs/>
      <w:sz w:val="24"/>
      <w:szCs w:val="24"/>
      <w:u w:val="single"/>
    </w:rPr>
  </w:style>
  <w:style w:type="character" w:customStyle="1" w:styleId="314">
    <w:name w:val="font31"/>
    <w:qFormat/>
    <w:uiPriority w:val="0"/>
    <w:rPr>
      <w:rFonts w:ascii="Times New Roman" w:hAnsi="Times New Roman" w:eastAsia="楷体_GB2312" w:cs="Times New Roman"/>
      <w:b/>
      <w:bCs/>
      <w:color w:val="000000"/>
      <w:sz w:val="24"/>
      <w:szCs w:val="24"/>
      <w:u w:val="none"/>
      <w:vertAlign w:val="superscript"/>
    </w:rPr>
  </w:style>
  <w:style w:type="character" w:customStyle="1" w:styleId="315">
    <w:name w:val="txt61"/>
    <w:qFormat/>
    <w:uiPriority w:val="0"/>
    <w:rPr>
      <w:rFonts w:ascii="宋体" w:hAnsi="宋体" w:eastAsia="Arial" w:cs="宋体"/>
      <w:color w:val="003366"/>
      <w:kern w:val="2"/>
      <w:sz w:val="20"/>
      <w:szCs w:val="20"/>
      <w:u w:val="none"/>
      <w:lang w:val="en-US" w:eastAsia="zh-CN" w:bidi="ar-SA"/>
    </w:rPr>
  </w:style>
  <w:style w:type="character" w:customStyle="1" w:styleId="316">
    <w:name w:val="info1"/>
    <w:qFormat/>
    <w:uiPriority w:val="0"/>
    <w:rPr>
      <w:spacing w:val="15"/>
      <w:sz w:val="21"/>
      <w:szCs w:val="21"/>
    </w:rPr>
  </w:style>
  <w:style w:type="character" w:customStyle="1" w:styleId="317">
    <w:name w:val="首行缩进两字 Char3"/>
    <w:qFormat/>
    <w:uiPriority w:val="0"/>
    <w:rPr>
      <w:rFonts w:ascii="Arial" w:hAnsi="Arial" w:eastAsia="宋体" w:cs="Arial"/>
      <w:spacing w:val="10"/>
      <w:kern w:val="2"/>
      <w:sz w:val="24"/>
      <w:lang w:val="en-US" w:eastAsia="zh-CN" w:bidi="ar-SA"/>
    </w:rPr>
  </w:style>
  <w:style w:type="character" w:customStyle="1" w:styleId="318">
    <w:name w:val="首行缩进两字 Char5"/>
    <w:qFormat/>
    <w:uiPriority w:val="0"/>
    <w:rPr>
      <w:rFonts w:ascii="Arial" w:hAnsi="Arial" w:eastAsia="宋体" w:cs="Arial"/>
      <w:spacing w:val="10"/>
      <w:kern w:val="2"/>
      <w:sz w:val="24"/>
      <w:lang w:val="en-US" w:eastAsia="zh-CN" w:bidi="ar-SA"/>
    </w:rPr>
  </w:style>
  <w:style w:type="character" w:customStyle="1" w:styleId="319">
    <w:name w:val="文章正文样式 Char1 Char Char"/>
    <w:link w:val="320"/>
    <w:qFormat/>
    <w:uiPriority w:val="0"/>
    <w:rPr>
      <w:rFonts w:ascii="宋体" w:hAnsi="宋体" w:eastAsia="宋体" w:cs="宋体"/>
      <w:kern w:val="2"/>
      <w:sz w:val="24"/>
      <w:szCs w:val="24"/>
      <w:lang w:val="en-US" w:eastAsia="zh-CN" w:bidi="ar-SA"/>
    </w:rPr>
  </w:style>
  <w:style w:type="paragraph" w:customStyle="1" w:styleId="320">
    <w:name w:val="文章正文样式 Char1 Char"/>
    <w:basedOn w:val="1"/>
    <w:link w:val="319"/>
    <w:qFormat/>
    <w:uiPriority w:val="0"/>
    <w:pPr>
      <w:spacing w:line="520" w:lineRule="exact"/>
      <w:ind w:firstLine="200" w:firstLineChars="200"/>
      <w:jc w:val="left"/>
    </w:pPr>
    <w:rPr>
      <w:rFonts w:ascii="宋体" w:hAnsi="宋体" w:eastAsia="宋体" w:cs="宋体"/>
      <w:sz w:val="24"/>
      <w:szCs w:val="24"/>
    </w:rPr>
  </w:style>
  <w:style w:type="character" w:customStyle="1" w:styleId="321">
    <w:name w:val="正文文字缩进 2 Char1"/>
    <w:qFormat/>
    <w:uiPriority w:val="99"/>
    <w:rPr>
      <w:rFonts w:ascii="宋体" w:hAnsi="宋体" w:eastAsia="宋体" w:cs="宋体"/>
      <w:kern w:val="2"/>
      <w:sz w:val="24"/>
      <w:szCs w:val="24"/>
      <w:lang w:val="en-US" w:eastAsia="zh-CN" w:bidi="ar-SA"/>
    </w:rPr>
  </w:style>
  <w:style w:type="character" w:customStyle="1" w:styleId="322">
    <w:name w:val="自动A Char"/>
    <w:link w:val="323"/>
    <w:qFormat/>
    <w:uiPriority w:val="0"/>
    <w:rPr>
      <w:rFonts w:eastAsia="宋体"/>
      <w:color w:val="000000"/>
      <w:sz w:val="24"/>
      <w:lang w:val="en-US" w:eastAsia="zh-CN" w:bidi="ar-SA"/>
    </w:rPr>
  </w:style>
  <w:style w:type="paragraph" w:customStyle="1" w:styleId="323">
    <w:name w:val="自动A"/>
    <w:basedOn w:val="1"/>
    <w:link w:val="322"/>
    <w:qFormat/>
    <w:uiPriority w:val="0"/>
    <w:pPr>
      <w:spacing w:before="120" w:after="120" w:line="360" w:lineRule="auto"/>
      <w:ind w:firstLine="480" w:firstLineChars="200"/>
    </w:pPr>
    <w:rPr>
      <w:rFonts w:eastAsia="宋体"/>
      <w:color w:val="000000"/>
      <w:kern w:val="0"/>
      <w:sz w:val="24"/>
    </w:rPr>
  </w:style>
  <w:style w:type="character" w:customStyle="1" w:styleId="324">
    <w:name w:val="bt21"/>
    <w:qFormat/>
    <w:uiPriority w:val="0"/>
    <w:rPr>
      <w:rFonts w:ascii="宋体" w:hAnsi="宋体" w:eastAsia="Arial" w:cs="宋体"/>
      <w:kern w:val="2"/>
      <w:sz w:val="24"/>
      <w:szCs w:val="24"/>
      <w:lang w:val="en-US" w:eastAsia="zh-CN" w:bidi="ar-SA"/>
    </w:rPr>
  </w:style>
  <w:style w:type="character" w:customStyle="1" w:styleId="325">
    <w:name w:val="正文文本缩进 Char"/>
    <w:link w:val="35"/>
    <w:qFormat/>
    <w:uiPriority w:val="99"/>
    <w:rPr>
      <w:rFonts w:eastAsia="宋体"/>
      <w:kern w:val="2"/>
      <w:sz w:val="21"/>
      <w:lang w:val="en-US" w:eastAsia="zh-CN" w:bidi="ar-SA"/>
    </w:rPr>
  </w:style>
  <w:style w:type="character" w:customStyle="1" w:styleId="326">
    <w:name w:val="正文1 Char1"/>
    <w:link w:val="327"/>
    <w:qFormat/>
    <w:uiPriority w:val="0"/>
    <w:rPr>
      <w:rFonts w:ascii="宋体"/>
      <w:spacing w:val="10"/>
      <w:sz w:val="24"/>
      <w:lang w:val="en-US" w:eastAsia="zh-CN" w:bidi="ar-SA"/>
    </w:rPr>
  </w:style>
  <w:style w:type="paragraph" w:customStyle="1" w:styleId="327">
    <w:name w:val="正文1"/>
    <w:link w:val="326"/>
    <w:qFormat/>
    <w:uiPriority w:val="0"/>
    <w:pPr>
      <w:widowControl w:val="0"/>
      <w:adjustRightInd w:val="0"/>
      <w:snapToGrid w:val="0"/>
      <w:spacing w:after="120" w:line="300" w:lineRule="auto"/>
      <w:ind w:firstLine="539"/>
      <w:jc w:val="both"/>
    </w:pPr>
    <w:rPr>
      <w:rFonts w:ascii="宋体" w:hAnsi="Times New Roman" w:eastAsia="宋体" w:cs="Times New Roman"/>
      <w:spacing w:val="10"/>
      <w:sz w:val="24"/>
      <w:lang w:val="en-US" w:eastAsia="zh-CN" w:bidi="ar-SA"/>
    </w:rPr>
  </w:style>
  <w:style w:type="character" w:customStyle="1" w:styleId="328">
    <w:name w:val="3级（次）标题 Char"/>
    <w:link w:val="329"/>
    <w:qFormat/>
    <w:uiPriority w:val="0"/>
    <w:rPr>
      <w:rFonts w:ascii="宋体" w:hAnsi="宋体" w:eastAsia="宋体"/>
      <w:b/>
      <w:kern w:val="2"/>
      <w:sz w:val="24"/>
      <w:szCs w:val="24"/>
      <w:lang w:val="en-US" w:eastAsia="zh-CN" w:bidi="ar-SA"/>
    </w:rPr>
  </w:style>
  <w:style w:type="paragraph" w:customStyle="1" w:styleId="329">
    <w:name w:val="3级（次）标题"/>
    <w:basedOn w:val="1"/>
    <w:link w:val="328"/>
    <w:qFormat/>
    <w:uiPriority w:val="0"/>
    <w:pPr>
      <w:spacing w:line="360" w:lineRule="auto"/>
      <w:ind w:firstLine="241" w:firstLineChars="100"/>
      <w:outlineLvl w:val="2"/>
    </w:pPr>
    <w:rPr>
      <w:rFonts w:ascii="宋体" w:hAnsi="宋体" w:eastAsia="宋体"/>
      <w:b/>
      <w:sz w:val="24"/>
      <w:szCs w:val="24"/>
    </w:rPr>
  </w:style>
  <w:style w:type="character" w:customStyle="1" w:styleId="330">
    <w:name w:val="at_7"/>
    <w:qFormat/>
    <w:uiPriority w:val="0"/>
    <w:rPr>
      <w:rFonts w:ascii="宋体" w:hAnsi="宋体" w:eastAsia="Arial" w:cs="宋体"/>
      <w:kern w:val="2"/>
      <w:sz w:val="24"/>
      <w:szCs w:val="24"/>
      <w:lang w:val="en-US" w:eastAsia="zh-CN" w:bidi="ar-SA"/>
    </w:rPr>
  </w:style>
  <w:style w:type="character" w:customStyle="1" w:styleId="331">
    <w:name w:val="font12"/>
    <w:qFormat/>
    <w:uiPriority w:val="0"/>
    <w:rPr>
      <w:sz w:val="24"/>
      <w:szCs w:val="24"/>
    </w:rPr>
  </w:style>
  <w:style w:type="character" w:customStyle="1" w:styleId="332">
    <w:name w:val="正文01 Char Char"/>
    <w:qFormat/>
    <w:uiPriority w:val="0"/>
    <w:rPr>
      <w:rFonts w:ascii="宋体" w:hAnsi="宋体" w:eastAsia="宋体" w:cs="宋体"/>
      <w:kern w:val="2"/>
      <w:sz w:val="24"/>
      <w:szCs w:val="24"/>
      <w:lang w:val="en-US" w:eastAsia="zh-CN" w:bidi="ar-SA"/>
    </w:rPr>
  </w:style>
  <w:style w:type="character" w:customStyle="1" w:styleId="333">
    <w:name w:val="表格字体 Char"/>
    <w:link w:val="334"/>
    <w:qFormat/>
    <w:uiPriority w:val="0"/>
    <w:rPr>
      <w:rFonts w:eastAsia="宋体"/>
      <w:kern w:val="2"/>
      <w:sz w:val="24"/>
      <w:szCs w:val="21"/>
      <w:lang w:val="en-US" w:eastAsia="zh-CN" w:bidi="ar-SA"/>
    </w:rPr>
  </w:style>
  <w:style w:type="paragraph" w:customStyle="1" w:styleId="334">
    <w:name w:val="表格字体"/>
    <w:basedOn w:val="1"/>
    <w:link w:val="333"/>
    <w:qFormat/>
    <w:uiPriority w:val="0"/>
    <w:pPr>
      <w:spacing w:before="93" w:beforeLines="20" w:after="93" w:afterLines="20" w:line="360" w:lineRule="auto"/>
      <w:jc w:val="center"/>
    </w:pPr>
    <w:rPr>
      <w:rFonts w:eastAsia="宋体"/>
      <w:sz w:val="24"/>
      <w:szCs w:val="21"/>
    </w:rPr>
  </w:style>
  <w:style w:type="character" w:customStyle="1" w:styleId="335">
    <w:name w:val="文章正文样式 Char1 Char2 Char"/>
    <w:link w:val="336"/>
    <w:qFormat/>
    <w:uiPriority w:val="0"/>
    <w:rPr>
      <w:rFonts w:ascii="宋体" w:hAnsi="宋体" w:eastAsia="宋体" w:cs="宋体"/>
      <w:kern w:val="2"/>
      <w:sz w:val="24"/>
      <w:lang w:val="en-US" w:eastAsia="zh-CN" w:bidi="ar-SA"/>
    </w:rPr>
  </w:style>
  <w:style w:type="paragraph" w:customStyle="1" w:styleId="336">
    <w:name w:val="文章正文样式 Char1 Char2"/>
    <w:basedOn w:val="1"/>
    <w:link w:val="335"/>
    <w:qFormat/>
    <w:uiPriority w:val="0"/>
    <w:pPr>
      <w:spacing w:line="520" w:lineRule="exact"/>
      <w:ind w:firstLine="480" w:firstLineChars="200"/>
      <w:jc w:val="left"/>
    </w:pPr>
    <w:rPr>
      <w:rFonts w:ascii="宋体" w:hAnsi="宋体" w:eastAsia="宋体" w:cs="宋体"/>
      <w:sz w:val="24"/>
    </w:rPr>
  </w:style>
  <w:style w:type="character" w:customStyle="1" w:styleId="337">
    <w:name w:val="正文报告 Char Char"/>
    <w:link w:val="338"/>
    <w:qFormat/>
    <w:uiPriority w:val="0"/>
    <w:rPr>
      <w:rFonts w:ascii="宋体" w:hAnsi="宋体" w:eastAsia="宋体" w:cs="宋体"/>
      <w:kern w:val="2"/>
      <w:sz w:val="28"/>
      <w:szCs w:val="28"/>
      <w:lang w:val="en-US" w:eastAsia="zh-CN" w:bidi="ar-SA"/>
    </w:rPr>
  </w:style>
  <w:style w:type="paragraph" w:customStyle="1" w:styleId="338">
    <w:name w:val="正文报告"/>
    <w:basedOn w:val="1"/>
    <w:link w:val="337"/>
    <w:qFormat/>
    <w:uiPriority w:val="0"/>
    <w:pPr>
      <w:topLinePunct/>
      <w:snapToGrid w:val="0"/>
      <w:spacing w:line="480" w:lineRule="exact"/>
      <w:ind w:firstLine="567"/>
    </w:pPr>
    <w:rPr>
      <w:rFonts w:ascii="宋体" w:hAnsi="宋体" w:eastAsia="宋体" w:cs="宋体"/>
      <w:szCs w:val="28"/>
    </w:rPr>
  </w:style>
  <w:style w:type="character" w:customStyle="1" w:styleId="339">
    <w:name w:val="样式2 Char Char Char Char"/>
    <w:link w:val="340"/>
    <w:qFormat/>
    <w:uiPriority w:val="0"/>
    <w:rPr>
      <w:rFonts w:eastAsia="宋体"/>
      <w:kern w:val="2"/>
      <w:sz w:val="24"/>
      <w:szCs w:val="24"/>
      <w:lang w:val="en-US" w:eastAsia="zh-CN" w:bidi="ar-SA"/>
    </w:rPr>
  </w:style>
  <w:style w:type="paragraph" w:customStyle="1" w:styleId="340">
    <w:name w:val="样式2 Char Char Char"/>
    <w:basedOn w:val="1"/>
    <w:link w:val="339"/>
    <w:qFormat/>
    <w:uiPriority w:val="0"/>
    <w:rPr>
      <w:rFonts w:eastAsia="宋体"/>
      <w:sz w:val="24"/>
      <w:szCs w:val="24"/>
    </w:rPr>
  </w:style>
  <w:style w:type="character" w:customStyle="1" w:styleId="341">
    <w:name w:val="表格内 Char"/>
    <w:link w:val="342"/>
    <w:qFormat/>
    <w:uiPriority w:val="0"/>
    <w:rPr>
      <w:rFonts w:ascii="宋体" w:eastAsia="宋体"/>
      <w:sz w:val="28"/>
      <w:lang w:val="en-US" w:eastAsia="zh-CN" w:bidi="ar-SA"/>
    </w:rPr>
  </w:style>
  <w:style w:type="paragraph" w:customStyle="1" w:styleId="342">
    <w:name w:val="表格内"/>
    <w:basedOn w:val="1"/>
    <w:link w:val="341"/>
    <w:qFormat/>
    <w:uiPriority w:val="0"/>
    <w:pPr>
      <w:adjustRightInd w:val="0"/>
      <w:spacing w:line="240" w:lineRule="atLeast"/>
      <w:jc w:val="center"/>
      <w:textAlignment w:val="baseline"/>
    </w:pPr>
    <w:rPr>
      <w:rFonts w:ascii="宋体" w:eastAsia="宋体"/>
      <w:kern w:val="0"/>
    </w:rPr>
  </w:style>
  <w:style w:type="character" w:customStyle="1" w:styleId="343">
    <w:name w:val="文章正文文字 Char Char Char Char"/>
    <w:qFormat/>
    <w:uiPriority w:val="0"/>
    <w:rPr>
      <w:rFonts w:ascii="宋体" w:hAnsi="宋体" w:eastAsia="宋体" w:cs="宋体"/>
      <w:kern w:val="2"/>
      <w:sz w:val="24"/>
      <w:szCs w:val="24"/>
      <w:lang w:val="en-US" w:eastAsia="zh-CN" w:bidi="ar-SA"/>
    </w:rPr>
  </w:style>
  <w:style w:type="character" w:customStyle="1" w:styleId="344">
    <w:name w:val="林里桥 Char"/>
    <w:link w:val="345"/>
    <w:qFormat/>
    <w:uiPriority w:val="0"/>
    <w:rPr>
      <w:rFonts w:hAnsi="宋体" w:eastAsia="宋体"/>
      <w:spacing w:val="8"/>
      <w:kern w:val="28"/>
      <w:sz w:val="24"/>
      <w:szCs w:val="24"/>
      <w:lang w:val="en-US" w:eastAsia="zh-CN" w:bidi="ar-SA"/>
    </w:rPr>
  </w:style>
  <w:style w:type="paragraph" w:customStyle="1" w:styleId="345">
    <w:name w:val="林里桥"/>
    <w:basedOn w:val="1"/>
    <w:link w:val="344"/>
    <w:qFormat/>
    <w:uiPriority w:val="0"/>
    <w:pPr>
      <w:spacing w:line="288" w:lineRule="auto"/>
      <w:ind w:firstLine="481" w:firstLineChars="200"/>
    </w:pPr>
    <w:rPr>
      <w:rFonts w:hAnsi="宋体" w:eastAsia="宋体"/>
      <w:spacing w:val="8"/>
      <w:kern w:val="28"/>
      <w:sz w:val="24"/>
      <w:szCs w:val="24"/>
    </w:rPr>
  </w:style>
  <w:style w:type="character" w:customStyle="1" w:styleId="346">
    <w:name w:val="三级标题 Char"/>
    <w:link w:val="347"/>
    <w:qFormat/>
    <w:uiPriority w:val="0"/>
    <w:rPr>
      <w:rFonts w:eastAsia="宋体"/>
      <w:b/>
      <w:bCs/>
      <w:kern w:val="2"/>
      <w:sz w:val="24"/>
      <w:szCs w:val="24"/>
      <w:lang w:val="en-US" w:eastAsia="zh-CN" w:bidi="ar-SA"/>
    </w:rPr>
  </w:style>
  <w:style w:type="paragraph" w:customStyle="1" w:styleId="347">
    <w:name w:val="三级标题"/>
    <w:basedOn w:val="1"/>
    <w:link w:val="346"/>
    <w:qFormat/>
    <w:uiPriority w:val="0"/>
    <w:pPr>
      <w:spacing w:before="300" w:line="460" w:lineRule="exact"/>
      <w:outlineLvl w:val="2"/>
    </w:pPr>
    <w:rPr>
      <w:rFonts w:eastAsia="宋体"/>
      <w:b/>
      <w:bCs/>
      <w:sz w:val="24"/>
      <w:szCs w:val="24"/>
    </w:rPr>
  </w:style>
  <w:style w:type="character" w:customStyle="1" w:styleId="348">
    <w:name w:val="标题1"/>
    <w:basedOn w:val="133"/>
    <w:qFormat/>
    <w:uiPriority w:val="0"/>
  </w:style>
  <w:style w:type="character" w:customStyle="1" w:styleId="349">
    <w:name w:val="无页眉 Char"/>
    <w:qFormat/>
    <w:uiPriority w:val="0"/>
    <w:rPr>
      <w:rFonts w:eastAsia="仿宋_GB2312"/>
      <w:kern w:val="2"/>
      <w:sz w:val="18"/>
      <w:lang w:val="en-US" w:eastAsia="zh-CN" w:bidi="ar-SA"/>
    </w:rPr>
  </w:style>
  <w:style w:type="character" w:customStyle="1" w:styleId="350">
    <w:name w:val="unnamed11"/>
    <w:qFormat/>
    <w:uiPriority w:val="0"/>
    <w:rPr>
      <w:spacing w:val="300"/>
      <w:sz w:val="18"/>
      <w:szCs w:val="18"/>
    </w:rPr>
  </w:style>
  <w:style w:type="character" w:customStyle="1" w:styleId="351">
    <w:name w:val="1号正文 Char Char"/>
    <w:qFormat/>
    <w:uiPriority w:val="0"/>
    <w:rPr>
      <w:rFonts w:ascii="宋体" w:hAnsi="宋体" w:eastAsia="仿宋_GB2312" w:cs="宋体"/>
      <w:kern w:val="2"/>
      <w:sz w:val="24"/>
      <w:szCs w:val="24"/>
      <w:lang w:val="en-US" w:eastAsia="zh-CN" w:bidi="ar-SA"/>
    </w:rPr>
  </w:style>
  <w:style w:type="character" w:customStyle="1" w:styleId="352">
    <w:name w:val="标准 Char"/>
    <w:semiHidden/>
    <w:qFormat/>
    <w:uiPriority w:val="0"/>
    <w:rPr>
      <w:rFonts w:ascii="宋体" w:eastAsia="宋体"/>
      <w:sz w:val="31"/>
      <w:lang w:val="en-US" w:eastAsia="zh-CN" w:bidi="ar-SA"/>
    </w:rPr>
  </w:style>
  <w:style w:type="character" w:customStyle="1" w:styleId="353">
    <w:name w:val="自定表格内细 Char"/>
    <w:link w:val="354"/>
    <w:qFormat/>
    <w:uiPriority w:val="0"/>
    <w:rPr>
      <w:rFonts w:hAnsi="宋体" w:eastAsia="宋体" w:cs="宋体"/>
      <w:sz w:val="21"/>
      <w:szCs w:val="21"/>
      <w:lang w:val="en-US" w:eastAsia="en-US" w:bidi="en-US"/>
    </w:rPr>
  </w:style>
  <w:style w:type="paragraph" w:customStyle="1" w:styleId="354">
    <w:name w:val="自定表格内细"/>
    <w:basedOn w:val="1"/>
    <w:link w:val="353"/>
    <w:qFormat/>
    <w:uiPriority w:val="0"/>
    <w:pPr>
      <w:widowControl/>
      <w:overflowPunct w:val="0"/>
      <w:autoSpaceDE w:val="0"/>
      <w:autoSpaceDN w:val="0"/>
      <w:adjustRightInd w:val="0"/>
      <w:ind w:left="-72" w:leftChars="-30" w:right="-17" w:rightChars="-7"/>
      <w:jc w:val="center"/>
      <w:textAlignment w:val="baseline"/>
    </w:pPr>
    <w:rPr>
      <w:rFonts w:hAnsi="宋体" w:eastAsia="宋体" w:cs="宋体"/>
      <w:kern w:val="0"/>
      <w:sz w:val="21"/>
      <w:szCs w:val="21"/>
      <w:lang w:eastAsia="en-US" w:bidi="en-US"/>
    </w:rPr>
  </w:style>
  <w:style w:type="character" w:customStyle="1" w:styleId="355">
    <w:name w:val="正文缩进 Char1"/>
    <w:link w:val="5"/>
    <w:qFormat/>
    <w:uiPriority w:val="0"/>
    <w:rPr>
      <w:rFonts w:ascii="Arial" w:hAnsi="Arial" w:eastAsia="宋体" w:cs="Arial"/>
      <w:spacing w:val="10"/>
      <w:kern w:val="2"/>
      <w:sz w:val="24"/>
      <w:lang w:val="en-US" w:eastAsia="zh-CN" w:bidi="ar-SA"/>
    </w:rPr>
  </w:style>
  <w:style w:type="character" w:customStyle="1" w:styleId="356">
    <w:name w:val="text1"/>
    <w:qFormat/>
    <w:uiPriority w:val="0"/>
    <w:rPr>
      <w:rFonts w:hint="eastAsia" w:ascii="宋体" w:hAnsi="宋体" w:eastAsia="宋体"/>
      <w:color w:val="999999"/>
      <w:sz w:val="18"/>
      <w:szCs w:val="18"/>
      <w:u w:val="none"/>
    </w:rPr>
  </w:style>
  <w:style w:type="character" w:customStyle="1" w:styleId="357">
    <w:name w:val="+正文 Char"/>
    <w:link w:val="358"/>
    <w:qFormat/>
    <w:uiPriority w:val="0"/>
    <w:rPr>
      <w:rFonts w:eastAsia="宋体"/>
      <w:kern w:val="2"/>
      <w:sz w:val="28"/>
      <w:szCs w:val="28"/>
      <w:lang w:val="en-US" w:eastAsia="zh-CN" w:bidi="ar-SA"/>
    </w:rPr>
  </w:style>
  <w:style w:type="paragraph" w:customStyle="1" w:styleId="358">
    <w:name w:val="+正文"/>
    <w:basedOn w:val="1"/>
    <w:link w:val="357"/>
    <w:qFormat/>
    <w:uiPriority w:val="0"/>
    <w:pPr>
      <w:spacing w:line="360" w:lineRule="auto"/>
      <w:ind w:firstLine="200" w:firstLineChars="200"/>
    </w:pPr>
    <w:rPr>
      <w:rFonts w:eastAsia="宋体"/>
      <w:szCs w:val="28"/>
    </w:rPr>
  </w:style>
  <w:style w:type="character" w:customStyle="1" w:styleId="359">
    <w:name w:val="干标题(a) Char1"/>
    <w:qFormat/>
    <w:uiPriority w:val="0"/>
    <w:rPr>
      <w:rFonts w:ascii="Arial" w:hAnsi="Arial" w:eastAsia="黑体"/>
      <w:kern w:val="2"/>
      <w:sz w:val="21"/>
      <w:szCs w:val="21"/>
      <w:lang w:val="en-US" w:eastAsia="zh-CN" w:bidi="ar-SA"/>
    </w:rPr>
  </w:style>
  <w:style w:type="character" w:customStyle="1" w:styleId="360">
    <w:name w:val="unnamed21"/>
    <w:qFormat/>
    <w:uiPriority w:val="0"/>
    <w:rPr>
      <w:rFonts w:hint="default"/>
      <w:sz w:val="20"/>
      <w:szCs w:val="20"/>
    </w:rPr>
  </w:style>
  <w:style w:type="character" w:customStyle="1" w:styleId="361">
    <w:name w:val="px141"/>
    <w:qFormat/>
    <w:uiPriority w:val="0"/>
    <w:rPr>
      <w:rFonts w:hint="default" w:ascii="ˎ̥" w:hAnsi="ˎ̥"/>
      <w:sz w:val="28"/>
      <w:szCs w:val="28"/>
    </w:rPr>
  </w:style>
  <w:style w:type="character" w:customStyle="1" w:styleId="362">
    <w:name w:val="项标题(1) Char"/>
    <w:qFormat/>
    <w:uiPriority w:val="0"/>
    <w:rPr>
      <w:rFonts w:ascii="Times New Roman" w:hAnsi="Times New Roman"/>
      <w:b/>
      <w:bCs/>
      <w:kern w:val="2"/>
      <w:sz w:val="24"/>
      <w:szCs w:val="24"/>
    </w:rPr>
  </w:style>
  <w:style w:type="character" w:customStyle="1" w:styleId="363">
    <w:name w:val="首行缩进两字 Char6"/>
    <w:qFormat/>
    <w:uiPriority w:val="0"/>
    <w:rPr>
      <w:rFonts w:ascii="Arial" w:hAnsi="Arial" w:eastAsia="宋体" w:cs="Arial"/>
      <w:spacing w:val="10"/>
      <w:kern w:val="2"/>
      <w:sz w:val="24"/>
      <w:lang w:val="en-US" w:eastAsia="zh-CN" w:bidi="ar-SA"/>
    </w:rPr>
  </w:style>
  <w:style w:type="character" w:customStyle="1" w:styleId="364">
    <w:name w:val="表格题名 Char"/>
    <w:link w:val="365"/>
    <w:qFormat/>
    <w:uiPriority w:val="0"/>
    <w:rPr>
      <w:rFonts w:eastAsia="黑体"/>
      <w:b/>
      <w:sz w:val="24"/>
      <w:lang w:val="en-US" w:eastAsia="zh-CN" w:bidi="ar-SA"/>
    </w:rPr>
  </w:style>
  <w:style w:type="paragraph" w:customStyle="1" w:styleId="365">
    <w:name w:val="表格题名"/>
    <w:basedOn w:val="1"/>
    <w:link w:val="364"/>
    <w:qFormat/>
    <w:uiPriority w:val="0"/>
    <w:pPr>
      <w:adjustRightInd w:val="0"/>
      <w:spacing w:before="93" w:after="93" w:line="360" w:lineRule="auto"/>
      <w:jc w:val="center"/>
      <w:textAlignment w:val="baseline"/>
    </w:pPr>
    <w:rPr>
      <w:rFonts w:eastAsia="黑体"/>
      <w:b/>
      <w:kern w:val="0"/>
      <w:sz w:val="24"/>
    </w:rPr>
  </w:style>
  <w:style w:type="character" w:customStyle="1" w:styleId="366">
    <w:name w:val="江波正文 Char"/>
    <w:link w:val="367"/>
    <w:semiHidden/>
    <w:qFormat/>
    <w:uiPriority w:val="0"/>
    <w:rPr>
      <w:rFonts w:hAnsi="仿宋_GB2312" w:eastAsia="仿宋_GB2312"/>
      <w:kern w:val="2"/>
      <w:sz w:val="28"/>
      <w:szCs w:val="28"/>
      <w:lang w:val="en-US" w:eastAsia="zh-CN" w:bidi="ar-SA"/>
    </w:rPr>
  </w:style>
  <w:style w:type="paragraph" w:customStyle="1" w:styleId="367">
    <w:name w:val="江波正文"/>
    <w:link w:val="366"/>
    <w:semiHidden/>
    <w:qFormat/>
    <w:uiPriority w:val="0"/>
    <w:pPr>
      <w:spacing w:line="360" w:lineRule="auto"/>
      <w:ind w:firstLine="480"/>
      <w:jc w:val="both"/>
    </w:pPr>
    <w:rPr>
      <w:rFonts w:ascii="Times New Roman" w:hAnsi="仿宋_GB2312" w:eastAsia="仿宋_GB2312" w:cs="Times New Roman"/>
      <w:kern w:val="2"/>
      <w:sz w:val="28"/>
      <w:szCs w:val="28"/>
      <w:lang w:val="en-US" w:eastAsia="zh-CN" w:bidi="ar-SA"/>
    </w:rPr>
  </w:style>
  <w:style w:type="character" w:customStyle="1" w:styleId="368">
    <w:name w:val="表标题... Char Char"/>
    <w:link w:val="369"/>
    <w:qFormat/>
    <w:uiPriority w:val="0"/>
    <w:rPr>
      <w:rFonts w:ascii="Arial" w:hAnsi="Arial" w:eastAsia="宋体" w:cs="宋体"/>
      <w:b/>
      <w:color w:val="800080"/>
      <w:kern w:val="2"/>
      <w:sz w:val="24"/>
      <w:szCs w:val="24"/>
      <w:lang w:val="en-US" w:eastAsia="zh-CN" w:bidi="ar-SA"/>
    </w:rPr>
  </w:style>
  <w:style w:type="paragraph" w:customStyle="1" w:styleId="369">
    <w:name w:val="表标题..."/>
    <w:basedOn w:val="7"/>
    <w:link w:val="368"/>
    <w:qFormat/>
    <w:uiPriority w:val="0"/>
    <w:pPr>
      <w:spacing w:line="440" w:lineRule="exact"/>
    </w:pPr>
    <w:rPr>
      <w:rFonts w:eastAsia="宋体" w:cs="宋体"/>
      <w:color w:val="800080"/>
      <w:szCs w:val="24"/>
    </w:rPr>
  </w:style>
  <w:style w:type="character" w:customStyle="1" w:styleId="370">
    <w:name w:val="正文缩进 Char"/>
    <w:qFormat/>
    <w:uiPriority w:val="0"/>
    <w:rPr>
      <w:rFonts w:ascii="Arial" w:hAnsi="Arial" w:eastAsia="宋体" w:cs="Arial"/>
      <w:spacing w:val="10"/>
      <w:kern w:val="2"/>
      <w:sz w:val="24"/>
      <w:lang w:val="en-US" w:eastAsia="zh-CN" w:bidi="ar-SA"/>
    </w:rPr>
  </w:style>
  <w:style w:type="character" w:customStyle="1" w:styleId="371">
    <w:name w:val="正文文本缩进 3 Char1"/>
    <w:link w:val="71"/>
    <w:qFormat/>
    <w:uiPriority w:val="0"/>
    <w:rPr>
      <w:rFonts w:ascii="宋体" w:hAnsi="宋体" w:eastAsia="宋体"/>
      <w:color w:val="000000"/>
      <w:kern w:val="2"/>
      <w:sz w:val="24"/>
      <w:lang w:val="en-US" w:eastAsia="zh-CN" w:bidi="ar-SA"/>
    </w:rPr>
  </w:style>
  <w:style w:type="character" w:customStyle="1" w:styleId="372">
    <w:name w:val="居中正文 Char"/>
    <w:link w:val="373"/>
    <w:qFormat/>
    <w:uiPriority w:val="0"/>
    <w:rPr>
      <w:rFonts w:ascii="宋体" w:eastAsia="宋体"/>
      <w:kern w:val="28"/>
      <w:sz w:val="24"/>
      <w:lang w:val="en-US" w:eastAsia="zh-CN" w:bidi="ar-SA"/>
    </w:rPr>
  </w:style>
  <w:style w:type="paragraph" w:customStyle="1" w:styleId="373">
    <w:name w:val="居中正文"/>
    <w:basedOn w:val="41"/>
    <w:link w:val="372"/>
    <w:qFormat/>
    <w:uiPriority w:val="0"/>
    <w:pPr>
      <w:adjustRightInd w:val="0"/>
      <w:spacing w:before="120" w:after="0" w:line="360" w:lineRule="auto"/>
      <w:ind w:firstLine="0" w:firstLineChars="0"/>
      <w:jc w:val="center"/>
    </w:pPr>
    <w:rPr>
      <w:rFonts w:ascii="宋体" w:eastAsia="宋体"/>
      <w:kern w:val="28"/>
      <w:sz w:val="24"/>
    </w:rPr>
  </w:style>
  <w:style w:type="character" w:customStyle="1" w:styleId="374">
    <w:name w:val="hei141"/>
    <w:qFormat/>
    <w:uiPriority w:val="0"/>
    <w:rPr>
      <w:color w:val="000000"/>
      <w:sz w:val="28"/>
      <w:szCs w:val="28"/>
      <w:u w:val="none"/>
    </w:rPr>
  </w:style>
  <w:style w:type="character" w:customStyle="1" w:styleId="375">
    <w:name w:val="KM_表格内容"/>
    <w:qFormat/>
    <w:uiPriority w:val="0"/>
    <w:rPr>
      <w:rFonts w:ascii="宋体" w:hAnsi="宋体"/>
    </w:rPr>
  </w:style>
  <w:style w:type="character" w:customStyle="1" w:styleId="376">
    <w:name w:val="样式 Char"/>
    <w:link w:val="377"/>
    <w:qFormat/>
    <w:uiPriority w:val="0"/>
    <w:rPr>
      <w:rFonts w:ascii="Arial" w:hAnsi="Arial" w:eastAsia="宋体"/>
      <w:spacing w:val="10"/>
      <w:kern w:val="2"/>
      <w:sz w:val="24"/>
      <w:lang w:bidi="ar-SA"/>
    </w:rPr>
  </w:style>
  <w:style w:type="paragraph" w:customStyle="1" w:styleId="377">
    <w:name w:val="样式"/>
    <w:basedOn w:val="5"/>
    <w:link w:val="376"/>
    <w:qFormat/>
    <w:uiPriority w:val="0"/>
    <w:rPr>
      <w:rFonts w:cs="Times New Roman"/>
    </w:rPr>
  </w:style>
  <w:style w:type="character" w:customStyle="1" w:styleId="378">
    <w:name w:val="Char Char19"/>
    <w:qFormat/>
    <w:uiPriority w:val="0"/>
    <w:rPr>
      <w:rFonts w:ascii="Times New Roman" w:hAnsi="Times New Roman"/>
      <w:kern w:val="2"/>
      <w:sz w:val="18"/>
      <w:szCs w:val="18"/>
    </w:rPr>
  </w:style>
  <w:style w:type="character" w:customStyle="1" w:styleId="379">
    <w:name w:val="标题1.1.1.1.1.1 Char1"/>
    <w:qFormat/>
    <w:uiPriority w:val="0"/>
    <w:rPr>
      <w:rFonts w:ascii="Arial" w:hAnsi="Arial" w:eastAsia="黑体"/>
      <w:b/>
      <w:bCs/>
      <w:kern w:val="2"/>
      <w:sz w:val="24"/>
      <w:szCs w:val="24"/>
      <w:lang w:val="en-US" w:eastAsia="zh-CN" w:bidi="ar-SA"/>
    </w:rPr>
  </w:style>
  <w:style w:type="character" w:customStyle="1" w:styleId="380">
    <w:name w:val="报告标题1 Char"/>
    <w:link w:val="381"/>
    <w:qFormat/>
    <w:uiPriority w:val="0"/>
    <w:rPr>
      <w:rFonts w:ascii="宋体" w:hAnsi="宋体" w:eastAsia="宋体" w:cs="宋体"/>
      <w:b/>
      <w:bCs/>
      <w:color w:val="000000"/>
      <w:kern w:val="2"/>
      <w:sz w:val="30"/>
      <w:szCs w:val="24"/>
      <w:lang w:val="en-US" w:eastAsia="zh-CN" w:bidi="ar-SA"/>
    </w:rPr>
  </w:style>
  <w:style w:type="paragraph" w:customStyle="1" w:styleId="381">
    <w:name w:val="报告标题1"/>
    <w:basedOn w:val="3"/>
    <w:link w:val="380"/>
    <w:qFormat/>
    <w:uiPriority w:val="0"/>
    <w:pPr>
      <w:keepLines w:val="0"/>
      <w:pageBreakBefore w:val="0"/>
      <w:tabs>
        <w:tab w:val="left" w:pos="0"/>
      </w:tabs>
      <w:adjustRightInd w:val="0"/>
      <w:spacing w:before="312" w:beforeLines="100" w:after="0" w:line="360" w:lineRule="auto"/>
      <w:ind w:left="0" w:firstLine="0"/>
      <w:jc w:val="left"/>
    </w:pPr>
    <w:rPr>
      <w:rFonts w:ascii="宋体" w:hAnsi="宋体" w:cs="宋体"/>
      <w:bCs/>
      <w:color w:val="000000"/>
      <w:kern w:val="2"/>
      <w:sz w:val="30"/>
      <w:szCs w:val="24"/>
    </w:rPr>
  </w:style>
  <w:style w:type="character" w:customStyle="1" w:styleId="382">
    <w:name w:val="jb仿宋_GB2312 Char"/>
    <w:link w:val="383"/>
    <w:semiHidden/>
    <w:qFormat/>
    <w:uiPriority w:val="0"/>
    <w:rPr>
      <w:rFonts w:hAnsi="仿宋_GB2312" w:eastAsia="宋体"/>
      <w:kern w:val="2"/>
      <w:sz w:val="24"/>
      <w:lang w:bidi="ar-SA"/>
    </w:rPr>
  </w:style>
  <w:style w:type="paragraph" w:customStyle="1" w:styleId="383">
    <w:name w:val="jb仿宋_GB2312"/>
    <w:basedOn w:val="1"/>
    <w:link w:val="382"/>
    <w:semiHidden/>
    <w:qFormat/>
    <w:uiPriority w:val="0"/>
    <w:pPr>
      <w:snapToGrid w:val="0"/>
      <w:spacing w:line="560" w:lineRule="exact"/>
      <w:ind w:firstLine="560" w:firstLineChars="200"/>
    </w:pPr>
    <w:rPr>
      <w:rFonts w:hAnsi="仿宋_GB2312" w:eastAsia="宋体"/>
      <w:sz w:val="24"/>
    </w:rPr>
  </w:style>
  <w:style w:type="character" w:customStyle="1" w:styleId="384">
    <w:name w:val="样式28 Char"/>
    <w:link w:val="385"/>
    <w:qFormat/>
    <w:uiPriority w:val="0"/>
    <w:rPr>
      <w:rFonts w:eastAsia="宋体"/>
      <w:kern w:val="2"/>
      <w:sz w:val="24"/>
      <w:szCs w:val="24"/>
      <w:lang w:val="en-US" w:eastAsia="zh-CN" w:bidi="ar-SA"/>
    </w:rPr>
  </w:style>
  <w:style w:type="paragraph" w:customStyle="1" w:styleId="385">
    <w:name w:val="样式28"/>
    <w:basedOn w:val="1"/>
    <w:link w:val="384"/>
    <w:qFormat/>
    <w:uiPriority w:val="0"/>
    <w:pPr>
      <w:spacing w:line="360" w:lineRule="auto"/>
      <w:ind w:firstLine="480" w:firstLineChars="200"/>
    </w:pPr>
    <w:rPr>
      <w:rFonts w:eastAsia="宋体"/>
      <w:sz w:val="24"/>
      <w:szCs w:val="24"/>
    </w:rPr>
  </w:style>
  <w:style w:type="character" w:customStyle="1" w:styleId="386">
    <w:name w:val="grame"/>
    <w:basedOn w:val="133"/>
    <w:qFormat/>
    <w:uiPriority w:val="0"/>
  </w:style>
  <w:style w:type="character" w:customStyle="1" w:styleId="387">
    <w:name w:val="标题 Char"/>
    <w:link w:val="85"/>
    <w:qFormat/>
    <w:uiPriority w:val="0"/>
    <w:rPr>
      <w:rFonts w:ascii="黑体" w:hAnsi="宋体" w:eastAsia="黑体"/>
      <w:b/>
      <w:bCs/>
      <w:color w:val="0000FF"/>
      <w:kern w:val="2"/>
      <w:sz w:val="24"/>
      <w:szCs w:val="24"/>
      <w:lang w:val="en-US" w:eastAsia="zh-CN" w:bidi="ar-SA"/>
    </w:rPr>
  </w:style>
  <w:style w:type="character" w:customStyle="1" w:styleId="388">
    <w:name w:val="标题 4 Char"/>
    <w:link w:val="7"/>
    <w:qFormat/>
    <w:uiPriority w:val="9"/>
    <w:rPr>
      <w:rFonts w:ascii="Arial" w:hAnsi="Arial" w:eastAsia="仿宋_GB2312"/>
      <w:b/>
      <w:color w:val="000000"/>
      <w:kern w:val="2"/>
      <w:sz w:val="24"/>
      <w:lang w:bidi="ar-SA"/>
    </w:rPr>
  </w:style>
  <w:style w:type="character" w:customStyle="1" w:styleId="389">
    <w:name w:val="Normal Char"/>
    <w:link w:val="390"/>
    <w:qFormat/>
    <w:locked/>
    <w:uiPriority w:val="0"/>
    <w:rPr>
      <w:rFonts w:ascii="宋体"/>
      <w:sz w:val="24"/>
      <w:lang w:val="en-US" w:eastAsia="zh-CN" w:bidi="ar-SA"/>
    </w:rPr>
  </w:style>
  <w:style w:type="paragraph" w:customStyle="1" w:styleId="390">
    <w:name w:val="正文3"/>
    <w:link w:val="389"/>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391">
    <w:name w:val="样式 7表格(治) + (西文) 宋体 (中文) 黑体 加粗 黑色 Char"/>
    <w:link w:val="392"/>
    <w:qFormat/>
    <w:uiPriority w:val="0"/>
    <w:rPr>
      <w:rFonts w:eastAsia="宋体"/>
      <w:b/>
      <w:bCs/>
      <w:color w:val="000000"/>
      <w:kern w:val="2"/>
      <w:sz w:val="24"/>
      <w:lang w:bidi="ar-SA"/>
    </w:rPr>
  </w:style>
  <w:style w:type="paragraph" w:customStyle="1" w:styleId="392">
    <w:name w:val="样式 7表格(治) + (西文) 宋体 (中文) 黑体 加粗 黑色"/>
    <w:basedOn w:val="195"/>
    <w:link w:val="391"/>
    <w:qFormat/>
    <w:uiPriority w:val="0"/>
    <w:rPr>
      <w:rFonts w:hAnsi="Times New Roman" w:eastAsia="宋体"/>
      <w:b/>
      <w:bCs/>
      <w:kern w:val="2"/>
      <w:szCs w:val="20"/>
    </w:rPr>
  </w:style>
  <w:style w:type="character" w:customStyle="1" w:styleId="393">
    <w:name w:val="样式 (西文) 黑体 (中文) 黑体 (符号) 宋体 五号"/>
    <w:qFormat/>
    <w:uiPriority w:val="0"/>
    <w:rPr>
      <w:rFonts w:ascii="黑体" w:eastAsia="黑体"/>
      <w:sz w:val="24"/>
    </w:rPr>
  </w:style>
  <w:style w:type="character" w:customStyle="1" w:styleId="394">
    <w:name w:val="ch中文正文 Char"/>
    <w:link w:val="395"/>
    <w:qFormat/>
    <w:uiPriority w:val="0"/>
    <w:rPr>
      <w:sz w:val="24"/>
      <w:lang w:val="en-US" w:eastAsia="zh-CN" w:bidi="ar-SA"/>
    </w:rPr>
  </w:style>
  <w:style w:type="paragraph" w:customStyle="1" w:styleId="395">
    <w:name w:val="ch中文正文"/>
    <w:link w:val="394"/>
    <w:qFormat/>
    <w:uiPriority w:val="0"/>
    <w:pPr>
      <w:spacing w:beforeLines="50" w:afterLines="50" w:line="360" w:lineRule="auto"/>
      <w:ind w:firstLine="200" w:firstLineChars="200"/>
    </w:pPr>
    <w:rPr>
      <w:rFonts w:ascii="Times New Roman" w:hAnsi="Times New Roman" w:eastAsia="宋体" w:cs="Times New Roman"/>
      <w:sz w:val="24"/>
      <w:lang w:val="en-US" w:eastAsia="zh-CN" w:bidi="ar-SA"/>
    </w:rPr>
  </w:style>
  <w:style w:type="character" w:customStyle="1" w:styleId="396">
    <w:name w:val="标题 6 Char"/>
    <w:link w:val="9"/>
    <w:qFormat/>
    <w:uiPriority w:val="9"/>
    <w:rPr>
      <w:rFonts w:ascii="Arial" w:hAnsi="Arial" w:eastAsia="黑体"/>
      <w:b/>
      <w:bCs/>
      <w:kern w:val="2"/>
      <w:sz w:val="24"/>
      <w:szCs w:val="24"/>
      <w:lang w:val="en-US" w:eastAsia="zh-CN" w:bidi="ar-SA"/>
    </w:rPr>
  </w:style>
  <w:style w:type="character" w:customStyle="1" w:styleId="397">
    <w:name w:val="big"/>
    <w:basedOn w:val="133"/>
    <w:qFormat/>
    <w:uiPriority w:val="0"/>
  </w:style>
  <w:style w:type="character" w:customStyle="1" w:styleId="398">
    <w:name w:val="标题 1 Char"/>
    <w:link w:val="3"/>
    <w:qFormat/>
    <w:uiPriority w:val="9"/>
    <w:rPr>
      <w:rFonts w:eastAsia="宋体"/>
      <w:b/>
      <w:kern w:val="44"/>
      <w:sz w:val="36"/>
      <w:lang w:bidi="ar-SA"/>
    </w:rPr>
  </w:style>
  <w:style w:type="character" w:customStyle="1" w:styleId="399">
    <w:name w:val="Char Char25"/>
    <w:qFormat/>
    <w:uiPriority w:val="0"/>
    <w:rPr>
      <w:rFonts w:ascii="Arial" w:hAnsi="Arial" w:eastAsia="黑体"/>
      <w:kern w:val="2"/>
      <w:sz w:val="21"/>
      <w:szCs w:val="21"/>
      <w:lang w:val="en-US" w:eastAsia="zh-CN" w:bidi="ar-SA"/>
    </w:rPr>
  </w:style>
  <w:style w:type="character" w:customStyle="1" w:styleId="400">
    <w:name w:val="文章正文样式 Char Char Char Char Char"/>
    <w:link w:val="401"/>
    <w:qFormat/>
    <w:uiPriority w:val="0"/>
    <w:rPr>
      <w:rFonts w:ascii="宋体" w:hAnsi="宋体" w:eastAsia="宋体" w:cs="宋体"/>
      <w:kern w:val="2"/>
      <w:sz w:val="24"/>
      <w:lang w:val="en-US" w:eastAsia="zh-CN" w:bidi="ar-SA"/>
    </w:rPr>
  </w:style>
  <w:style w:type="paragraph" w:customStyle="1" w:styleId="401">
    <w:name w:val="文章正文样式 Char Char Char Char"/>
    <w:basedOn w:val="1"/>
    <w:link w:val="400"/>
    <w:qFormat/>
    <w:uiPriority w:val="0"/>
    <w:pPr>
      <w:spacing w:line="520" w:lineRule="exact"/>
      <w:ind w:firstLine="480" w:firstLineChars="200"/>
      <w:jc w:val="left"/>
    </w:pPr>
    <w:rPr>
      <w:rFonts w:ascii="宋体" w:hAnsi="宋体" w:eastAsia="宋体" w:cs="宋体"/>
      <w:sz w:val="24"/>
    </w:rPr>
  </w:style>
  <w:style w:type="character" w:customStyle="1" w:styleId="402">
    <w:name w:val="首行缩进两字 Char2"/>
    <w:qFormat/>
    <w:uiPriority w:val="0"/>
    <w:rPr>
      <w:rFonts w:ascii="Arial" w:hAnsi="Arial" w:eastAsia="宋体" w:cs="Arial"/>
      <w:spacing w:val="10"/>
      <w:kern w:val="2"/>
      <w:sz w:val="24"/>
      <w:lang w:val="en-US" w:eastAsia="zh-CN" w:bidi="ar-SA"/>
    </w:rPr>
  </w:style>
  <w:style w:type="character" w:customStyle="1" w:styleId="403">
    <w:name w:val="页脚 Char"/>
    <w:link w:val="56"/>
    <w:qFormat/>
    <w:uiPriority w:val="99"/>
    <w:rPr>
      <w:rFonts w:eastAsia="仿宋_GB2312"/>
      <w:kern w:val="2"/>
      <w:sz w:val="18"/>
      <w:lang w:val="en-US" w:eastAsia="zh-CN" w:bidi="ar-SA"/>
    </w:rPr>
  </w:style>
  <w:style w:type="character" w:customStyle="1" w:styleId="404">
    <w:name w:val="样式37 Char Char"/>
    <w:link w:val="405"/>
    <w:qFormat/>
    <w:locked/>
    <w:uiPriority w:val="0"/>
    <w:rPr>
      <w:rFonts w:ascii="宋体" w:hAnsi="宋体" w:cs="宋体"/>
      <w:color w:val="000000"/>
      <w:sz w:val="24"/>
      <w:szCs w:val="24"/>
    </w:rPr>
  </w:style>
  <w:style w:type="paragraph" w:customStyle="1" w:styleId="405">
    <w:name w:val="样式37"/>
    <w:basedOn w:val="1"/>
    <w:link w:val="404"/>
    <w:qFormat/>
    <w:uiPriority w:val="0"/>
    <w:pPr>
      <w:widowControl/>
      <w:spacing w:beforeLines="50" w:afterLines="50" w:line="360" w:lineRule="auto"/>
      <w:ind w:firstLine="480" w:firstLineChars="200"/>
      <w:jc w:val="left"/>
    </w:pPr>
    <w:rPr>
      <w:rFonts w:ascii="宋体" w:hAnsi="宋体" w:eastAsia="宋体"/>
      <w:color w:val="000000"/>
      <w:kern w:val="0"/>
      <w:sz w:val="24"/>
      <w:szCs w:val="24"/>
    </w:rPr>
  </w:style>
  <w:style w:type="character" w:customStyle="1" w:styleId="406">
    <w:name w:val="文章正文样式 Char Char Char"/>
    <w:link w:val="407"/>
    <w:qFormat/>
    <w:uiPriority w:val="0"/>
    <w:rPr>
      <w:rFonts w:ascii="宋体" w:hAnsi="宋体" w:eastAsia="宋体"/>
      <w:kern w:val="2"/>
      <w:sz w:val="24"/>
      <w:lang w:val="en-US" w:eastAsia="zh-CN" w:bidi="ar-SA"/>
    </w:rPr>
  </w:style>
  <w:style w:type="paragraph" w:customStyle="1" w:styleId="407">
    <w:name w:val="文章正文样式 Char Char"/>
    <w:basedOn w:val="1"/>
    <w:link w:val="406"/>
    <w:qFormat/>
    <w:uiPriority w:val="0"/>
    <w:pPr>
      <w:spacing w:line="520" w:lineRule="exact"/>
      <w:ind w:firstLine="480" w:firstLineChars="200"/>
      <w:jc w:val="left"/>
    </w:pPr>
    <w:rPr>
      <w:rFonts w:ascii="宋体" w:hAnsi="宋体" w:eastAsia="宋体"/>
      <w:sz w:val="24"/>
    </w:rPr>
  </w:style>
  <w:style w:type="character" w:customStyle="1" w:styleId="408">
    <w:name w:val="特点标题 Char"/>
    <w:qFormat/>
    <w:uiPriority w:val="99"/>
    <w:rPr>
      <w:rFonts w:eastAsia="宋体"/>
      <w:kern w:val="2"/>
      <w:sz w:val="21"/>
      <w:lang w:val="en-US" w:eastAsia="zh-CN" w:bidi="ar-SA"/>
    </w:rPr>
  </w:style>
  <w:style w:type="character" w:customStyle="1" w:styleId="409">
    <w:name w:val="首行缩进两字 Char4"/>
    <w:qFormat/>
    <w:uiPriority w:val="0"/>
    <w:rPr>
      <w:rFonts w:ascii="Arial" w:hAnsi="Arial" w:eastAsia="宋体" w:cs="Arial"/>
      <w:spacing w:val="10"/>
      <w:kern w:val="2"/>
      <w:sz w:val="24"/>
      <w:lang w:val="en-US" w:eastAsia="zh-CN" w:bidi="ar-SA"/>
    </w:rPr>
  </w:style>
  <w:style w:type="character" w:customStyle="1" w:styleId="410">
    <w:name w:val="样式2 Char Char"/>
    <w:qFormat/>
    <w:uiPriority w:val="0"/>
    <w:rPr>
      <w:rFonts w:ascii="Arial" w:hAnsi="Arial" w:eastAsia="仿宋_GB2312" w:cs="Arial"/>
      <w:spacing w:val="10"/>
      <w:kern w:val="2"/>
      <w:sz w:val="24"/>
      <w:szCs w:val="32"/>
      <w:lang w:val="en-US" w:eastAsia="zh-CN" w:bidi="ar-SA"/>
    </w:rPr>
  </w:style>
  <w:style w:type="character" w:customStyle="1" w:styleId="411">
    <w:name w:val="Char Char9"/>
    <w:qFormat/>
    <w:uiPriority w:val="0"/>
    <w:rPr>
      <w:rFonts w:ascii="宋体" w:hAnsi="宋体" w:eastAsia="仿宋_GB2312" w:cs="宋体"/>
      <w:kern w:val="2"/>
      <w:sz w:val="18"/>
      <w:szCs w:val="24"/>
      <w:lang w:val="en-US" w:eastAsia="zh-CN" w:bidi="ar-SA"/>
    </w:rPr>
  </w:style>
  <w:style w:type="character" w:customStyle="1" w:styleId="412">
    <w:name w:val="标题 13 Char"/>
    <w:qFormat/>
    <w:uiPriority w:val="0"/>
    <w:rPr>
      <w:rFonts w:ascii="Arial Unicode MS" w:hAnsi="Arial Unicode MS" w:eastAsia="Arial Unicode MS" w:cs="Arial Unicode MS"/>
      <w:b/>
      <w:bCs/>
      <w:color w:val="000000"/>
      <w:sz w:val="27"/>
      <w:szCs w:val="27"/>
      <w:lang w:val="en-US" w:eastAsia="zh-CN" w:bidi="ar-SA"/>
    </w:rPr>
  </w:style>
  <w:style w:type="character" w:customStyle="1" w:styleId="413">
    <w:name w:val="表号 Char1"/>
    <w:link w:val="414"/>
    <w:qFormat/>
    <w:uiPriority w:val="0"/>
    <w:rPr>
      <w:sz w:val="21"/>
      <w:szCs w:val="24"/>
      <w:lang w:val="en-US" w:eastAsia="zh-CN" w:bidi="ar-SA"/>
    </w:rPr>
  </w:style>
  <w:style w:type="paragraph" w:customStyle="1" w:styleId="414">
    <w:name w:val="表号"/>
    <w:link w:val="413"/>
    <w:qFormat/>
    <w:uiPriority w:val="0"/>
    <w:pPr>
      <w:adjustRightInd w:val="0"/>
      <w:snapToGrid w:val="0"/>
      <w:spacing w:line="240" w:lineRule="atLeast"/>
      <w:jc w:val="both"/>
      <w:outlineLvl w:val="4"/>
    </w:pPr>
    <w:rPr>
      <w:rFonts w:ascii="Times New Roman" w:hAnsi="Times New Roman" w:eastAsia="宋体" w:cs="Times New Roman"/>
      <w:sz w:val="21"/>
      <w:szCs w:val="24"/>
      <w:lang w:val="en-US" w:eastAsia="zh-CN" w:bidi="ar-SA"/>
    </w:rPr>
  </w:style>
  <w:style w:type="character" w:customStyle="1" w:styleId="415">
    <w:name w:val="报告书正文 Char"/>
    <w:qFormat/>
    <w:uiPriority w:val="0"/>
    <w:rPr>
      <w:rFonts w:eastAsia="宋体"/>
      <w:kern w:val="2"/>
      <w:sz w:val="24"/>
      <w:szCs w:val="24"/>
      <w:lang w:bidi="ar-SA"/>
    </w:rPr>
  </w:style>
  <w:style w:type="character" w:customStyle="1" w:styleId="416">
    <w:name w:val="要点1"/>
    <w:qFormat/>
    <w:uiPriority w:val="0"/>
    <w:rPr>
      <w:rFonts w:ascii="宋体" w:hAnsi="宋体" w:eastAsia="宋体"/>
      <w:b/>
    </w:rPr>
  </w:style>
  <w:style w:type="character" w:customStyle="1" w:styleId="417">
    <w:name w:val="5文章(治) Char"/>
    <w:qFormat/>
    <w:uiPriority w:val="0"/>
    <w:rPr>
      <w:rFonts w:eastAsia="宋体"/>
      <w:kern w:val="2"/>
      <w:sz w:val="24"/>
      <w:lang w:bidi="ar-SA"/>
    </w:rPr>
  </w:style>
  <w:style w:type="character" w:customStyle="1" w:styleId="418">
    <w:name w:val="日期 Char"/>
    <w:link w:val="51"/>
    <w:qFormat/>
    <w:uiPriority w:val="0"/>
    <w:rPr>
      <w:rFonts w:eastAsia="宋体"/>
      <w:kern w:val="2"/>
      <w:sz w:val="24"/>
      <w:lang w:val="en-US" w:eastAsia="zh-CN" w:bidi="ar-SA"/>
    </w:rPr>
  </w:style>
  <w:style w:type="character" w:customStyle="1" w:styleId="419">
    <w:name w:val="正文文本缩进 3 Char"/>
    <w:qFormat/>
    <w:uiPriority w:val="0"/>
    <w:rPr>
      <w:rFonts w:eastAsia="宋体"/>
      <w:kern w:val="2"/>
      <w:sz w:val="16"/>
      <w:szCs w:val="16"/>
      <w:lang w:val="en-US" w:eastAsia="zh-CN" w:bidi="ar-SA"/>
    </w:rPr>
  </w:style>
  <w:style w:type="character" w:customStyle="1" w:styleId="420">
    <w:name w:val="称呼 Char"/>
    <w:link w:val="30"/>
    <w:qFormat/>
    <w:uiPriority w:val="0"/>
    <w:rPr>
      <w:rFonts w:ascii="宋体" w:hAnsi="Cambria" w:eastAsia="宋体"/>
      <w:b/>
      <w:bCs/>
      <w:sz w:val="32"/>
      <w:szCs w:val="32"/>
      <w:lang w:val="en-US" w:eastAsia="zh-CN" w:bidi="en-US"/>
    </w:rPr>
  </w:style>
  <w:style w:type="character" w:customStyle="1" w:styleId="421">
    <w:name w:val="Footer1 Char"/>
    <w:qFormat/>
    <w:uiPriority w:val="0"/>
    <w:rPr>
      <w:sz w:val="18"/>
      <w:szCs w:val="18"/>
    </w:rPr>
  </w:style>
  <w:style w:type="character" w:customStyle="1" w:styleId="422">
    <w:name w:val="Char Char4"/>
    <w:qFormat/>
    <w:uiPriority w:val="0"/>
    <w:rPr>
      <w:rFonts w:ascii="Times New Roman" w:hAnsi="Times New Roman" w:eastAsia="宋体" w:cs="Times New Roman"/>
      <w:sz w:val="18"/>
      <w:szCs w:val="18"/>
    </w:rPr>
  </w:style>
  <w:style w:type="character" w:customStyle="1" w:styleId="423">
    <w:name w:val="l_text Char Char2"/>
    <w:qFormat/>
    <w:uiPriority w:val="0"/>
    <w:rPr>
      <w:rFonts w:ascii="宋体" w:hAnsi="宋体" w:eastAsia="宋体" w:cs="宋体"/>
      <w:sz w:val="28"/>
      <w:szCs w:val="28"/>
      <w:lang w:val="en-US" w:eastAsia="zh-CN" w:bidi="ar-SA"/>
    </w:rPr>
  </w:style>
  <w:style w:type="character" w:customStyle="1" w:styleId="424">
    <w:name w:val="样式 标题 2 + 黑体 小四 非加粗 Char Char"/>
    <w:qFormat/>
    <w:uiPriority w:val="0"/>
    <w:rPr>
      <w:rFonts w:ascii="黑体" w:hAnsi="黑体" w:eastAsia="黑体" w:cs="宋体"/>
      <w:kern w:val="2"/>
      <w:sz w:val="24"/>
      <w:szCs w:val="32"/>
      <w:lang w:val="en-US" w:eastAsia="zh-CN" w:bidi="ar-SA"/>
    </w:rPr>
  </w:style>
  <w:style w:type="character" w:customStyle="1" w:styleId="425">
    <w:name w:val="正文文字缩进 21 Char"/>
    <w:qFormat/>
    <w:uiPriority w:val="0"/>
    <w:rPr>
      <w:rFonts w:ascii="宋体" w:hAnsi="Times New Roman" w:eastAsia="宋体" w:cs="Times New Roman"/>
      <w:sz w:val="24"/>
      <w:szCs w:val="20"/>
    </w:rPr>
  </w:style>
  <w:style w:type="character" w:customStyle="1" w:styleId="426">
    <w:name w:val="javascript1"/>
    <w:qFormat/>
    <w:uiPriority w:val="0"/>
    <w:rPr>
      <w:rFonts w:hint="default" w:ascii="Tahoma" w:hAnsi="Tahoma" w:eastAsia="宋体" w:cs="Tahoma"/>
      <w:kern w:val="2"/>
      <w:sz w:val="24"/>
      <w:szCs w:val="24"/>
      <w:lang w:val="en-US" w:eastAsia="zh-CN" w:bidi="ar-SA"/>
    </w:rPr>
  </w:style>
  <w:style w:type="character" w:customStyle="1" w:styleId="427">
    <w:name w:val="文章正文样式 Char Char1"/>
    <w:link w:val="428"/>
    <w:qFormat/>
    <w:uiPriority w:val="0"/>
    <w:rPr>
      <w:rFonts w:ascii="宋体" w:hAnsi="宋体" w:eastAsia="宋体" w:cs="宋体"/>
      <w:kern w:val="2"/>
      <w:sz w:val="24"/>
      <w:lang w:val="en-US" w:eastAsia="zh-CN" w:bidi="ar-SA"/>
    </w:rPr>
  </w:style>
  <w:style w:type="paragraph" w:customStyle="1" w:styleId="428">
    <w:name w:val="文章正文样式 Char1"/>
    <w:basedOn w:val="1"/>
    <w:link w:val="427"/>
    <w:qFormat/>
    <w:uiPriority w:val="0"/>
    <w:pPr>
      <w:spacing w:line="520" w:lineRule="exact"/>
      <w:ind w:firstLine="480" w:firstLineChars="200"/>
      <w:jc w:val="left"/>
    </w:pPr>
    <w:rPr>
      <w:rFonts w:ascii="宋体" w:hAnsi="宋体" w:eastAsia="宋体" w:cs="宋体"/>
      <w:sz w:val="24"/>
    </w:rPr>
  </w:style>
  <w:style w:type="character" w:customStyle="1" w:styleId="429">
    <w:name w:val="样式37 Char"/>
    <w:qFormat/>
    <w:uiPriority w:val="0"/>
    <w:rPr>
      <w:rFonts w:ascii="宋体" w:hAnsi="宋体" w:eastAsia="宋体"/>
      <w:color w:val="000000"/>
      <w:sz w:val="24"/>
      <w:szCs w:val="24"/>
      <w:lang w:bidi="ar-SA"/>
    </w:rPr>
  </w:style>
  <w:style w:type="character" w:customStyle="1" w:styleId="430">
    <w:name w:val="正文文字 2 Char1"/>
    <w:qFormat/>
    <w:uiPriority w:val="99"/>
    <w:rPr>
      <w:rFonts w:ascii="Arial" w:hAnsi="Arial" w:eastAsia="宋体" w:cs="Arial"/>
      <w:kern w:val="2"/>
      <w:sz w:val="21"/>
      <w:lang w:val="en-US" w:eastAsia="zh-CN" w:bidi="ar-SA"/>
    </w:rPr>
  </w:style>
  <w:style w:type="character" w:customStyle="1" w:styleId="431">
    <w:name w:val="样式 (中文) 仿宋_GB2312 四号 行距: 多倍行距 1.25 字行 Char"/>
    <w:link w:val="432"/>
    <w:qFormat/>
    <w:uiPriority w:val="0"/>
    <w:rPr>
      <w:rFonts w:eastAsia="仿宋_GB2312" w:cs="宋体"/>
      <w:kern w:val="2"/>
      <w:sz w:val="28"/>
      <w:lang w:val="en-US" w:eastAsia="zh-CN" w:bidi="ar-SA"/>
    </w:rPr>
  </w:style>
  <w:style w:type="paragraph" w:customStyle="1" w:styleId="432">
    <w:name w:val="样式 (中文) 仿宋_GB2312 四号 行距: 多倍行距 1.25 字行"/>
    <w:basedOn w:val="1"/>
    <w:link w:val="431"/>
    <w:qFormat/>
    <w:uiPriority w:val="0"/>
    <w:pPr>
      <w:spacing w:line="300" w:lineRule="auto"/>
      <w:ind w:firstLine="520" w:firstLineChars="200"/>
    </w:pPr>
    <w:rPr>
      <w:rFonts w:cs="宋体"/>
    </w:rPr>
  </w:style>
  <w:style w:type="character" w:customStyle="1" w:styleId="433">
    <w:name w:val="txt1"/>
    <w:qFormat/>
    <w:uiPriority w:val="0"/>
    <w:rPr>
      <w:rFonts w:ascii="宋体" w:hAnsi="宋体" w:eastAsia="Arial" w:cs="宋体"/>
      <w:kern w:val="2"/>
      <w:sz w:val="24"/>
      <w:szCs w:val="24"/>
      <w:lang w:val="en-US" w:eastAsia="zh-CN" w:bidi="ar-SA"/>
    </w:rPr>
  </w:style>
  <w:style w:type="character" w:customStyle="1" w:styleId="434">
    <w:name w:val="文章正文文字 Char Char Char"/>
    <w:link w:val="435"/>
    <w:qFormat/>
    <w:uiPriority w:val="0"/>
    <w:rPr>
      <w:rFonts w:eastAsia="宋体"/>
      <w:kern w:val="2"/>
      <w:sz w:val="24"/>
      <w:szCs w:val="24"/>
      <w:lang w:val="en-US" w:eastAsia="zh-CN" w:bidi="ar-SA"/>
    </w:rPr>
  </w:style>
  <w:style w:type="paragraph" w:customStyle="1" w:styleId="435">
    <w:name w:val="文章正文文字 Char Char"/>
    <w:basedOn w:val="1"/>
    <w:link w:val="434"/>
    <w:qFormat/>
    <w:uiPriority w:val="0"/>
    <w:pPr>
      <w:spacing w:line="520" w:lineRule="exact"/>
      <w:ind w:firstLine="200" w:firstLineChars="200"/>
      <w:jc w:val="left"/>
    </w:pPr>
    <w:rPr>
      <w:rFonts w:eastAsia="宋体"/>
      <w:sz w:val="24"/>
      <w:szCs w:val="24"/>
    </w:rPr>
  </w:style>
  <w:style w:type="character" w:customStyle="1" w:styleId="436">
    <w:name w:val="正文首行缩进 2 + Times New Roman Char"/>
    <w:link w:val="437"/>
    <w:qFormat/>
    <w:uiPriority w:val="0"/>
    <w:rPr>
      <w:rFonts w:ascii="Arial" w:hAnsi="宋体" w:cs="Arial"/>
      <w:color w:val="FF0000"/>
      <w:sz w:val="24"/>
      <w:szCs w:val="24"/>
    </w:rPr>
  </w:style>
  <w:style w:type="paragraph" w:customStyle="1" w:styleId="437">
    <w:name w:val="正文首行缩进 2 + Times New Roman"/>
    <w:basedOn w:val="1"/>
    <w:link w:val="436"/>
    <w:qFormat/>
    <w:uiPriority w:val="0"/>
    <w:pPr>
      <w:tabs>
        <w:tab w:val="left" w:pos="0"/>
        <w:tab w:val="left" w:pos="870"/>
        <w:tab w:val="left" w:pos="3150"/>
      </w:tabs>
      <w:autoSpaceDE w:val="0"/>
      <w:autoSpaceDN w:val="0"/>
      <w:spacing w:line="440" w:lineRule="exact"/>
      <w:ind w:firstLine="480" w:firstLineChars="200"/>
      <w:jc w:val="left"/>
    </w:pPr>
    <w:rPr>
      <w:rFonts w:ascii="Arial" w:hAnsi="宋体" w:eastAsia="宋体"/>
      <w:color w:val="FF0000"/>
      <w:kern w:val="0"/>
      <w:sz w:val="24"/>
      <w:szCs w:val="24"/>
    </w:rPr>
  </w:style>
  <w:style w:type="character" w:customStyle="1" w:styleId="438">
    <w:name w:val="纯文本 Char Char Char Char"/>
    <w:qFormat/>
    <w:uiPriority w:val="0"/>
    <w:rPr>
      <w:rFonts w:ascii="宋体" w:hAnsi="Courier New" w:eastAsia="宋体"/>
      <w:sz w:val="21"/>
      <w:lang w:val="en-US" w:eastAsia="zh-CN" w:bidi="ar-SA"/>
    </w:rPr>
  </w:style>
  <w:style w:type="character" w:customStyle="1" w:styleId="439">
    <w:name w:val="文章正文样式 Char Char Char Char Char1"/>
    <w:link w:val="440"/>
    <w:qFormat/>
    <w:uiPriority w:val="0"/>
    <w:rPr>
      <w:rFonts w:ascii="宋体" w:hAnsi="宋体" w:eastAsia="宋体" w:cs="宋体"/>
      <w:kern w:val="2"/>
      <w:sz w:val="24"/>
      <w:szCs w:val="24"/>
      <w:lang w:val="en-US" w:eastAsia="zh-CN" w:bidi="ar-SA"/>
    </w:rPr>
  </w:style>
  <w:style w:type="paragraph" w:customStyle="1" w:styleId="440">
    <w:name w:val="文章正文样式 Char Char Char Char1"/>
    <w:basedOn w:val="1"/>
    <w:link w:val="439"/>
    <w:qFormat/>
    <w:uiPriority w:val="0"/>
    <w:pPr>
      <w:spacing w:line="520" w:lineRule="exact"/>
      <w:ind w:firstLine="480" w:firstLineChars="200"/>
      <w:jc w:val="left"/>
    </w:pPr>
    <w:rPr>
      <w:rFonts w:ascii="宋体" w:hAnsi="宋体" w:eastAsia="宋体" w:cs="宋体"/>
      <w:sz w:val="24"/>
      <w:szCs w:val="24"/>
    </w:rPr>
  </w:style>
  <w:style w:type="character" w:customStyle="1" w:styleId="441">
    <w:name w:val="Char Char17"/>
    <w:qFormat/>
    <w:uiPriority w:val="0"/>
    <w:rPr>
      <w:b/>
      <w:bCs/>
      <w:kern w:val="2"/>
      <w:sz w:val="24"/>
      <w:szCs w:val="24"/>
    </w:rPr>
  </w:style>
  <w:style w:type="character" w:customStyle="1" w:styleId="442">
    <w:name w:val="Char Char Char2"/>
    <w:qFormat/>
    <w:locked/>
    <w:uiPriority w:val="0"/>
    <w:rPr>
      <w:rFonts w:eastAsia="宋体"/>
      <w:sz w:val="18"/>
      <w:lang w:val="en-US" w:eastAsia="zh-CN" w:bidi="ar-SA"/>
    </w:rPr>
  </w:style>
  <w:style w:type="character" w:customStyle="1" w:styleId="443">
    <w:name w:val="正文首行缩进 Char"/>
    <w:link w:val="41"/>
    <w:qFormat/>
    <w:uiPriority w:val="99"/>
    <w:rPr>
      <w:rFonts w:eastAsia="仿宋_GB2312"/>
      <w:kern w:val="2"/>
      <w:sz w:val="28"/>
      <w:lang w:val="en-US" w:eastAsia="zh-CN" w:bidi="ar-SA"/>
    </w:rPr>
  </w:style>
  <w:style w:type="character" w:customStyle="1" w:styleId="444">
    <w:name w:val="样式5 Char"/>
    <w:link w:val="445"/>
    <w:qFormat/>
    <w:uiPriority w:val="0"/>
    <w:rPr>
      <w:rFonts w:ascii="Arial" w:hAnsi="Arial" w:eastAsia="宋体"/>
      <w:b/>
      <w:bCs/>
      <w:kern w:val="2"/>
      <w:sz w:val="28"/>
      <w:szCs w:val="32"/>
      <w:lang w:val="en-US" w:eastAsia="zh-CN" w:bidi="ar-SA"/>
    </w:rPr>
  </w:style>
  <w:style w:type="paragraph" w:customStyle="1" w:styleId="445">
    <w:name w:val="样式5"/>
    <w:basedOn w:val="446"/>
    <w:link w:val="444"/>
    <w:qFormat/>
    <w:uiPriority w:val="0"/>
    <w:pPr>
      <w:tabs>
        <w:tab w:val="left" w:pos="567"/>
        <w:tab w:val="left" w:pos="576"/>
      </w:tabs>
      <w:ind w:left="567" w:hanging="567"/>
    </w:pPr>
    <w:rPr>
      <w:sz w:val="28"/>
    </w:rPr>
  </w:style>
  <w:style w:type="paragraph" w:customStyle="1" w:styleId="446">
    <w:name w:val="标题2"/>
    <w:basedOn w:val="4"/>
    <w:next w:val="5"/>
    <w:qFormat/>
    <w:uiPriority w:val="0"/>
    <w:pPr>
      <w:tabs>
        <w:tab w:val="left" w:pos="576"/>
        <w:tab w:val="clear" w:pos="567"/>
      </w:tabs>
      <w:spacing w:before="0" w:after="0" w:line="360" w:lineRule="auto"/>
      <w:ind w:left="576" w:hanging="576"/>
    </w:pPr>
    <w:rPr>
      <w:rFonts w:ascii="Arial" w:eastAsia="宋体"/>
      <w:b/>
      <w:bCs/>
      <w:sz w:val="24"/>
      <w:szCs w:val="32"/>
    </w:rPr>
  </w:style>
  <w:style w:type="character" w:customStyle="1" w:styleId="447">
    <w:name w:val="中文正文 Char"/>
    <w:link w:val="448"/>
    <w:qFormat/>
    <w:uiPriority w:val="0"/>
    <w:rPr>
      <w:rFonts w:eastAsia="宋体"/>
      <w:color w:val="000000"/>
      <w:sz w:val="24"/>
      <w:szCs w:val="24"/>
      <w:lang w:val="en-US" w:eastAsia="zh-CN" w:bidi="ar-SA"/>
    </w:rPr>
  </w:style>
  <w:style w:type="paragraph" w:customStyle="1" w:styleId="448">
    <w:name w:val="中文正文"/>
    <w:basedOn w:val="1"/>
    <w:link w:val="447"/>
    <w:qFormat/>
    <w:uiPriority w:val="0"/>
    <w:pPr>
      <w:autoSpaceDE w:val="0"/>
      <w:autoSpaceDN w:val="0"/>
      <w:adjustRightInd w:val="0"/>
      <w:spacing w:line="360" w:lineRule="auto"/>
      <w:ind w:firstLine="200" w:firstLineChars="200"/>
    </w:pPr>
    <w:rPr>
      <w:rFonts w:eastAsia="宋体"/>
      <w:color w:val="000000"/>
      <w:kern w:val="0"/>
      <w:sz w:val="24"/>
      <w:szCs w:val="24"/>
    </w:rPr>
  </w:style>
  <w:style w:type="character" w:customStyle="1" w:styleId="449">
    <w:name w:val="at_5"/>
    <w:qFormat/>
    <w:uiPriority w:val="0"/>
    <w:rPr>
      <w:rFonts w:ascii="宋体" w:hAnsi="宋体" w:eastAsia="Arial" w:cs="宋体"/>
      <w:kern w:val="2"/>
      <w:sz w:val="24"/>
      <w:szCs w:val="24"/>
      <w:lang w:val="en-US" w:eastAsia="zh-CN" w:bidi="ar-SA"/>
    </w:rPr>
  </w:style>
  <w:style w:type="character" w:customStyle="1" w:styleId="450">
    <w:name w:val="表格备注"/>
    <w:qFormat/>
    <w:uiPriority w:val="0"/>
    <w:rPr>
      <w:rFonts w:ascii="华文楷体" w:hAnsi="华文楷体" w:eastAsia="楷体_GB2312"/>
      <w:kern w:val="0"/>
      <w:sz w:val="21"/>
    </w:rPr>
  </w:style>
  <w:style w:type="character" w:customStyle="1" w:styleId="451">
    <w:name w:val="表号、图号 Char"/>
    <w:qFormat/>
    <w:uiPriority w:val="0"/>
    <w:rPr>
      <w:rFonts w:ascii="宋体" w:hAnsi="宋体" w:eastAsia="黑体" w:cs="宋体"/>
      <w:kern w:val="2"/>
      <w:sz w:val="24"/>
      <w:szCs w:val="24"/>
      <w:lang w:val="en-US" w:eastAsia="zh-CN" w:bidi="ar-SA"/>
    </w:rPr>
  </w:style>
  <w:style w:type="character" w:customStyle="1" w:styleId="452">
    <w:name w:val="bodyfont1"/>
    <w:qFormat/>
    <w:uiPriority w:val="0"/>
    <w:rPr>
      <w:sz w:val="17"/>
      <w:szCs w:val="17"/>
    </w:rPr>
  </w:style>
  <w:style w:type="character" w:customStyle="1" w:styleId="453">
    <w:name w:val="0031"/>
    <w:qFormat/>
    <w:uiPriority w:val="0"/>
    <w:rPr>
      <w:sz w:val="21"/>
      <w:szCs w:val="21"/>
    </w:rPr>
  </w:style>
  <w:style w:type="character" w:customStyle="1" w:styleId="454">
    <w:name w:val="题注 Char"/>
    <w:link w:val="22"/>
    <w:qFormat/>
    <w:uiPriority w:val="35"/>
    <w:rPr>
      <w:rFonts w:ascii="Arial" w:hAnsi="Arial" w:eastAsia="黑体" w:cs="Arial"/>
      <w:kern w:val="2"/>
    </w:rPr>
  </w:style>
  <w:style w:type="character" w:customStyle="1" w:styleId="455">
    <w:name w:val="报告正文 Char1"/>
    <w:link w:val="456"/>
    <w:qFormat/>
    <w:uiPriority w:val="0"/>
    <w:rPr>
      <w:rFonts w:eastAsia="宋体"/>
      <w:color w:val="000000"/>
      <w:kern w:val="2"/>
      <w:sz w:val="24"/>
      <w:szCs w:val="24"/>
      <w:lang w:val="en-US" w:eastAsia="zh-CN" w:bidi="ar-SA"/>
    </w:rPr>
  </w:style>
  <w:style w:type="paragraph" w:customStyle="1" w:styleId="456">
    <w:name w:val="报告正文"/>
    <w:basedOn w:val="1"/>
    <w:link w:val="455"/>
    <w:qFormat/>
    <w:uiPriority w:val="0"/>
    <w:pPr>
      <w:tabs>
        <w:tab w:val="left" w:pos="0"/>
      </w:tabs>
      <w:spacing w:line="360" w:lineRule="auto"/>
      <w:ind w:firstLine="200" w:firstLineChars="200"/>
    </w:pPr>
    <w:rPr>
      <w:rFonts w:eastAsia="宋体"/>
      <w:color w:val="000000"/>
      <w:sz w:val="24"/>
      <w:szCs w:val="24"/>
    </w:rPr>
  </w:style>
  <w:style w:type="character" w:customStyle="1" w:styleId="457">
    <w:name w:val="正文文本 Char"/>
    <w:link w:val="34"/>
    <w:qFormat/>
    <w:uiPriority w:val="99"/>
    <w:rPr>
      <w:rFonts w:eastAsia="仿宋_GB2312"/>
      <w:kern w:val="2"/>
      <w:sz w:val="28"/>
      <w:lang w:val="en-US" w:eastAsia="zh-CN" w:bidi="ar-SA"/>
    </w:rPr>
  </w:style>
  <w:style w:type="character" w:customStyle="1" w:styleId="458">
    <w:name w:val="正文(首行缩进) Char"/>
    <w:link w:val="459"/>
    <w:qFormat/>
    <w:uiPriority w:val="0"/>
    <w:rPr>
      <w:snapToGrid/>
      <w:sz w:val="24"/>
      <w:szCs w:val="24"/>
      <w:lang w:bidi="ar-SA"/>
    </w:rPr>
  </w:style>
  <w:style w:type="paragraph" w:customStyle="1" w:styleId="459">
    <w:name w:val="正文(首行缩进)"/>
    <w:basedOn w:val="1"/>
    <w:link w:val="458"/>
    <w:qFormat/>
    <w:uiPriority w:val="0"/>
    <w:pPr>
      <w:adjustRightInd w:val="0"/>
      <w:snapToGrid w:val="0"/>
      <w:spacing w:line="360" w:lineRule="auto"/>
      <w:ind w:firstLine="200" w:firstLineChars="200"/>
    </w:pPr>
    <w:rPr>
      <w:rFonts w:eastAsia="宋体"/>
      <w:kern w:val="0"/>
      <w:sz w:val="24"/>
      <w:szCs w:val="24"/>
    </w:rPr>
  </w:style>
  <w:style w:type="character" w:customStyle="1" w:styleId="460">
    <w:name w:val="列出段落 Char2"/>
    <w:link w:val="461"/>
    <w:qFormat/>
    <w:uiPriority w:val="0"/>
    <w:rPr>
      <w:rFonts w:eastAsia="宋体"/>
      <w:kern w:val="2"/>
      <w:sz w:val="21"/>
      <w:szCs w:val="24"/>
      <w:lang w:bidi="ar-SA"/>
    </w:rPr>
  </w:style>
  <w:style w:type="paragraph" w:styleId="461">
    <w:name w:val="List Paragraph"/>
    <w:basedOn w:val="1"/>
    <w:link w:val="460"/>
    <w:qFormat/>
    <w:uiPriority w:val="34"/>
    <w:pPr>
      <w:ind w:firstLine="420" w:firstLineChars="200"/>
    </w:pPr>
    <w:rPr>
      <w:rFonts w:eastAsia="宋体"/>
      <w:sz w:val="21"/>
      <w:szCs w:val="24"/>
    </w:rPr>
  </w:style>
  <w:style w:type="character" w:customStyle="1" w:styleId="462">
    <w:name w:val="标题 7 Char"/>
    <w:link w:val="10"/>
    <w:qFormat/>
    <w:uiPriority w:val="9"/>
    <w:rPr>
      <w:rFonts w:eastAsia="宋体"/>
      <w:b/>
      <w:bCs/>
      <w:kern w:val="2"/>
      <w:sz w:val="24"/>
      <w:szCs w:val="24"/>
      <w:lang w:val="en-US" w:eastAsia="zh-CN" w:bidi="ar-SA"/>
    </w:rPr>
  </w:style>
  <w:style w:type="character" w:customStyle="1" w:styleId="463">
    <w:name w:val="fs"/>
    <w:basedOn w:val="133"/>
    <w:qFormat/>
    <w:uiPriority w:val="0"/>
  </w:style>
  <w:style w:type="character" w:customStyle="1" w:styleId="464">
    <w:name w:val="正文文本 2 Char"/>
    <w:link w:val="77"/>
    <w:qFormat/>
    <w:uiPriority w:val="99"/>
    <w:rPr>
      <w:rFonts w:ascii="Arial" w:hAnsi="Arial" w:eastAsia="宋体" w:cs="Arial"/>
      <w:kern w:val="2"/>
      <w:sz w:val="21"/>
      <w:lang w:val="en-US" w:eastAsia="zh-CN" w:bidi="ar-SA"/>
    </w:rPr>
  </w:style>
  <w:style w:type="character" w:customStyle="1" w:styleId="465">
    <w:name w:val="文档结构图 Char"/>
    <w:qFormat/>
    <w:uiPriority w:val="0"/>
    <w:rPr>
      <w:rFonts w:eastAsia="宋体"/>
      <w:kern w:val="2"/>
      <w:sz w:val="21"/>
      <w:szCs w:val="24"/>
      <w:lang w:val="en-US" w:eastAsia="zh-CN" w:bidi="ar-SA"/>
    </w:rPr>
  </w:style>
  <w:style w:type="character" w:customStyle="1" w:styleId="466">
    <w:name w:val="样式 标题 2标题 2 Char标题节标题节 Char Char标题 2 Char Char Char标题 2 Cha... Char"/>
    <w:link w:val="467"/>
    <w:qFormat/>
    <w:uiPriority w:val="0"/>
    <w:rPr>
      <w:rFonts w:ascii="Arial" w:hAnsi="Arial" w:eastAsia="黑体"/>
      <w:color w:val="000000"/>
      <w:kern w:val="2"/>
      <w:sz w:val="28"/>
      <w:lang w:val="en-US" w:eastAsia="zh-CN" w:bidi="ar-SA"/>
    </w:rPr>
  </w:style>
  <w:style w:type="paragraph" w:customStyle="1" w:styleId="467">
    <w:name w:val="样式 标题 2标题 2 Char标题节标题节 Char Char标题 2 Char Char Char标题 2 Cha..."/>
    <w:basedOn w:val="4"/>
    <w:link w:val="466"/>
    <w:qFormat/>
    <w:uiPriority w:val="0"/>
    <w:pPr>
      <w:tabs>
        <w:tab w:val="left" w:pos="425"/>
        <w:tab w:val="clear" w:pos="567"/>
      </w:tabs>
      <w:ind w:left="425" w:hanging="425"/>
    </w:pPr>
    <w:rPr>
      <w:rFonts w:ascii="Arial"/>
      <w:color w:val="000000"/>
    </w:rPr>
  </w:style>
  <w:style w:type="character" w:customStyle="1" w:styleId="468">
    <w:name w:val="t_tag"/>
    <w:basedOn w:val="133"/>
    <w:qFormat/>
    <w:uiPriority w:val="0"/>
  </w:style>
  <w:style w:type="character" w:customStyle="1" w:styleId="469">
    <w:name w:val="表格文字 Char"/>
    <w:link w:val="470"/>
    <w:qFormat/>
    <w:uiPriority w:val="0"/>
    <w:rPr>
      <w:rFonts w:ascii="宋体" w:eastAsia="宋体"/>
      <w:kern w:val="2"/>
      <w:sz w:val="24"/>
      <w:lang w:val="en-US" w:eastAsia="zh-CN" w:bidi="ar-SA"/>
    </w:rPr>
  </w:style>
  <w:style w:type="paragraph" w:customStyle="1" w:styleId="470">
    <w:name w:val="表格文字"/>
    <w:basedOn w:val="1"/>
    <w:link w:val="469"/>
    <w:qFormat/>
    <w:uiPriority w:val="0"/>
    <w:pPr>
      <w:adjustRightInd w:val="0"/>
      <w:snapToGrid w:val="0"/>
      <w:jc w:val="center"/>
    </w:pPr>
    <w:rPr>
      <w:rFonts w:ascii="宋体" w:eastAsia="宋体"/>
      <w:sz w:val="24"/>
    </w:rPr>
  </w:style>
  <w:style w:type="character" w:customStyle="1" w:styleId="471">
    <w:name w:val="标题章 Char1"/>
    <w:qFormat/>
    <w:uiPriority w:val="0"/>
    <w:rPr>
      <w:b/>
      <w:kern w:val="44"/>
      <w:sz w:val="36"/>
    </w:rPr>
  </w:style>
  <w:style w:type="character" w:customStyle="1" w:styleId="472">
    <w:name w:val="常用正文样式 Char1"/>
    <w:link w:val="473"/>
    <w:qFormat/>
    <w:uiPriority w:val="0"/>
    <w:rPr>
      <w:rFonts w:ascii="宋体" w:hAnsi="新宋体" w:eastAsia="楷体_GB2312" w:cs="宋体"/>
      <w:kern w:val="2"/>
      <w:sz w:val="24"/>
      <w:szCs w:val="24"/>
      <w:lang w:val="en-US" w:eastAsia="zh-CN" w:bidi="ar-SA"/>
    </w:rPr>
  </w:style>
  <w:style w:type="paragraph" w:customStyle="1" w:styleId="473">
    <w:name w:val="常用正文样式"/>
    <w:link w:val="472"/>
    <w:qFormat/>
    <w:uiPriority w:val="0"/>
    <w:pPr>
      <w:widowControl w:val="0"/>
      <w:spacing w:line="360" w:lineRule="auto"/>
      <w:ind w:firstLine="454"/>
      <w:jc w:val="both"/>
    </w:pPr>
    <w:rPr>
      <w:rFonts w:ascii="宋体" w:hAnsi="新宋体" w:eastAsia="楷体_GB2312" w:cs="宋体"/>
      <w:kern w:val="2"/>
      <w:sz w:val="24"/>
      <w:szCs w:val="24"/>
      <w:lang w:val="en-US" w:eastAsia="zh-CN" w:bidi="ar-SA"/>
    </w:rPr>
  </w:style>
  <w:style w:type="character" w:customStyle="1" w:styleId="474">
    <w:name w:val="文章正文样式 Char Char Char Char3"/>
    <w:link w:val="475"/>
    <w:qFormat/>
    <w:uiPriority w:val="0"/>
    <w:rPr>
      <w:rFonts w:ascii="宋体" w:hAnsi="宋体" w:eastAsia="宋体" w:cs="宋体"/>
      <w:kern w:val="2"/>
      <w:sz w:val="24"/>
      <w:lang w:val="en-US" w:eastAsia="zh-CN" w:bidi="ar-SA"/>
    </w:rPr>
  </w:style>
  <w:style w:type="paragraph" w:customStyle="1" w:styleId="475">
    <w:name w:val="文章正文样式 Char Char Char4"/>
    <w:basedOn w:val="1"/>
    <w:link w:val="474"/>
    <w:qFormat/>
    <w:uiPriority w:val="0"/>
    <w:pPr>
      <w:spacing w:line="520" w:lineRule="exact"/>
      <w:ind w:firstLine="480" w:firstLineChars="200"/>
      <w:jc w:val="left"/>
    </w:pPr>
    <w:rPr>
      <w:rFonts w:ascii="宋体" w:hAnsi="宋体" w:eastAsia="宋体" w:cs="宋体"/>
      <w:sz w:val="24"/>
    </w:rPr>
  </w:style>
  <w:style w:type="character" w:customStyle="1" w:styleId="476">
    <w:name w:val="样式3 Char"/>
    <w:link w:val="477"/>
    <w:qFormat/>
    <w:uiPriority w:val="0"/>
    <w:rPr>
      <w:rFonts w:ascii="Arial" w:hAnsi="Arial" w:eastAsia="宋体" w:cs="Arial"/>
      <w:spacing w:val="10"/>
      <w:kern w:val="2"/>
      <w:sz w:val="24"/>
      <w:szCs w:val="32"/>
      <w:lang w:val="en-US" w:eastAsia="zh-CN" w:bidi="ar-SA"/>
    </w:rPr>
  </w:style>
  <w:style w:type="paragraph" w:customStyle="1" w:styleId="477">
    <w:name w:val="样式3"/>
    <w:basedOn w:val="5"/>
    <w:next w:val="1"/>
    <w:link w:val="476"/>
    <w:qFormat/>
    <w:uiPriority w:val="0"/>
    <w:pPr>
      <w:spacing w:line="360" w:lineRule="auto"/>
      <w:ind w:firstLine="480"/>
    </w:pPr>
    <w:rPr>
      <w:szCs w:val="32"/>
    </w:rPr>
  </w:style>
  <w:style w:type="character" w:customStyle="1" w:styleId="478">
    <w:name w:val="样式 (中文) 仿宋_GB2312 四号1 Char"/>
    <w:link w:val="479"/>
    <w:qFormat/>
    <w:uiPriority w:val="0"/>
    <w:rPr>
      <w:rFonts w:eastAsia="仿宋_GB2312" w:cs="宋体"/>
      <w:kern w:val="2"/>
      <w:sz w:val="28"/>
      <w:lang w:val="en-US" w:eastAsia="zh-CN" w:bidi="ar-SA"/>
    </w:rPr>
  </w:style>
  <w:style w:type="paragraph" w:customStyle="1" w:styleId="479">
    <w:name w:val="样式 (中文) 仿宋_GB2312 四号1"/>
    <w:basedOn w:val="1"/>
    <w:link w:val="478"/>
    <w:qFormat/>
    <w:uiPriority w:val="0"/>
    <w:pPr>
      <w:ind w:firstLine="520" w:firstLineChars="200"/>
    </w:pPr>
    <w:rPr>
      <w:rFonts w:cs="宋体"/>
    </w:rPr>
  </w:style>
  <w:style w:type="character" w:customStyle="1" w:styleId="480">
    <w:name w:val="正文段落 Char"/>
    <w:link w:val="481"/>
    <w:qFormat/>
    <w:uiPriority w:val="0"/>
    <w:rPr>
      <w:rFonts w:ascii="宋体" w:hAnsi="Tms Rmn" w:eastAsia="宋体"/>
      <w:sz w:val="28"/>
      <w:szCs w:val="28"/>
      <w:lang w:val="en-US" w:eastAsia="zh-CN" w:bidi="ar-SA"/>
    </w:rPr>
  </w:style>
  <w:style w:type="paragraph" w:customStyle="1" w:styleId="481">
    <w:name w:val="正文段落"/>
    <w:basedOn w:val="1"/>
    <w:link w:val="480"/>
    <w:qFormat/>
    <w:uiPriority w:val="0"/>
    <w:pPr>
      <w:autoSpaceDE w:val="0"/>
      <w:autoSpaceDN w:val="0"/>
      <w:adjustRightInd w:val="0"/>
      <w:spacing w:line="500" w:lineRule="exact"/>
      <w:ind w:firstLine="200" w:firstLineChars="200"/>
      <w:textAlignment w:val="baseline"/>
    </w:pPr>
    <w:rPr>
      <w:rFonts w:ascii="宋体" w:hAnsi="Tms Rmn" w:eastAsia="宋体"/>
      <w:kern w:val="0"/>
      <w:szCs w:val="28"/>
    </w:rPr>
  </w:style>
  <w:style w:type="character" w:customStyle="1" w:styleId="482">
    <w:name w:val="font141"/>
    <w:qFormat/>
    <w:uiPriority w:val="0"/>
    <w:rPr>
      <w:sz w:val="23"/>
      <w:szCs w:val="23"/>
    </w:rPr>
  </w:style>
  <w:style w:type="character" w:customStyle="1" w:styleId="483">
    <w:name w:val="环科院正文 Char"/>
    <w:qFormat/>
    <w:uiPriority w:val="0"/>
    <w:rPr>
      <w:rFonts w:ascii="宋体" w:hAnsi="宋体" w:eastAsia="宋体" w:cs="宋体"/>
      <w:bCs/>
      <w:kern w:val="2"/>
      <w:sz w:val="24"/>
      <w:szCs w:val="24"/>
      <w:u w:val="none" w:color="000000"/>
      <w:lang w:val="zh-CN" w:eastAsia="zh-CN" w:bidi="ar-SA"/>
    </w:rPr>
  </w:style>
  <w:style w:type="character" w:customStyle="1" w:styleId="484">
    <w:name w:val="表头文字 Char"/>
    <w:link w:val="485"/>
    <w:qFormat/>
    <w:uiPriority w:val="0"/>
    <w:rPr>
      <w:rFonts w:ascii="黑体" w:hAnsi="宋体" w:eastAsia="黑体"/>
      <w:kern w:val="2"/>
      <w:sz w:val="24"/>
      <w:lang w:val="en-US" w:eastAsia="zh-CN" w:bidi="ar-SA"/>
    </w:rPr>
  </w:style>
  <w:style w:type="paragraph" w:customStyle="1" w:styleId="485">
    <w:name w:val="表头文字"/>
    <w:basedOn w:val="1"/>
    <w:link w:val="484"/>
    <w:qFormat/>
    <w:uiPriority w:val="0"/>
    <w:pPr>
      <w:spacing w:before="312" w:beforeLines="100" w:line="400" w:lineRule="exact"/>
      <w:jc w:val="center"/>
    </w:pPr>
    <w:rPr>
      <w:rFonts w:ascii="黑体" w:hAnsi="宋体" w:eastAsia="黑体"/>
      <w:sz w:val="24"/>
    </w:rPr>
  </w:style>
  <w:style w:type="character" w:customStyle="1" w:styleId="486">
    <w:name w:val="1号正文 Char"/>
    <w:link w:val="487"/>
    <w:qFormat/>
    <w:uiPriority w:val="0"/>
    <w:rPr>
      <w:rFonts w:eastAsia="仿宋_GB2312"/>
      <w:kern w:val="2"/>
      <w:sz w:val="24"/>
      <w:szCs w:val="24"/>
      <w:lang w:val="en-US" w:eastAsia="zh-CN" w:bidi="ar-SA"/>
    </w:rPr>
  </w:style>
  <w:style w:type="paragraph" w:customStyle="1" w:styleId="487">
    <w:name w:val="1号正文"/>
    <w:basedOn w:val="1"/>
    <w:link w:val="486"/>
    <w:qFormat/>
    <w:uiPriority w:val="0"/>
    <w:pPr>
      <w:spacing w:line="360" w:lineRule="auto"/>
      <w:ind w:firstLine="200" w:firstLineChars="200"/>
    </w:pPr>
    <w:rPr>
      <w:sz w:val="24"/>
      <w:szCs w:val="24"/>
    </w:rPr>
  </w:style>
  <w:style w:type="character" w:customStyle="1" w:styleId="488">
    <w:name w:val="表格 Char"/>
    <w:link w:val="489"/>
    <w:qFormat/>
    <w:uiPriority w:val="0"/>
    <w:rPr>
      <w:rFonts w:eastAsia="楷体_GB2312"/>
      <w:sz w:val="24"/>
      <w:lang w:val="en-US" w:eastAsia="zh-CN" w:bidi="ar-SA"/>
    </w:rPr>
  </w:style>
  <w:style w:type="paragraph" w:customStyle="1" w:styleId="489">
    <w:name w:val="表格"/>
    <w:basedOn w:val="1"/>
    <w:link w:val="488"/>
    <w:qFormat/>
    <w:uiPriority w:val="0"/>
    <w:pPr>
      <w:autoSpaceDE w:val="0"/>
      <w:autoSpaceDN w:val="0"/>
      <w:adjustRightInd w:val="0"/>
      <w:spacing w:line="520" w:lineRule="exact"/>
      <w:ind w:firstLine="200" w:firstLineChars="200"/>
      <w:jc w:val="center"/>
    </w:pPr>
    <w:rPr>
      <w:rFonts w:eastAsia="楷体_GB2312"/>
      <w:kern w:val="0"/>
      <w:sz w:val="24"/>
    </w:rPr>
  </w:style>
  <w:style w:type="character" w:customStyle="1" w:styleId="490">
    <w:name w:val="表格内容 Char"/>
    <w:link w:val="250"/>
    <w:qFormat/>
    <w:uiPriority w:val="0"/>
    <w:rPr>
      <w:rFonts w:ascii="Arial" w:hAnsi="Arial" w:eastAsia="宋体"/>
      <w:kern w:val="2"/>
      <w:sz w:val="21"/>
      <w:szCs w:val="21"/>
      <w:lang w:val="en-US" w:eastAsia="zh-CN" w:bidi="ar-SA"/>
    </w:rPr>
  </w:style>
  <w:style w:type="character" w:customStyle="1" w:styleId="491">
    <w:name w:val="at_1"/>
    <w:qFormat/>
    <w:uiPriority w:val="0"/>
    <w:rPr>
      <w:rFonts w:ascii="宋体" w:hAnsi="宋体" w:eastAsia="Arial" w:cs="宋体"/>
      <w:kern w:val="2"/>
      <w:sz w:val="24"/>
      <w:szCs w:val="24"/>
      <w:lang w:val="en-US" w:eastAsia="zh-CN" w:bidi="ar-SA"/>
    </w:rPr>
  </w:style>
  <w:style w:type="character" w:customStyle="1" w:styleId="492">
    <w:name w:val="正文01 Char"/>
    <w:link w:val="493"/>
    <w:qFormat/>
    <w:uiPriority w:val="0"/>
    <w:rPr>
      <w:rFonts w:eastAsia="宋体"/>
      <w:kern w:val="2"/>
      <w:sz w:val="24"/>
      <w:szCs w:val="24"/>
      <w:lang w:val="en-US" w:eastAsia="zh-CN" w:bidi="ar-SA"/>
    </w:rPr>
  </w:style>
  <w:style w:type="paragraph" w:customStyle="1" w:styleId="493">
    <w:name w:val="正文01"/>
    <w:basedOn w:val="1"/>
    <w:link w:val="492"/>
    <w:qFormat/>
    <w:uiPriority w:val="0"/>
    <w:pPr>
      <w:spacing w:before="60" w:line="460" w:lineRule="exact"/>
      <w:ind w:firstLine="200" w:firstLineChars="200"/>
    </w:pPr>
    <w:rPr>
      <w:rFonts w:eastAsia="宋体"/>
      <w:sz w:val="24"/>
      <w:szCs w:val="24"/>
    </w:rPr>
  </w:style>
  <w:style w:type="character" w:customStyle="1" w:styleId="494">
    <w:name w:val="正文报告 Char"/>
    <w:qFormat/>
    <w:uiPriority w:val="0"/>
    <w:rPr>
      <w:rFonts w:ascii="宋体" w:hAnsi="宋体" w:eastAsia="宋体" w:cs="宋体"/>
      <w:kern w:val="2"/>
      <w:sz w:val="28"/>
      <w:szCs w:val="28"/>
      <w:lang w:val="en-US" w:eastAsia="zh-CN" w:bidi="ar-SA"/>
    </w:rPr>
  </w:style>
  <w:style w:type="character" w:customStyle="1" w:styleId="495">
    <w:name w:val="apple-style-span"/>
    <w:basedOn w:val="133"/>
    <w:qFormat/>
    <w:uiPriority w:val="0"/>
  </w:style>
  <w:style w:type="character" w:customStyle="1" w:styleId="496">
    <w:name w:val="样式93 Char"/>
    <w:link w:val="497"/>
    <w:qFormat/>
    <w:uiPriority w:val="0"/>
    <w:rPr>
      <w:rFonts w:eastAsia="宋体"/>
      <w:kern w:val="2"/>
      <w:sz w:val="24"/>
      <w:szCs w:val="24"/>
      <w:lang w:val="en-US" w:eastAsia="zh-CN" w:bidi="ar-SA"/>
    </w:rPr>
  </w:style>
  <w:style w:type="paragraph" w:customStyle="1" w:styleId="497">
    <w:name w:val="样式93"/>
    <w:basedOn w:val="46"/>
    <w:link w:val="496"/>
    <w:qFormat/>
    <w:uiPriority w:val="0"/>
    <w:pPr>
      <w:spacing w:before="120" w:beforeLines="50" w:after="120" w:afterLines="50" w:line="360" w:lineRule="auto"/>
      <w:ind w:firstLine="480"/>
    </w:pPr>
    <w:rPr>
      <w:rFonts w:ascii="Times New Roman" w:hAnsi="Times New Roman"/>
      <w:sz w:val="24"/>
      <w:szCs w:val="24"/>
    </w:rPr>
  </w:style>
  <w:style w:type="character" w:customStyle="1" w:styleId="498">
    <w:name w:val="blacktt1"/>
    <w:qFormat/>
    <w:uiPriority w:val="0"/>
    <w:rPr>
      <w:rFonts w:hint="default"/>
      <w:color w:val="000000"/>
      <w:sz w:val="18"/>
      <w:szCs w:val="18"/>
      <w:u w:val="none"/>
    </w:rPr>
  </w:style>
  <w:style w:type="character" w:customStyle="1" w:styleId="499">
    <w:name w:val="Char Char Char1"/>
    <w:qFormat/>
    <w:locked/>
    <w:uiPriority w:val="0"/>
    <w:rPr>
      <w:rFonts w:ascii="Arial" w:hAnsi="Arial" w:eastAsia="宋体"/>
      <w:kern w:val="2"/>
      <w:sz w:val="18"/>
      <w:szCs w:val="18"/>
      <w:lang w:val="en-US" w:eastAsia="zh-CN" w:bidi="ar-SA"/>
    </w:rPr>
  </w:style>
  <w:style w:type="character" w:customStyle="1" w:styleId="500">
    <w:name w:val="文档结构图 Char1"/>
    <w:link w:val="26"/>
    <w:qFormat/>
    <w:uiPriority w:val="0"/>
    <w:rPr>
      <w:rFonts w:eastAsia="仿宋_GB2312"/>
      <w:kern w:val="2"/>
      <w:sz w:val="28"/>
      <w:lang w:val="en-US" w:eastAsia="zh-CN" w:bidi="ar-SA"/>
    </w:rPr>
  </w:style>
  <w:style w:type="character" w:customStyle="1" w:styleId="501">
    <w:name w:val="标题2 Char Char"/>
    <w:qFormat/>
    <w:uiPriority w:val="0"/>
    <w:rPr>
      <w:rFonts w:ascii="宋体" w:hAnsi="宋体" w:eastAsia="黑体" w:cs="Arial"/>
      <w:bCs/>
      <w:kern w:val="2"/>
      <w:sz w:val="30"/>
      <w:szCs w:val="28"/>
    </w:rPr>
  </w:style>
  <w:style w:type="character" w:customStyle="1" w:styleId="502">
    <w:name w:val="页眉 Char"/>
    <w:link w:val="58"/>
    <w:qFormat/>
    <w:uiPriority w:val="0"/>
    <w:rPr>
      <w:rFonts w:eastAsia="仿宋_GB2312"/>
      <w:kern w:val="2"/>
      <w:sz w:val="18"/>
      <w:lang w:val="en-US" w:eastAsia="zh-CN" w:bidi="ar-SA"/>
    </w:rPr>
  </w:style>
  <w:style w:type="character" w:customStyle="1" w:styleId="503">
    <w:name w:val="at_3"/>
    <w:qFormat/>
    <w:uiPriority w:val="0"/>
    <w:rPr>
      <w:rFonts w:ascii="宋体" w:hAnsi="宋体" w:eastAsia="Arial" w:cs="宋体"/>
      <w:kern w:val="2"/>
      <w:sz w:val="24"/>
      <w:szCs w:val="24"/>
      <w:lang w:val="en-US" w:eastAsia="zh-CN" w:bidi="ar-SA"/>
    </w:rPr>
  </w:style>
  <w:style w:type="character" w:customStyle="1" w:styleId="504">
    <w:name w:val="无间隔 Char1"/>
    <w:link w:val="505"/>
    <w:qFormat/>
    <w:uiPriority w:val="0"/>
    <w:rPr>
      <w:rFonts w:ascii="Calibri" w:hAnsi="Calibri" w:eastAsia="Times New Roman"/>
      <w:sz w:val="22"/>
      <w:szCs w:val="22"/>
      <w:lang w:val="en-US" w:eastAsia="zh-CN" w:bidi="ar-SA"/>
    </w:rPr>
  </w:style>
  <w:style w:type="paragraph" w:styleId="505">
    <w:name w:val="No Spacing"/>
    <w:link w:val="504"/>
    <w:qFormat/>
    <w:uiPriority w:val="1"/>
    <w:pPr>
      <w:spacing w:line="360" w:lineRule="auto"/>
      <w:ind w:firstLine="200" w:firstLineChars="200"/>
    </w:pPr>
    <w:rPr>
      <w:rFonts w:ascii="Calibri" w:hAnsi="Calibri" w:eastAsia="Times New Roman" w:cs="Times New Roman"/>
      <w:sz w:val="22"/>
      <w:szCs w:val="22"/>
      <w:lang w:val="en-US" w:eastAsia="zh-CN" w:bidi="ar-SA"/>
    </w:rPr>
  </w:style>
  <w:style w:type="character" w:customStyle="1" w:styleId="506">
    <w:name w:val="style41"/>
    <w:qFormat/>
    <w:uiPriority w:val="0"/>
    <w:rPr>
      <w:b/>
      <w:bCs/>
      <w:sz w:val="36"/>
      <w:szCs w:val="36"/>
    </w:rPr>
  </w:style>
  <w:style w:type="character" w:customStyle="1" w:styleId="507">
    <w:name w:val="标准正文 Char"/>
    <w:link w:val="508"/>
    <w:qFormat/>
    <w:uiPriority w:val="0"/>
    <w:rPr>
      <w:rFonts w:hAnsi="宋体" w:eastAsia="宋体"/>
      <w:kern w:val="2"/>
      <w:sz w:val="24"/>
      <w:lang w:val="en-US" w:eastAsia="zh-CN" w:bidi="ar-SA"/>
    </w:rPr>
  </w:style>
  <w:style w:type="paragraph" w:customStyle="1" w:styleId="508">
    <w:name w:val="标准正文"/>
    <w:basedOn w:val="1"/>
    <w:link w:val="507"/>
    <w:qFormat/>
    <w:uiPriority w:val="0"/>
    <w:pPr>
      <w:spacing w:line="360" w:lineRule="auto"/>
      <w:ind w:firstLine="480" w:firstLineChars="200"/>
    </w:pPr>
    <w:rPr>
      <w:rFonts w:hAnsi="宋体" w:eastAsia="宋体"/>
      <w:sz w:val="24"/>
    </w:rPr>
  </w:style>
  <w:style w:type="character" w:customStyle="1" w:styleId="509">
    <w:name w:val="特点标题 Char1"/>
    <w:qFormat/>
    <w:uiPriority w:val="0"/>
    <w:rPr>
      <w:rFonts w:eastAsia="宋体"/>
      <w:kern w:val="2"/>
      <w:sz w:val="21"/>
      <w:lang w:val="en-US" w:eastAsia="zh-CN" w:bidi="ar-SA"/>
    </w:rPr>
  </w:style>
  <w:style w:type="character" w:customStyle="1" w:styleId="510">
    <w:name w:val="普通段落 Char Char"/>
    <w:link w:val="511"/>
    <w:qFormat/>
    <w:uiPriority w:val="0"/>
    <w:rPr>
      <w:rFonts w:eastAsia="宋体"/>
      <w:color w:val="000000"/>
      <w:sz w:val="24"/>
      <w:szCs w:val="24"/>
      <w:lang w:bidi="ar-SA"/>
    </w:rPr>
  </w:style>
  <w:style w:type="paragraph" w:customStyle="1" w:styleId="511">
    <w:name w:val="普通段落"/>
    <w:basedOn w:val="1"/>
    <w:link w:val="510"/>
    <w:qFormat/>
    <w:uiPriority w:val="0"/>
    <w:pPr>
      <w:adjustRightInd w:val="0"/>
      <w:snapToGrid w:val="0"/>
      <w:spacing w:beforeLines="50" w:afterLines="50" w:line="360" w:lineRule="auto"/>
      <w:ind w:firstLine="200" w:firstLineChars="200"/>
    </w:pPr>
    <w:rPr>
      <w:rFonts w:eastAsia="宋体"/>
      <w:color w:val="000000"/>
      <w:kern w:val="0"/>
      <w:sz w:val="24"/>
      <w:szCs w:val="24"/>
    </w:rPr>
  </w:style>
  <w:style w:type="character" w:customStyle="1" w:styleId="512">
    <w:name w:val="标头 Char"/>
    <w:link w:val="513"/>
    <w:qFormat/>
    <w:uiPriority w:val="0"/>
    <w:rPr>
      <w:rFonts w:ascii="Arial" w:hAnsi="Arial" w:eastAsia="黑体"/>
      <w:kern w:val="2"/>
      <w:sz w:val="21"/>
      <w:szCs w:val="21"/>
      <w:lang w:bidi="ar-SA"/>
    </w:rPr>
  </w:style>
  <w:style w:type="paragraph" w:customStyle="1" w:styleId="513">
    <w:name w:val="标头"/>
    <w:basedOn w:val="1"/>
    <w:link w:val="512"/>
    <w:qFormat/>
    <w:uiPriority w:val="0"/>
    <w:pPr>
      <w:spacing w:line="360" w:lineRule="auto"/>
      <w:jc w:val="center"/>
    </w:pPr>
    <w:rPr>
      <w:rFonts w:ascii="Arial" w:hAnsi="Arial" w:eastAsia="黑体"/>
      <w:sz w:val="21"/>
      <w:szCs w:val="21"/>
    </w:rPr>
  </w:style>
  <w:style w:type="character" w:customStyle="1" w:styleId="514">
    <w:name w:val="表1 Char Char"/>
    <w:link w:val="515"/>
    <w:qFormat/>
    <w:uiPriority w:val="0"/>
    <w:rPr>
      <w:rFonts w:ascii="宋体"/>
      <w:sz w:val="21"/>
      <w:lang w:val="en-US" w:eastAsia="zh-CN" w:bidi="ar-SA"/>
    </w:rPr>
  </w:style>
  <w:style w:type="paragraph" w:customStyle="1" w:styleId="515">
    <w:name w:val="表1"/>
    <w:next w:val="1"/>
    <w:link w:val="514"/>
    <w:qFormat/>
    <w:uiPriority w:val="0"/>
    <w:pPr>
      <w:adjustRightInd w:val="0"/>
      <w:snapToGrid w:val="0"/>
      <w:jc w:val="center"/>
    </w:pPr>
    <w:rPr>
      <w:rFonts w:ascii="宋体" w:hAnsi="Times New Roman" w:eastAsia="宋体" w:cs="Times New Roman"/>
      <w:sz w:val="21"/>
      <w:lang w:val="en-US" w:eastAsia="zh-CN" w:bidi="ar-SA"/>
    </w:rPr>
  </w:style>
  <w:style w:type="character" w:customStyle="1" w:styleId="516">
    <w:name w:val="标题 5 Char"/>
    <w:link w:val="8"/>
    <w:qFormat/>
    <w:uiPriority w:val="9"/>
    <w:rPr>
      <w:rFonts w:eastAsia="仿宋_GB2312"/>
      <w:b/>
      <w:bCs/>
      <w:kern w:val="2"/>
      <w:sz w:val="21"/>
      <w:szCs w:val="28"/>
      <w:lang w:val="en-US" w:eastAsia="zh-CN" w:bidi="ar-SA"/>
    </w:rPr>
  </w:style>
  <w:style w:type="character" w:customStyle="1" w:styleId="517">
    <w:name w:val="标题 9 Char"/>
    <w:link w:val="12"/>
    <w:qFormat/>
    <w:uiPriority w:val="0"/>
    <w:rPr>
      <w:rFonts w:ascii="Arial" w:hAnsi="Arial" w:eastAsia="黑体"/>
      <w:kern w:val="2"/>
      <w:sz w:val="21"/>
      <w:szCs w:val="21"/>
      <w:lang w:val="en-US" w:eastAsia="zh-CN" w:bidi="ar-SA"/>
    </w:rPr>
  </w:style>
  <w:style w:type="character" w:customStyle="1" w:styleId="518">
    <w:name w:val="正文YHY Char"/>
    <w:link w:val="519"/>
    <w:qFormat/>
    <w:uiPriority w:val="0"/>
    <w:rPr>
      <w:rFonts w:eastAsia="宋体"/>
      <w:kern w:val="2"/>
      <w:sz w:val="24"/>
      <w:szCs w:val="24"/>
      <w:lang w:bidi="ar-SA"/>
    </w:rPr>
  </w:style>
  <w:style w:type="paragraph" w:customStyle="1" w:styleId="519">
    <w:name w:val="正文YHY"/>
    <w:basedOn w:val="1"/>
    <w:link w:val="518"/>
    <w:qFormat/>
    <w:uiPriority w:val="0"/>
    <w:pPr>
      <w:spacing w:before="50" w:beforeLines="50" w:after="50" w:afterLines="50" w:line="360" w:lineRule="auto"/>
      <w:ind w:firstLine="200" w:firstLineChars="200"/>
    </w:pPr>
    <w:rPr>
      <w:rFonts w:eastAsia="宋体"/>
      <w:sz w:val="24"/>
      <w:szCs w:val="24"/>
    </w:rPr>
  </w:style>
  <w:style w:type="character" w:customStyle="1" w:styleId="520">
    <w:name w:val="HTML 地址 Char"/>
    <w:link w:val="42"/>
    <w:qFormat/>
    <w:uiPriority w:val="0"/>
    <w:rPr>
      <w:rFonts w:eastAsia="仿宋_GB2312"/>
      <w:kern w:val="2"/>
      <w:sz w:val="18"/>
      <w:lang w:val="en-US" w:eastAsia="zh-CN" w:bidi="ar-SA"/>
    </w:rPr>
  </w:style>
  <w:style w:type="character" w:customStyle="1" w:styleId="521">
    <w:name w:val="标题 9 Char1"/>
    <w:qFormat/>
    <w:uiPriority w:val="0"/>
    <w:rPr>
      <w:rFonts w:ascii="Cambria" w:hAnsi="Cambria" w:eastAsia="宋体" w:cs="Times New Roman"/>
      <w:kern w:val="2"/>
      <w:sz w:val="21"/>
      <w:szCs w:val="21"/>
    </w:rPr>
  </w:style>
  <w:style w:type="character" w:customStyle="1" w:styleId="522">
    <w:name w:val="A正文 Char Char"/>
    <w:link w:val="523"/>
    <w:qFormat/>
    <w:uiPriority w:val="0"/>
    <w:rPr>
      <w:rFonts w:eastAsia="仿宋_GB2312"/>
      <w:sz w:val="24"/>
      <w:szCs w:val="24"/>
      <w:lang w:val="en-US" w:eastAsia="zh-CN" w:bidi="ar-SA"/>
    </w:rPr>
  </w:style>
  <w:style w:type="paragraph" w:customStyle="1" w:styleId="523">
    <w:name w:val="A正文"/>
    <w:basedOn w:val="1"/>
    <w:link w:val="522"/>
    <w:qFormat/>
    <w:uiPriority w:val="0"/>
    <w:pPr>
      <w:widowControl/>
      <w:overflowPunct w:val="0"/>
      <w:autoSpaceDE w:val="0"/>
      <w:autoSpaceDN w:val="0"/>
      <w:adjustRightInd w:val="0"/>
      <w:spacing w:line="360" w:lineRule="auto"/>
      <w:ind w:firstLine="200" w:firstLineChars="200"/>
      <w:jc w:val="left"/>
      <w:textAlignment w:val="baseline"/>
    </w:pPr>
    <w:rPr>
      <w:kern w:val="0"/>
      <w:sz w:val="24"/>
      <w:szCs w:val="24"/>
    </w:rPr>
  </w:style>
  <w:style w:type="character" w:customStyle="1" w:styleId="524">
    <w:name w:val="样式2 Char"/>
    <w:link w:val="525"/>
    <w:qFormat/>
    <w:uiPriority w:val="0"/>
    <w:rPr>
      <w:rFonts w:ascii="Arial" w:hAnsi="Arial" w:eastAsia="仿宋_GB2312" w:cs="Arial"/>
      <w:spacing w:val="10"/>
      <w:kern w:val="2"/>
      <w:sz w:val="24"/>
      <w:szCs w:val="32"/>
      <w:lang w:val="en-US" w:eastAsia="zh-CN" w:bidi="ar-SA"/>
    </w:rPr>
  </w:style>
  <w:style w:type="paragraph" w:customStyle="1" w:styleId="525">
    <w:name w:val="样式2"/>
    <w:basedOn w:val="5"/>
    <w:next w:val="5"/>
    <w:link w:val="524"/>
    <w:qFormat/>
    <w:uiPriority w:val="0"/>
    <w:pPr>
      <w:spacing w:line="360" w:lineRule="auto"/>
      <w:ind w:firstLine="200"/>
    </w:pPr>
    <w:rPr>
      <w:rFonts w:eastAsia="仿宋_GB2312"/>
      <w:szCs w:val="32"/>
    </w:rPr>
  </w:style>
  <w:style w:type="character" w:customStyle="1" w:styleId="526">
    <w:name w:val="px14"/>
    <w:qFormat/>
    <w:uiPriority w:val="0"/>
    <w:rPr>
      <w:rFonts w:ascii="宋体" w:hAnsi="宋体" w:eastAsia="Arial" w:cs="宋体"/>
      <w:kern w:val="2"/>
      <w:sz w:val="24"/>
      <w:szCs w:val="24"/>
      <w:lang w:val="en-US" w:eastAsia="zh-CN" w:bidi="ar-SA"/>
    </w:rPr>
  </w:style>
  <w:style w:type="character" w:customStyle="1" w:styleId="527">
    <w:name w:val="font01"/>
    <w:qFormat/>
    <w:uiPriority w:val="0"/>
    <w:rPr>
      <w:rFonts w:hint="eastAsia" w:ascii="宋体" w:hAnsi="宋体" w:eastAsia="宋体" w:cs="宋体"/>
      <w:b/>
      <w:bCs/>
      <w:color w:val="000000"/>
      <w:sz w:val="24"/>
      <w:szCs w:val="24"/>
      <w:u w:val="none"/>
    </w:rPr>
  </w:style>
  <w:style w:type="character" w:customStyle="1" w:styleId="528">
    <w:name w:val="样式6 Char"/>
    <w:link w:val="529"/>
    <w:qFormat/>
    <w:uiPriority w:val="0"/>
    <w:rPr>
      <w:rFonts w:ascii="Arial" w:hAnsi="Arial" w:eastAsia="宋体" w:cs="Arial"/>
      <w:spacing w:val="10"/>
      <w:kern w:val="2"/>
      <w:sz w:val="24"/>
      <w:szCs w:val="32"/>
      <w:lang w:val="en-US" w:eastAsia="zh-CN" w:bidi="ar-SA"/>
    </w:rPr>
  </w:style>
  <w:style w:type="paragraph" w:customStyle="1" w:styleId="529">
    <w:name w:val="样式6"/>
    <w:basedOn w:val="5"/>
    <w:link w:val="528"/>
    <w:qFormat/>
    <w:uiPriority w:val="0"/>
    <w:pPr>
      <w:tabs>
        <w:tab w:val="left" w:pos="1080"/>
      </w:tabs>
      <w:ind w:left="425" w:hanging="425"/>
    </w:pPr>
  </w:style>
  <w:style w:type="character" w:customStyle="1" w:styleId="530">
    <w:name w:val="big_14px"/>
    <w:basedOn w:val="133"/>
    <w:qFormat/>
    <w:uiPriority w:val="0"/>
  </w:style>
  <w:style w:type="character" w:customStyle="1" w:styleId="531">
    <w:name w:val="7表格(治) Char Char"/>
    <w:link w:val="195"/>
    <w:qFormat/>
    <w:uiPriority w:val="0"/>
    <w:rPr>
      <w:rFonts w:hAnsi="宋体" w:eastAsia="Times New Roman"/>
      <w:color w:val="000000"/>
      <w:sz w:val="24"/>
      <w:szCs w:val="24"/>
      <w:lang w:val="en-US" w:eastAsia="zh-CN" w:bidi="ar-SA"/>
    </w:rPr>
  </w:style>
  <w:style w:type="character" w:customStyle="1" w:styleId="532">
    <w:name w:val="表标题... Char"/>
    <w:qFormat/>
    <w:uiPriority w:val="0"/>
    <w:rPr>
      <w:rFonts w:ascii="Arial" w:hAnsi="Arial" w:eastAsia="宋体" w:cs="宋体"/>
      <w:b/>
      <w:color w:val="800080"/>
      <w:kern w:val="2"/>
      <w:sz w:val="24"/>
      <w:szCs w:val="24"/>
      <w:lang w:val="en-US" w:eastAsia="zh-CN" w:bidi="ar-SA"/>
    </w:rPr>
  </w:style>
  <w:style w:type="character" w:customStyle="1" w:styleId="533">
    <w:name w:val="Char Char11"/>
    <w:qFormat/>
    <w:uiPriority w:val="0"/>
    <w:rPr>
      <w:rFonts w:ascii="Times New Roman" w:hAnsi="Times New Roman" w:eastAsia="黑体"/>
      <w:b/>
      <w:bCs/>
      <w:kern w:val="44"/>
      <w:sz w:val="44"/>
      <w:szCs w:val="44"/>
    </w:rPr>
  </w:style>
  <w:style w:type="character" w:customStyle="1" w:styleId="534">
    <w:name w:val="样式1 Char Char"/>
    <w:link w:val="535"/>
    <w:qFormat/>
    <w:uiPriority w:val="0"/>
    <w:rPr>
      <w:rFonts w:ascii="仿宋_GB2312" w:eastAsia="仿宋_GB2312"/>
      <w:b/>
      <w:bCs/>
      <w:kern w:val="2"/>
      <w:sz w:val="24"/>
      <w:lang w:bidi="ar-SA"/>
    </w:rPr>
  </w:style>
  <w:style w:type="paragraph" w:customStyle="1" w:styleId="535">
    <w:name w:val="样式1"/>
    <w:basedOn w:val="6"/>
    <w:next w:val="41"/>
    <w:link w:val="534"/>
    <w:qFormat/>
    <w:uiPriority w:val="0"/>
    <w:pPr>
      <w:tabs>
        <w:tab w:val="left" w:pos="1080"/>
      </w:tabs>
    </w:pPr>
  </w:style>
  <w:style w:type="character" w:customStyle="1" w:styleId="536">
    <w:name w:val="a标题 3 Char Char"/>
    <w:qFormat/>
    <w:uiPriority w:val="0"/>
    <w:rPr>
      <w:rFonts w:ascii="黑体" w:eastAsia="宋体"/>
      <w:b/>
      <w:sz w:val="28"/>
      <w:lang w:val="en-GB" w:eastAsia="zh-CN" w:bidi="ar-SA"/>
    </w:rPr>
  </w:style>
  <w:style w:type="character" w:customStyle="1" w:styleId="537">
    <w:name w:val="fz_td4"/>
    <w:basedOn w:val="133"/>
    <w:qFormat/>
    <w:uiPriority w:val="0"/>
  </w:style>
  <w:style w:type="character" w:customStyle="1" w:styleId="538">
    <w:name w:val="正文标准样式 Char Char"/>
    <w:link w:val="539"/>
    <w:qFormat/>
    <w:uiPriority w:val="0"/>
    <w:rPr>
      <w:rFonts w:eastAsia="宋体"/>
      <w:sz w:val="24"/>
      <w:lang w:val="en-US" w:eastAsia="zh-CN" w:bidi="ar-SA"/>
    </w:rPr>
  </w:style>
  <w:style w:type="paragraph" w:customStyle="1" w:styleId="539">
    <w:name w:val="正文标准样式"/>
    <w:basedOn w:val="1"/>
    <w:link w:val="538"/>
    <w:qFormat/>
    <w:uiPriority w:val="0"/>
    <w:pPr>
      <w:adjustRightInd w:val="0"/>
      <w:spacing w:before="100" w:line="360" w:lineRule="auto"/>
      <w:ind w:firstLine="482"/>
      <w:textAlignment w:val="baseline"/>
    </w:pPr>
    <w:rPr>
      <w:rFonts w:eastAsia="宋体"/>
      <w:kern w:val="0"/>
      <w:sz w:val="24"/>
    </w:rPr>
  </w:style>
  <w:style w:type="character" w:customStyle="1" w:styleId="540">
    <w:name w:val="三级标题 Char Char"/>
    <w:qFormat/>
    <w:uiPriority w:val="0"/>
    <w:rPr>
      <w:rFonts w:eastAsia="宋体"/>
      <w:b/>
      <w:bCs/>
      <w:kern w:val="2"/>
      <w:sz w:val="24"/>
      <w:szCs w:val="24"/>
      <w:lang w:val="en-US" w:eastAsia="zh-CN" w:bidi="ar-SA"/>
    </w:rPr>
  </w:style>
  <w:style w:type="character" w:customStyle="1" w:styleId="541">
    <w:name w:val="报告书正文 Char Char"/>
    <w:link w:val="542"/>
    <w:qFormat/>
    <w:uiPriority w:val="0"/>
    <w:rPr>
      <w:rFonts w:eastAsia="宋体"/>
      <w:kern w:val="2"/>
      <w:sz w:val="24"/>
      <w:szCs w:val="24"/>
      <w:lang w:val="en-US" w:eastAsia="zh-CN" w:bidi="ar-SA"/>
    </w:rPr>
  </w:style>
  <w:style w:type="paragraph" w:customStyle="1" w:styleId="542">
    <w:name w:val="报告书正文"/>
    <w:basedOn w:val="1"/>
    <w:link w:val="541"/>
    <w:qFormat/>
    <w:uiPriority w:val="0"/>
    <w:pPr>
      <w:spacing w:after="60" w:line="500" w:lineRule="exact"/>
      <w:ind w:firstLine="200" w:firstLineChars="200"/>
    </w:pPr>
    <w:rPr>
      <w:rFonts w:eastAsia="宋体"/>
      <w:sz w:val="24"/>
      <w:szCs w:val="24"/>
    </w:rPr>
  </w:style>
  <w:style w:type="character" w:customStyle="1" w:styleId="543">
    <w:name w:val="tiny"/>
    <w:basedOn w:val="133"/>
    <w:qFormat/>
    <w:uiPriority w:val="0"/>
  </w:style>
  <w:style w:type="character" w:customStyle="1" w:styleId="544">
    <w:name w:val="列出段落 Char1"/>
    <w:qFormat/>
    <w:uiPriority w:val="0"/>
    <w:rPr>
      <w:rFonts w:eastAsia="宋体"/>
      <w:kern w:val="2"/>
      <w:sz w:val="21"/>
      <w:szCs w:val="24"/>
      <w:lang w:bidi="ar-SA"/>
    </w:rPr>
  </w:style>
  <w:style w:type="character" w:customStyle="1" w:styleId="545">
    <w:name w:val="font11"/>
    <w:qFormat/>
    <w:uiPriority w:val="0"/>
    <w:rPr>
      <w:rFonts w:hint="eastAsia" w:ascii="宋体" w:hAnsi="宋体" w:eastAsia="宋体" w:cs="宋体"/>
      <w:b/>
      <w:bCs/>
      <w:color w:val="000000"/>
      <w:sz w:val="21"/>
      <w:szCs w:val="21"/>
    </w:rPr>
  </w:style>
  <w:style w:type="character" w:customStyle="1" w:styleId="546">
    <w:name w:val="font21"/>
    <w:qFormat/>
    <w:uiPriority w:val="0"/>
    <w:rPr>
      <w:rFonts w:ascii="Times New Roman" w:hAnsi="Times New Roman" w:eastAsia="楷体_GB2312" w:cs="Times New Roman"/>
      <w:b/>
      <w:bCs/>
      <w:color w:val="000000"/>
      <w:sz w:val="21"/>
      <w:szCs w:val="21"/>
    </w:rPr>
  </w:style>
  <w:style w:type="character" w:customStyle="1" w:styleId="547">
    <w:name w:val="5文章(治) Char Char"/>
    <w:link w:val="548"/>
    <w:qFormat/>
    <w:uiPriority w:val="0"/>
    <w:rPr>
      <w:kern w:val="2"/>
      <w:sz w:val="24"/>
    </w:rPr>
  </w:style>
  <w:style w:type="paragraph" w:customStyle="1" w:styleId="548">
    <w:name w:val="5文章(治)"/>
    <w:basedOn w:val="1"/>
    <w:link w:val="547"/>
    <w:qFormat/>
    <w:uiPriority w:val="0"/>
    <w:pPr>
      <w:spacing w:line="360" w:lineRule="auto"/>
      <w:ind w:firstLine="480" w:firstLineChars="200"/>
    </w:pPr>
    <w:rPr>
      <w:rFonts w:eastAsia="宋体"/>
      <w:sz w:val="24"/>
    </w:rPr>
  </w:style>
  <w:style w:type="character" w:customStyle="1" w:styleId="549">
    <w:name w:val="样式 正文缩进s4 + 首行缩进:  2 字符 Char"/>
    <w:semiHidden/>
    <w:qFormat/>
    <w:uiPriority w:val="0"/>
    <w:rPr>
      <w:rFonts w:eastAsia="宋体" w:cs="宋体"/>
      <w:kern w:val="2"/>
      <w:sz w:val="24"/>
      <w:lang w:val="en-US" w:eastAsia="zh-CN" w:bidi="ar-SA"/>
    </w:rPr>
  </w:style>
  <w:style w:type="character" w:customStyle="1" w:styleId="550">
    <w:name w:val="正文文本缩进 2 Char"/>
    <w:link w:val="52"/>
    <w:qFormat/>
    <w:uiPriority w:val="0"/>
    <w:rPr>
      <w:rFonts w:ascii="宋体" w:hAnsi="宋体"/>
      <w:kern w:val="2"/>
      <w:sz w:val="24"/>
    </w:rPr>
  </w:style>
  <w:style w:type="character" w:customStyle="1" w:styleId="551">
    <w:name w:val="样式11111 Char"/>
    <w:link w:val="552"/>
    <w:qFormat/>
    <w:uiPriority w:val="0"/>
    <w:rPr>
      <w:rFonts w:eastAsia="宋体"/>
      <w:color w:val="000000"/>
      <w:kern w:val="2"/>
      <w:sz w:val="24"/>
      <w:szCs w:val="24"/>
      <w:lang w:val="en-US" w:eastAsia="zh-CN" w:bidi="ar-SA"/>
    </w:rPr>
  </w:style>
  <w:style w:type="paragraph" w:customStyle="1" w:styleId="552">
    <w:name w:val="样式11111"/>
    <w:basedOn w:val="1"/>
    <w:link w:val="551"/>
    <w:qFormat/>
    <w:uiPriority w:val="0"/>
    <w:pPr>
      <w:spacing w:before="156" w:beforeLines="50" w:after="156" w:afterLines="50" w:line="360" w:lineRule="auto"/>
      <w:ind w:firstLine="480" w:firstLineChars="200"/>
    </w:pPr>
    <w:rPr>
      <w:rFonts w:eastAsia="宋体"/>
      <w:color w:val="000000"/>
      <w:sz w:val="24"/>
      <w:szCs w:val="24"/>
    </w:rPr>
  </w:style>
  <w:style w:type="character" w:customStyle="1" w:styleId="553">
    <w:name w:val="表格正文 Char"/>
    <w:link w:val="554"/>
    <w:qFormat/>
    <w:uiPriority w:val="0"/>
    <w:rPr>
      <w:rFonts w:eastAsia="宋体"/>
      <w:kern w:val="2"/>
      <w:sz w:val="21"/>
      <w:lang w:val="en-US" w:eastAsia="zh-CN" w:bidi="ar-SA"/>
    </w:rPr>
  </w:style>
  <w:style w:type="paragraph" w:customStyle="1" w:styleId="554">
    <w:name w:val="表格正文"/>
    <w:basedOn w:val="1"/>
    <w:link w:val="553"/>
    <w:qFormat/>
    <w:uiPriority w:val="0"/>
    <w:pPr>
      <w:adjustRightInd w:val="0"/>
      <w:spacing w:line="0" w:lineRule="atLeast"/>
      <w:textAlignment w:val="baseline"/>
    </w:pPr>
    <w:rPr>
      <w:rFonts w:eastAsia="宋体"/>
      <w:sz w:val="21"/>
    </w:rPr>
  </w:style>
  <w:style w:type="character" w:customStyle="1" w:styleId="555">
    <w:name w:val="报告标题2 Char"/>
    <w:link w:val="556"/>
    <w:qFormat/>
    <w:uiPriority w:val="0"/>
    <w:rPr>
      <w:rFonts w:ascii="Arial" w:hAnsi="Arial" w:eastAsia="宋体"/>
      <w:b/>
      <w:color w:val="000000"/>
      <w:kern w:val="2"/>
      <w:sz w:val="28"/>
      <w:szCs w:val="32"/>
      <w:lang w:val="en-US" w:eastAsia="zh-CN" w:bidi="ar-SA"/>
    </w:rPr>
  </w:style>
  <w:style w:type="paragraph" w:customStyle="1" w:styleId="556">
    <w:name w:val="报告标题2"/>
    <w:basedOn w:val="4"/>
    <w:link w:val="555"/>
    <w:qFormat/>
    <w:uiPriority w:val="0"/>
    <w:pPr>
      <w:tabs>
        <w:tab w:val="left" w:pos="0"/>
      </w:tabs>
      <w:spacing w:before="50" w:beforeLines="50" w:after="0" w:line="360" w:lineRule="auto"/>
      <w:ind w:left="0" w:firstLine="0"/>
      <w:jc w:val="left"/>
    </w:pPr>
    <w:rPr>
      <w:rFonts w:ascii="Arial" w:eastAsia="宋体"/>
      <w:b/>
      <w:color w:val="000000"/>
      <w:szCs w:val="32"/>
    </w:rPr>
  </w:style>
  <w:style w:type="character" w:customStyle="1" w:styleId="557">
    <w:name w:val="3级标题 Char"/>
    <w:link w:val="558"/>
    <w:qFormat/>
    <w:uiPriority w:val="0"/>
    <w:rPr>
      <w:rFonts w:eastAsia="仿宋_GB2312"/>
      <w:b/>
      <w:sz w:val="28"/>
      <w:szCs w:val="28"/>
      <w:lang w:val="en-US" w:eastAsia="zh-CN" w:bidi="ar-SA"/>
    </w:rPr>
  </w:style>
  <w:style w:type="paragraph" w:customStyle="1" w:styleId="558">
    <w:name w:val="3级标题"/>
    <w:basedOn w:val="1"/>
    <w:link w:val="557"/>
    <w:qFormat/>
    <w:uiPriority w:val="0"/>
    <w:pPr>
      <w:spacing w:before="60" w:line="500" w:lineRule="exact"/>
      <w:outlineLvl w:val="2"/>
    </w:pPr>
    <w:rPr>
      <w:b/>
      <w:kern w:val="0"/>
      <w:szCs w:val="28"/>
    </w:rPr>
  </w:style>
  <w:style w:type="character" w:customStyle="1" w:styleId="559">
    <w:name w:val="Char Char7"/>
    <w:qFormat/>
    <w:uiPriority w:val="0"/>
    <w:rPr>
      <w:rFonts w:eastAsia="仿宋_GB2312"/>
      <w:kern w:val="2"/>
      <w:sz w:val="18"/>
      <w:lang w:val="en-US" w:eastAsia="zh-CN" w:bidi="ar-SA"/>
    </w:rPr>
  </w:style>
  <w:style w:type="character" w:customStyle="1" w:styleId="560">
    <w:name w:val="a21"/>
    <w:qFormat/>
    <w:uiPriority w:val="0"/>
    <w:rPr>
      <w:rFonts w:hint="default" w:ascii="Geneva" w:hAnsi="Geneva" w:eastAsia="Arial" w:cs="宋体"/>
      <w:color w:val="000000"/>
      <w:kern w:val="2"/>
      <w:sz w:val="23"/>
      <w:szCs w:val="23"/>
      <w:u w:val="none"/>
      <w:lang w:val="en-US" w:eastAsia="zh-CN" w:bidi="ar-SA"/>
    </w:rPr>
  </w:style>
  <w:style w:type="character" w:customStyle="1" w:styleId="561">
    <w:name w:val="L标题4L Char"/>
    <w:link w:val="562"/>
    <w:qFormat/>
    <w:uiPriority w:val="0"/>
    <w:rPr>
      <w:rFonts w:eastAsia="宋体"/>
      <w:b/>
      <w:sz w:val="24"/>
      <w:szCs w:val="24"/>
      <w:lang w:bidi="ar-SA"/>
    </w:rPr>
  </w:style>
  <w:style w:type="paragraph" w:customStyle="1" w:styleId="562">
    <w:name w:val="L标题4L"/>
    <w:basedOn w:val="1"/>
    <w:next w:val="1"/>
    <w:link w:val="561"/>
    <w:qFormat/>
    <w:uiPriority w:val="0"/>
    <w:pPr>
      <w:keepNext/>
      <w:keepLines/>
      <w:spacing w:before="120" w:after="120" w:line="500" w:lineRule="exact"/>
      <w:outlineLvl w:val="3"/>
    </w:pPr>
    <w:rPr>
      <w:rFonts w:eastAsia="宋体"/>
      <w:b/>
      <w:kern w:val="0"/>
      <w:sz w:val="24"/>
      <w:szCs w:val="24"/>
    </w:rPr>
  </w:style>
  <w:style w:type="character" w:customStyle="1" w:styleId="563">
    <w:name w:val="正文首行缩进2 Char Char"/>
    <w:link w:val="564"/>
    <w:qFormat/>
    <w:uiPriority w:val="0"/>
    <w:rPr>
      <w:rFonts w:ascii="宋体"/>
      <w:sz w:val="24"/>
      <w:szCs w:val="24"/>
    </w:rPr>
  </w:style>
  <w:style w:type="paragraph" w:customStyle="1" w:styleId="564">
    <w:name w:val="正文首行缩进2"/>
    <w:basedOn w:val="1"/>
    <w:link w:val="563"/>
    <w:qFormat/>
    <w:uiPriority w:val="0"/>
    <w:pPr>
      <w:tabs>
        <w:tab w:val="left" w:pos="0"/>
        <w:tab w:val="left" w:pos="870"/>
        <w:tab w:val="left" w:pos="3150"/>
      </w:tabs>
      <w:autoSpaceDE w:val="0"/>
      <w:autoSpaceDN w:val="0"/>
      <w:spacing w:line="360" w:lineRule="auto"/>
      <w:ind w:firstLine="200" w:firstLineChars="200"/>
      <w:jc w:val="left"/>
    </w:pPr>
    <w:rPr>
      <w:rFonts w:ascii="宋体" w:eastAsia="宋体"/>
      <w:kern w:val="0"/>
      <w:sz w:val="24"/>
      <w:szCs w:val="24"/>
    </w:rPr>
  </w:style>
  <w:style w:type="character" w:customStyle="1" w:styleId="565">
    <w:name w:val="font14height20"/>
    <w:qFormat/>
    <w:uiPriority w:val="0"/>
    <w:rPr>
      <w:rFonts w:ascii="宋体" w:hAnsi="宋体" w:eastAsia="Arial" w:cs="宋体"/>
      <w:kern w:val="2"/>
      <w:sz w:val="24"/>
      <w:szCs w:val="24"/>
      <w:lang w:val="en-US" w:eastAsia="zh-CN" w:bidi="ar-SA"/>
    </w:rPr>
  </w:style>
  <w:style w:type="character" w:customStyle="1" w:styleId="566">
    <w:name w:val="章 Char Char"/>
    <w:qFormat/>
    <w:uiPriority w:val="0"/>
    <w:rPr>
      <w:smallCaps/>
      <w:spacing w:val="5"/>
      <w:sz w:val="32"/>
      <w:szCs w:val="32"/>
    </w:rPr>
  </w:style>
  <w:style w:type="character" w:customStyle="1" w:styleId="567">
    <w:name w:val="样式5 Char Char Char Char"/>
    <w:qFormat/>
    <w:uiPriority w:val="0"/>
    <w:rPr>
      <w:rFonts w:ascii="Arial" w:hAnsi="Arial" w:eastAsia="宋体"/>
      <w:b/>
      <w:bCs/>
      <w:kern w:val="2"/>
      <w:sz w:val="28"/>
      <w:szCs w:val="32"/>
      <w:lang w:val="en-US" w:eastAsia="zh-CN" w:bidi="ar-SA"/>
    </w:rPr>
  </w:style>
  <w:style w:type="character" w:customStyle="1" w:styleId="568">
    <w:name w:val="tpc_content1"/>
    <w:qFormat/>
    <w:uiPriority w:val="0"/>
    <w:rPr>
      <w:rFonts w:ascii="宋体" w:hAnsi="宋体" w:eastAsia="宋体" w:cs="宋体"/>
      <w:kern w:val="2"/>
      <w:sz w:val="28"/>
      <w:szCs w:val="28"/>
      <w:lang w:val="en-US" w:eastAsia="zh-CN" w:bidi="ar-SA"/>
    </w:rPr>
  </w:style>
  <w:style w:type="character" w:customStyle="1" w:styleId="569">
    <w:name w:val="文档结构图 Char Char"/>
    <w:qFormat/>
    <w:uiPriority w:val="0"/>
    <w:rPr>
      <w:rFonts w:eastAsia="宋体"/>
      <w:kern w:val="2"/>
      <w:sz w:val="21"/>
      <w:szCs w:val="24"/>
      <w:lang w:val="en-US" w:eastAsia="zh-CN" w:bidi="ar-SA"/>
    </w:rPr>
  </w:style>
  <w:style w:type="character" w:customStyle="1" w:styleId="570">
    <w:name w:val="表号、图号 Char Char"/>
    <w:link w:val="571"/>
    <w:qFormat/>
    <w:uiPriority w:val="0"/>
    <w:rPr>
      <w:rFonts w:ascii="宋体" w:hAnsi="宋体" w:eastAsia="黑体" w:cs="宋体"/>
      <w:kern w:val="2"/>
      <w:sz w:val="24"/>
      <w:szCs w:val="24"/>
      <w:lang w:val="en-US" w:eastAsia="zh-CN" w:bidi="ar-SA"/>
    </w:rPr>
  </w:style>
  <w:style w:type="paragraph" w:customStyle="1" w:styleId="571">
    <w:name w:val="表号、图号"/>
    <w:basedOn w:val="1"/>
    <w:link w:val="570"/>
    <w:qFormat/>
    <w:uiPriority w:val="0"/>
    <w:pPr>
      <w:spacing w:line="360" w:lineRule="auto"/>
      <w:jc w:val="center"/>
    </w:pPr>
    <w:rPr>
      <w:rFonts w:ascii="宋体" w:hAnsi="宋体" w:eastAsia="黑体" w:cs="宋体"/>
      <w:sz w:val="24"/>
      <w:szCs w:val="24"/>
    </w:rPr>
  </w:style>
  <w:style w:type="character" w:customStyle="1" w:styleId="572">
    <w:name w:val="3zw1"/>
    <w:qFormat/>
    <w:uiPriority w:val="0"/>
    <w:rPr>
      <w:color w:val="000000"/>
      <w:spacing w:val="360"/>
      <w:sz w:val="21"/>
      <w:szCs w:val="21"/>
    </w:rPr>
  </w:style>
  <w:style w:type="character" w:customStyle="1" w:styleId="573">
    <w:name w:val="content"/>
    <w:qFormat/>
    <w:uiPriority w:val="0"/>
    <w:rPr>
      <w:rFonts w:ascii="宋体" w:hAnsi="宋体" w:eastAsia="Arial" w:cs="宋体"/>
      <w:kern w:val="2"/>
      <w:sz w:val="24"/>
      <w:szCs w:val="24"/>
      <w:lang w:val="en-US" w:eastAsia="zh-CN" w:bidi="ar-SA"/>
    </w:rPr>
  </w:style>
  <w:style w:type="character" w:customStyle="1" w:styleId="574">
    <w:name w:val="样式5 Char Char Char2"/>
    <w:qFormat/>
    <w:uiPriority w:val="0"/>
    <w:rPr>
      <w:rFonts w:ascii="宋体" w:hAnsi="宋体" w:eastAsia="宋体" w:cs="宋体"/>
      <w:kern w:val="2"/>
      <w:sz w:val="24"/>
      <w:szCs w:val="24"/>
      <w:lang w:val="en-US" w:eastAsia="zh-CN" w:bidi="ar-SA"/>
    </w:rPr>
  </w:style>
  <w:style w:type="character" w:customStyle="1" w:styleId="575">
    <w:name w:val="表格 Char Char"/>
    <w:qFormat/>
    <w:uiPriority w:val="0"/>
    <w:rPr>
      <w:rFonts w:eastAsia="宋体"/>
      <w:spacing w:val="24"/>
      <w:sz w:val="24"/>
      <w:lang w:val="en-US" w:eastAsia="zh-CN" w:bidi="ar-SA"/>
    </w:rPr>
  </w:style>
  <w:style w:type="character" w:customStyle="1" w:styleId="576">
    <w:name w:val="自动A Char Char"/>
    <w:qFormat/>
    <w:uiPriority w:val="0"/>
    <w:rPr>
      <w:rFonts w:ascii="宋体" w:hAnsi="宋体" w:eastAsia="宋体" w:cs="宋体"/>
      <w:color w:val="000000"/>
      <w:kern w:val="2"/>
      <w:sz w:val="24"/>
      <w:szCs w:val="24"/>
      <w:lang w:val="en-US" w:eastAsia="zh-CN" w:bidi="ar-SA"/>
    </w:rPr>
  </w:style>
  <w:style w:type="character" w:customStyle="1" w:styleId="577">
    <w:name w:val="正文首行缩进 Char Char Char Char Char Char Char Char Char Char Char Char Char Char Char Char Char Char Char Char Char Char Char Char1"/>
    <w:qFormat/>
    <w:uiPriority w:val="0"/>
    <w:rPr>
      <w:rFonts w:ascii="宋体" w:hAnsi="宋体" w:eastAsia="仿宋_GB2312" w:cs="宋体"/>
      <w:kern w:val="2"/>
      <w:sz w:val="28"/>
      <w:szCs w:val="24"/>
      <w:lang w:val="en-US" w:eastAsia="zh-CN" w:bidi="ar-SA"/>
    </w:rPr>
  </w:style>
  <w:style w:type="character" w:customStyle="1" w:styleId="578">
    <w:name w:val="question-title2"/>
    <w:qFormat/>
    <w:uiPriority w:val="0"/>
    <w:rPr>
      <w:rFonts w:ascii="宋体" w:hAnsi="宋体" w:eastAsia="Arial" w:cs="宋体"/>
      <w:kern w:val="2"/>
      <w:sz w:val="24"/>
      <w:szCs w:val="24"/>
      <w:lang w:val="en-US" w:eastAsia="zh-CN" w:bidi="ar-SA"/>
    </w:rPr>
  </w:style>
  <w:style w:type="character" w:customStyle="1" w:styleId="579">
    <w:name w:val="样式 首行缩进:  2 字符1 Char Char"/>
    <w:link w:val="580"/>
    <w:qFormat/>
    <w:uiPriority w:val="0"/>
    <w:rPr>
      <w:rFonts w:ascii="宋体" w:hAnsi="宋体" w:eastAsia="宋体" w:cs="宋体"/>
      <w:kern w:val="2"/>
      <w:sz w:val="24"/>
      <w:szCs w:val="24"/>
      <w:lang w:bidi="ar-SA"/>
    </w:rPr>
  </w:style>
  <w:style w:type="paragraph" w:customStyle="1" w:styleId="580">
    <w:name w:val="样式 首行缩进:  2 字符1"/>
    <w:basedOn w:val="1"/>
    <w:link w:val="579"/>
    <w:qFormat/>
    <w:uiPriority w:val="0"/>
    <w:pPr>
      <w:adjustRightInd w:val="0"/>
      <w:snapToGrid w:val="0"/>
      <w:spacing w:line="360" w:lineRule="auto"/>
      <w:ind w:firstLine="480" w:firstLineChars="200"/>
    </w:pPr>
    <w:rPr>
      <w:rFonts w:ascii="宋体" w:hAnsi="宋体" w:eastAsia="宋体" w:cs="宋体"/>
      <w:sz w:val="24"/>
      <w:szCs w:val="24"/>
    </w:rPr>
  </w:style>
  <w:style w:type="character" w:customStyle="1" w:styleId="581">
    <w:name w:val="Char Char21"/>
    <w:qFormat/>
    <w:uiPriority w:val="0"/>
    <w:rPr>
      <w:b/>
      <w:bCs/>
      <w:kern w:val="2"/>
      <w:sz w:val="32"/>
      <w:szCs w:val="32"/>
    </w:rPr>
  </w:style>
  <w:style w:type="character" w:customStyle="1" w:styleId="582">
    <w:name w:val="文章正文样式 Char1 Char2 Char Char"/>
    <w:qFormat/>
    <w:uiPriority w:val="0"/>
    <w:rPr>
      <w:rFonts w:ascii="宋体" w:hAnsi="宋体" w:eastAsia="宋体" w:cs="宋体"/>
      <w:kern w:val="2"/>
      <w:sz w:val="24"/>
      <w:szCs w:val="24"/>
      <w:lang w:val="en-US" w:eastAsia="zh-CN" w:bidi="ar-SA"/>
    </w:rPr>
  </w:style>
  <w:style w:type="character" w:customStyle="1" w:styleId="583">
    <w:name w:val="报告表文字 Char"/>
    <w:link w:val="584"/>
    <w:qFormat/>
    <w:uiPriority w:val="0"/>
    <w:rPr>
      <w:rFonts w:eastAsia="宋体"/>
      <w:kern w:val="10"/>
      <w:sz w:val="24"/>
      <w:szCs w:val="24"/>
      <w:lang w:val="en-US" w:eastAsia="zh-CN" w:bidi="ar-SA"/>
    </w:rPr>
  </w:style>
  <w:style w:type="paragraph" w:customStyle="1" w:styleId="584">
    <w:name w:val="报告表文字"/>
    <w:basedOn w:val="71"/>
    <w:link w:val="583"/>
    <w:qFormat/>
    <w:uiPriority w:val="0"/>
    <w:pPr>
      <w:spacing w:line="360" w:lineRule="auto"/>
      <w:ind w:firstLine="480"/>
    </w:pPr>
    <w:rPr>
      <w:rFonts w:ascii="Times New Roman" w:hAnsi="Times New Roman"/>
      <w:color w:val="auto"/>
      <w:kern w:val="10"/>
      <w:szCs w:val="24"/>
    </w:rPr>
  </w:style>
  <w:style w:type="character" w:customStyle="1" w:styleId="585">
    <w:name w:val="样式24 Char"/>
    <w:link w:val="586"/>
    <w:qFormat/>
    <w:uiPriority w:val="0"/>
    <w:rPr>
      <w:rFonts w:eastAsia="宋体"/>
      <w:color w:val="000000"/>
      <w:sz w:val="24"/>
      <w:lang w:val="en-US" w:eastAsia="zh-CN" w:bidi="ar-SA"/>
    </w:rPr>
  </w:style>
  <w:style w:type="paragraph" w:customStyle="1" w:styleId="586">
    <w:name w:val="样式24"/>
    <w:basedOn w:val="1"/>
    <w:link w:val="585"/>
    <w:qFormat/>
    <w:uiPriority w:val="0"/>
    <w:pPr>
      <w:snapToGrid w:val="0"/>
      <w:spacing w:before="120" w:beforeLines="50" w:after="120" w:afterLines="50" w:line="360" w:lineRule="auto"/>
      <w:ind w:firstLine="480" w:firstLineChars="200"/>
    </w:pPr>
    <w:rPr>
      <w:rFonts w:eastAsia="宋体"/>
      <w:color w:val="000000"/>
      <w:kern w:val="0"/>
      <w:sz w:val="24"/>
    </w:rPr>
  </w:style>
  <w:style w:type="character" w:customStyle="1" w:styleId="587">
    <w:name w:val="样式 (中文) 仿宋_GB2312 四号1 Char Char"/>
    <w:qFormat/>
    <w:uiPriority w:val="0"/>
    <w:rPr>
      <w:rFonts w:ascii="宋体" w:hAnsi="宋体" w:eastAsia="仿宋_GB2312" w:cs="宋体"/>
      <w:kern w:val="2"/>
      <w:sz w:val="28"/>
      <w:szCs w:val="24"/>
      <w:lang w:val="en-US" w:eastAsia="zh-CN" w:bidi="ar-SA"/>
    </w:rPr>
  </w:style>
  <w:style w:type="character" w:customStyle="1" w:styleId="588">
    <w:name w:val="Char3 Char Char"/>
    <w:qFormat/>
    <w:uiPriority w:val="0"/>
    <w:rPr>
      <w:rFonts w:ascii="宋体" w:hAnsi="宋体" w:eastAsia="宋体" w:cs="宋体"/>
      <w:kern w:val="2"/>
      <w:sz w:val="21"/>
      <w:szCs w:val="24"/>
      <w:lang w:val="en-US" w:eastAsia="zh-CN" w:bidi="ar-SA"/>
    </w:rPr>
  </w:style>
  <w:style w:type="character" w:customStyle="1" w:styleId="589">
    <w:name w:val="正文文字缩进 2 Char2"/>
    <w:qFormat/>
    <w:uiPriority w:val="0"/>
    <w:rPr>
      <w:rFonts w:ascii="宋体" w:hAnsi="宋体" w:eastAsia="宋体" w:cs="宋体"/>
      <w:kern w:val="2"/>
      <w:sz w:val="24"/>
      <w:szCs w:val="24"/>
      <w:lang w:val="en-US" w:eastAsia="zh-CN" w:bidi="ar-SA"/>
    </w:rPr>
  </w:style>
  <w:style w:type="character" w:customStyle="1" w:styleId="590">
    <w:name w:val="样式 标题 3 + Char"/>
    <w:qFormat/>
    <w:uiPriority w:val="0"/>
    <w:rPr>
      <w:rFonts w:eastAsia="宋体"/>
      <w:b/>
      <w:bCs/>
      <w:kern w:val="2"/>
      <w:sz w:val="24"/>
      <w:szCs w:val="32"/>
      <w:lang w:val="en-US" w:eastAsia="zh-CN" w:bidi="ar-SA"/>
    </w:rPr>
  </w:style>
  <w:style w:type="character" w:customStyle="1" w:styleId="591">
    <w:name w:val="ttitle1"/>
    <w:qFormat/>
    <w:uiPriority w:val="0"/>
    <w:rPr>
      <w:spacing w:val="120"/>
      <w:sz w:val="21"/>
      <w:szCs w:val="21"/>
    </w:rPr>
  </w:style>
  <w:style w:type="character" w:customStyle="1" w:styleId="592">
    <w:name w:val="正文文字缩进 2 Char"/>
    <w:qFormat/>
    <w:uiPriority w:val="0"/>
    <w:rPr>
      <w:rFonts w:ascii="宋体" w:hAnsi="宋体" w:eastAsia="宋体" w:cs="宋体"/>
      <w:kern w:val="2"/>
      <w:sz w:val="24"/>
      <w:szCs w:val="24"/>
      <w:lang w:val="en-US" w:eastAsia="zh-CN" w:bidi="ar-SA"/>
    </w:rPr>
  </w:style>
  <w:style w:type="character" w:customStyle="1" w:styleId="593">
    <w:name w:val="Char Char22"/>
    <w:qFormat/>
    <w:uiPriority w:val="0"/>
    <w:rPr>
      <w:rFonts w:ascii="宋体" w:hAnsi="宋体"/>
      <w:b/>
      <w:kern w:val="44"/>
      <w:sz w:val="32"/>
      <w:szCs w:val="32"/>
    </w:rPr>
  </w:style>
  <w:style w:type="character" w:customStyle="1" w:styleId="594">
    <w:name w:val="topictitle1"/>
    <w:qFormat/>
    <w:uiPriority w:val="0"/>
    <w:rPr>
      <w:rFonts w:ascii="宋体" w:hAnsi="宋体" w:eastAsia="Arial" w:cs="宋体"/>
      <w:b/>
      <w:bCs/>
      <w:color w:val="333333"/>
      <w:kern w:val="2"/>
      <w:sz w:val="20"/>
      <w:szCs w:val="20"/>
      <w:lang w:val="en-US" w:eastAsia="zh-CN" w:bidi="ar-SA"/>
    </w:rPr>
  </w:style>
  <w:style w:type="character" w:customStyle="1" w:styleId="595">
    <w:name w:val="f141"/>
    <w:qFormat/>
    <w:uiPriority w:val="0"/>
    <w:rPr>
      <w:color w:val="000000"/>
      <w:sz w:val="18"/>
      <w:szCs w:val="18"/>
    </w:rPr>
  </w:style>
  <w:style w:type="character" w:customStyle="1" w:styleId="596">
    <w:name w:val="样式 (中文) 仿宋_GB2312 四号 行距: 多倍行距 1.25 字行 Char Char"/>
    <w:qFormat/>
    <w:uiPriority w:val="0"/>
    <w:rPr>
      <w:rFonts w:ascii="宋体" w:hAnsi="宋体" w:eastAsia="仿宋_GB2312" w:cs="宋体"/>
      <w:kern w:val="2"/>
      <w:sz w:val="28"/>
      <w:szCs w:val="24"/>
      <w:lang w:val="en-US" w:eastAsia="zh-CN" w:bidi="ar-SA"/>
    </w:rPr>
  </w:style>
  <w:style w:type="character" w:customStyle="1" w:styleId="597">
    <w:name w:val="可研-正文首行缩进 Char Char"/>
    <w:qFormat/>
    <w:uiPriority w:val="0"/>
    <w:rPr>
      <w:rFonts w:eastAsia="宋体"/>
      <w:kern w:val="2"/>
      <w:sz w:val="21"/>
      <w:szCs w:val="24"/>
      <w:lang w:val="en-US" w:eastAsia="zh-CN" w:bidi="ar-SA"/>
    </w:rPr>
  </w:style>
  <w:style w:type="character" w:customStyle="1" w:styleId="598">
    <w:name w:val="环科院正文 Char Char"/>
    <w:link w:val="599"/>
    <w:qFormat/>
    <w:uiPriority w:val="0"/>
    <w:rPr>
      <w:rFonts w:ascii="宋体" w:hAnsi="宋体" w:eastAsia="宋体" w:cs="宋体"/>
      <w:bCs/>
      <w:kern w:val="2"/>
      <w:sz w:val="24"/>
      <w:szCs w:val="24"/>
      <w:u w:val="none" w:color="000000"/>
      <w:lang w:val="zh-CN" w:eastAsia="zh-CN" w:bidi="ar-SA"/>
    </w:rPr>
  </w:style>
  <w:style w:type="paragraph" w:customStyle="1" w:styleId="599">
    <w:name w:val="环科院正文"/>
    <w:basedOn w:val="1"/>
    <w:link w:val="598"/>
    <w:qFormat/>
    <w:uiPriority w:val="0"/>
    <w:pPr>
      <w:tabs>
        <w:tab w:val="left" w:pos="5760"/>
      </w:tabs>
      <w:spacing w:line="500" w:lineRule="exact"/>
      <w:ind w:firstLine="480" w:firstLineChars="200"/>
    </w:pPr>
    <w:rPr>
      <w:rFonts w:ascii="宋体" w:hAnsi="宋体" w:eastAsia="宋体" w:cs="宋体"/>
      <w:bCs/>
      <w:sz w:val="24"/>
      <w:szCs w:val="24"/>
      <w:u w:color="000000"/>
      <w:lang w:val="zh-CN"/>
    </w:rPr>
  </w:style>
  <w:style w:type="character" w:customStyle="1" w:styleId="600">
    <w:name w:val="Char Char14"/>
    <w:qFormat/>
    <w:uiPriority w:val="0"/>
    <w:rPr>
      <w:rFonts w:ascii="宋体"/>
      <w:sz w:val="24"/>
    </w:rPr>
  </w:style>
  <w:style w:type="character" w:customStyle="1" w:styleId="601">
    <w:name w:val="font"/>
    <w:qFormat/>
    <w:uiPriority w:val="0"/>
    <w:rPr>
      <w:rFonts w:ascii="宋体" w:hAnsi="宋体" w:eastAsia="Arial" w:cs="宋体"/>
      <w:kern w:val="2"/>
      <w:sz w:val="24"/>
      <w:szCs w:val="24"/>
      <w:lang w:val="en-US" w:eastAsia="zh-CN" w:bidi="ar-SA"/>
    </w:rPr>
  </w:style>
  <w:style w:type="character" w:customStyle="1" w:styleId="602">
    <w:name w:val="highlight1"/>
    <w:qFormat/>
    <w:uiPriority w:val="0"/>
    <w:rPr>
      <w:sz w:val="21"/>
    </w:rPr>
  </w:style>
  <w:style w:type="character" w:customStyle="1" w:styleId="603">
    <w:name w:val="正文首行缩进2个字 Char"/>
    <w:qFormat/>
    <w:uiPriority w:val="0"/>
    <w:rPr>
      <w:rFonts w:ascii="宋体" w:hAnsi="宋体" w:eastAsia="宋体" w:cs="宋体"/>
      <w:kern w:val="2"/>
      <w:sz w:val="24"/>
      <w:szCs w:val="24"/>
      <w:lang w:val="en-US" w:eastAsia="zh-CN" w:bidi="ar-SA"/>
    </w:rPr>
  </w:style>
  <w:style w:type="character" w:customStyle="1" w:styleId="604">
    <w:name w:val="fontcontent1"/>
    <w:qFormat/>
    <w:uiPriority w:val="0"/>
    <w:rPr>
      <w:color w:val="333333"/>
      <w:sz w:val="18"/>
      <w:szCs w:val="18"/>
      <w:u w:val="none"/>
    </w:rPr>
  </w:style>
  <w:style w:type="character" w:customStyle="1" w:styleId="605">
    <w:name w:val="列出段落 Char"/>
    <w:qFormat/>
    <w:uiPriority w:val="34"/>
    <w:rPr>
      <w:rFonts w:ascii="Calibri" w:hAnsi="Calibri" w:eastAsia="宋体"/>
      <w:kern w:val="2"/>
      <w:sz w:val="21"/>
      <w:szCs w:val="22"/>
      <w:lang w:val="en-US" w:eastAsia="zh-CN" w:bidi="ar-SA"/>
    </w:rPr>
  </w:style>
  <w:style w:type="character" w:customStyle="1" w:styleId="606">
    <w:name w:val="样式1 Char"/>
    <w:qFormat/>
    <w:uiPriority w:val="0"/>
    <w:rPr>
      <w:rFonts w:ascii="Arial" w:hAnsi="Arial" w:eastAsia="宋体" w:cs="Arial"/>
      <w:b/>
      <w:bCs/>
      <w:kern w:val="2"/>
      <w:sz w:val="24"/>
      <w:lang w:val="en-US" w:eastAsia="zh-CN" w:bidi="ar-SA"/>
    </w:rPr>
  </w:style>
  <w:style w:type="character" w:customStyle="1" w:styleId="607">
    <w:name w:val="正文缩 Char"/>
    <w:qFormat/>
    <w:uiPriority w:val="0"/>
    <w:rPr>
      <w:rFonts w:eastAsia="宋体"/>
      <w:kern w:val="2"/>
      <w:sz w:val="24"/>
      <w:szCs w:val="24"/>
      <w:lang w:val="en-US" w:eastAsia="zh-CN" w:bidi="ar-SA"/>
    </w:rPr>
  </w:style>
  <w:style w:type="character" w:customStyle="1" w:styleId="608">
    <w:name w:val="a91"/>
    <w:qFormat/>
    <w:uiPriority w:val="0"/>
    <w:rPr>
      <w:sz w:val="18"/>
      <w:szCs w:val="18"/>
      <w:u w:val="none"/>
    </w:rPr>
  </w:style>
  <w:style w:type="character" w:customStyle="1" w:styleId="609">
    <w:name w:val="正文文字缩进 3 Char"/>
    <w:qFormat/>
    <w:uiPriority w:val="0"/>
    <w:rPr>
      <w:rFonts w:ascii="宋体" w:hAnsi="宋体" w:eastAsia="宋体"/>
      <w:color w:val="000000"/>
      <w:kern w:val="2"/>
      <w:sz w:val="24"/>
      <w:lang w:val="en-US" w:eastAsia="zh-CN" w:bidi="ar-SA"/>
    </w:rPr>
  </w:style>
  <w:style w:type="character" w:customStyle="1" w:styleId="610">
    <w:name w:val="nota"/>
    <w:qFormat/>
    <w:uiPriority w:val="0"/>
    <w:rPr>
      <w:rFonts w:ascii="宋体" w:hAnsi="宋体" w:eastAsia="Arial" w:cs="宋体"/>
      <w:i/>
      <w:iCs/>
      <w:kern w:val="2"/>
      <w:sz w:val="20"/>
      <w:szCs w:val="24"/>
      <w:lang w:val="en-US" w:eastAsia="zh-CN" w:bidi="ar-SA"/>
    </w:rPr>
  </w:style>
  <w:style w:type="character" w:customStyle="1" w:styleId="611">
    <w:name w:val="表格文字 Char Char Char Char Char"/>
    <w:link w:val="612"/>
    <w:qFormat/>
    <w:uiPriority w:val="0"/>
    <w:rPr>
      <w:rFonts w:eastAsia="宋体"/>
      <w:kern w:val="2"/>
      <w:sz w:val="21"/>
      <w:lang w:val="en-US" w:eastAsia="zh-CN" w:bidi="ar-SA"/>
    </w:rPr>
  </w:style>
  <w:style w:type="paragraph" w:customStyle="1" w:styleId="612">
    <w:name w:val="表格文字 Char Char Char Char"/>
    <w:basedOn w:val="1"/>
    <w:link w:val="611"/>
    <w:qFormat/>
    <w:uiPriority w:val="0"/>
    <w:pPr>
      <w:spacing w:line="360" w:lineRule="exact"/>
      <w:jc w:val="center"/>
    </w:pPr>
    <w:rPr>
      <w:rFonts w:eastAsia="宋体"/>
      <w:sz w:val="21"/>
    </w:rPr>
  </w:style>
  <w:style w:type="character" w:customStyle="1" w:styleId="613">
    <w:name w:val="Char Char28"/>
    <w:qFormat/>
    <w:uiPriority w:val="0"/>
    <w:rPr>
      <w:rFonts w:ascii="宋体" w:hAnsi="Arial" w:eastAsia="宋体" w:cs="宋体"/>
      <w:b/>
      <w:kern w:val="2"/>
      <w:sz w:val="28"/>
      <w:szCs w:val="24"/>
      <w:lang w:val="en-US" w:eastAsia="zh-CN" w:bidi="ar-SA"/>
    </w:rPr>
  </w:style>
  <w:style w:type="character" w:customStyle="1" w:styleId="614">
    <w:name w:val="样式 标题 4款标题1.1.1.1标题 4 Char Char标题 4 Char四表格1目H4H41L4Mi...1 Char"/>
    <w:link w:val="615"/>
    <w:qFormat/>
    <w:uiPriority w:val="0"/>
    <w:rPr>
      <w:rFonts w:ascii="仿宋_GB2312" w:hAnsi="仿宋_GB2312" w:eastAsia="仿宋_GB2312" w:cs="宋体"/>
      <w:b/>
      <w:bCs/>
      <w:kern w:val="2"/>
      <w:sz w:val="24"/>
      <w:szCs w:val="24"/>
      <w:lang w:val="en-US" w:eastAsia="zh-CN" w:bidi="ar-SA"/>
    </w:rPr>
  </w:style>
  <w:style w:type="paragraph" w:customStyle="1" w:styleId="615">
    <w:name w:val="样式 标题 4款标题1.1.1.1标题 4 Char Char标题 4 Char四表格1目H4H41L4Mi...1"/>
    <w:basedOn w:val="7"/>
    <w:link w:val="614"/>
    <w:qFormat/>
    <w:uiPriority w:val="0"/>
    <w:pPr>
      <w:keepLines w:val="0"/>
      <w:adjustRightInd w:val="0"/>
      <w:snapToGrid w:val="0"/>
      <w:spacing w:line="360" w:lineRule="auto"/>
      <w:ind w:left="1134"/>
      <w:textAlignment w:val="baseline"/>
    </w:pPr>
    <w:rPr>
      <w:rFonts w:ascii="仿宋_GB2312" w:hAnsi="仿宋_GB2312"/>
      <w:bCs/>
      <w:color w:val="auto"/>
      <w:kern w:val="0"/>
    </w:rPr>
  </w:style>
  <w:style w:type="character" w:customStyle="1" w:styleId="616">
    <w:name w:val="正文中 Char"/>
    <w:link w:val="617"/>
    <w:qFormat/>
    <w:uiPriority w:val="0"/>
    <w:rPr>
      <w:rFonts w:eastAsia="宋体"/>
      <w:spacing w:val="10"/>
      <w:kern w:val="2"/>
      <w:sz w:val="24"/>
      <w:lang w:val="en-US" w:eastAsia="zh-CN" w:bidi="ar-SA"/>
    </w:rPr>
  </w:style>
  <w:style w:type="paragraph" w:customStyle="1" w:styleId="617">
    <w:name w:val="正文中"/>
    <w:basedOn w:val="1"/>
    <w:link w:val="616"/>
    <w:qFormat/>
    <w:uiPriority w:val="0"/>
    <w:pPr>
      <w:spacing w:before="60" w:line="460" w:lineRule="exact"/>
      <w:ind w:firstLine="200" w:firstLineChars="200"/>
    </w:pPr>
    <w:rPr>
      <w:rFonts w:eastAsia="宋体"/>
      <w:spacing w:val="10"/>
      <w:sz w:val="24"/>
    </w:rPr>
  </w:style>
  <w:style w:type="character" w:customStyle="1" w:styleId="618">
    <w:name w:val="标题 3 Char Char2"/>
    <w:qFormat/>
    <w:uiPriority w:val="0"/>
    <w:rPr>
      <w:rFonts w:ascii="宋体" w:hAnsi="宋体" w:eastAsia="宋体" w:cs="宋体"/>
      <w:b/>
      <w:bCs/>
      <w:kern w:val="2"/>
      <w:sz w:val="28"/>
      <w:szCs w:val="24"/>
      <w:lang w:val="en-US" w:eastAsia="zh-CN" w:bidi="ar-SA"/>
    </w:rPr>
  </w:style>
  <w:style w:type="character" w:customStyle="1" w:styleId="619">
    <w:name w:val="Char Char16"/>
    <w:qFormat/>
    <w:uiPriority w:val="0"/>
    <w:rPr>
      <w:rFonts w:ascii="宋体" w:hAnsi="宋体" w:eastAsia="宋体"/>
      <w:kern w:val="2"/>
      <w:sz w:val="24"/>
      <w:szCs w:val="18"/>
      <w:lang w:val="en-US" w:eastAsia="zh-CN" w:bidi="ar-SA"/>
    </w:rPr>
  </w:style>
  <w:style w:type="character" w:customStyle="1" w:styleId="620">
    <w:name w:val="表文字 Char1"/>
    <w:link w:val="306"/>
    <w:qFormat/>
    <w:uiPriority w:val="0"/>
    <w:rPr>
      <w:rFonts w:eastAsia="宋体"/>
      <w:sz w:val="24"/>
      <w:lang w:val="en-US" w:eastAsia="zh-CN" w:bidi="ar-SA"/>
    </w:rPr>
  </w:style>
  <w:style w:type="character" w:customStyle="1" w:styleId="621">
    <w:name w:val="标题1.1.1.1.1.1 Char Char"/>
    <w:qFormat/>
    <w:uiPriority w:val="0"/>
    <w:rPr>
      <w:rFonts w:ascii="Arial" w:hAnsi="Arial" w:eastAsia="黑体"/>
      <w:b/>
      <w:color w:val="FF0000"/>
      <w:lang w:bidi="ar-SA"/>
    </w:rPr>
  </w:style>
  <w:style w:type="character" w:customStyle="1" w:styleId="622">
    <w:name w:val="Char Char27"/>
    <w:qFormat/>
    <w:uiPriority w:val="0"/>
    <w:rPr>
      <w:rFonts w:eastAsia="宋体"/>
      <w:kern w:val="2"/>
      <w:sz w:val="21"/>
      <w:szCs w:val="24"/>
      <w:lang w:val="en-US" w:eastAsia="zh-CN" w:bidi="ar-SA"/>
    </w:rPr>
  </w:style>
  <w:style w:type="character" w:customStyle="1" w:styleId="623">
    <w:name w:val="Char Char1"/>
    <w:link w:val="624"/>
    <w:qFormat/>
    <w:uiPriority w:val="0"/>
    <w:rPr>
      <w:rFonts w:ascii="宋体" w:hAnsi="宋体" w:eastAsia="宋体" w:cs="宋体"/>
      <w:kern w:val="2"/>
      <w:sz w:val="24"/>
      <w:szCs w:val="24"/>
      <w:lang w:val="en-US" w:eastAsia="zh-CN" w:bidi="ar-SA"/>
    </w:rPr>
  </w:style>
  <w:style w:type="paragraph" w:customStyle="1" w:styleId="624">
    <w:name w:val="Char"/>
    <w:basedOn w:val="1"/>
    <w:link w:val="623"/>
    <w:qFormat/>
    <w:uiPriority w:val="0"/>
    <w:pPr>
      <w:spacing w:line="360" w:lineRule="auto"/>
      <w:ind w:firstLine="200" w:firstLineChars="200"/>
    </w:pPr>
    <w:rPr>
      <w:rFonts w:ascii="宋体" w:hAnsi="宋体" w:eastAsia="宋体" w:cs="宋体"/>
      <w:sz w:val="24"/>
      <w:szCs w:val="24"/>
    </w:rPr>
  </w:style>
  <w:style w:type="character" w:customStyle="1" w:styleId="625">
    <w:name w:val="mainfont21"/>
    <w:qFormat/>
    <w:uiPriority w:val="0"/>
    <w:rPr>
      <w:color w:val="666666"/>
      <w:sz w:val="18"/>
      <w:szCs w:val="18"/>
      <w:u w:val="none"/>
    </w:rPr>
  </w:style>
  <w:style w:type="character" w:customStyle="1" w:styleId="626">
    <w:name w:val="批注框文本 Char"/>
    <w:link w:val="55"/>
    <w:qFormat/>
    <w:uiPriority w:val="99"/>
    <w:rPr>
      <w:rFonts w:eastAsia="仿宋_GB2312"/>
      <w:kern w:val="2"/>
      <w:sz w:val="18"/>
      <w:szCs w:val="18"/>
      <w:lang w:val="en-US" w:eastAsia="zh-CN" w:bidi="ar-SA"/>
    </w:rPr>
  </w:style>
  <w:style w:type="character" w:customStyle="1" w:styleId="627">
    <w:name w:val="t_blue_01"/>
    <w:qFormat/>
    <w:uiPriority w:val="0"/>
  </w:style>
  <w:style w:type="character" w:customStyle="1" w:styleId="628">
    <w:name w:val="HTML 预设格式 Char"/>
    <w:link w:val="81"/>
    <w:qFormat/>
    <w:uiPriority w:val="0"/>
    <w:rPr>
      <w:rFonts w:ascii="黑体" w:hAnsi="Courier New" w:eastAsia="黑体" w:cs="Courier New"/>
      <w:lang w:val="en-US" w:eastAsia="zh-CN" w:bidi="ar-SA"/>
    </w:rPr>
  </w:style>
  <w:style w:type="character" w:customStyle="1" w:styleId="629">
    <w:name w:val="articlecontent1"/>
    <w:qFormat/>
    <w:uiPriority w:val="0"/>
    <w:rPr>
      <w:sz w:val="21"/>
      <w:szCs w:val="21"/>
    </w:rPr>
  </w:style>
  <w:style w:type="character" w:customStyle="1" w:styleId="630">
    <w:name w:val="Lux 表格标题 Char"/>
    <w:link w:val="631"/>
    <w:qFormat/>
    <w:uiPriority w:val="0"/>
    <w:rPr>
      <w:rFonts w:ascii="宋体" w:hAnsi="宋体" w:eastAsia="宋体"/>
      <w:sz w:val="22"/>
      <w:lang w:bidi="ar-SA"/>
    </w:rPr>
  </w:style>
  <w:style w:type="paragraph" w:customStyle="1" w:styleId="631">
    <w:name w:val="Lux 表格标题"/>
    <w:basedOn w:val="1"/>
    <w:link w:val="630"/>
    <w:qFormat/>
    <w:uiPriority w:val="0"/>
    <w:pPr>
      <w:ind w:left="420"/>
      <w:jc w:val="center"/>
    </w:pPr>
    <w:rPr>
      <w:rFonts w:ascii="宋体" w:hAnsi="宋体" w:eastAsia="宋体"/>
      <w:kern w:val="0"/>
      <w:sz w:val="22"/>
    </w:rPr>
  </w:style>
  <w:style w:type="character" w:customStyle="1" w:styleId="632">
    <w:name w:val="正文文字 2 Char Char"/>
    <w:qFormat/>
    <w:uiPriority w:val="0"/>
    <w:rPr>
      <w:rFonts w:eastAsia="宋体"/>
      <w:kern w:val="2"/>
      <w:sz w:val="24"/>
      <w:szCs w:val="24"/>
      <w:lang w:val="en-US" w:eastAsia="zh-CN" w:bidi="ar-SA"/>
    </w:rPr>
  </w:style>
  <w:style w:type="character" w:customStyle="1" w:styleId="633">
    <w:name w:val="我的正文 Char1"/>
    <w:link w:val="634"/>
    <w:qFormat/>
    <w:uiPriority w:val="0"/>
    <w:rPr>
      <w:rFonts w:eastAsia="宋体"/>
      <w:kern w:val="2"/>
      <w:sz w:val="28"/>
      <w:szCs w:val="24"/>
      <w:lang w:val="en-US" w:eastAsia="zh-CN" w:bidi="ar-SA"/>
    </w:rPr>
  </w:style>
  <w:style w:type="paragraph" w:customStyle="1" w:styleId="634">
    <w:name w:val="我的正文"/>
    <w:basedOn w:val="1"/>
    <w:link w:val="633"/>
    <w:qFormat/>
    <w:uiPriority w:val="0"/>
    <w:pPr>
      <w:ind w:firstLine="538" w:firstLineChars="192"/>
    </w:pPr>
    <w:rPr>
      <w:rFonts w:eastAsia="宋体"/>
      <w:szCs w:val="24"/>
    </w:rPr>
  </w:style>
  <w:style w:type="character" w:customStyle="1" w:styleId="635">
    <w:name w:val="图名 Char"/>
    <w:link w:val="636"/>
    <w:qFormat/>
    <w:uiPriority w:val="0"/>
    <w:rPr>
      <w:rFonts w:ascii="黑体" w:eastAsia="黑体"/>
      <w:sz w:val="24"/>
      <w:szCs w:val="24"/>
      <w:lang w:bidi="ar-SA"/>
    </w:rPr>
  </w:style>
  <w:style w:type="paragraph" w:customStyle="1" w:styleId="636">
    <w:name w:val="图名"/>
    <w:basedOn w:val="1"/>
    <w:next w:val="1"/>
    <w:link w:val="635"/>
    <w:qFormat/>
    <w:uiPriority w:val="0"/>
    <w:pPr>
      <w:snapToGrid w:val="0"/>
      <w:spacing w:line="360" w:lineRule="auto"/>
      <w:jc w:val="center"/>
    </w:pPr>
    <w:rPr>
      <w:rFonts w:ascii="黑体" w:eastAsia="黑体"/>
      <w:kern w:val="0"/>
      <w:sz w:val="24"/>
      <w:szCs w:val="24"/>
    </w:rPr>
  </w:style>
  <w:style w:type="character" w:customStyle="1" w:styleId="637">
    <w:name w:val="表格文字 Char Char"/>
    <w:qFormat/>
    <w:uiPriority w:val="0"/>
    <w:rPr>
      <w:rFonts w:ascii="宋体" w:hAnsi="Times New Roman" w:eastAsia="宋体" w:cs="宋体"/>
      <w:kern w:val="0"/>
      <w:szCs w:val="21"/>
    </w:rPr>
  </w:style>
  <w:style w:type="character" w:customStyle="1" w:styleId="638">
    <w:name w:val="样式 红色"/>
    <w:qFormat/>
    <w:uiPriority w:val="0"/>
    <w:rPr>
      <w:color w:val="FF0000"/>
      <w:spacing w:val="8"/>
      <w:w w:val="100"/>
      <w:position w:val="0"/>
    </w:rPr>
  </w:style>
  <w:style w:type="character" w:customStyle="1" w:styleId="639">
    <w:name w:val="cabox11"/>
    <w:qFormat/>
    <w:uiPriority w:val="0"/>
    <w:rPr>
      <w:rFonts w:hint="default" w:ascii="Arial" w:hAnsi="Arial" w:cs="Arial"/>
      <w:color w:val="666666"/>
      <w:sz w:val="18"/>
      <w:szCs w:val="18"/>
    </w:rPr>
  </w:style>
  <w:style w:type="character" w:customStyle="1" w:styleId="640">
    <w:name w:val="style21"/>
    <w:qFormat/>
    <w:uiPriority w:val="0"/>
    <w:rPr>
      <w:color w:val="FF6600"/>
    </w:rPr>
  </w:style>
  <w:style w:type="character" w:customStyle="1" w:styleId="641">
    <w:name w:val="style31"/>
    <w:qFormat/>
    <w:uiPriority w:val="0"/>
    <w:rPr>
      <w:color w:val="FF3300"/>
    </w:rPr>
  </w:style>
  <w:style w:type="character" w:customStyle="1" w:styleId="642">
    <w:name w:val="样式 题注 + 黑体 Char"/>
    <w:semiHidden/>
    <w:qFormat/>
    <w:uiPriority w:val="0"/>
    <w:rPr>
      <w:rFonts w:ascii="黑体" w:hAnsi="黑体" w:eastAsia="黑体" w:cs="Arial"/>
      <w:bCs/>
      <w:snapToGrid/>
      <w:sz w:val="21"/>
      <w:szCs w:val="28"/>
      <w:lang w:val="en-US" w:eastAsia="zh-CN" w:bidi="ar-SA"/>
    </w:rPr>
  </w:style>
  <w:style w:type="character" w:customStyle="1" w:styleId="643">
    <w:name w:val="样式 宋体 四号"/>
    <w:qFormat/>
    <w:uiPriority w:val="0"/>
    <w:rPr>
      <w:rFonts w:ascii="宋体" w:hAnsi="宋体"/>
      <w:sz w:val="28"/>
    </w:rPr>
  </w:style>
  <w:style w:type="character" w:customStyle="1" w:styleId="644">
    <w:name w:val="xygk11"/>
    <w:semiHidden/>
    <w:qFormat/>
    <w:uiPriority w:val="0"/>
    <w:rPr>
      <w:rFonts w:hint="default"/>
      <w:sz w:val="21"/>
      <w:szCs w:val="21"/>
    </w:rPr>
  </w:style>
  <w:style w:type="character" w:customStyle="1" w:styleId="645">
    <w:name w:val="表 Char"/>
    <w:link w:val="646"/>
    <w:qFormat/>
    <w:uiPriority w:val="0"/>
    <w:rPr>
      <w:rFonts w:eastAsia="宋体"/>
      <w:b/>
      <w:bCs/>
      <w:kern w:val="2"/>
      <w:sz w:val="28"/>
      <w:szCs w:val="32"/>
      <w:lang w:bidi="ar-SA"/>
    </w:rPr>
  </w:style>
  <w:style w:type="paragraph" w:customStyle="1" w:styleId="646">
    <w:name w:val="表"/>
    <w:basedOn w:val="6"/>
    <w:link w:val="645"/>
    <w:qFormat/>
    <w:uiPriority w:val="0"/>
    <w:pPr>
      <w:tabs>
        <w:tab w:val="left" w:pos="1080"/>
      </w:tabs>
      <w:spacing w:before="260" w:after="260" w:line="413" w:lineRule="auto"/>
      <w:ind w:left="0" w:firstLine="0"/>
    </w:pPr>
    <w:rPr>
      <w:rFonts w:ascii="Times New Roman" w:eastAsia="宋体"/>
      <w:sz w:val="28"/>
      <w:szCs w:val="32"/>
    </w:rPr>
  </w:style>
  <w:style w:type="character" w:customStyle="1" w:styleId="647">
    <w:name w:val="电子邮件签名 Char"/>
    <w:link w:val="20"/>
    <w:qFormat/>
    <w:uiPriority w:val="0"/>
    <w:rPr>
      <w:rFonts w:eastAsia="宋体"/>
      <w:sz w:val="24"/>
      <w:szCs w:val="28"/>
      <w:lang w:bidi="ar-SA"/>
    </w:rPr>
  </w:style>
  <w:style w:type="character" w:customStyle="1" w:styleId="648">
    <w:name w:val="签名 Char"/>
    <w:link w:val="59"/>
    <w:qFormat/>
    <w:uiPriority w:val="0"/>
    <w:rPr>
      <w:rFonts w:eastAsia="宋体"/>
      <w:sz w:val="24"/>
      <w:szCs w:val="28"/>
      <w:lang w:bidi="ar-SA"/>
    </w:rPr>
  </w:style>
  <w:style w:type="character" w:customStyle="1" w:styleId="649">
    <w:name w:val="样式 表头 Char"/>
    <w:link w:val="650"/>
    <w:qFormat/>
    <w:uiPriority w:val="0"/>
    <w:rPr>
      <w:rFonts w:eastAsia="黑体"/>
      <w:b/>
      <w:bCs/>
      <w:kern w:val="2"/>
      <w:sz w:val="24"/>
      <w:szCs w:val="24"/>
      <w:lang w:val="en-US" w:eastAsia="zh-CN" w:bidi="ar-SA"/>
    </w:rPr>
  </w:style>
  <w:style w:type="paragraph" w:customStyle="1" w:styleId="650">
    <w:name w:val="样式 表头"/>
    <w:link w:val="649"/>
    <w:qFormat/>
    <w:uiPriority w:val="0"/>
    <w:pPr>
      <w:spacing w:before="156" w:beforeLines="50"/>
      <w:jc w:val="center"/>
    </w:pPr>
    <w:rPr>
      <w:rFonts w:ascii="Times New Roman" w:hAnsi="Times New Roman" w:eastAsia="黑体" w:cs="Times New Roman"/>
      <w:b/>
      <w:bCs/>
      <w:kern w:val="2"/>
      <w:sz w:val="24"/>
      <w:szCs w:val="24"/>
      <w:lang w:val="en-US" w:eastAsia="zh-CN" w:bidi="ar-SA"/>
    </w:rPr>
  </w:style>
  <w:style w:type="character" w:customStyle="1" w:styleId="651">
    <w:name w:val="表文字居中 Char"/>
    <w:link w:val="652"/>
    <w:qFormat/>
    <w:uiPriority w:val="0"/>
    <w:rPr>
      <w:rFonts w:ascii="Arial" w:hAnsi="Arial" w:eastAsia="Times New Roman"/>
      <w:kern w:val="2"/>
      <w:sz w:val="21"/>
      <w:lang w:val="en-US" w:eastAsia="zh-CN" w:bidi="ar-SA"/>
    </w:rPr>
  </w:style>
  <w:style w:type="paragraph" w:customStyle="1" w:styleId="652">
    <w:name w:val="表文字居中"/>
    <w:link w:val="651"/>
    <w:qFormat/>
    <w:uiPriority w:val="0"/>
    <w:pPr>
      <w:adjustRightInd w:val="0"/>
      <w:spacing w:line="360" w:lineRule="auto"/>
      <w:jc w:val="center"/>
    </w:pPr>
    <w:rPr>
      <w:rFonts w:ascii="Arial" w:hAnsi="Arial" w:eastAsia="Times New Roman" w:cs="Times New Roman"/>
      <w:kern w:val="2"/>
      <w:sz w:val="21"/>
      <w:lang w:val="en-US" w:eastAsia="zh-CN" w:bidi="ar-SA"/>
    </w:rPr>
  </w:style>
  <w:style w:type="character" w:customStyle="1" w:styleId="653">
    <w:name w:val="正文样式1 Char"/>
    <w:link w:val="654"/>
    <w:qFormat/>
    <w:uiPriority w:val="0"/>
    <w:rPr>
      <w:rFonts w:eastAsia="宋体"/>
      <w:kern w:val="28"/>
      <w:sz w:val="24"/>
      <w:lang w:bidi="ar-SA"/>
    </w:rPr>
  </w:style>
  <w:style w:type="paragraph" w:customStyle="1" w:styleId="654">
    <w:name w:val="正文样式1"/>
    <w:basedOn w:val="1"/>
    <w:link w:val="653"/>
    <w:qFormat/>
    <w:uiPriority w:val="0"/>
    <w:pPr>
      <w:adjustRightInd w:val="0"/>
      <w:snapToGrid w:val="0"/>
      <w:spacing w:line="480" w:lineRule="atLeast"/>
      <w:ind w:firstLine="567"/>
      <w:jc w:val="left"/>
      <w:textAlignment w:val="baseline"/>
    </w:pPr>
    <w:rPr>
      <w:rFonts w:eastAsia="宋体"/>
      <w:kern w:val="28"/>
      <w:sz w:val="24"/>
    </w:rPr>
  </w:style>
  <w:style w:type="character" w:customStyle="1" w:styleId="655">
    <w:name w:val="样式 表格 + 两端对齐 Char"/>
    <w:link w:val="656"/>
    <w:semiHidden/>
    <w:qFormat/>
    <w:uiPriority w:val="0"/>
    <w:rPr>
      <w:rFonts w:ascii="黑体" w:hAnsi="Arial" w:eastAsia="宋体"/>
      <w:snapToGrid/>
      <w:kern w:val="2"/>
      <w:sz w:val="24"/>
      <w:szCs w:val="28"/>
      <w:lang w:bidi="ar-SA"/>
    </w:rPr>
  </w:style>
  <w:style w:type="paragraph" w:customStyle="1" w:styleId="656">
    <w:name w:val="样式 表格 + 两端对齐"/>
    <w:basedOn w:val="1"/>
    <w:link w:val="655"/>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sz w:val="24"/>
      <w:szCs w:val="28"/>
    </w:rPr>
  </w:style>
  <w:style w:type="character" w:customStyle="1" w:styleId="657">
    <w:name w:val="样式 样式 正文缩进s4 + 首行缩进:  2 字符 + 首行缩进:  2 字符 Char"/>
    <w:semiHidden/>
    <w:qFormat/>
    <w:uiPriority w:val="0"/>
    <w:rPr>
      <w:rFonts w:eastAsia="仿宋_GB2312" w:cs="宋体"/>
      <w:kern w:val="2"/>
      <w:sz w:val="28"/>
      <w:lang w:val="en-US" w:eastAsia="zh-CN" w:bidi="ar-SA"/>
    </w:rPr>
  </w:style>
  <w:style w:type="character" w:customStyle="1" w:styleId="658">
    <w:name w:val="Lead-in Emphasis"/>
    <w:qFormat/>
    <w:uiPriority w:val="0"/>
    <w:rPr>
      <w:rFonts w:ascii="Arial" w:hAnsi="Arial"/>
      <w:b/>
      <w:spacing w:val="-8"/>
      <w:sz w:val="18"/>
    </w:rPr>
  </w:style>
  <w:style w:type="character" w:customStyle="1" w:styleId="659">
    <w:name w:val="long_text"/>
    <w:basedOn w:val="133"/>
    <w:qFormat/>
    <w:uiPriority w:val="0"/>
  </w:style>
  <w:style w:type="character" w:customStyle="1" w:styleId="660">
    <w:name w:val="pt11"/>
    <w:basedOn w:val="133"/>
    <w:qFormat/>
    <w:uiPriority w:val="0"/>
  </w:style>
  <w:style w:type="character" w:customStyle="1" w:styleId="661">
    <w:name w:val="pt10-2"/>
    <w:basedOn w:val="133"/>
    <w:semiHidden/>
    <w:qFormat/>
    <w:uiPriority w:val="0"/>
  </w:style>
  <w:style w:type="character" w:customStyle="1" w:styleId="662">
    <w:name w:val="样式 正文 + Char"/>
    <w:link w:val="663"/>
    <w:qFormat/>
    <w:uiPriority w:val="0"/>
    <w:rPr>
      <w:sz w:val="24"/>
      <w:szCs w:val="24"/>
      <w:lang w:bidi="ar-SA"/>
    </w:rPr>
  </w:style>
  <w:style w:type="paragraph" w:customStyle="1" w:styleId="663">
    <w:name w:val="样式 正文 +"/>
    <w:basedOn w:val="1"/>
    <w:link w:val="662"/>
    <w:qFormat/>
    <w:uiPriority w:val="0"/>
    <w:pPr>
      <w:spacing w:line="360" w:lineRule="auto"/>
      <w:ind w:firstLine="480" w:firstLineChars="200"/>
    </w:pPr>
    <w:rPr>
      <w:rFonts w:eastAsia="宋体"/>
      <w:kern w:val="0"/>
      <w:sz w:val="24"/>
      <w:szCs w:val="24"/>
    </w:rPr>
  </w:style>
  <w:style w:type="character" w:customStyle="1" w:styleId="664">
    <w:name w:val="题注 Char1"/>
    <w:qFormat/>
    <w:uiPriority w:val="0"/>
    <w:rPr>
      <w:rFonts w:ascii="Arial" w:hAnsi="Arial" w:eastAsia="黑体" w:cs="Arial"/>
      <w:snapToGrid/>
      <w:sz w:val="21"/>
      <w:lang w:val="en-US" w:eastAsia="zh-CN" w:bidi="ar-SA"/>
    </w:rPr>
  </w:style>
  <w:style w:type="character" w:customStyle="1" w:styleId="665">
    <w:name w:val="3标题(治) Char1"/>
    <w:qFormat/>
    <w:uiPriority w:val="0"/>
    <w:rPr>
      <w:rFonts w:eastAsia="黑体"/>
      <w:b/>
      <w:bCs/>
      <w:kern w:val="2"/>
      <w:sz w:val="28"/>
      <w:szCs w:val="32"/>
      <w:lang w:val="en-US" w:eastAsia="zh-CN" w:bidi="ar-SA"/>
    </w:rPr>
  </w:style>
  <w:style w:type="character" w:customStyle="1" w:styleId="666">
    <w:name w:val="red1"/>
    <w:qFormat/>
    <w:uiPriority w:val="0"/>
    <w:rPr>
      <w:color w:val="FF0000"/>
    </w:rPr>
  </w:style>
  <w:style w:type="character" w:customStyle="1" w:styleId="667">
    <w:name w:val="正文 + 首行缩进2 厘米 Char"/>
    <w:link w:val="668"/>
    <w:semiHidden/>
    <w:qFormat/>
    <w:uiPriority w:val="0"/>
    <w:rPr>
      <w:rFonts w:ascii="仿宋_GB2312" w:hAnsi="仿宋_GB2312" w:eastAsia="宋体"/>
      <w:kern w:val="2"/>
      <w:sz w:val="24"/>
      <w:szCs w:val="28"/>
      <w:lang w:bidi="ar-SA"/>
    </w:rPr>
  </w:style>
  <w:style w:type="paragraph" w:customStyle="1" w:styleId="668">
    <w:name w:val="正文 + 首行缩进2 厘米"/>
    <w:basedOn w:val="1"/>
    <w:link w:val="667"/>
    <w:semiHidden/>
    <w:qFormat/>
    <w:uiPriority w:val="0"/>
    <w:pPr>
      <w:widowControl/>
      <w:snapToGrid w:val="0"/>
      <w:spacing w:line="360" w:lineRule="auto"/>
      <w:ind w:firstLine="360"/>
    </w:pPr>
    <w:rPr>
      <w:rFonts w:ascii="仿宋_GB2312" w:hAnsi="仿宋_GB2312" w:eastAsia="宋体"/>
      <w:sz w:val="24"/>
      <w:szCs w:val="28"/>
    </w:rPr>
  </w:style>
  <w:style w:type="character" w:customStyle="1" w:styleId="669">
    <w:name w:val="新正文 Char"/>
    <w:link w:val="670"/>
    <w:qFormat/>
    <w:uiPriority w:val="0"/>
    <w:rPr>
      <w:rFonts w:eastAsia="宋体"/>
      <w:kern w:val="2"/>
      <w:sz w:val="24"/>
      <w:lang w:val="en-US" w:eastAsia="zh-CN" w:bidi="ar-SA"/>
    </w:rPr>
  </w:style>
  <w:style w:type="paragraph" w:customStyle="1" w:styleId="670">
    <w:name w:val="新正文"/>
    <w:basedOn w:val="1"/>
    <w:link w:val="669"/>
    <w:qFormat/>
    <w:uiPriority w:val="0"/>
    <w:pPr>
      <w:spacing w:before="60" w:line="460" w:lineRule="exact"/>
      <w:ind w:firstLine="200" w:firstLineChars="200"/>
    </w:pPr>
    <w:rPr>
      <w:rFonts w:eastAsia="宋体"/>
      <w:sz w:val="24"/>
    </w:rPr>
  </w:style>
  <w:style w:type="character" w:customStyle="1" w:styleId="671">
    <w:name w:val="正文缩进 Char Char Char Char1"/>
    <w:qFormat/>
    <w:uiPriority w:val="0"/>
    <w:rPr>
      <w:rFonts w:ascii="宋体" w:hAnsi="Times New Roman" w:eastAsia="宋体" w:cs="Times New Roman"/>
      <w:sz w:val="24"/>
      <w:szCs w:val="20"/>
    </w:rPr>
  </w:style>
  <w:style w:type="character" w:customStyle="1" w:styleId="672">
    <w:name w:val="7表格(治) Char"/>
    <w:qFormat/>
    <w:uiPriority w:val="0"/>
    <w:rPr>
      <w:rFonts w:hAnsi="宋体" w:eastAsia="宋体"/>
      <w:color w:val="000000"/>
      <w:sz w:val="24"/>
      <w:szCs w:val="24"/>
      <w:lang w:bidi="ar-SA"/>
    </w:rPr>
  </w:style>
  <w:style w:type="character" w:customStyle="1" w:styleId="673">
    <w:name w:val="2标题(治) Char"/>
    <w:link w:val="674"/>
    <w:qFormat/>
    <w:uiPriority w:val="0"/>
    <w:rPr>
      <w:rFonts w:eastAsia="黑体"/>
      <w:b/>
      <w:kern w:val="2"/>
      <w:sz w:val="32"/>
      <w:lang w:bidi="ar-SA"/>
    </w:rPr>
  </w:style>
  <w:style w:type="paragraph" w:customStyle="1" w:styleId="674">
    <w:name w:val="2标题(治)"/>
    <w:basedOn w:val="4"/>
    <w:link w:val="673"/>
    <w:qFormat/>
    <w:uiPriority w:val="0"/>
    <w:pPr>
      <w:tabs>
        <w:tab w:val="center" w:pos="567"/>
      </w:tabs>
      <w:adjustRightInd w:val="0"/>
      <w:snapToGrid w:val="0"/>
      <w:spacing w:before="0" w:after="0" w:line="360" w:lineRule="auto"/>
      <w:ind w:left="0" w:firstLine="0"/>
    </w:pPr>
    <w:rPr>
      <w:rFonts w:ascii="Times New Roman" w:hAnsi="Times New Roman"/>
      <w:b/>
      <w:sz w:val="32"/>
    </w:rPr>
  </w:style>
  <w:style w:type="character" w:customStyle="1" w:styleId="675">
    <w:name w:val="6表(图)头(治) Char"/>
    <w:link w:val="676"/>
    <w:qFormat/>
    <w:uiPriority w:val="0"/>
    <w:rPr>
      <w:rFonts w:eastAsia="黑体"/>
      <w:b/>
      <w:sz w:val="28"/>
      <w:szCs w:val="28"/>
      <w:lang w:val="en-US" w:eastAsia="zh-CN" w:bidi="ar-SA"/>
    </w:rPr>
  </w:style>
  <w:style w:type="paragraph" w:customStyle="1" w:styleId="676">
    <w:name w:val="6表(图)头(治)"/>
    <w:next w:val="1"/>
    <w:link w:val="675"/>
    <w:qFormat/>
    <w:uiPriority w:val="0"/>
    <w:pPr>
      <w:widowControl w:val="0"/>
      <w:jc w:val="center"/>
    </w:pPr>
    <w:rPr>
      <w:rFonts w:ascii="Times New Roman" w:hAnsi="Times New Roman" w:eastAsia="黑体" w:cs="Times New Roman"/>
      <w:b/>
      <w:sz w:val="28"/>
      <w:szCs w:val="28"/>
      <w:lang w:val="en-US" w:eastAsia="zh-CN" w:bidi="ar-SA"/>
    </w:rPr>
  </w:style>
  <w:style w:type="character" w:customStyle="1" w:styleId="677">
    <w:name w:val="8说明(治) Char"/>
    <w:link w:val="678"/>
    <w:qFormat/>
    <w:uiPriority w:val="0"/>
    <w:rPr>
      <w:rFonts w:eastAsia="仿宋_GB2312"/>
      <w:kern w:val="2"/>
      <w:sz w:val="21"/>
      <w:szCs w:val="24"/>
      <w:lang w:bidi="ar-SA"/>
    </w:rPr>
  </w:style>
  <w:style w:type="paragraph" w:customStyle="1" w:styleId="678">
    <w:name w:val="8说明(治)"/>
    <w:basedOn w:val="1"/>
    <w:next w:val="548"/>
    <w:link w:val="677"/>
    <w:qFormat/>
    <w:uiPriority w:val="0"/>
    <w:pPr>
      <w:ind w:firstLine="435"/>
    </w:pPr>
    <w:rPr>
      <w:sz w:val="21"/>
      <w:szCs w:val="24"/>
    </w:rPr>
  </w:style>
  <w:style w:type="character" w:customStyle="1" w:styleId="679">
    <w:name w:val="zhang正文 Char"/>
    <w:link w:val="680"/>
    <w:qFormat/>
    <w:uiPriority w:val="0"/>
    <w:rPr>
      <w:rFonts w:eastAsia="楷体_GB2312"/>
      <w:sz w:val="28"/>
      <w:lang w:val="en-US" w:eastAsia="zh-CN" w:bidi="ar-SA"/>
    </w:rPr>
  </w:style>
  <w:style w:type="paragraph" w:customStyle="1" w:styleId="680">
    <w:name w:val="zhang正文"/>
    <w:basedOn w:val="35"/>
    <w:link w:val="679"/>
    <w:qFormat/>
    <w:uiPriority w:val="0"/>
    <w:pPr>
      <w:autoSpaceDE w:val="0"/>
      <w:autoSpaceDN w:val="0"/>
      <w:adjustRightInd w:val="0"/>
      <w:snapToGrid w:val="0"/>
      <w:spacing w:line="500" w:lineRule="exact"/>
      <w:ind w:firstLine="539"/>
      <w:textAlignment w:val="baseline"/>
    </w:pPr>
    <w:rPr>
      <w:rFonts w:eastAsia="楷体_GB2312"/>
      <w:kern w:val="0"/>
      <w:sz w:val="28"/>
    </w:rPr>
  </w:style>
  <w:style w:type="character" w:customStyle="1" w:styleId="681">
    <w:name w:val="表格中的文字 Char"/>
    <w:link w:val="682"/>
    <w:qFormat/>
    <w:uiPriority w:val="0"/>
    <w:rPr>
      <w:rFonts w:ascii="宋体" w:hAnsi="宋体" w:eastAsia="宋体"/>
      <w:sz w:val="21"/>
      <w:lang w:bidi="ar-SA"/>
    </w:rPr>
  </w:style>
  <w:style w:type="paragraph" w:customStyle="1" w:styleId="682">
    <w:name w:val="表格中的文字"/>
    <w:basedOn w:val="1"/>
    <w:link w:val="681"/>
    <w:qFormat/>
    <w:uiPriority w:val="0"/>
    <w:pPr>
      <w:jc w:val="center"/>
    </w:pPr>
    <w:rPr>
      <w:rFonts w:ascii="宋体" w:hAnsi="宋体" w:eastAsia="宋体"/>
      <w:kern w:val="0"/>
      <w:sz w:val="21"/>
    </w:rPr>
  </w:style>
  <w:style w:type="character" w:customStyle="1" w:styleId="683">
    <w:name w:val="样式 样式 1章(治) + (西文) Times New Roman + Char"/>
    <w:semiHidden/>
    <w:qFormat/>
    <w:uiPriority w:val="0"/>
    <w:rPr>
      <w:rFonts w:eastAsia="黑体"/>
      <w:b/>
      <w:bCs/>
      <w:kern w:val="2"/>
      <w:sz w:val="32"/>
      <w:szCs w:val="24"/>
      <w:lang w:val="en-US" w:eastAsia="zh-CN" w:bidi="ar-SA"/>
    </w:rPr>
  </w:style>
  <w:style w:type="character" w:customStyle="1" w:styleId="684">
    <w:name w:val="6表(图)头(治) Char1"/>
    <w:qFormat/>
    <w:uiPriority w:val="0"/>
    <w:rPr>
      <w:rFonts w:eastAsia="黑体"/>
      <w:b/>
      <w:sz w:val="28"/>
      <w:szCs w:val="28"/>
      <w:lang w:val="en-US" w:eastAsia="zh-CN" w:bidi="ar-SA"/>
    </w:rPr>
  </w:style>
  <w:style w:type="character" w:customStyle="1" w:styleId="685">
    <w:name w:val="样式17 Char"/>
    <w:link w:val="686"/>
    <w:qFormat/>
    <w:uiPriority w:val="0"/>
    <w:rPr>
      <w:rFonts w:ascii="黑体" w:hAnsi="宋体" w:eastAsia="黑体"/>
      <w:bCs/>
      <w:kern w:val="2"/>
      <w:sz w:val="21"/>
      <w:szCs w:val="21"/>
      <w:lang w:bidi="ar-SA"/>
    </w:rPr>
  </w:style>
  <w:style w:type="paragraph" w:customStyle="1" w:styleId="686">
    <w:name w:val="样式17"/>
    <w:basedOn w:val="1"/>
    <w:link w:val="685"/>
    <w:qFormat/>
    <w:uiPriority w:val="0"/>
    <w:pPr>
      <w:adjustRightInd w:val="0"/>
      <w:snapToGrid w:val="0"/>
      <w:spacing w:line="360" w:lineRule="auto"/>
      <w:jc w:val="center"/>
    </w:pPr>
    <w:rPr>
      <w:rFonts w:ascii="黑体" w:hAnsi="宋体" w:eastAsia="黑体"/>
      <w:bCs/>
      <w:sz w:val="21"/>
      <w:szCs w:val="21"/>
    </w:rPr>
  </w:style>
  <w:style w:type="character" w:customStyle="1" w:styleId="687">
    <w:name w:val="页脚 Char1"/>
    <w:qFormat/>
    <w:uiPriority w:val="0"/>
    <w:rPr>
      <w:rFonts w:ascii="Times New Roman" w:hAnsi="Times New Roman"/>
      <w:kern w:val="2"/>
      <w:sz w:val="18"/>
      <w:szCs w:val="18"/>
    </w:rPr>
  </w:style>
  <w:style w:type="character" w:customStyle="1" w:styleId="688">
    <w:name w:val="标题 3 Char Char"/>
    <w:qFormat/>
    <w:uiPriority w:val="0"/>
    <w:rPr>
      <w:rFonts w:ascii="仿宋_GB2312" w:eastAsia="仿宋_GB2312"/>
      <w:b/>
      <w:bCs/>
      <w:kern w:val="2"/>
      <w:sz w:val="24"/>
      <w:lang w:bidi="ar-SA"/>
    </w:rPr>
  </w:style>
  <w:style w:type="character" w:customStyle="1" w:styleId="689">
    <w:name w:val="正文文本 Char1"/>
    <w:qFormat/>
    <w:uiPriority w:val="0"/>
    <w:rPr>
      <w:rFonts w:ascii="Times New Roman" w:hAnsi="Times New Roman"/>
      <w:kern w:val="2"/>
      <w:sz w:val="21"/>
      <w:szCs w:val="24"/>
    </w:rPr>
  </w:style>
  <w:style w:type="character" w:customStyle="1" w:styleId="690">
    <w:name w:val="Char Char71"/>
    <w:qFormat/>
    <w:uiPriority w:val="0"/>
    <w:rPr>
      <w:rFonts w:hint="eastAsia" w:ascii="仿宋_GB2312" w:eastAsia="仿宋_GB2312"/>
      <w:b/>
      <w:sz w:val="32"/>
      <w:szCs w:val="32"/>
      <w:lang w:val="en-US" w:eastAsia="zh-CN" w:bidi="ar-SA"/>
    </w:rPr>
  </w:style>
  <w:style w:type="character" w:customStyle="1" w:styleId="691">
    <w:name w:val="google-src-text1"/>
    <w:qFormat/>
    <w:uiPriority w:val="0"/>
    <w:rPr>
      <w:vanish/>
    </w:rPr>
  </w:style>
  <w:style w:type="character" w:customStyle="1" w:styleId="692">
    <w:name w:val="样式 标题 3 + (中文) 宋体 小四 加粗 Char Char"/>
    <w:qFormat/>
    <w:uiPriority w:val="0"/>
    <w:rPr>
      <w:rFonts w:ascii="楷体_GB2312" w:hAnsi="Arial" w:eastAsia="宋体" w:cs="Arial"/>
      <w:b/>
      <w:bCs/>
      <w:kern w:val="2"/>
      <w:sz w:val="24"/>
      <w:szCs w:val="32"/>
      <w:lang w:val="en-US" w:eastAsia="zh-CN" w:bidi="ar-SA"/>
    </w:rPr>
  </w:style>
  <w:style w:type="character" w:customStyle="1" w:styleId="693">
    <w:name w:val="图表标题 Char"/>
    <w:link w:val="694"/>
    <w:qFormat/>
    <w:uiPriority w:val="0"/>
    <w:rPr>
      <w:rFonts w:eastAsia="宋体"/>
      <w:spacing w:val="8"/>
      <w:kern w:val="2"/>
      <w:sz w:val="24"/>
      <w:szCs w:val="24"/>
      <w:lang w:val="en-US" w:eastAsia="zh-CN" w:bidi="ar-SA"/>
    </w:rPr>
  </w:style>
  <w:style w:type="paragraph" w:customStyle="1" w:styleId="694">
    <w:name w:val="图表标题"/>
    <w:basedOn w:val="1"/>
    <w:link w:val="693"/>
    <w:qFormat/>
    <w:uiPriority w:val="0"/>
    <w:pPr>
      <w:spacing w:before="120" w:after="120" w:line="400" w:lineRule="exact"/>
      <w:jc w:val="center"/>
    </w:pPr>
    <w:rPr>
      <w:rFonts w:eastAsia="宋体"/>
      <w:spacing w:val="8"/>
      <w:sz w:val="24"/>
      <w:szCs w:val="24"/>
    </w:rPr>
  </w:style>
  <w:style w:type="character" w:customStyle="1" w:styleId="695">
    <w:name w:val="4级（小）标题 Char"/>
    <w:link w:val="696"/>
    <w:qFormat/>
    <w:uiPriority w:val="0"/>
    <w:rPr>
      <w:rFonts w:eastAsia="宋体"/>
      <w:b/>
      <w:kern w:val="2"/>
      <w:sz w:val="24"/>
      <w:szCs w:val="24"/>
      <w:lang w:val="en-US" w:eastAsia="zh-CN" w:bidi="ar-SA"/>
    </w:rPr>
  </w:style>
  <w:style w:type="paragraph" w:customStyle="1" w:styleId="696">
    <w:name w:val="4级（小）标题"/>
    <w:basedOn w:val="1"/>
    <w:link w:val="695"/>
    <w:qFormat/>
    <w:uiPriority w:val="0"/>
    <w:pPr>
      <w:spacing w:before="60" w:line="360" w:lineRule="auto"/>
      <w:ind w:firstLine="150" w:firstLineChars="150"/>
      <w:outlineLvl w:val="3"/>
    </w:pPr>
    <w:rPr>
      <w:rFonts w:eastAsia="宋体"/>
      <w:b/>
      <w:sz w:val="24"/>
      <w:szCs w:val="24"/>
    </w:rPr>
  </w:style>
  <w:style w:type="character" w:customStyle="1" w:styleId="697">
    <w:name w:val="about1"/>
    <w:qFormat/>
    <w:uiPriority w:val="0"/>
    <w:rPr>
      <w:rFonts w:hint="default" w:ascii="ˎ̥" w:hAnsi="ˎ̥"/>
      <w:spacing w:val="0"/>
      <w:sz w:val="15"/>
      <w:szCs w:val="15"/>
    </w:rPr>
  </w:style>
  <w:style w:type="character" w:customStyle="1" w:styleId="698">
    <w:name w:val="目标题 1) Char"/>
    <w:qFormat/>
    <w:uiPriority w:val="0"/>
    <w:rPr>
      <w:rFonts w:ascii="Arial" w:hAnsi="Arial" w:eastAsia="黑体"/>
      <w:kern w:val="2"/>
      <w:sz w:val="24"/>
      <w:szCs w:val="24"/>
      <w:lang w:val="en-US" w:eastAsia="zh-CN" w:bidi="ar-SA"/>
    </w:rPr>
  </w:style>
  <w:style w:type="character" w:customStyle="1" w:styleId="699">
    <w:name w:val="图表头 Char Char"/>
    <w:link w:val="700"/>
    <w:qFormat/>
    <w:uiPriority w:val="0"/>
    <w:rPr>
      <w:rFonts w:eastAsia="宋体"/>
      <w:b/>
      <w:szCs w:val="24"/>
      <w:lang w:bidi="ar-SA"/>
    </w:rPr>
  </w:style>
  <w:style w:type="paragraph" w:customStyle="1" w:styleId="700">
    <w:name w:val="图表头"/>
    <w:basedOn w:val="1"/>
    <w:link w:val="699"/>
    <w:qFormat/>
    <w:uiPriority w:val="0"/>
    <w:pPr>
      <w:spacing w:beforeLines="50" w:afterLines="50" w:line="360" w:lineRule="auto"/>
      <w:jc w:val="center"/>
    </w:pPr>
    <w:rPr>
      <w:rFonts w:eastAsia="宋体"/>
      <w:b/>
      <w:kern w:val="0"/>
      <w:sz w:val="20"/>
      <w:szCs w:val="24"/>
    </w:rPr>
  </w:style>
  <w:style w:type="character" w:customStyle="1" w:styleId="701">
    <w:name w:val="In Table Char"/>
    <w:link w:val="702"/>
    <w:qFormat/>
    <w:uiPriority w:val="0"/>
    <w:rPr>
      <w:rFonts w:ascii="Tahoma" w:hAnsi="Tahoma" w:eastAsia="华文中宋"/>
      <w:kern w:val="2"/>
      <w:sz w:val="21"/>
      <w:lang w:val="en-US" w:eastAsia="zh-CN" w:bidi="ar-SA"/>
    </w:rPr>
  </w:style>
  <w:style w:type="paragraph" w:customStyle="1" w:styleId="702">
    <w:name w:val="In Table"/>
    <w:basedOn w:val="1"/>
    <w:link w:val="701"/>
    <w:qFormat/>
    <w:uiPriority w:val="0"/>
    <w:pPr>
      <w:tabs>
        <w:tab w:val="left" w:pos="2200"/>
        <w:tab w:val="left" w:pos="3960"/>
        <w:tab w:val="left" w:pos="5280"/>
      </w:tabs>
      <w:spacing w:before="96" w:after="96" w:line="0" w:lineRule="atLeast"/>
      <w:jc w:val="center"/>
    </w:pPr>
    <w:rPr>
      <w:rFonts w:ascii="Tahoma" w:hAnsi="Tahoma" w:eastAsia="华文中宋"/>
      <w:sz w:val="21"/>
    </w:rPr>
  </w:style>
  <w:style w:type="character" w:customStyle="1" w:styleId="703">
    <w:name w:val="表头 Char Char"/>
    <w:qFormat/>
    <w:uiPriority w:val="0"/>
    <w:rPr>
      <w:rFonts w:ascii="宋体" w:hAnsi="宋体" w:eastAsia="宋体" w:cs="Arial"/>
      <w:szCs w:val="20"/>
    </w:rPr>
  </w:style>
  <w:style w:type="character" w:customStyle="1" w:styleId="704">
    <w:name w:val="Message Header Label"/>
    <w:qFormat/>
    <w:uiPriority w:val="0"/>
    <w:rPr>
      <w:rFonts w:ascii="Arial Black" w:hAnsi="Arial Black"/>
      <w:sz w:val="18"/>
    </w:rPr>
  </w:style>
  <w:style w:type="character" w:customStyle="1" w:styleId="705">
    <w:name w:val="样式 题注 + 首行缩进:  2 字符2 Char Char"/>
    <w:link w:val="706"/>
    <w:qFormat/>
    <w:uiPriority w:val="0"/>
    <w:rPr>
      <w:rFonts w:ascii="宋体" w:hAnsi="宋体" w:eastAsia="宋体"/>
      <w:sz w:val="24"/>
      <w:szCs w:val="24"/>
      <w:lang w:bidi="ar-SA"/>
    </w:rPr>
  </w:style>
  <w:style w:type="paragraph" w:customStyle="1" w:styleId="706">
    <w:name w:val="样式 题注 + 首行缩进:  2 字符2"/>
    <w:basedOn w:val="22"/>
    <w:link w:val="705"/>
    <w:qFormat/>
    <w:uiPriority w:val="0"/>
    <w:pPr>
      <w:adjustRightInd w:val="0"/>
      <w:snapToGrid w:val="0"/>
      <w:spacing w:before="0" w:after="0" w:line="360" w:lineRule="auto"/>
      <w:jc w:val="center"/>
    </w:pPr>
    <w:rPr>
      <w:rFonts w:ascii="宋体" w:hAnsi="宋体" w:eastAsia="宋体"/>
      <w:kern w:val="0"/>
      <w:sz w:val="24"/>
      <w:szCs w:val="24"/>
    </w:rPr>
  </w:style>
  <w:style w:type="character" w:customStyle="1" w:styleId="707">
    <w:name w:val="td71"/>
    <w:qFormat/>
    <w:uiPriority w:val="0"/>
    <w:rPr>
      <w:color w:val="3B3B3B"/>
      <w:sz w:val="21"/>
      <w:szCs w:val="21"/>
    </w:rPr>
  </w:style>
  <w:style w:type="character" w:customStyle="1" w:styleId="708">
    <w:name w:val="表格文字居中 Char Char"/>
    <w:qFormat/>
    <w:uiPriority w:val="0"/>
    <w:rPr>
      <w:rFonts w:ascii="宋体" w:hAnsi="宋体" w:eastAsia="宋体" w:cs="Arial"/>
      <w:bCs/>
      <w:color w:val="000000"/>
      <w:sz w:val="24"/>
      <w:szCs w:val="21"/>
      <w:lang w:val="en-US" w:eastAsia="zh-CN" w:bidi="ar-SA"/>
    </w:rPr>
  </w:style>
  <w:style w:type="character" w:customStyle="1" w:styleId="709">
    <w:name w:val="文章正文 Char"/>
    <w:link w:val="710"/>
    <w:qFormat/>
    <w:locked/>
    <w:uiPriority w:val="0"/>
    <w:rPr>
      <w:rFonts w:ascii="宋体" w:hAnsi="宋体" w:eastAsia="宋体"/>
      <w:kern w:val="2"/>
      <w:sz w:val="24"/>
      <w:szCs w:val="24"/>
      <w:lang w:val="en-US" w:eastAsia="zh-CN" w:bidi="ar-SA"/>
    </w:rPr>
  </w:style>
  <w:style w:type="paragraph" w:customStyle="1" w:styleId="710">
    <w:name w:val="文章正文"/>
    <w:basedOn w:val="1"/>
    <w:link w:val="709"/>
    <w:qFormat/>
    <w:uiPriority w:val="0"/>
    <w:pPr>
      <w:spacing w:before="156" w:beforeLines="50" w:after="156" w:afterLines="50" w:line="360" w:lineRule="auto"/>
      <w:ind w:firstLine="480" w:firstLineChars="200"/>
    </w:pPr>
    <w:rPr>
      <w:rFonts w:ascii="宋体" w:hAnsi="宋体" w:eastAsia="宋体"/>
      <w:sz w:val="24"/>
      <w:szCs w:val="24"/>
    </w:rPr>
  </w:style>
  <w:style w:type="character" w:customStyle="1" w:styleId="711">
    <w:name w:val="首行缩进两字 Char7"/>
    <w:qFormat/>
    <w:uiPriority w:val="0"/>
    <w:rPr>
      <w:rFonts w:ascii="Arial" w:hAnsi="Arial" w:eastAsia="宋体" w:cs="Arial"/>
      <w:spacing w:val="10"/>
      <w:kern w:val="2"/>
      <w:sz w:val="24"/>
      <w:lang w:val="en-US" w:eastAsia="zh-CN" w:bidi="ar-SA"/>
    </w:rPr>
  </w:style>
  <w:style w:type="character" w:customStyle="1" w:styleId="712">
    <w:name w:val="我的正文 Char Char"/>
    <w:qFormat/>
    <w:uiPriority w:val="0"/>
    <w:rPr>
      <w:rFonts w:eastAsia="宋体"/>
      <w:kern w:val="2"/>
      <w:sz w:val="28"/>
      <w:lang w:val="en-US" w:eastAsia="zh-CN" w:bidi="ar-SA"/>
    </w:rPr>
  </w:style>
  <w:style w:type="character" w:customStyle="1" w:styleId="713">
    <w:name w:val="xl26 Char"/>
    <w:link w:val="714"/>
    <w:qFormat/>
    <w:uiPriority w:val="0"/>
    <w:rPr>
      <w:rFonts w:ascii="宋体" w:hAnsi="宋体" w:eastAsia="宋体"/>
      <w:sz w:val="21"/>
      <w:szCs w:val="21"/>
      <w:lang w:val="en-US" w:eastAsia="zh-CN" w:bidi="ar-SA"/>
    </w:rPr>
  </w:style>
  <w:style w:type="paragraph" w:customStyle="1" w:styleId="714">
    <w:name w:val="xl26"/>
    <w:basedOn w:val="1"/>
    <w:link w:val="713"/>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kern w:val="0"/>
      <w:sz w:val="21"/>
      <w:szCs w:val="21"/>
    </w:rPr>
  </w:style>
  <w:style w:type="character" w:customStyle="1" w:styleId="715">
    <w:name w:val="正文文字 Char Char"/>
    <w:qFormat/>
    <w:uiPriority w:val="0"/>
    <w:rPr>
      <w:rFonts w:eastAsia="仿宋_GB2312"/>
      <w:kern w:val="2"/>
      <w:sz w:val="28"/>
      <w:lang w:val="en-US" w:eastAsia="zh-CN" w:bidi="ar-SA"/>
    </w:rPr>
  </w:style>
  <w:style w:type="character" w:customStyle="1" w:styleId="716">
    <w:name w:val="特点标题 Char2"/>
    <w:qFormat/>
    <w:uiPriority w:val="0"/>
    <w:rPr>
      <w:rFonts w:eastAsia="宋体"/>
      <w:kern w:val="2"/>
      <w:sz w:val="21"/>
      <w:lang w:val="en-US" w:eastAsia="zh-CN" w:bidi="ar-SA"/>
    </w:rPr>
  </w:style>
  <w:style w:type="character" w:customStyle="1" w:styleId="717">
    <w:name w:val="Char Char Char"/>
    <w:qFormat/>
    <w:uiPriority w:val="0"/>
    <w:rPr>
      <w:rFonts w:eastAsia="仿宋_GB2312"/>
      <w:kern w:val="2"/>
      <w:sz w:val="18"/>
      <w:lang w:val="en-US" w:eastAsia="zh-CN" w:bidi="ar-SA"/>
    </w:rPr>
  </w:style>
  <w:style w:type="character" w:customStyle="1" w:styleId="718">
    <w:name w:val="干标题(a) Char"/>
    <w:qFormat/>
    <w:uiPriority w:val="0"/>
    <w:rPr>
      <w:rFonts w:ascii="Arial" w:hAnsi="Arial" w:eastAsia="黑体"/>
      <w:kern w:val="2"/>
      <w:sz w:val="21"/>
      <w:szCs w:val="21"/>
      <w:lang w:val="en-US" w:eastAsia="zh-CN" w:bidi="ar-SA"/>
    </w:rPr>
  </w:style>
  <w:style w:type="character" w:customStyle="1" w:styleId="719">
    <w:name w:val="正文文字缩进 3 Char2"/>
    <w:qFormat/>
    <w:uiPriority w:val="0"/>
    <w:rPr>
      <w:rFonts w:ascii="宋体" w:hAnsi="宋体" w:eastAsia="宋体"/>
      <w:color w:val="000000"/>
      <w:kern w:val="2"/>
      <w:sz w:val="24"/>
      <w:lang w:val="en-US" w:eastAsia="zh-CN" w:bidi="ar-SA"/>
    </w:rPr>
  </w:style>
  <w:style w:type="character" w:customStyle="1" w:styleId="720">
    <w:name w:val="表体 Char"/>
    <w:link w:val="721"/>
    <w:qFormat/>
    <w:uiPriority w:val="0"/>
    <w:rPr>
      <w:rFonts w:ascii="宋体" w:eastAsia="宋体"/>
      <w:color w:val="000000"/>
      <w:kern w:val="24"/>
      <w:sz w:val="18"/>
      <w:szCs w:val="24"/>
      <w:lang w:val="en-US" w:eastAsia="zh-CN" w:bidi="ar-SA"/>
    </w:rPr>
  </w:style>
  <w:style w:type="paragraph" w:customStyle="1" w:styleId="721">
    <w:name w:val="表体"/>
    <w:basedOn w:val="1"/>
    <w:link w:val="720"/>
    <w:qFormat/>
    <w:uiPriority w:val="0"/>
    <w:pPr>
      <w:overflowPunct w:val="0"/>
      <w:adjustRightInd w:val="0"/>
      <w:spacing w:line="0" w:lineRule="atLeast"/>
      <w:jc w:val="center"/>
      <w:textAlignment w:val="baseline"/>
    </w:pPr>
    <w:rPr>
      <w:rFonts w:ascii="宋体" w:eastAsia="宋体"/>
      <w:color w:val="000000"/>
      <w:kern w:val="24"/>
      <w:sz w:val="18"/>
      <w:szCs w:val="24"/>
    </w:rPr>
  </w:style>
  <w:style w:type="character" w:customStyle="1" w:styleId="722">
    <w:name w:val="样式 龙样式4正文 + 首行缩进:  2 字符 Char Char"/>
    <w:link w:val="723"/>
    <w:qFormat/>
    <w:uiPriority w:val="0"/>
    <w:rPr>
      <w:lang w:bidi="ar-SA"/>
    </w:rPr>
  </w:style>
  <w:style w:type="paragraph" w:customStyle="1" w:styleId="723">
    <w:name w:val="样式 龙样式4正文 + 首行缩进:  2 字符"/>
    <w:basedOn w:val="1"/>
    <w:link w:val="722"/>
    <w:qFormat/>
    <w:uiPriority w:val="0"/>
    <w:pPr>
      <w:spacing w:line="600" w:lineRule="exact"/>
      <w:ind w:firstLine="200" w:firstLineChars="200"/>
    </w:pPr>
    <w:rPr>
      <w:rFonts w:eastAsia="宋体"/>
      <w:kern w:val="0"/>
      <w:sz w:val="20"/>
    </w:rPr>
  </w:style>
  <w:style w:type="character" w:customStyle="1" w:styleId="724">
    <w:name w:val="正文（首行缩进两字） Char Char1 Char"/>
    <w:qFormat/>
    <w:uiPriority w:val="0"/>
    <w:rPr>
      <w:rFonts w:ascii="Arial" w:hAnsi="Arial" w:eastAsia="宋体"/>
      <w:color w:val="000000"/>
      <w:kern w:val="2"/>
      <w:sz w:val="24"/>
      <w:lang w:val="en-US" w:eastAsia="zh-CN" w:bidi="ar-SA"/>
    </w:rPr>
  </w:style>
  <w:style w:type="character" w:customStyle="1" w:styleId="725">
    <w:name w:val="图表名称 Char Char"/>
    <w:link w:val="726"/>
    <w:qFormat/>
    <w:locked/>
    <w:uiPriority w:val="0"/>
    <w:rPr>
      <w:rFonts w:ascii="宋体" w:hAnsi="宋体" w:eastAsia="宋体"/>
      <w:b/>
      <w:sz w:val="21"/>
      <w:szCs w:val="21"/>
      <w:lang w:val="en-US" w:eastAsia="zh-CN" w:bidi="ar-SA"/>
    </w:rPr>
  </w:style>
  <w:style w:type="paragraph" w:customStyle="1" w:styleId="726">
    <w:name w:val="图表名称"/>
    <w:basedOn w:val="1"/>
    <w:link w:val="725"/>
    <w:qFormat/>
    <w:uiPriority w:val="0"/>
    <w:pPr>
      <w:jc w:val="center"/>
    </w:pPr>
    <w:rPr>
      <w:rFonts w:ascii="宋体" w:hAnsi="宋体" w:eastAsia="宋体"/>
      <w:b/>
      <w:kern w:val="0"/>
      <w:sz w:val="21"/>
      <w:szCs w:val="21"/>
    </w:rPr>
  </w:style>
  <w:style w:type="character" w:customStyle="1" w:styleId="727">
    <w:name w:val="个人撰写风格"/>
    <w:qFormat/>
    <w:uiPriority w:val="0"/>
    <w:rPr>
      <w:rFonts w:ascii="Arial" w:hAnsi="Arial" w:eastAsia="宋体" w:cs="Arial"/>
      <w:color w:val="auto"/>
      <w:sz w:val="20"/>
    </w:rPr>
  </w:style>
  <w:style w:type="character" w:customStyle="1" w:styleId="728">
    <w:name w:val="表标 Char Char"/>
    <w:qFormat/>
    <w:uiPriority w:val="0"/>
    <w:rPr>
      <w:kern w:val="2"/>
      <w:sz w:val="24"/>
    </w:rPr>
  </w:style>
  <w:style w:type="character" w:customStyle="1" w:styleId="729">
    <w:name w:val="正文文字缩进 3 Char Char"/>
    <w:qFormat/>
    <w:uiPriority w:val="0"/>
    <w:rPr>
      <w:kern w:val="2"/>
      <w:sz w:val="16"/>
      <w:szCs w:val="16"/>
    </w:rPr>
  </w:style>
  <w:style w:type="character" w:customStyle="1" w:styleId="730">
    <w:name w:val="项标题(1) Char Char"/>
    <w:qFormat/>
    <w:uiPriority w:val="0"/>
    <w:rPr>
      <w:b/>
      <w:spacing w:val="10"/>
      <w:sz w:val="24"/>
    </w:rPr>
  </w:style>
  <w:style w:type="character" w:customStyle="1" w:styleId="731">
    <w:name w:val="目标题 1) Char Char"/>
    <w:qFormat/>
    <w:uiPriority w:val="0"/>
    <w:rPr>
      <w:rFonts w:ascii="Arial" w:hAnsi="Arial" w:eastAsia="黑体"/>
      <w:spacing w:val="10"/>
      <w:sz w:val="24"/>
    </w:rPr>
  </w:style>
  <w:style w:type="character" w:customStyle="1" w:styleId="732">
    <w:name w:val="燕山正文 Char Char Char"/>
    <w:link w:val="733"/>
    <w:qFormat/>
    <w:uiPriority w:val="0"/>
    <w:rPr>
      <w:rFonts w:ascii="宋体" w:hAnsi="宋体" w:eastAsia="宋体" w:cs="宋体"/>
      <w:color w:val="000000"/>
      <w:sz w:val="28"/>
      <w:szCs w:val="28"/>
      <w:lang w:val="en-US" w:eastAsia="zh-CN" w:bidi="ar-SA"/>
    </w:rPr>
  </w:style>
  <w:style w:type="paragraph" w:customStyle="1" w:styleId="733">
    <w:name w:val="燕山正文 Char Char"/>
    <w:basedOn w:val="1"/>
    <w:link w:val="732"/>
    <w:qFormat/>
    <w:uiPriority w:val="0"/>
    <w:pPr>
      <w:widowControl/>
      <w:adjustRightInd w:val="0"/>
      <w:snapToGrid w:val="0"/>
      <w:spacing w:line="360" w:lineRule="auto"/>
      <w:ind w:firstLine="567"/>
      <w:jc w:val="left"/>
      <w:textAlignment w:val="baseline"/>
    </w:pPr>
    <w:rPr>
      <w:rFonts w:ascii="宋体" w:hAnsi="宋体" w:eastAsia="宋体" w:cs="宋体"/>
      <w:color w:val="000000"/>
      <w:kern w:val="0"/>
      <w:szCs w:val="28"/>
    </w:rPr>
  </w:style>
  <w:style w:type="character" w:customStyle="1" w:styleId="734">
    <w:name w:val="banquan1"/>
    <w:qFormat/>
    <w:uiPriority w:val="0"/>
    <w:rPr>
      <w:rFonts w:hint="eastAsia" w:ascii="宋体" w:hAnsi="宋体" w:eastAsia="宋体"/>
      <w:color w:val="333333"/>
      <w:sz w:val="24"/>
      <w:szCs w:val="24"/>
      <w:u w:val="none"/>
    </w:rPr>
  </w:style>
  <w:style w:type="character" w:customStyle="1" w:styleId="735">
    <w:name w:val="s gray"/>
    <w:basedOn w:val="133"/>
    <w:qFormat/>
    <w:uiPriority w:val="0"/>
  </w:style>
  <w:style w:type="character" w:customStyle="1" w:styleId="736">
    <w:name w:val="style91"/>
    <w:qFormat/>
    <w:uiPriority w:val="0"/>
    <w:rPr>
      <w:color w:val="993300"/>
    </w:rPr>
  </w:style>
  <w:style w:type="character" w:customStyle="1" w:styleId="737">
    <w:name w:val="chuti1"/>
    <w:qFormat/>
    <w:uiPriority w:val="0"/>
    <w:rPr>
      <w:b/>
      <w:bCs/>
      <w:sz w:val="21"/>
      <w:szCs w:val="21"/>
    </w:rPr>
  </w:style>
  <w:style w:type="character" w:customStyle="1" w:styleId="738">
    <w:name w:val="表格内容注释 Char"/>
    <w:link w:val="739"/>
    <w:qFormat/>
    <w:locked/>
    <w:uiPriority w:val="0"/>
    <w:rPr>
      <w:rFonts w:eastAsia="宋体"/>
      <w:kern w:val="2"/>
      <w:sz w:val="18"/>
      <w:szCs w:val="24"/>
      <w:lang w:val="en-US" w:eastAsia="zh-CN" w:bidi="ar-SA"/>
    </w:rPr>
  </w:style>
  <w:style w:type="paragraph" w:customStyle="1" w:styleId="739">
    <w:name w:val="表格内容注释"/>
    <w:basedOn w:val="1"/>
    <w:link w:val="738"/>
    <w:qFormat/>
    <w:uiPriority w:val="0"/>
    <w:pPr>
      <w:jc w:val="left"/>
    </w:pPr>
    <w:rPr>
      <w:rFonts w:eastAsia="宋体"/>
      <w:sz w:val="18"/>
      <w:szCs w:val="24"/>
    </w:rPr>
  </w:style>
  <w:style w:type="character" w:customStyle="1" w:styleId="740">
    <w:name w:val="样式4 Char"/>
    <w:link w:val="741"/>
    <w:qFormat/>
    <w:uiPriority w:val="0"/>
    <w:rPr>
      <w:rFonts w:eastAsia="仿宋_GB2312"/>
      <w:b/>
      <w:bCs/>
      <w:color w:val="000000"/>
      <w:kern w:val="2"/>
      <w:sz w:val="24"/>
      <w:szCs w:val="28"/>
      <w:lang w:bidi="ar-SA"/>
    </w:rPr>
  </w:style>
  <w:style w:type="paragraph" w:customStyle="1" w:styleId="741">
    <w:name w:val="样式4"/>
    <w:basedOn w:val="7"/>
    <w:next w:val="5"/>
    <w:link w:val="740"/>
    <w:qFormat/>
    <w:uiPriority w:val="0"/>
    <w:pPr>
      <w:tabs>
        <w:tab w:val="left" w:pos="720"/>
      </w:tabs>
      <w:spacing w:after="156" w:afterLines="50" w:line="360" w:lineRule="auto"/>
      <w:ind w:left="0" w:firstLine="0"/>
    </w:pPr>
    <w:rPr>
      <w:rFonts w:ascii="Times New Roman" w:hAnsi="Times New Roman"/>
      <w:bCs/>
      <w:szCs w:val="28"/>
    </w:rPr>
  </w:style>
  <w:style w:type="character" w:customStyle="1" w:styleId="742">
    <w:name w:val="首行缩进两字 Char8"/>
    <w:qFormat/>
    <w:uiPriority w:val="0"/>
    <w:rPr>
      <w:rFonts w:ascii="Arial" w:hAnsi="Arial" w:eastAsia="宋体" w:cs="Arial"/>
      <w:spacing w:val="10"/>
      <w:kern w:val="2"/>
      <w:sz w:val="24"/>
      <w:lang w:val="en-US" w:eastAsia="zh-CN" w:bidi="ar-SA"/>
    </w:rPr>
  </w:style>
  <w:style w:type="character" w:customStyle="1" w:styleId="743">
    <w:name w:val="报告正文 Char Char"/>
    <w:qFormat/>
    <w:uiPriority w:val="0"/>
    <w:rPr>
      <w:color w:val="000000"/>
      <w:kern w:val="2"/>
      <w:sz w:val="24"/>
      <w:szCs w:val="24"/>
    </w:rPr>
  </w:style>
  <w:style w:type="character" w:customStyle="1" w:styleId="744">
    <w:name w:val="首行缩进两字 Char9"/>
    <w:qFormat/>
    <w:uiPriority w:val="0"/>
    <w:rPr>
      <w:rFonts w:ascii="Arial" w:hAnsi="Arial" w:eastAsia="宋体" w:cs="Arial"/>
      <w:spacing w:val="10"/>
      <w:kern w:val="2"/>
      <w:sz w:val="24"/>
      <w:lang w:val="en-US" w:eastAsia="zh-CN" w:bidi="ar-SA"/>
    </w:rPr>
  </w:style>
  <w:style w:type="character" w:customStyle="1" w:styleId="745">
    <w:name w:val="我的标题3 Char"/>
    <w:link w:val="746"/>
    <w:qFormat/>
    <w:uiPriority w:val="0"/>
    <w:rPr>
      <w:rFonts w:eastAsia="黑体"/>
      <w:kern w:val="2"/>
      <w:sz w:val="28"/>
      <w:szCs w:val="24"/>
      <w:lang w:val="en-US" w:eastAsia="zh-CN" w:bidi="ar-SA"/>
    </w:rPr>
  </w:style>
  <w:style w:type="paragraph" w:customStyle="1" w:styleId="746">
    <w:name w:val="我的标题3"/>
    <w:basedOn w:val="1"/>
    <w:link w:val="745"/>
    <w:qFormat/>
    <w:uiPriority w:val="0"/>
    <w:pPr>
      <w:ind w:firstLine="538" w:firstLineChars="192"/>
    </w:pPr>
    <w:rPr>
      <w:rFonts w:eastAsia="黑体"/>
      <w:szCs w:val="24"/>
    </w:rPr>
  </w:style>
  <w:style w:type="character" w:customStyle="1" w:styleId="747">
    <w:name w:val="表格内容 Char Char"/>
    <w:qFormat/>
    <w:uiPriority w:val="0"/>
    <w:rPr>
      <w:sz w:val="24"/>
    </w:rPr>
  </w:style>
  <w:style w:type="character" w:customStyle="1" w:styleId="748">
    <w:name w:val="表格中 Char"/>
    <w:link w:val="749"/>
    <w:qFormat/>
    <w:uiPriority w:val="0"/>
    <w:rPr>
      <w:kern w:val="2"/>
      <w:sz w:val="21"/>
      <w:lang w:bidi="ar-SA"/>
    </w:rPr>
  </w:style>
  <w:style w:type="paragraph" w:customStyle="1" w:styleId="749">
    <w:name w:val="表格中"/>
    <w:basedOn w:val="714"/>
    <w:link w:val="748"/>
    <w:qFormat/>
    <w:uiPriority w:val="0"/>
    <w:pPr>
      <w:pBdr>
        <w:left w:val="none" w:color="auto" w:sz="0" w:space="0"/>
        <w:bottom w:val="none" w:color="auto" w:sz="0" w:space="0"/>
        <w:right w:val="none" w:color="auto" w:sz="0" w:space="0"/>
      </w:pBdr>
      <w:spacing w:before="0" w:beforeAutospacing="0" w:after="0" w:afterAutospacing="0" w:line="360" w:lineRule="exact"/>
    </w:pPr>
    <w:rPr>
      <w:rFonts w:ascii="Times New Roman" w:hAnsi="Times New Roman" w:eastAsia="Times New Roman"/>
      <w:kern w:val="2"/>
      <w:szCs w:val="20"/>
    </w:rPr>
  </w:style>
  <w:style w:type="paragraph" w:customStyle="1" w:styleId="750">
    <w:name w:val="ST20_41"/>
    <w:basedOn w:val="751"/>
    <w:next w:val="1"/>
    <w:qFormat/>
    <w:uiPriority w:val="0"/>
    <w:pPr>
      <w:tabs>
        <w:tab w:val="left" w:pos="720"/>
      </w:tabs>
      <w:spacing w:after="240"/>
    </w:pPr>
  </w:style>
  <w:style w:type="paragraph" w:customStyle="1" w:styleId="751">
    <w:name w:val="ST20_20"/>
    <w:basedOn w:val="752"/>
    <w:qFormat/>
    <w:uiPriority w:val="0"/>
    <w:pPr>
      <w:tabs>
        <w:tab w:val="left" w:pos="720"/>
      </w:tabs>
      <w:spacing w:after="160"/>
    </w:pPr>
  </w:style>
  <w:style w:type="paragraph" w:customStyle="1" w:styleId="752">
    <w:name w:val="ST20_19"/>
    <w:basedOn w:val="753"/>
    <w:qFormat/>
    <w:uiPriority w:val="0"/>
    <w:pPr>
      <w:tabs>
        <w:tab w:val="left" w:pos="720"/>
      </w:tabs>
      <w:spacing w:after="80"/>
      <w:ind w:left="720" w:hanging="360"/>
    </w:pPr>
  </w:style>
  <w:style w:type="paragraph" w:customStyle="1" w:styleId="753">
    <w:name w:val="ST20_2"/>
    <w:basedOn w:val="1"/>
    <w:qFormat/>
    <w:uiPriority w:val="0"/>
    <w:pPr>
      <w:autoSpaceDE w:val="0"/>
      <w:autoSpaceDN w:val="0"/>
      <w:adjustRightInd w:val="0"/>
      <w:spacing w:after="160" w:line="360" w:lineRule="atLeast"/>
      <w:jc w:val="left"/>
      <w:textAlignment w:val="baseline"/>
    </w:pPr>
    <w:rPr>
      <w:rFonts w:ascii="宋体" w:hAnsi="Tms Rmn" w:eastAsia="宋体"/>
      <w:kern w:val="0"/>
      <w:szCs w:val="28"/>
    </w:rPr>
  </w:style>
  <w:style w:type="paragraph" w:customStyle="1" w:styleId="754">
    <w:name w:val="样式 标题 1（安评1）章标题 1标题111标题 1 Char标题yjm1h11st levelSection ..."/>
    <w:basedOn w:val="3"/>
    <w:semiHidden/>
    <w:qFormat/>
    <w:uiPriority w:val="0"/>
    <w:pPr>
      <w:pageBreakBefore w:val="0"/>
      <w:tabs>
        <w:tab w:val="left" w:pos="360"/>
      </w:tabs>
      <w:adjustRightInd w:val="0"/>
      <w:snapToGrid w:val="0"/>
      <w:spacing w:before="340" w:after="330" w:line="360" w:lineRule="auto"/>
      <w:ind w:left="360" w:hanging="360" w:hangingChars="200"/>
      <w:jc w:val="both"/>
    </w:pPr>
    <w:rPr>
      <w:rFonts w:ascii="Arial" w:cs="宋体"/>
      <w:b w:val="0"/>
      <w:bCs/>
    </w:rPr>
  </w:style>
  <w:style w:type="paragraph" w:customStyle="1" w:styleId="755">
    <w:name w:val="样式 标题 3H3H31H32H33u3标题 3 Char Char Char标题 3 Char Char Cha..."/>
    <w:basedOn w:val="6"/>
    <w:qFormat/>
    <w:uiPriority w:val="0"/>
    <w:pPr>
      <w:keepLines w:val="0"/>
      <w:tabs>
        <w:tab w:val="left" w:pos="0"/>
      </w:tabs>
      <w:spacing w:before="0" w:after="0" w:line="360" w:lineRule="auto"/>
      <w:ind w:left="567" w:hanging="567"/>
      <w:jc w:val="left"/>
    </w:pPr>
    <w:rPr>
      <w:rFonts w:ascii="Times New Roman" w:hAnsi="宋体" w:eastAsia="宋体" w:cs="宋体"/>
    </w:rPr>
  </w:style>
  <w:style w:type="paragraph" w:customStyle="1" w:styleId="756">
    <w:name w:val="ST20_30"/>
    <w:basedOn w:val="1"/>
    <w:next w:val="757"/>
    <w:qFormat/>
    <w:uiPriority w:val="0"/>
    <w:pPr>
      <w:keepNext/>
      <w:keepLines/>
      <w:tabs>
        <w:tab w:val="left" w:pos="360"/>
      </w:tabs>
      <w:autoSpaceDE w:val="0"/>
      <w:autoSpaceDN w:val="0"/>
      <w:adjustRightInd w:val="0"/>
      <w:spacing w:line="360" w:lineRule="atLeast"/>
      <w:ind w:left="360" w:hanging="360"/>
      <w:jc w:val="left"/>
      <w:textAlignment w:val="baseline"/>
    </w:pPr>
    <w:rPr>
      <w:rFonts w:ascii="宋体" w:hAnsi="Tms Rmn" w:eastAsia="宋体"/>
      <w:kern w:val="0"/>
      <w:szCs w:val="28"/>
    </w:rPr>
  </w:style>
  <w:style w:type="paragraph" w:customStyle="1" w:styleId="757">
    <w:name w:val="ST20_31"/>
    <w:basedOn w:val="1"/>
    <w:qFormat/>
    <w:uiPriority w:val="0"/>
    <w:pPr>
      <w:keepLines/>
      <w:autoSpaceDE w:val="0"/>
      <w:autoSpaceDN w:val="0"/>
      <w:adjustRightInd w:val="0"/>
      <w:spacing w:line="360" w:lineRule="atLeast"/>
      <w:jc w:val="left"/>
      <w:textAlignment w:val="baseline"/>
    </w:pPr>
    <w:rPr>
      <w:rFonts w:ascii="宋体" w:hAnsi="Tms Rmn" w:eastAsia="宋体"/>
      <w:kern w:val="0"/>
      <w:szCs w:val="28"/>
    </w:rPr>
  </w:style>
  <w:style w:type="paragraph" w:customStyle="1" w:styleId="758">
    <w:name w:val="页号"/>
    <w:basedOn w:val="56"/>
    <w:qFormat/>
    <w:uiPriority w:val="0"/>
    <w:pPr>
      <w:pBdr>
        <w:top w:val="single" w:color="auto" w:sz="6" w:space="1"/>
      </w:pBdr>
      <w:tabs>
        <w:tab w:val="center" w:pos="4320"/>
        <w:tab w:val="right" w:pos="8640"/>
        <w:tab w:val="clear" w:pos="4153"/>
        <w:tab w:val="clear" w:pos="8306"/>
      </w:tabs>
      <w:adjustRightInd w:val="0"/>
      <w:snapToGrid/>
      <w:spacing w:line="360" w:lineRule="auto"/>
      <w:jc w:val="center"/>
      <w:textAlignment w:val="baseline"/>
    </w:pPr>
    <w:rPr>
      <w:rFonts w:ascii="宋体" w:hAnsi="Arial" w:eastAsia="宋体"/>
      <w:spacing w:val="3"/>
      <w:kern w:val="24"/>
      <w:sz w:val="24"/>
    </w:rPr>
  </w:style>
  <w:style w:type="paragraph" w:customStyle="1" w:styleId="759">
    <w:name w:val="xl154"/>
    <w:basedOn w:val="1"/>
    <w:qFormat/>
    <w:uiPriority w:val="0"/>
    <w:pPr>
      <w:widowControl/>
      <w:pBdr>
        <w:bottom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760">
    <w:name w:val="列表1"/>
    <w:basedOn w:val="67"/>
    <w:qFormat/>
    <w:uiPriority w:val="0"/>
    <w:pPr>
      <w:tabs>
        <w:tab w:val="left" w:pos="5320"/>
      </w:tabs>
      <w:autoSpaceDE/>
      <w:autoSpaceDN/>
      <w:snapToGrid w:val="0"/>
      <w:spacing w:line="360" w:lineRule="auto"/>
      <w:ind w:left="0" w:firstLine="0" w:firstLineChars="0"/>
      <w:jc w:val="center"/>
      <w:textAlignment w:val="auto"/>
    </w:pPr>
    <w:rPr>
      <w:kern w:val="2"/>
      <w:sz w:val="32"/>
    </w:rPr>
  </w:style>
  <w:style w:type="paragraph" w:customStyle="1" w:styleId="761">
    <w:name w:val="CM104"/>
    <w:basedOn w:val="762"/>
    <w:next w:val="762"/>
    <w:qFormat/>
    <w:uiPriority w:val="0"/>
    <w:pPr>
      <w:spacing w:line="626" w:lineRule="atLeast"/>
    </w:pPr>
    <w:rPr>
      <w:rFonts w:ascii="á￥êé" w:eastAsia="á￥êé"/>
    </w:rPr>
  </w:style>
  <w:style w:type="paragraph" w:customStyle="1" w:styleId="762">
    <w:name w:val="Default"/>
    <w:link w:val="2405"/>
    <w:qFormat/>
    <w:uiPriority w:val="0"/>
    <w:pPr>
      <w:widowControl w:val="0"/>
      <w:autoSpaceDE w:val="0"/>
      <w:autoSpaceDN w:val="0"/>
      <w:adjustRightInd w:val="0"/>
    </w:pPr>
    <w:rPr>
      <w:rFonts w:ascii="宋体" w:hAnsi="Times New Roman" w:eastAsia="宋体" w:cs="Times New Roman"/>
      <w:lang w:val="en-US" w:eastAsia="zh-CN" w:bidi="ar-SA"/>
    </w:rPr>
  </w:style>
  <w:style w:type="paragraph" w:customStyle="1" w:styleId="763">
    <w:name w:val="xl53"/>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hint="eastAsia" w:ascii="宋体" w:hAnsi="宋体" w:eastAsia="宋体"/>
      <w:kern w:val="0"/>
      <w:sz w:val="20"/>
    </w:rPr>
  </w:style>
  <w:style w:type="paragraph" w:customStyle="1" w:styleId="764">
    <w:name w:val="表格文字2"/>
    <w:basedOn w:val="1"/>
    <w:link w:val="1908"/>
    <w:qFormat/>
    <w:uiPriority w:val="0"/>
    <w:pPr>
      <w:keepNext/>
      <w:keepLines/>
      <w:tabs>
        <w:tab w:val="left" w:pos="0"/>
        <w:tab w:val="left" w:pos="277"/>
        <w:tab w:val="left" w:pos="600"/>
        <w:tab w:val="left" w:pos="780"/>
        <w:tab w:val="left" w:pos="2517"/>
      </w:tabs>
      <w:autoSpaceDE w:val="0"/>
      <w:autoSpaceDN w:val="0"/>
      <w:adjustRightInd w:val="0"/>
      <w:spacing w:before="60"/>
      <w:jc w:val="center"/>
      <w:textAlignment w:val="baseline"/>
    </w:pPr>
    <w:rPr>
      <w:rFonts w:ascii="宋体" w:eastAsia="宋体"/>
      <w:sz w:val="21"/>
      <w:szCs w:val="24"/>
    </w:rPr>
  </w:style>
  <w:style w:type="paragraph" w:customStyle="1" w:styleId="765">
    <w:name w:val="Char Char Char Char Char Char Char Char Char1 Char Char Char Char Char Char Char Char Char Char"/>
    <w:basedOn w:val="1"/>
    <w:qFormat/>
    <w:uiPriority w:val="0"/>
    <w:rPr>
      <w:rFonts w:ascii="宋体" w:hAnsi="宋体" w:eastAsia="宋体"/>
      <w:sz w:val="32"/>
    </w:rPr>
  </w:style>
  <w:style w:type="paragraph" w:customStyle="1" w:styleId="766">
    <w:name w:val="xl24"/>
    <w:basedOn w:val="1"/>
    <w:link w:val="1797"/>
    <w:qFormat/>
    <w:uiPriority w:val="0"/>
    <w:pPr>
      <w:widowControl/>
      <w:pBdr>
        <w:top w:val="single" w:color="auto" w:sz="4" w:space="0"/>
      </w:pBdr>
      <w:spacing w:before="100" w:beforeAutospacing="1" w:after="100" w:afterAutospacing="1"/>
      <w:jc w:val="center"/>
    </w:pPr>
    <w:rPr>
      <w:rFonts w:eastAsia="Arial Unicode MS"/>
      <w:kern w:val="0"/>
      <w:sz w:val="24"/>
      <w:szCs w:val="24"/>
    </w:rPr>
  </w:style>
  <w:style w:type="paragraph" w:customStyle="1" w:styleId="767">
    <w:name w:val="4 Char"/>
    <w:basedOn w:val="1"/>
    <w:qFormat/>
    <w:uiPriority w:val="0"/>
    <w:pPr>
      <w:tabs>
        <w:tab w:val="left" w:pos="794"/>
        <w:tab w:val="left" w:pos="1191"/>
        <w:tab w:val="left" w:pos="1588"/>
        <w:tab w:val="left" w:pos="1985"/>
      </w:tabs>
      <w:autoSpaceDE w:val="0"/>
      <w:autoSpaceDN w:val="0"/>
      <w:adjustRightInd w:val="0"/>
      <w:spacing w:before="136"/>
    </w:pPr>
    <w:rPr>
      <w:rFonts w:eastAsia="宋体"/>
      <w:sz w:val="24"/>
      <w:szCs w:val="24"/>
    </w:rPr>
  </w:style>
  <w:style w:type="paragraph" w:customStyle="1" w:styleId="768">
    <w:name w:val="标题2，中板"/>
    <w:basedOn w:val="4"/>
    <w:qFormat/>
    <w:uiPriority w:val="0"/>
    <w:pPr>
      <w:widowControl/>
      <w:tabs>
        <w:tab w:val="clear" w:pos="567"/>
      </w:tabs>
      <w:spacing w:before="260" w:after="260" w:line="413" w:lineRule="auto"/>
      <w:ind w:left="0" w:firstLine="0"/>
      <w:jc w:val="left"/>
    </w:pPr>
    <w:rPr>
      <w:rFonts w:ascii="Times New Roman" w:hAnsi="Times New Roman" w:cs="宋体"/>
      <w:bCs/>
      <w:sz w:val="32"/>
      <w:szCs w:val="24"/>
    </w:rPr>
  </w:style>
  <w:style w:type="paragraph" w:customStyle="1" w:styleId="769">
    <w:name w:val="xl27"/>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770">
    <w:name w:val="Char Char Char3 Char"/>
    <w:basedOn w:val="1"/>
    <w:qFormat/>
    <w:uiPriority w:val="0"/>
    <w:rPr>
      <w:rFonts w:eastAsia="宋体"/>
      <w:sz w:val="21"/>
    </w:rPr>
  </w:style>
  <w:style w:type="paragraph" w:customStyle="1" w:styleId="771">
    <w:name w:val="Char Char Char Char Char Char Char Char Char1 Char"/>
    <w:basedOn w:val="1"/>
    <w:qFormat/>
    <w:uiPriority w:val="0"/>
    <w:rPr>
      <w:rFonts w:ascii="宋体" w:hAnsi="宋体" w:eastAsia="宋体"/>
      <w:sz w:val="32"/>
    </w:rPr>
  </w:style>
  <w:style w:type="paragraph" w:customStyle="1" w:styleId="772">
    <w:name w:val="样式 宋体 小四 行距: 固定值 26 磅 首行缩进:  2 字符"/>
    <w:basedOn w:val="1"/>
    <w:qFormat/>
    <w:uiPriority w:val="0"/>
    <w:pPr>
      <w:spacing w:line="520" w:lineRule="exact"/>
      <w:ind w:firstLine="480" w:firstLineChars="200"/>
    </w:pPr>
    <w:rPr>
      <w:rFonts w:ascii="宋体" w:hAnsi="宋体" w:eastAsia="宋体" w:cs="宋体"/>
      <w:sz w:val="24"/>
    </w:rPr>
  </w:style>
  <w:style w:type="paragraph" w:customStyle="1" w:styleId="773">
    <w:name w:val="样式 标题 4标题 4 Char Char标题 4 Char四款标题1.1.1.1表格1 + (符号) Arial"/>
    <w:basedOn w:val="7"/>
    <w:qFormat/>
    <w:uiPriority w:val="0"/>
    <w:pPr>
      <w:spacing w:before="120" w:after="120" w:line="240" w:lineRule="auto"/>
    </w:pPr>
    <w:rPr>
      <w:rFonts w:hAnsi="宋体" w:eastAsia="宋体" w:cs="Arial"/>
      <w:color w:val="auto"/>
      <w:spacing w:val="10"/>
      <w:szCs w:val="24"/>
    </w:rPr>
  </w:style>
  <w:style w:type="paragraph" w:customStyle="1" w:styleId="774">
    <w:name w:val="T表格"/>
    <w:qFormat/>
    <w:uiPriority w:val="0"/>
    <w:pPr>
      <w:jc w:val="center"/>
    </w:pPr>
    <w:rPr>
      <w:rFonts w:ascii="Times New Roman" w:hAnsi="Times New Roman" w:eastAsia="宋体" w:cs="Times New Roman"/>
      <w:sz w:val="21"/>
      <w:lang w:val="en-US" w:eastAsia="zh-CN" w:bidi="ar-SA"/>
    </w:rPr>
  </w:style>
  <w:style w:type="paragraph" w:customStyle="1" w:styleId="775">
    <w:name w:val="博士论文正文 Char"/>
    <w:basedOn w:val="1"/>
    <w:semiHidden/>
    <w:qFormat/>
    <w:uiPriority w:val="0"/>
    <w:pPr>
      <w:widowControl/>
      <w:snapToGrid w:val="0"/>
      <w:jc w:val="left"/>
    </w:pPr>
    <w:rPr>
      <w:rFonts w:ascii="宋体" w:hAnsi="宋体" w:eastAsia="宋体"/>
      <w:kern w:val="0"/>
      <w:sz w:val="21"/>
      <w:szCs w:val="24"/>
    </w:rPr>
  </w:style>
  <w:style w:type="paragraph" w:customStyle="1" w:styleId="776">
    <w:name w:val="reader-word-layer reader-word-s2-3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77">
    <w:name w:val="样式 标题 4款标题1.1.1.1标题 4 Char Char标题 4 Char四目H4H41L4Minor ..."/>
    <w:basedOn w:val="7"/>
    <w:qFormat/>
    <w:uiPriority w:val="0"/>
    <w:pPr>
      <w:tabs>
        <w:tab w:val="left" w:pos="1211"/>
      </w:tabs>
      <w:spacing w:line="360" w:lineRule="auto"/>
      <w:ind w:left="1211"/>
      <w:outlineLvl w:val="0"/>
    </w:pPr>
    <w:rPr>
      <w:rFonts w:ascii="仿宋_GB2312" w:hAnsi="Times New Roman" w:cs="宋体"/>
      <w:bCs/>
      <w:color w:val="auto"/>
      <w:kern w:val="0"/>
    </w:rPr>
  </w:style>
  <w:style w:type="paragraph" w:customStyle="1" w:styleId="778">
    <w:name w:val="正文表格文字"/>
    <w:basedOn w:val="1"/>
    <w:semiHidden/>
    <w:qFormat/>
    <w:uiPriority w:val="0"/>
    <w:pPr>
      <w:widowControl/>
      <w:snapToGrid w:val="0"/>
      <w:spacing w:line="400" w:lineRule="exact"/>
      <w:jc w:val="left"/>
    </w:pPr>
    <w:rPr>
      <w:rFonts w:eastAsia="宋体"/>
      <w:kern w:val="0"/>
      <w:sz w:val="21"/>
    </w:rPr>
  </w:style>
  <w:style w:type="paragraph" w:customStyle="1" w:styleId="779">
    <w:name w:val="Char Char1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780">
    <w:name w:val="1"/>
    <w:basedOn w:val="1"/>
    <w:qFormat/>
    <w:uiPriority w:val="0"/>
    <w:rPr>
      <w:rFonts w:eastAsia="宋体"/>
      <w:sz w:val="21"/>
      <w:szCs w:val="24"/>
    </w:rPr>
  </w:style>
  <w:style w:type="paragraph" w:customStyle="1" w:styleId="781">
    <w:name w:val="表内容"/>
    <w:basedOn w:val="1"/>
    <w:qFormat/>
    <w:uiPriority w:val="0"/>
    <w:pPr>
      <w:adjustRightInd w:val="0"/>
      <w:snapToGrid w:val="0"/>
      <w:spacing w:line="360" w:lineRule="auto"/>
      <w:jc w:val="center"/>
      <w:textAlignment w:val="center"/>
    </w:pPr>
    <w:rPr>
      <w:rFonts w:eastAsia="宋体"/>
      <w:sz w:val="24"/>
    </w:rPr>
  </w:style>
  <w:style w:type="paragraph" w:customStyle="1" w:styleId="782">
    <w:name w:val="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783">
    <w:name w:val="Char Char Char1 Char"/>
    <w:basedOn w:val="1"/>
    <w:next w:val="1"/>
    <w:qFormat/>
    <w:uiPriority w:val="0"/>
    <w:pPr>
      <w:spacing w:line="360" w:lineRule="auto"/>
      <w:ind w:firstLine="200" w:firstLineChars="200"/>
    </w:pPr>
    <w:rPr>
      <w:rFonts w:eastAsia="宋体"/>
      <w:sz w:val="21"/>
      <w:szCs w:val="24"/>
    </w:rPr>
  </w:style>
  <w:style w:type="paragraph" w:customStyle="1" w:styleId="784">
    <w:name w:val="样式 正文缩进正文（首行缩进两字） + 段后: 0.1 行"/>
    <w:basedOn w:val="1"/>
    <w:semiHidden/>
    <w:qFormat/>
    <w:uiPriority w:val="0"/>
    <w:pPr>
      <w:widowControl/>
      <w:spacing w:line="400" w:lineRule="exact"/>
      <w:ind w:firstLine="480" w:firstLineChars="200"/>
    </w:pPr>
    <w:rPr>
      <w:rFonts w:eastAsia="宋体"/>
      <w:bCs/>
      <w:color w:val="000000"/>
      <w:kern w:val="0"/>
      <w:sz w:val="24"/>
      <w:lang w:val="zh-CN"/>
    </w:rPr>
  </w:style>
  <w:style w:type="paragraph" w:customStyle="1" w:styleId="785">
    <w:name w:val="Char2 Char Char Char Char Char Char Char Char Char"/>
    <w:basedOn w:val="1"/>
    <w:qFormat/>
    <w:uiPriority w:val="0"/>
    <w:pPr>
      <w:snapToGrid w:val="0"/>
    </w:pPr>
    <w:rPr>
      <w:rFonts w:eastAsia="宋体"/>
      <w:sz w:val="21"/>
      <w:szCs w:val="24"/>
    </w:rPr>
  </w:style>
  <w:style w:type="paragraph" w:customStyle="1" w:styleId="786">
    <w:name w:val="reader-word-layer reader-word-s1-6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87">
    <w:name w:val="样式 表格 + 左侧:  0.98 厘米"/>
    <w:basedOn w:val="1"/>
    <w:semiHidden/>
    <w:qFormat/>
    <w:uiPriority w:val="0"/>
    <w:pPr>
      <w:adjustRightInd w:val="0"/>
      <w:snapToGrid w:val="0"/>
      <w:spacing w:before="100" w:beforeAutospacing="1" w:after="100" w:afterAutospacing="1" w:line="300" w:lineRule="auto"/>
    </w:pPr>
    <w:rPr>
      <w:rFonts w:ascii="Arial" w:hAnsi="Arial" w:eastAsia="宋体"/>
      <w:kern w:val="0"/>
      <w:sz w:val="21"/>
    </w:rPr>
  </w:style>
  <w:style w:type="paragraph" w:customStyle="1" w:styleId="788">
    <w:name w:val="Char4 Char Char Char"/>
    <w:basedOn w:val="1"/>
    <w:qFormat/>
    <w:uiPriority w:val="0"/>
    <w:pPr>
      <w:widowControl/>
      <w:snapToGrid w:val="0"/>
      <w:spacing w:after="160" w:line="300" w:lineRule="auto"/>
      <w:jc w:val="left"/>
    </w:pPr>
    <w:rPr>
      <w:rFonts w:ascii="仿宋_GB2312" w:hAnsi="Verdana"/>
      <w:b/>
      <w:kern w:val="0"/>
      <w:szCs w:val="28"/>
      <w:lang w:eastAsia="en-US"/>
    </w:rPr>
  </w:style>
  <w:style w:type="paragraph" w:customStyle="1" w:styleId="789">
    <w:name w:val="d_post_content"/>
    <w:basedOn w:val="1"/>
    <w:qFormat/>
    <w:uiPriority w:val="0"/>
    <w:pPr>
      <w:widowControl/>
      <w:wordWrap w:val="0"/>
      <w:spacing w:before="100" w:beforeAutospacing="1" w:after="100" w:afterAutospacing="1" w:line="342" w:lineRule="atLeast"/>
      <w:jc w:val="left"/>
    </w:pPr>
    <w:rPr>
      <w:rFonts w:ascii="宋体" w:hAnsi="宋体" w:eastAsia="宋体" w:cs="宋体"/>
      <w:kern w:val="0"/>
      <w:sz w:val="20"/>
    </w:rPr>
  </w:style>
  <w:style w:type="paragraph" w:customStyle="1" w:styleId="790">
    <w:name w:val="样式 正文首行缩进 + 首行缩进:  1 字符"/>
    <w:basedOn w:val="41"/>
    <w:qFormat/>
    <w:uiPriority w:val="0"/>
    <w:pPr>
      <w:adjustRightInd w:val="0"/>
      <w:spacing w:after="0" w:line="360" w:lineRule="auto"/>
      <w:ind w:firstLine="100" w:firstLineChars="200"/>
      <w:textAlignment w:val="baseline"/>
    </w:pPr>
    <w:rPr>
      <w:rFonts w:ascii="宋体" w:hAnsi="宋体" w:eastAsia="宋体" w:cs="宋体"/>
      <w:kern w:val="0"/>
      <w:sz w:val="24"/>
      <w:szCs w:val="24"/>
    </w:rPr>
  </w:style>
  <w:style w:type="paragraph" w:customStyle="1" w:styleId="791">
    <w:name w:val="报告标题3"/>
    <w:basedOn w:val="6"/>
    <w:link w:val="2535"/>
    <w:qFormat/>
    <w:uiPriority w:val="0"/>
    <w:pPr>
      <w:tabs>
        <w:tab w:val="left" w:pos="0"/>
      </w:tabs>
      <w:spacing w:before="0" w:after="0" w:line="360" w:lineRule="auto"/>
      <w:ind w:left="0" w:firstLine="0"/>
      <w:jc w:val="left"/>
    </w:pPr>
    <w:rPr>
      <w:rFonts w:ascii="Arial" w:hAnsi="Arial" w:eastAsia="宋体"/>
      <w:bCs w:val="0"/>
      <w:color w:val="000000"/>
      <w:szCs w:val="32"/>
    </w:rPr>
  </w:style>
  <w:style w:type="paragraph" w:customStyle="1" w:styleId="792">
    <w:name w:val="一级标题"/>
    <w:basedOn w:val="1"/>
    <w:qFormat/>
    <w:uiPriority w:val="0"/>
    <w:pPr>
      <w:spacing w:before="60" w:line="460" w:lineRule="exact"/>
      <w:outlineLvl w:val="0"/>
    </w:pPr>
    <w:rPr>
      <w:rFonts w:eastAsia="宋体"/>
      <w:b/>
      <w:bCs/>
      <w:sz w:val="32"/>
      <w:szCs w:val="24"/>
    </w:rPr>
  </w:style>
  <w:style w:type="paragraph" w:customStyle="1" w:styleId="793">
    <w:name w:val="样式 Arial 小四 行距: 固定值 22 磅 首行缩进:  2 字符"/>
    <w:basedOn w:val="1"/>
    <w:qFormat/>
    <w:uiPriority w:val="0"/>
    <w:pPr>
      <w:spacing w:line="440" w:lineRule="exact"/>
      <w:ind w:firstLine="480" w:firstLineChars="200"/>
    </w:pPr>
    <w:rPr>
      <w:rFonts w:ascii="Arial" w:hAnsi="Arial" w:eastAsia="宋体" w:cs="宋体"/>
      <w:sz w:val="24"/>
      <w:szCs w:val="24"/>
    </w:rPr>
  </w:style>
  <w:style w:type="paragraph" w:customStyle="1" w:styleId="794">
    <w:name w:val="G2"/>
    <w:basedOn w:val="60"/>
    <w:next w:val="1"/>
    <w:qFormat/>
    <w:uiPriority w:val="0"/>
    <w:pPr>
      <w:tabs>
        <w:tab w:val="clear" w:pos="1120"/>
        <w:tab w:val="clear" w:pos="8767"/>
      </w:tabs>
      <w:spacing w:before="156" w:beforeLines="50" w:after="156" w:afterLines="50" w:line="360" w:lineRule="auto"/>
      <w:jc w:val="both"/>
      <w:outlineLvl w:val="1"/>
    </w:pPr>
    <w:rPr>
      <w:rFonts w:ascii="Times New Roman" w:hAnsi="Times New Roman"/>
      <w:bCs w:val="0"/>
      <w:caps w:val="0"/>
      <w:sz w:val="30"/>
      <w:szCs w:val="24"/>
    </w:rPr>
  </w:style>
  <w:style w:type="paragraph" w:customStyle="1" w:styleId="795">
    <w:name w:val="Char Char2 Char Char Char Char"/>
    <w:basedOn w:val="1"/>
    <w:semiHidden/>
    <w:qFormat/>
    <w:uiPriority w:val="0"/>
    <w:pPr>
      <w:snapToGrid w:val="0"/>
      <w:spacing w:line="360" w:lineRule="auto"/>
    </w:pPr>
    <w:rPr>
      <w:rFonts w:ascii="宋体" w:hAnsi="宋体" w:eastAsia="宋体" w:cs="宋体"/>
      <w:sz w:val="24"/>
      <w:szCs w:val="24"/>
    </w:rPr>
  </w:style>
  <w:style w:type="paragraph" w:customStyle="1" w:styleId="796">
    <w:name w:val="reader-word-layer reader-word-s2-2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97">
    <w:name w:val="样式 标题 2 + 首行缩进:  2 字符"/>
    <w:basedOn w:val="4"/>
    <w:qFormat/>
    <w:uiPriority w:val="0"/>
    <w:pPr>
      <w:adjustRightInd w:val="0"/>
      <w:snapToGrid w:val="0"/>
      <w:spacing w:before="0" w:after="0" w:line="360" w:lineRule="auto"/>
      <w:ind w:firstLine="643" w:firstLineChars="202"/>
      <w:jc w:val="left"/>
    </w:pPr>
    <w:rPr>
      <w:rFonts w:ascii="宋体" w:hAnsi="宋体" w:cs="宋体"/>
      <w:bCs/>
      <w:sz w:val="30"/>
    </w:rPr>
  </w:style>
  <w:style w:type="paragraph" w:customStyle="1" w:styleId="798">
    <w:name w:val="Report Level 2"/>
    <w:basedOn w:val="1"/>
    <w:next w:val="1"/>
    <w:qFormat/>
    <w:uiPriority w:val="0"/>
    <w:pPr>
      <w:keepNext/>
      <w:widowControl/>
      <w:tabs>
        <w:tab w:val="left" w:pos="1080"/>
      </w:tabs>
      <w:spacing w:before="240" w:after="120"/>
      <w:ind w:left="851" w:hanging="563"/>
      <w:jc w:val="left"/>
      <w:outlineLvl w:val="1"/>
    </w:pPr>
    <w:rPr>
      <w:rFonts w:ascii="Arial" w:hAnsi="Arial" w:eastAsia="宋体"/>
      <w:b/>
      <w:kern w:val="0"/>
      <w:sz w:val="24"/>
      <w:lang w:val="en-GB" w:eastAsia="en-US"/>
    </w:rPr>
  </w:style>
  <w:style w:type="paragraph" w:customStyle="1" w:styleId="799">
    <w:name w:val="样式 标题 2 + 左侧:  0 厘米 首行缩进:  0 厘米"/>
    <w:basedOn w:val="4"/>
    <w:qFormat/>
    <w:uiPriority w:val="0"/>
    <w:pPr>
      <w:keepLines w:val="0"/>
      <w:tabs>
        <w:tab w:val="left" w:pos="735"/>
      </w:tabs>
      <w:snapToGrid w:val="0"/>
      <w:spacing w:before="0" w:after="0" w:line="360" w:lineRule="auto"/>
      <w:ind w:left="0" w:firstLine="0"/>
    </w:pPr>
    <w:rPr>
      <w:rFonts w:ascii="宋体" w:hAnsi="宋体" w:eastAsia="宋体" w:cs="宋体"/>
      <w:b/>
      <w:bCs/>
      <w:sz w:val="30"/>
    </w:rPr>
  </w:style>
  <w:style w:type="paragraph" w:customStyle="1" w:styleId="800">
    <w:name w:val="TOC 标题1"/>
    <w:basedOn w:val="3"/>
    <w:next w:val="1"/>
    <w:qFormat/>
    <w:uiPriority w:val="39"/>
    <w:pPr>
      <w:pageBreakBefore w:val="0"/>
      <w:widowControl/>
      <w:spacing w:before="480" w:after="0" w:line="276" w:lineRule="auto"/>
      <w:ind w:left="0" w:firstLine="0"/>
      <w:jc w:val="left"/>
      <w:outlineLvl w:val="9"/>
    </w:pPr>
    <w:rPr>
      <w:rFonts w:ascii="Cambria" w:hAnsi="Cambria"/>
      <w:bCs/>
      <w:color w:val="365F91"/>
      <w:kern w:val="0"/>
      <w:sz w:val="28"/>
      <w:szCs w:val="28"/>
    </w:rPr>
  </w:style>
  <w:style w:type="paragraph" w:customStyle="1" w:styleId="801">
    <w:name w:val="样式 标题 4标题 14 + 加粗 无下划线 自动设置 段前: 3 磅 段后: 10 磅2"/>
    <w:basedOn w:val="7"/>
    <w:qFormat/>
    <w:uiPriority w:val="0"/>
    <w:pPr>
      <w:keepLines w:val="0"/>
      <w:tabs>
        <w:tab w:val="left" w:pos="425"/>
      </w:tabs>
      <w:adjustRightInd w:val="0"/>
      <w:snapToGrid w:val="0"/>
      <w:spacing w:before="60" w:after="200" w:line="240" w:lineRule="auto"/>
      <w:ind w:left="0" w:firstLine="0"/>
      <w:jc w:val="both"/>
    </w:pPr>
    <w:rPr>
      <w:rFonts w:ascii="Times New Roman" w:hAnsi="Times New Roman" w:eastAsia="宋体"/>
      <w:b w:val="0"/>
      <w:bCs/>
      <w:u w:color="FF00FF"/>
    </w:rPr>
  </w:style>
  <w:style w:type="paragraph" w:customStyle="1" w:styleId="802">
    <w:name w:val="Char6"/>
    <w:basedOn w:val="1"/>
    <w:qFormat/>
    <w:uiPriority w:val="0"/>
    <w:pPr>
      <w:spacing w:line="360" w:lineRule="auto"/>
      <w:ind w:firstLine="200" w:firstLineChars="200"/>
    </w:pPr>
    <w:rPr>
      <w:rFonts w:ascii="宋体" w:hAnsi="宋体" w:eastAsia="宋体" w:cs="宋体"/>
      <w:sz w:val="24"/>
      <w:szCs w:val="24"/>
    </w:rPr>
  </w:style>
  <w:style w:type="paragraph" w:customStyle="1" w:styleId="803">
    <w:name w:val="Char Char Char2 Char Char Char Char Char Char Char Char Char Char"/>
    <w:basedOn w:val="1"/>
    <w:qFormat/>
    <w:uiPriority w:val="0"/>
    <w:rPr>
      <w:rFonts w:eastAsia="宋体"/>
      <w:sz w:val="21"/>
      <w:szCs w:val="24"/>
    </w:rPr>
  </w:style>
  <w:style w:type="paragraph" w:customStyle="1" w:styleId="804">
    <w:name w:val="Bullet 1"/>
    <w:basedOn w:val="1"/>
    <w:next w:val="1"/>
    <w:qFormat/>
    <w:uiPriority w:val="0"/>
    <w:pPr>
      <w:widowControl/>
      <w:tabs>
        <w:tab w:val="left" w:pos="420"/>
        <w:tab w:val="left" w:pos="1440"/>
      </w:tabs>
      <w:ind w:left="2160"/>
      <w:jc w:val="left"/>
    </w:pPr>
    <w:rPr>
      <w:rFonts w:ascii="Arial" w:hAnsi="Arial" w:eastAsia="宋体"/>
      <w:kern w:val="0"/>
      <w:sz w:val="20"/>
    </w:rPr>
  </w:style>
  <w:style w:type="paragraph" w:customStyle="1" w:styleId="805">
    <w:name w:val="Company Name"/>
    <w:basedOn w:val="1"/>
    <w:next w:val="1"/>
    <w:qFormat/>
    <w:uiPriority w:val="0"/>
    <w:pPr>
      <w:widowControl/>
      <w:tabs>
        <w:tab w:val="left" w:pos="2160"/>
        <w:tab w:val="right" w:pos="6480"/>
      </w:tabs>
      <w:spacing w:before="220" w:after="40" w:line="220" w:lineRule="atLeast"/>
      <w:ind w:right="-360"/>
      <w:jc w:val="left"/>
    </w:pPr>
    <w:rPr>
      <w:rFonts w:eastAsia="宋体"/>
      <w:kern w:val="0"/>
      <w:sz w:val="20"/>
    </w:rPr>
  </w:style>
  <w:style w:type="paragraph" w:customStyle="1" w:styleId="806">
    <w:name w:val="ST20_12"/>
    <w:basedOn w:val="1"/>
    <w:next w:val="807"/>
    <w:qFormat/>
    <w:uiPriority w:val="0"/>
    <w:pPr>
      <w:autoSpaceDE w:val="0"/>
      <w:autoSpaceDN w:val="0"/>
      <w:adjustRightInd w:val="0"/>
      <w:spacing w:before="160" w:line="360" w:lineRule="atLeast"/>
      <w:jc w:val="left"/>
      <w:textAlignment w:val="baseline"/>
    </w:pPr>
    <w:rPr>
      <w:rFonts w:ascii="宋体" w:hAnsi="Tms Rmn" w:eastAsia="宋体"/>
      <w:b/>
      <w:bCs/>
      <w:i/>
      <w:iCs/>
      <w:kern w:val="0"/>
      <w:szCs w:val="28"/>
    </w:rPr>
  </w:style>
  <w:style w:type="paragraph" w:customStyle="1" w:styleId="807">
    <w:name w:val="ST20_13"/>
    <w:basedOn w:val="1"/>
    <w:next w:val="808"/>
    <w:qFormat/>
    <w:uiPriority w:val="0"/>
    <w:pPr>
      <w:autoSpaceDE w:val="0"/>
      <w:autoSpaceDN w:val="0"/>
      <w:adjustRightInd w:val="0"/>
      <w:spacing w:before="160" w:line="360" w:lineRule="atLeast"/>
      <w:jc w:val="left"/>
      <w:textAlignment w:val="baseline"/>
    </w:pPr>
    <w:rPr>
      <w:rFonts w:ascii="宋体" w:hAnsi="Tms Rmn" w:eastAsia="宋体"/>
      <w:kern w:val="0"/>
      <w:szCs w:val="28"/>
    </w:rPr>
  </w:style>
  <w:style w:type="paragraph" w:customStyle="1" w:styleId="808">
    <w:name w:val="ST20_14"/>
    <w:basedOn w:val="1"/>
    <w:next w:val="1"/>
    <w:qFormat/>
    <w:uiPriority w:val="0"/>
    <w:pPr>
      <w:autoSpaceDE w:val="0"/>
      <w:autoSpaceDN w:val="0"/>
      <w:adjustRightInd w:val="0"/>
      <w:spacing w:line="360" w:lineRule="atLeast"/>
      <w:jc w:val="left"/>
      <w:textAlignment w:val="baseline"/>
    </w:pPr>
    <w:rPr>
      <w:rFonts w:ascii="宋体" w:hAnsi="Tms Rmn" w:eastAsia="宋体"/>
      <w:i/>
      <w:iCs/>
      <w:kern w:val="0"/>
      <w:szCs w:val="28"/>
      <w:u w:val="single"/>
    </w:rPr>
  </w:style>
  <w:style w:type="paragraph" w:customStyle="1" w:styleId="809">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810">
    <w:name w:val="标题 4-1"/>
    <w:basedOn w:val="1"/>
    <w:next w:val="1"/>
    <w:qFormat/>
    <w:uiPriority w:val="0"/>
    <w:pPr>
      <w:widowControl/>
      <w:adjustRightInd w:val="0"/>
      <w:snapToGrid w:val="0"/>
      <w:spacing w:line="480" w:lineRule="exact"/>
      <w:ind w:firstLine="538" w:firstLineChars="224"/>
      <w:jc w:val="left"/>
      <w:outlineLvl w:val="3"/>
    </w:pPr>
    <w:rPr>
      <w:rFonts w:ascii="宋体" w:hAnsi="宋体" w:eastAsia="宋体"/>
      <w:bCs/>
      <w:caps/>
      <w:kern w:val="0"/>
      <w:sz w:val="24"/>
      <w:szCs w:val="24"/>
    </w:rPr>
  </w:style>
  <w:style w:type="paragraph" w:customStyle="1" w:styleId="811">
    <w:name w:val="Section Subtitle"/>
    <w:basedOn w:val="812"/>
    <w:next w:val="1"/>
    <w:qFormat/>
    <w:uiPriority w:val="0"/>
    <w:pPr>
      <w:pBdr>
        <w:top w:val="none" w:color="auto" w:sz="0" w:space="0"/>
      </w:pBdr>
    </w:pPr>
    <w:rPr>
      <w:b w:val="0"/>
      <w:spacing w:val="0"/>
      <w:position w:val="6"/>
    </w:rPr>
  </w:style>
  <w:style w:type="paragraph" w:customStyle="1" w:styleId="812">
    <w:name w:val="Section Title"/>
    <w:basedOn w:val="1"/>
    <w:next w:val="1"/>
    <w:qFormat/>
    <w:uiPriority w:val="0"/>
    <w:pPr>
      <w:widowControl/>
      <w:pBdr>
        <w:top w:val="single" w:color="FFFFFF" w:sz="6" w:space="2"/>
        <w:left w:val="single" w:color="FFFFFF" w:sz="6" w:space="2"/>
        <w:bottom w:val="single" w:color="FFFFFF" w:sz="6" w:space="2"/>
        <w:right w:val="single" w:color="FFFFFF" w:sz="6" w:space="2"/>
      </w:pBdr>
      <w:shd w:val="pct10" w:color="auto" w:fill="auto"/>
      <w:spacing w:before="120" w:line="280" w:lineRule="atLeast"/>
      <w:jc w:val="left"/>
    </w:pPr>
    <w:rPr>
      <w:rFonts w:ascii="Arial" w:hAnsi="Arial" w:eastAsia="宋体"/>
      <w:b/>
      <w:spacing w:val="-10"/>
      <w:kern w:val="0"/>
      <w:position w:val="7"/>
      <w:sz w:val="20"/>
    </w:rPr>
  </w:style>
  <w:style w:type="paragraph" w:customStyle="1" w:styleId="813">
    <w:name w:val="标题 1（安评1）章标题"/>
    <w:basedOn w:val="3"/>
    <w:semiHidden/>
    <w:qFormat/>
    <w:uiPriority w:val="0"/>
    <w:pPr>
      <w:pageBreakBefore w:val="0"/>
      <w:tabs>
        <w:tab w:val="left" w:pos="360"/>
      </w:tabs>
      <w:adjustRightInd w:val="0"/>
      <w:snapToGrid w:val="0"/>
      <w:spacing w:before="340" w:after="330" w:line="360" w:lineRule="auto"/>
      <w:ind w:left="360" w:hanging="360" w:hangingChars="200"/>
      <w:jc w:val="both"/>
    </w:pPr>
    <w:rPr>
      <w:rFonts w:ascii="Arial" w:cs="宋体"/>
      <w:b w:val="0"/>
      <w:bCs/>
      <w:kern w:val="2"/>
    </w:rPr>
  </w:style>
  <w:style w:type="paragraph" w:customStyle="1" w:styleId="814">
    <w:name w:val="xl1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815">
    <w:name w:val="主题1"/>
    <w:basedOn w:val="1"/>
    <w:qFormat/>
    <w:uiPriority w:val="0"/>
    <w:pPr>
      <w:adjustRightInd w:val="0"/>
      <w:spacing w:line="480" w:lineRule="auto"/>
      <w:ind w:left="709" w:right="284"/>
      <w:textAlignment w:val="baseline"/>
    </w:pPr>
    <w:rPr>
      <w:rFonts w:eastAsia="宋体"/>
      <w:b/>
      <w:kern w:val="0"/>
    </w:rPr>
  </w:style>
  <w:style w:type="paragraph" w:customStyle="1" w:styleId="816">
    <w:name w:val="样式 标题 3 + (西文) Times New Roman (中文) 宋体 小四 加粗 段前: 1 行2"/>
    <w:basedOn w:val="6"/>
    <w:qFormat/>
    <w:uiPriority w:val="0"/>
    <w:pPr>
      <w:keepNext w:val="0"/>
      <w:keepLines w:val="0"/>
      <w:tabs>
        <w:tab w:val="left" w:pos="1260"/>
        <w:tab w:val="left" w:pos="3216"/>
      </w:tabs>
      <w:adjustRightInd w:val="0"/>
      <w:spacing w:before="0" w:after="0"/>
      <w:ind w:left="1260" w:hanging="420"/>
      <w:textAlignment w:val="baseline"/>
    </w:pPr>
    <w:rPr>
      <w:rFonts w:ascii="Times New Roman" w:eastAsia="宋体"/>
    </w:rPr>
  </w:style>
  <w:style w:type="paragraph" w:customStyle="1" w:styleId="817">
    <w:name w:val="样式 样式 四号 行距: 1.5 倍行距 + 左侧:  2 字符 悬挂缩进: 2 字符"/>
    <w:basedOn w:val="818"/>
    <w:qFormat/>
    <w:uiPriority w:val="0"/>
    <w:pPr>
      <w:ind w:left="0" w:leftChars="0" w:firstLine="538" w:firstLineChars="192"/>
      <w:jc w:val="left"/>
    </w:pPr>
  </w:style>
  <w:style w:type="paragraph" w:customStyle="1" w:styleId="818">
    <w:name w:val="样式 四号 行距: 1.5 倍行距"/>
    <w:basedOn w:val="1"/>
    <w:qFormat/>
    <w:uiPriority w:val="0"/>
    <w:pPr>
      <w:spacing w:line="360" w:lineRule="auto"/>
      <w:ind w:left="980" w:leftChars="200" w:hanging="560" w:hangingChars="200"/>
    </w:pPr>
    <w:rPr>
      <w:rFonts w:eastAsia="宋体" w:cs="宋体"/>
    </w:rPr>
  </w:style>
  <w:style w:type="paragraph" w:customStyle="1" w:styleId="819">
    <w:name w:val="xl163"/>
    <w:basedOn w:val="1"/>
    <w:qFormat/>
    <w:uiPriority w:val="0"/>
    <w:pPr>
      <w:widowControl/>
      <w:spacing w:before="100" w:beforeAutospacing="1" w:after="100" w:afterAutospacing="1"/>
      <w:jc w:val="left"/>
      <w:textAlignment w:val="center"/>
    </w:pPr>
    <w:rPr>
      <w:rFonts w:ascii="Arial" w:hAnsi="Arial" w:eastAsia="宋体" w:cs="Arial"/>
      <w:kern w:val="0"/>
      <w:sz w:val="20"/>
    </w:rPr>
  </w:style>
  <w:style w:type="paragraph" w:customStyle="1" w:styleId="820">
    <w:name w:val="CM33"/>
    <w:basedOn w:val="762"/>
    <w:next w:val="762"/>
    <w:qFormat/>
    <w:uiPriority w:val="0"/>
    <w:rPr>
      <w:rFonts w:cs="宋体"/>
      <w:sz w:val="24"/>
      <w:szCs w:val="24"/>
    </w:rPr>
  </w:style>
  <w:style w:type="paragraph" w:customStyle="1" w:styleId="821">
    <w:name w:val="正文(首行缩进2字)"/>
    <w:basedOn w:val="1"/>
    <w:next w:val="1"/>
    <w:link w:val="1860"/>
    <w:qFormat/>
    <w:uiPriority w:val="0"/>
    <w:pPr>
      <w:widowControl/>
      <w:adjustRightInd w:val="0"/>
      <w:spacing w:line="360" w:lineRule="auto"/>
      <w:ind w:firstLine="560" w:firstLineChars="200"/>
      <w:jc w:val="left"/>
      <w:textAlignment w:val="baseline"/>
    </w:pPr>
    <w:rPr>
      <w:rFonts w:ascii="宋体" w:hAnsi="宋体" w:eastAsia="宋体" w:cs="宋体"/>
      <w:color w:val="000000"/>
      <w:kern w:val="0"/>
    </w:rPr>
  </w:style>
  <w:style w:type="paragraph" w:customStyle="1" w:styleId="822">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823">
    <w:name w:val="列出段落2"/>
    <w:basedOn w:val="1"/>
    <w:qFormat/>
    <w:uiPriority w:val="0"/>
    <w:pPr>
      <w:ind w:firstLine="420" w:firstLineChars="200"/>
    </w:pPr>
    <w:rPr>
      <w:rFonts w:ascii="Calibri" w:hAnsi="Calibri" w:eastAsia="宋体"/>
      <w:sz w:val="21"/>
      <w:szCs w:val="22"/>
    </w:rPr>
  </w:style>
  <w:style w:type="paragraph" w:customStyle="1" w:styleId="824">
    <w:name w:val="样式 标题 3 + 左侧:  0.74 厘米 首行缩进:  0.85 厘米"/>
    <w:basedOn w:val="6"/>
    <w:qFormat/>
    <w:uiPriority w:val="0"/>
    <w:pPr>
      <w:keepNext w:val="0"/>
      <w:keepLines w:val="0"/>
      <w:spacing w:before="0" w:after="0" w:line="360" w:lineRule="auto"/>
      <w:ind w:left="0" w:firstLine="0"/>
    </w:pPr>
    <w:rPr>
      <w:rFonts w:ascii="黑体" w:eastAsia="宋体" w:cs="宋体"/>
      <w:b w:val="0"/>
      <w:bCs w:val="0"/>
      <w:kern w:val="0"/>
    </w:rPr>
  </w:style>
  <w:style w:type="paragraph" w:customStyle="1" w:styleId="825">
    <w:name w:val="样式 图表目录 + 首行缩进:  2 字符"/>
    <w:basedOn w:val="74"/>
    <w:qFormat/>
    <w:uiPriority w:val="0"/>
    <w:pPr>
      <w:ind w:firstLine="0"/>
      <w:jc w:val="both"/>
    </w:pPr>
    <w:rPr>
      <w:b w:val="0"/>
      <w:bCs w:val="0"/>
      <w:kern w:val="2"/>
      <w:lang w:val="zh-CN"/>
    </w:rPr>
  </w:style>
  <w:style w:type="paragraph" w:customStyle="1" w:styleId="826">
    <w:name w:val="报告"/>
    <w:basedOn w:val="1"/>
    <w:link w:val="2685"/>
    <w:qFormat/>
    <w:uiPriority w:val="0"/>
    <w:pPr>
      <w:adjustRightInd w:val="0"/>
      <w:ind w:firstLine="505"/>
      <w:textAlignment w:val="baseline"/>
    </w:pPr>
    <w:rPr>
      <w:rFonts w:eastAsia="宋体"/>
      <w:kern w:val="0"/>
      <w:sz w:val="21"/>
      <w:szCs w:val="24"/>
    </w:rPr>
  </w:style>
  <w:style w:type="paragraph" w:customStyle="1" w:styleId="827">
    <w:name w:val="样式 (中文) 仿宋_GB2312 四号 黑色"/>
    <w:basedOn w:val="1"/>
    <w:qFormat/>
    <w:uiPriority w:val="0"/>
    <w:pPr>
      <w:ind w:firstLine="200" w:firstLineChars="200"/>
      <w:jc w:val="left"/>
    </w:pPr>
    <w:rPr>
      <w:rFonts w:cs="宋体"/>
      <w:color w:val="000000"/>
    </w:rPr>
  </w:style>
  <w:style w:type="paragraph" w:customStyle="1" w:styleId="828">
    <w:name w:val="a表头"/>
    <w:basedOn w:val="829"/>
    <w:qFormat/>
    <w:uiPriority w:val="0"/>
    <w:pPr>
      <w:spacing w:before="0" w:beforeLines="0"/>
      <w:jc w:val="center"/>
    </w:pPr>
    <w:rPr>
      <w:sz w:val="24"/>
    </w:rPr>
  </w:style>
  <w:style w:type="paragraph" w:customStyle="1" w:styleId="829">
    <w:name w:val="a3"/>
    <w:basedOn w:val="1"/>
    <w:qFormat/>
    <w:uiPriority w:val="0"/>
    <w:pPr>
      <w:spacing w:before="156" w:beforeLines="50"/>
      <w:jc w:val="left"/>
      <w:outlineLvl w:val="2"/>
    </w:pPr>
    <w:rPr>
      <w:rFonts w:eastAsia="楷体_GB2312"/>
      <w:b/>
      <w:sz w:val="30"/>
    </w:rPr>
  </w:style>
  <w:style w:type="paragraph" w:customStyle="1" w:styleId="830">
    <w:name w:val="xl159"/>
    <w:basedOn w:val="1"/>
    <w:qFormat/>
    <w:uiPriority w:val="0"/>
    <w:pPr>
      <w:widowControl/>
      <w:pBdr>
        <w:top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831">
    <w:name w:val="Char Char2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832">
    <w:name w:val="Char1"/>
    <w:basedOn w:val="1"/>
    <w:qFormat/>
    <w:uiPriority w:val="0"/>
    <w:rPr>
      <w:rFonts w:ascii="仿宋_GB2312"/>
      <w:b/>
      <w:sz w:val="32"/>
      <w:szCs w:val="32"/>
    </w:rPr>
  </w:style>
  <w:style w:type="paragraph" w:customStyle="1" w:styleId="833">
    <w:name w:val="Char Char8 Char Char"/>
    <w:basedOn w:val="1"/>
    <w:qFormat/>
    <w:uiPriority w:val="0"/>
    <w:pPr>
      <w:spacing w:line="360" w:lineRule="auto"/>
      <w:ind w:firstLine="200" w:firstLineChars="200"/>
    </w:pPr>
    <w:rPr>
      <w:rFonts w:eastAsia="宋体"/>
      <w:sz w:val="21"/>
    </w:rPr>
  </w:style>
  <w:style w:type="paragraph" w:customStyle="1" w:styleId="834">
    <w:name w:val="二级条标题"/>
    <w:basedOn w:val="835"/>
    <w:next w:val="6"/>
    <w:qFormat/>
    <w:uiPriority w:val="0"/>
    <w:pPr>
      <w:outlineLvl w:val="3"/>
    </w:pPr>
  </w:style>
  <w:style w:type="paragraph" w:customStyle="1" w:styleId="835">
    <w:name w:val="一级条标题"/>
    <w:next w:val="6"/>
    <w:qFormat/>
    <w:uiPriority w:val="0"/>
    <w:pPr>
      <w:spacing w:line="360" w:lineRule="auto"/>
      <w:ind w:firstLine="200" w:firstLineChars="200"/>
      <w:outlineLvl w:val="2"/>
    </w:pPr>
    <w:rPr>
      <w:rFonts w:ascii="Times New Roman" w:hAnsi="Times New Roman" w:eastAsia="黑体" w:cs="Times New Roman"/>
      <w:sz w:val="21"/>
      <w:lang w:val="en-US" w:eastAsia="zh-CN" w:bidi="ar-SA"/>
    </w:rPr>
  </w:style>
  <w:style w:type="paragraph" w:customStyle="1" w:styleId="836">
    <w:name w:val="内容"/>
    <w:basedOn w:val="1"/>
    <w:qFormat/>
    <w:uiPriority w:val="0"/>
    <w:pPr>
      <w:spacing w:line="360" w:lineRule="auto"/>
      <w:ind w:firstLine="420"/>
    </w:pPr>
    <w:rPr>
      <w:rFonts w:eastAsia="宋体"/>
    </w:rPr>
  </w:style>
  <w:style w:type="paragraph" w:customStyle="1" w:styleId="837">
    <w:name w:val="正缩1"/>
    <w:basedOn w:val="1"/>
    <w:link w:val="2408"/>
    <w:qFormat/>
    <w:uiPriority w:val="0"/>
    <w:pPr>
      <w:snapToGrid w:val="0"/>
      <w:spacing w:line="500" w:lineRule="exact"/>
      <w:ind w:firstLine="567"/>
    </w:pPr>
    <w:rPr>
      <w:color w:val="000000"/>
      <w:kern w:val="0"/>
    </w:rPr>
  </w:style>
  <w:style w:type="paragraph" w:customStyle="1" w:styleId="838">
    <w:name w:val="reader-word-layer reader-word-s1-6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39">
    <w:name w:val="reader-word-layer reader-word-s1-1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40">
    <w:name w:val="表格居中"/>
    <w:basedOn w:val="1"/>
    <w:qFormat/>
    <w:uiPriority w:val="0"/>
    <w:pPr>
      <w:spacing w:line="400" w:lineRule="exact"/>
      <w:jc w:val="center"/>
    </w:pPr>
    <w:rPr>
      <w:rFonts w:eastAsia="宋体"/>
      <w:kern w:val="0"/>
      <w:sz w:val="24"/>
      <w:szCs w:val="21"/>
    </w:rPr>
  </w:style>
  <w:style w:type="paragraph" w:customStyle="1" w:styleId="841">
    <w:name w:val="样式 标题 1 + 小一"/>
    <w:basedOn w:val="3"/>
    <w:qFormat/>
    <w:uiPriority w:val="0"/>
    <w:pPr>
      <w:keepLines w:val="0"/>
      <w:pageBreakBefore w:val="0"/>
      <w:tabs>
        <w:tab w:val="left" w:pos="0"/>
      </w:tabs>
      <w:spacing w:before="0" w:after="0" w:line="480" w:lineRule="auto"/>
      <w:ind w:left="849" w:hanging="360"/>
    </w:pPr>
    <w:rPr>
      <w:kern w:val="2"/>
      <w:sz w:val="48"/>
    </w:rPr>
  </w:style>
  <w:style w:type="paragraph" w:customStyle="1" w:styleId="842">
    <w:name w:val="bullet2"/>
    <w:qFormat/>
    <w:uiPriority w:val="0"/>
    <w:pPr>
      <w:tabs>
        <w:tab w:val="left" w:pos="420"/>
      </w:tabs>
    </w:pPr>
    <w:rPr>
      <w:rFonts w:ascii="Times New Roman" w:hAnsi="Times New Roman" w:eastAsia="宋体" w:cs="Times New Roman"/>
      <w:lang w:val="en-US" w:eastAsia="zh-CN" w:bidi="ar-SA"/>
    </w:rPr>
  </w:style>
  <w:style w:type="paragraph" w:customStyle="1" w:styleId="843">
    <w:name w:val="样式 (符号) 宋体 小四 段前: 6 磅 段后: 6 磅 行距: 1.5 倍行距1"/>
    <w:basedOn w:val="1"/>
    <w:qFormat/>
    <w:uiPriority w:val="0"/>
    <w:pPr>
      <w:spacing w:beforeLines="50" w:afterLines="50" w:line="360" w:lineRule="auto"/>
      <w:ind w:firstLine="200" w:firstLineChars="200"/>
    </w:pPr>
    <w:rPr>
      <w:rFonts w:hAnsi="宋体" w:eastAsia="宋体"/>
      <w:sz w:val="24"/>
    </w:rPr>
  </w:style>
  <w:style w:type="paragraph" w:customStyle="1" w:styleId="844">
    <w:name w:val="标题13"/>
    <w:basedOn w:val="3"/>
    <w:next w:val="5"/>
    <w:qFormat/>
    <w:uiPriority w:val="0"/>
    <w:pPr>
      <w:spacing w:before="156" w:beforeLines="50" w:after="312" w:afterLines="100" w:line="360" w:lineRule="auto"/>
      <w:ind w:left="432" w:hanging="432"/>
    </w:pPr>
    <w:rPr>
      <w:bCs/>
      <w:sz w:val="32"/>
      <w:szCs w:val="44"/>
    </w:rPr>
  </w:style>
  <w:style w:type="paragraph" w:customStyle="1" w:styleId="845">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4"/>
      <w:szCs w:val="24"/>
    </w:rPr>
  </w:style>
  <w:style w:type="paragraph" w:customStyle="1" w:styleId="846">
    <w:name w:val="样式 报告正文 + 首行缩进:  2 字符"/>
    <w:basedOn w:val="1"/>
    <w:link w:val="2343"/>
    <w:qFormat/>
    <w:uiPriority w:val="0"/>
    <w:pPr>
      <w:spacing w:line="480" w:lineRule="exact"/>
      <w:ind w:firstLine="567"/>
    </w:pPr>
    <w:rPr>
      <w:rFonts w:eastAsia="宋体" w:cs="宋体"/>
    </w:rPr>
  </w:style>
  <w:style w:type="paragraph" w:customStyle="1" w:styleId="847">
    <w:name w:val="样式 目录 1 + 左侧:  0 厘米 悬挂缩进: 7.53 字符5"/>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960" w:hanging="960" w:hangingChars="343"/>
      <w:jc w:val="both"/>
    </w:pPr>
    <w:rPr>
      <w:rFonts w:ascii="Calibri" w:hAnsi="Calibri"/>
      <w:sz w:val="28"/>
      <w:szCs w:val="20"/>
    </w:rPr>
  </w:style>
  <w:style w:type="paragraph" w:customStyle="1" w:styleId="848">
    <w:name w:val="CM7"/>
    <w:basedOn w:val="762"/>
    <w:next w:val="762"/>
    <w:qFormat/>
    <w:uiPriority w:val="0"/>
    <w:pPr>
      <w:spacing w:line="280" w:lineRule="atLeast"/>
    </w:pPr>
    <w:rPr>
      <w:sz w:val="24"/>
      <w:szCs w:val="24"/>
    </w:rPr>
  </w:style>
  <w:style w:type="paragraph" w:customStyle="1" w:styleId="849">
    <w:name w:val="表格文字左"/>
    <w:basedOn w:val="1"/>
    <w:qFormat/>
    <w:uiPriority w:val="0"/>
    <w:pPr>
      <w:jc w:val="left"/>
    </w:pPr>
    <w:rPr>
      <w:rFonts w:ascii="宋体" w:hAnsi="宋体" w:eastAsia="宋体" w:cs="Arial"/>
      <w:sz w:val="24"/>
      <w:szCs w:val="18"/>
    </w:rPr>
  </w:style>
  <w:style w:type="paragraph" w:customStyle="1" w:styleId="850">
    <w:name w:val="默认段落字体 Char Char Char"/>
    <w:basedOn w:val="1"/>
    <w:semiHidden/>
    <w:qFormat/>
    <w:uiPriority w:val="0"/>
    <w:pPr>
      <w:snapToGrid w:val="0"/>
    </w:pPr>
    <w:rPr>
      <w:rFonts w:eastAsia="宋体"/>
      <w:sz w:val="24"/>
      <w:szCs w:val="24"/>
    </w:rPr>
  </w:style>
  <w:style w:type="paragraph" w:customStyle="1" w:styleId="851">
    <w:name w:val="样式 题注 + 段前: 0.5 行"/>
    <w:basedOn w:val="22"/>
    <w:semiHidden/>
    <w:qFormat/>
    <w:uiPriority w:val="0"/>
    <w:pPr>
      <w:keepNext/>
      <w:adjustRightInd w:val="0"/>
      <w:snapToGrid w:val="0"/>
      <w:spacing w:before="120" w:beforeLines="50" w:after="0" w:line="360" w:lineRule="auto"/>
      <w:ind w:left="560" w:leftChars="200"/>
      <w:jc w:val="left"/>
    </w:pPr>
    <w:rPr>
      <w:kern w:val="0"/>
      <w:sz w:val="21"/>
    </w:rPr>
  </w:style>
  <w:style w:type="paragraph" w:customStyle="1" w:styleId="852">
    <w:name w:val="Char Char Char Char Char Char1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53">
    <w:name w:val="Header Base"/>
    <w:basedOn w:val="34"/>
    <w:qFormat/>
    <w:uiPriority w:val="0"/>
    <w:pPr>
      <w:keepLines/>
      <w:tabs>
        <w:tab w:val="center" w:pos="4320"/>
        <w:tab w:val="right" w:pos="8640"/>
      </w:tabs>
      <w:spacing w:after="0" w:line="180" w:lineRule="atLeast"/>
    </w:pPr>
    <w:rPr>
      <w:sz w:val="24"/>
    </w:rPr>
  </w:style>
  <w:style w:type="paragraph" w:customStyle="1" w:styleId="854">
    <w:name w:val="样式 目录 1 + 左侧:  0 厘米 悬挂缩进: 7.53 字符1"/>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8"/>
    </w:rPr>
  </w:style>
  <w:style w:type="paragraph" w:customStyle="1" w:styleId="855">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customStyle="1" w:styleId="856">
    <w:name w:val="样式 居中 行距: 固定值 20 磅"/>
    <w:basedOn w:val="1"/>
    <w:qFormat/>
    <w:uiPriority w:val="0"/>
    <w:pPr>
      <w:spacing w:line="400" w:lineRule="exact"/>
      <w:jc w:val="center"/>
    </w:pPr>
    <w:rPr>
      <w:rFonts w:eastAsia="宋体"/>
      <w:sz w:val="24"/>
      <w:szCs w:val="24"/>
    </w:rPr>
  </w:style>
  <w:style w:type="paragraph" w:customStyle="1" w:styleId="857">
    <w:name w:val="Char Char Char Char Char Char Char Char Char1 Char Char"/>
    <w:basedOn w:val="1"/>
    <w:qFormat/>
    <w:uiPriority w:val="0"/>
    <w:rPr>
      <w:rFonts w:eastAsia="宋体"/>
      <w:sz w:val="24"/>
      <w:szCs w:val="24"/>
    </w:rPr>
  </w:style>
  <w:style w:type="paragraph" w:customStyle="1" w:styleId="858">
    <w:name w:val="样式5 Char Char"/>
    <w:basedOn w:val="1"/>
    <w:qFormat/>
    <w:uiPriority w:val="0"/>
    <w:pPr>
      <w:widowControl/>
      <w:adjustRightInd w:val="0"/>
      <w:snapToGrid w:val="0"/>
      <w:spacing w:line="420" w:lineRule="auto"/>
      <w:ind w:firstLine="200" w:firstLineChars="200"/>
    </w:pPr>
    <w:rPr>
      <w:rFonts w:ascii="宋体" w:hAnsi="宋体" w:eastAsia="宋体" w:cs="宋体"/>
      <w:kern w:val="0"/>
      <w:sz w:val="24"/>
      <w:szCs w:val="24"/>
    </w:rPr>
  </w:style>
  <w:style w:type="paragraph" w:customStyle="1" w:styleId="859">
    <w:name w:val="样式 题注 + 首行缩进:  2 字符1"/>
    <w:basedOn w:val="22"/>
    <w:semiHidden/>
    <w:qFormat/>
    <w:uiPriority w:val="0"/>
    <w:pPr>
      <w:adjustRightInd w:val="0"/>
      <w:snapToGrid w:val="0"/>
      <w:spacing w:before="0" w:after="0" w:line="360" w:lineRule="auto"/>
      <w:jc w:val="left"/>
    </w:pPr>
    <w:rPr>
      <w:rFonts w:cs="宋体"/>
      <w:kern w:val="0"/>
      <w:sz w:val="21"/>
    </w:rPr>
  </w:style>
  <w:style w:type="paragraph" w:customStyle="1" w:styleId="860">
    <w:name w:val="xl142"/>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861">
    <w:name w:val="文本内容"/>
    <w:basedOn w:val="1"/>
    <w:qFormat/>
    <w:uiPriority w:val="0"/>
    <w:pPr>
      <w:adjustRightInd w:val="0"/>
      <w:snapToGrid w:val="0"/>
      <w:spacing w:line="360" w:lineRule="auto"/>
      <w:ind w:firstLine="600" w:firstLineChars="200"/>
    </w:pPr>
    <w:rPr>
      <w:rFonts w:ascii="宋体" w:hAnsi="仿宋" w:eastAsia="宋体"/>
      <w:color w:val="000000"/>
      <w:sz w:val="30"/>
      <w:szCs w:val="30"/>
    </w:rPr>
  </w:style>
  <w:style w:type="paragraph" w:customStyle="1" w:styleId="862">
    <w:name w:val="Char Char Char Char1 Char Char Char Char Char Char Char Char Char"/>
    <w:basedOn w:val="1"/>
    <w:qFormat/>
    <w:uiPriority w:val="0"/>
    <w:pPr>
      <w:ind w:firstLine="200" w:firstLineChars="200"/>
    </w:pPr>
    <w:rPr>
      <w:rFonts w:ascii="宋体" w:hAnsi="宋体" w:eastAsia="宋体" w:cs="宋体"/>
      <w:sz w:val="24"/>
      <w:szCs w:val="24"/>
    </w:rPr>
  </w:style>
  <w:style w:type="paragraph" w:customStyle="1" w:styleId="863">
    <w:name w:val="样式 四号 黑色 行距: 1.5 倍行距 首行缩进:  2 字符"/>
    <w:basedOn w:val="1"/>
    <w:qFormat/>
    <w:uiPriority w:val="0"/>
    <w:pPr>
      <w:spacing w:line="360" w:lineRule="auto"/>
      <w:ind w:firstLine="560" w:firstLineChars="200"/>
    </w:pPr>
    <w:rPr>
      <w:rFonts w:cs="宋体"/>
      <w:color w:val="000000"/>
    </w:rPr>
  </w:style>
  <w:style w:type="paragraph" w:customStyle="1" w:styleId="864">
    <w:name w:val="编号正文"/>
    <w:basedOn w:val="1"/>
    <w:qFormat/>
    <w:uiPriority w:val="0"/>
    <w:pPr>
      <w:tabs>
        <w:tab w:val="left" w:pos="425"/>
      </w:tabs>
    </w:pPr>
  </w:style>
  <w:style w:type="paragraph" w:customStyle="1" w:styleId="865">
    <w:name w:val="xl60"/>
    <w:basedOn w:val="1"/>
    <w:qFormat/>
    <w:uiPriority w:val="0"/>
    <w:pPr>
      <w:widowControl/>
      <w:pBdr>
        <w:bottom w:val="single" w:color="auto" w:sz="4" w:space="0"/>
        <w:right w:val="single" w:color="auto" w:sz="4" w:space="0"/>
      </w:pBdr>
      <w:spacing w:before="100" w:beforeAutospacing="1" w:after="100" w:afterAutospacing="1" w:line="520" w:lineRule="exact"/>
      <w:jc w:val="center"/>
      <w:textAlignment w:val="top"/>
    </w:pPr>
    <w:rPr>
      <w:rFonts w:eastAsia="Arial Unicode MS"/>
      <w:kern w:val="0"/>
      <w:sz w:val="20"/>
    </w:rPr>
  </w:style>
  <w:style w:type="paragraph" w:customStyle="1" w:styleId="866">
    <w:name w:val="大正文"/>
    <w:basedOn w:val="1"/>
    <w:qFormat/>
    <w:uiPriority w:val="0"/>
    <w:pPr>
      <w:spacing w:line="500" w:lineRule="exact"/>
      <w:ind w:firstLine="500" w:firstLineChars="200"/>
    </w:pPr>
    <w:rPr>
      <w:rFonts w:hAnsi="宋体" w:eastAsia="宋体"/>
      <w:spacing w:val="10"/>
      <w:sz w:val="24"/>
      <w:szCs w:val="24"/>
    </w:rPr>
  </w:style>
  <w:style w:type="paragraph" w:customStyle="1" w:styleId="867">
    <w:name w:val="Char Char Char Char Char Char Char Char"/>
    <w:basedOn w:val="1"/>
    <w:qFormat/>
    <w:uiPriority w:val="0"/>
    <w:pPr>
      <w:widowControl/>
      <w:jc w:val="left"/>
    </w:pPr>
    <w:rPr>
      <w:rFonts w:ascii="Tahoma" w:hAnsi="Tahoma" w:eastAsia="宋体" w:cs="Tahoma"/>
      <w:color w:val="000000"/>
      <w:kern w:val="0"/>
      <w:sz w:val="24"/>
      <w:szCs w:val="24"/>
    </w:rPr>
  </w:style>
  <w:style w:type="paragraph" w:customStyle="1" w:styleId="868">
    <w:name w:val="xl3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eastAsia="Arial Unicode MS"/>
      <w:kern w:val="0"/>
      <w:sz w:val="24"/>
      <w:szCs w:val="24"/>
    </w:rPr>
  </w:style>
  <w:style w:type="paragraph" w:customStyle="1" w:styleId="869">
    <w:name w:val="表头HYL"/>
    <w:basedOn w:val="1"/>
    <w:qFormat/>
    <w:uiPriority w:val="0"/>
    <w:pPr>
      <w:widowControl/>
      <w:spacing w:line="360" w:lineRule="auto"/>
      <w:jc w:val="center"/>
    </w:pPr>
    <w:rPr>
      <w:rFonts w:ascii="黑体" w:hAnsi="宋体" w:eastAsia="黑体" w:cs="宋体"/>
      <w:kern w:val="0"/>
      <w:sz w:val="21"/>
      <w:szCs w:val="21"/>
    </w:rPr>
  </w:style>
  <w:style w:type="paragraph" w:customStyle="1" w:styleId="870">
    <w:name w:val="xl141"/>
    <w:basedOn w:val="1"/>
    <w:qFormat/>
    <w:uiPriority w:val="0"/>
    <w:pPr>
      <w:widowControl/>
      <w:pBdr>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871">
    <w:name w:val="样式11"/>
    <w:basedOn w:val="5"/>
    <w:link w:val="2247"/>
    <w:qFormat/>
    <w:uiPriority w:val="0"/>
    <w:rPr>
      <w:rFonts w:cs="Times New Roman"/>
    </w:rPr>
  </w:style>
  <w:style w:type="paragraph" w:customStyle="1" w:styleId="872">
    <w:name w:val="表格3"/>
    <w:basedOn w:val="40"/>
    <w:qFormat/>
    <w:uiPriority w:val="0"/>
    <w:rPr>
      <w:sz w:val="21"/>
    </w:rPr>
  </w:style>
  <w:style w:type="paragraph" w:customStyle="1" w:styleId="873">
    <w:name w:val="样式 表格 + 小五 首行缩进:  0.63 厘米 行距: 单倍行距"/>
    <w:basedOn w:val="1"/>
    <w:semiHidden/>
    <w:qFormat/>
    <w:uiPriority w:val="0"/>
    <w:pPr>
      <w:tabs>
        <w:tab w:val="center" w:pos="4422"/>
      </w:tabs>
      <w:adjustRightInd w:val="0"/>
      <w:snapToGrid w:val="0"/>
      <w:spacing w:before="100" w:beforeAutospacing="1" w:after="100" w:afterAutospacing="1"/>
      <w:jc w:val="center"/>
    </w:pPr>
    <w:rPr>
      <w:rFonts w:ascii="Arial" w:hAnsi="Arial" w:eastAsia="宋体" w:cs="宋体"/>
      <w:kern w:val="0"/>
      <w:sz w:val="18"/>
    </w:rPr>
  </w:style>
  <w:style w:type="paragraph" w:customStyle="1" w:styleId="874">
    <w:name w:val="正文文字缩进"/>
    <w:basedOn w:val="1"/>
    <w:qFormat/>
    <w:uiPriority w:val="0"/>
    <w:pPr>
      <w:spacing w:line="360" w:lineRule="auto"/>
      <w:ind w:firstLine="482"/>
    </w:pPr>
    <w:rPr>
      <w:rFonts w:ascii="宋体" w:hAnsi="宋体" w:eastAsia="宋体" w:cs="宋体"/>
      <w:sz w:val="24"/>
      <w:szCs w:val="24"/>
    </w:rPr>
  </w:style>
  <w:style w:type="paragraph" w:customStyle="1" w:styleId="875">
    <w:name w:val="日期1"/>
    <w:basedOn w:val="1"/>
    <w:next w:val="1"/>
    <w:qFormat/>
    <w:uiPriority w:val="0"/>
    <w:pPr>
      <w:autoSpaceDE w:val="0"/>
      <w:autoSpaceDN w:val="0"/>
      <w:adjustRightInd w:val="0"/>
      <w:spacing w:line="500" w:lineRule="exact"/>
      <w:textAlignment w:val="baseline"/>
    </w:pPr>
    <w:rPr>
      <w:rFonts w:eastAsia="宋体"/>
      <w:spacing w:val="-16"/>
      <w:kern w:val="0"/>
    </w:rPr>
  </w:style>
  <w:style w:type="paragraph" w:customStyle="1" w:styleId="876">
    <w:name w:val="样式 样式 样式 ！正文 + 首行缩进:  2 字符 + 首行缩进:  2 字符 + 首行缩进:  2 字符"/>
    <w:basedOn w:val="1"/>
    <w:qFormat/>
    <w:uiPriority w:val="0"/>
    <w:pPr>
      <w:spacing w:line="560" w:lineRule="exact"/>
      <w:ind w:firstLine="200" w:firstLineChars="200"/>
    </w:pPr>
    <w:rPr>
      <w:rFonts w:eastAsia="宋体" w:cs="宋体"/>
    </w:rPr>
  </w:style>
  <w:style w:type="paragraph" w:customStyle="1" w:styleId="877">
    <w:name w:val="Char Char Char Char Char Char2 Char Char Char Char"/>
    <w:basedOn w:val="1"/>
    <w:qFormat/>
    <w:uiPriority w:val="0"/>
    <w:rPr>
      <w:rFonts w:eastAsia="宋体"/>
      <w:sz w:val="21"/>
      <w:szCs w:val="24"/>
    </w:rPr>
  </w:style>
  <w:style w:type="paragraph" w:customStyle="1" w:styleId="878">
    <w:name w:val="样式 样式 左侧:  0.98 厘米 + 首行缩进:  2 字符"/>
    <w:basedOn w:val="879"/>
    <w:semiHidden/>
    <w:qFormat/>
    <w:uiPriority w:val="0"/>
    <w:rPr>
      <w:rFonts w:ascii="幼圆" w:hAnsi="幼圆"/>
    </w:rPr>
  </w:style>
  <w:style w:type="paragraph" w:customStyle="1" w:styleId="879">
    <w:name w:val="样式 左侧:  0.98 厘米"/>
    <w:basedOn w:val="1"/>
    <w:semiHidden/>
    <w:qFormat/>
    <w:uiPriority w:val="0"/>
    <w:pPr>
      <w:adjustRightInd w:val="0"/>
      <w:snapToGrid w:val="0"/>
      <w:spacing w:line="360" w:lineRule="auto"/>
      <w:ind w:firstLine="560" w:firstLineChars="200"/>
    </w:pPr>
    <w:rPr>
      <w:rFonts w:eastAsia="宋体"/>
      <w:color w:val="000000"/>
      <w:sz w:val="24"/>
    </w:rPr>
  </w:style>
  <w:style w:type="paragraph" w:customStyle="1" w:styleId="880">
    <w:name w:val="msonormalcxspmidd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81">
    <w:name w:val="样式 标题 4表格1 + 两端对齐 段前: 0.5 行 段后: 0.5 行"/>
    <w:basedOn w:val="7"/>
    <w:qFormat/>
    <w:uiPriority w:val="0"/>
    <w:pPr>
      <w:tabs>
        <w:tab w:val="left" w:pos="420"/>
        <w:tab w:val="left" w:pos="1980"/>
      </w:tabs>
      <w:ind w:left="561" w:hanging="561"/>
    </w:pPr>
    <w:rPr>
      <w:rFonts w:ascii="宋体" w:hAnsi="宋体" w:eastAsia="宋体" w:cs="宋体"/>
      <w:b w:val="0"/>
      <w:bCs/>
      <w:color w:val="auto"/>
      <w:kern w:val="0"/>
      <w:lang w:val="zh-CN"/>
    </w:rPr>
  </w:style>
  <w:style w:type="paragraph" w:customStyle="1" w:styleId="882">
    <w:name w:val="注1"/>
    <w:basedOn w:val="1"/>
    <w:qFormat/>
    <w:uiPriority w:val="0"/>
    <w:pPr>
      <w:keepNext/>
      <w:keepLines/>
      <w:spacing w:beforeLines="50"/>
      <w:ind w:left="755" w:leftChars="500" w:hanging="255" w:hangingChars="255"/>
    </w:pPr>
    <w:rPr>
      <w:rFonts w:eastAsia="宋体"/>
      <w:sz w:val="21"/>
      <w:szCs w:val="24"/>
    </w:rPr>
  </w:style>
  <w:style w:type="paragraph" w:customStyle="1" w:styleId="883">
    <w:name w:val="1.1.1"/>
    <w:next w:val="327"/>
    <w:qFormat/>
    <w:uiPriority w:val="0"/>
    <w:pPr>
      <w:spacing w:before="50" w:after="50" w:line="300" w:lineRule="auto"/>
      <w:jc w:val="both"/>
    </w:pPr>
    <w:rPr>
      <w:rFonts w:ascii="宋体" w:hAnsi="Times New Roman" w:eastAsia="宋体" w:cs="Times New Roman"/>
      <w:b/>
      <w:spacing w:val="10"/>
      <w:sz w:val="24"/>
      <w:lang w:val="en-US" w:eastAsia="zh-CN" w:bidi="ar-SA"/>
    </w:rPr>
  </w:style>
  <w:style w:type="paragraph" w:customStyle="1" w:styleId="884">
    <w:name w:val="标题 2.1"/>
    <w:basedOn w:val="4"/>
    <w:qFormat/>
    <w:uiPriority w:val="0"/>
    <w:pPr>
      <w:tabs>
        <w:tab w:val="left" w:pos="1785"/>
        <w:tab w:val="left" w:pos="3092"/>
      </w:tabs>
      <w:spacing w:before="0" w:after="0" w:afterLines="50" w:line="360" w:lineRule="auto"/>
      <w:ind w:left="3092" w:right="544" w:hanging="992"/>
      <w:jc w:val="center"/>
    </w:pPr>
    <w:rPr>
      <w:rFonts w:ascii="宋体" w:hAnsi="宋体"/>
      <w:b/>
      <w:sz w:val="24"/>
      <w:szCs w:val="32"/>
    </w:rPr>
  </w:style>
  <w:style w:type="paragraph" w:customStyle="1" w:styleId="885">
    <w:name w:val="一号标题"/>
    <w:basedOn w:val="4"/>
    <w:qFormat/>
    <w:uiPriority w:val="0"/>
    <w:pPr>
      <w:spacing w:before="240" w:after="240" w:line="520" w:lineRule="exact"/>
      <w:ind w:left="0" w:firstLine="0"/>
      <w:jc w:val="left"/>
    </w:pPr>
    <w:rPr>
      <w:rFonts w:ascii="Arial"/>
      <w:kern w:val="24"/>
      <w:sz w:val="32"/>
      <w:szCs w:val="32"/>
    </w:rPr>
  </w:style>
  <w:style w:type="paragraph" w:customStyle="1" w:styleId="886">
    <w:name w:val="样式 表格 + 左侧:  0.98 厘米 字距调整8 磅"/>
    <w:basedOn w:val="1"/>
    <w:semiHidden/>
    <w:qFormat/>
    <w:uiPriority w:val="0"/>
    <w:pPr>
      <w:adjustRightInd w:val="0"/>
      <w:snapToGrid w:val="0"/>
      <w:spacing w:before="100" w:beforeAutospacing="1" w:after="100" w:afterAutospacing="1"/>
      <w:ind w:left="560" w:leftChars="200"/>
      <w:jc w:val="center"/>
    </w:pPr>
    <w:rPr>
      <w:rFonts w:ascii="Arial" w:hAnsi="Arial" w:eastAsia="宋体"/>
      <w:color w:val="000000"/>
      <w:kern w:val="16"/>
      <w:sz w:val="21"/>
    </w:rPr>
  </w:style>
  <w:style w:type="paragraph" w:customStyle="1" w:styleId="887">
    <w:name w:val="表格样式"/>
    <w:basedOn w:val="1"/>
    <w:qFormat/>
    <w:uiPriority w:val="0"/>
    <w:pPr>
      <w:jc w:val="center"/>
    </w:pPr>
    <w:rPr>
      <w:rFonts w:ascii="Arial" w:hAnsi="宋体" w:eastAsia="宋体" w:cs="Arial"/>
      <w:kern w:val="0"/>
      <w:sz w:val="21"/>
      <w:szCs w:val="21"/>
    </w:rPr>
  </w:style>
  <w:style w:type="paragraph" w:customStyle="1" w:styleId="888">
    <w:name w:val="reader-word-layer reader-word-s1-3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89">
    <w:name w:val="xl31"/>
    <w:basedOn w:val="1"/>
    <w:qFormat/>
    <w:uiPriority w:val="0"/>
    <w:pPr>
      <w:widowControl/>
      <w:spacing w:before="100" w:beforeAutospacing="1" w:after="100" w:afterAutospacing="1" w:line="348" w:lineRule="auto"/>
      <w:jc w:val="center"/>
      <w:textAlignment w:val="center"/>
    </w:pPr>
    <w:rPr>
      <w:rFonts w:ascii="Arial Unicode MS" w:hAnsi="Arial Unicode MS" w:eastAsia="Arial Unicode MS"/>
      <w:kern w:val="0"/>
      <w:sz w:val="21"/>
      <w:szCs w:val="24"/>
    </w:rPr>
  </w:style>
  <w:style w:type="paragraph" w:customStyle="1" w:styleId="890">
    <w:name w:val="样式 标题 3 + 宋体 小四 非加粗"/>
    <w:basedOn w:val="6"/>
    <w:link w:val="2808"/>
    <w:qFormat/>
    <w:uiPriority w:val="0"/>
    <w:pPr>
      <w:tabs>
        <w:tab w:val="left" w:pos="567"/>
      </w:tabs>
      <w:adjustRightInd w:val="0"/>
      <w:snapToGrid w:val="0"/>
      <w:spacing w:before="260" w:after="260" w:line="416" w:lineRule="auto"/>
      <w:ind w:left="567" w:hanging="567"/>
    </w:pPr>
    <w:rPr>
      <w:rFonts w:ascii="Times New Roman" w:hAnsi="宋体" w:eastAsia="宋体"/>
      <w:b w:val="0"/>
      <w:bCs w:val="0"/>
      <w:szCs w:val="32"/>
    </w:rPr>
  </w:style>
  <w:style w:type="paragraph" w:customStyle="1" w:styleId="891">
    <w:name w:val="xl8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2"/>
      <w:szCs w:val="22"/>
    </w:rPr>
  </w:style>
  <w:style w:type="paragraph" w:customStyle="1" w:styleId="892">
    <w:name w:val="font6"/>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893">
    <w:name w:val="样式 标题 5标题1.1.1.1.1标题1.1.1.1.1 Char标题 51标题 51 Char Char标题 51..."/>
    <w:basedOn w:val="8"/>
    <w:semiHidden/>
    <w:qFormat/>
    <w:uiPriority w:val="0"/>
    <w:pPr>
      <w:tabs>
        <w:tab w:val="clear" w:pos="1008"/>
      </w:tabs>
      <w:adjustRightInd w:val="0"/>
      <w:snapToGrid w:val="0"/>
      <w:spacing w:before="0" w:after="0" w:line="360" w:lineRule="auto"/>
      <w:ind w:left="0" w:firstLine="0"/>
      <w:jc w:val="left"/>
    </w:pPr>
    <w:rPr>
      <w:rFonts w:ascii="Arial" w:hAnsi="Arial" w:eastAsia="黑体" w:cs="宋体"/>
      <w:b w:val="0"/>
      <w:kern w:val="0"/>
      <w:sz w:val="24"/>
      <w:szCs w:val="20"/>
    </w:rPr>
  </w:style>
  <w:style w:type="paragraph" w:customStyle="1" w:styleId="894">
    <w:name w:val="xl23"/>
    <w:basedOn w:val="1"/>
    <w:qFormat/>
    <w:uiPriority w:val="0"/>
    <w:pPr>
      <w:widowControl/>
      <w:pBdr>
        <w:top w:val="single" w:color="auto" w:sz="4" w:space="0"/>
        <w:left w:val="single" w:color="auto" w:sz="4" w:space="0"/>
      </w:pBdr>
      <w:spacing w:before="100" w:beforeAutospacing="1" w:after="100" w:afterAutospacing="1"/>
      <w:jc w:val="center"/>
    </w:pPr>
    <w:rPr>
      <w:rFonts w:eastAsia="Arial Unicode MS"/>
      <w:kern w:val="0"/>
      <w:sz w:val="24"/>
      <w:szCs w:val="24"/>
    </w:rPr>
  </w:style>
  <w:style w:type="paragraph" w:customStyle="1" w:styleId="895">
    <w:name w:val="样式 3级标题 + 行距: 固定值 25 磅"/>
    <w:basedOn w:val="558"/>
    <w:qFormat/>
    <w:uiPriority w:val="0"/>
    <w:pPr>
      <w:jc w:val="left"/>
    </w:pPr>
    <w:rPr>
      <w:rFonts w:cs="宋体"/>
      <w:bCs/>
      <w:szCs w:val="20"/>
    </w:rPr>
  </w:style>
  <w:style w:type="paragraph" w:customStyle="1" w:styleId="896">
    <w:name w:val="az"/>
    <w:basedOn w:val="1"/>
    <w:qFormat/>
    <w:uiPriority w:val="0"/>
    <w:pPr>
      <w:ind w:firstLine="200" w:firstLineChars="200"/>
    </w:pPr>
    <w:rPr>
      <w:rFonts w:eastAsia="宋体"/>
      <w:sz w:val="24"/>
    </w:rPr>
  </w:style>
  <w:style w:type="paragraph" w:customStyle="1" w:styleId="897">
    <w:name w:val="Title.3"/>
    <w:next w:val="1"/>
    <w:qFormat/>
    <w:uiPriority w:val="0"/>
    <w:pPr>
      <w:keepNext/>
      <w:keepLines/>
      <w:spacing w:before="156" w:beforeLines="50" w:line="360" w:lineRule="auto"/>
      <w:outlineLvl w:val="2"/>
    </w:pPr>
    <w:rPr>
      <w:rFonts w:ascii="Times New Roman" w:hAnsi="Times New Roman" w:eastAsia="仿宋_GB2312" w:cs="Times New Roman"/>
      <w:b/>
      <w:sz w:val="28"/>
      <w:lang w:val="en-US" w:eastAsia="zh-CN" w:bidi="ar-SA"/>
    </w:rPr>
  </w:style>
  <w:style w:type="paragraph" w:customStyle="1" w:styleId="898">
    <w:name w:val="lux正文"/>
    <w:basedOn w:val="1"/>
    <w:qFormat/>
    <w:uiPriority w:val="0"/>
    <w:pPr>
      <w:tabs>
        <w:tab w:val="left" w:pos="360"/>
      </w:tabs>
      <w:spacing w:beforeLines="50" w:afterLines="50" w:line="360" w:lineRule="auto"/>
      <w:ind w:firstLine="420"/>
    </w:pPr>
    <w:rPr>
      <w:rFonts w:eastAsia="宋体"/>
      <w:sz w:val="24"/>
    </w:rPr>
  </w:style>
  <w:style w:type="paragraph" w:customStyle="1" w:styleId="899">
    <w:name w:val="环评正文"/>
    <w:basedOn w:val="51"/>
    <w:link w:val="1765"/>
    <w:qFormat/>
    <w:uiPriority w:val="0"/>
    <w:pPr>
      <w:spacing w:line="500" w:lineRule="exact"/>
      <w:ind w:firstLine="560" w:firstLineChars="200"/>
    </w:pPr>
    <w:rPr>
      <w:rFonts w:ascii="仿宋_GB2312" w:eastAsia="仿宋_GB2312"/>
      <w:sz w:val="28"/>
    </w:rPr>
  </w:style>
  <w:style w:type="paragraph" w:customStyle="1" w:styleId="900">
    <w:name w:val="Char Char Char Char Char Char Char Char Char"/>
    <w:basedOn w:val="1"/>
    <w:qFormat/>
    <w:uiPriority w:val="0"/>
    <w:rPr>
      <w:rFonts w:eastAsia="宋体"/>
      <w:sz w:val="21"/>
      <w:szCs w:val="24"/>
    </w:rPr>
  </w:style>
  <w:style w:type="paragraph" w:customStyle="1" w:styleId="901">
    <w:name w:val="默认段落字体2"/>
    <w:basedOn w:val="1"/>
    <w:qFormat/>
    <w:uiPriority w:val="0"/>
    <w:rPr>
      <w:rFonts w:eastAsia="宋体"/>
      <w:sz w:val="21"/>
    </w:rPr>
  </w:style>
  <w:style w:type="paragraph" w:customStyle="1" w:styleId="902">
    <w:name w:val="Char Char Char Char Char Char"/>
    <w:basedOn w:val="7"/>
    <w:qFormat/>
    <w:uiPriority w:val="0"/>
    <w:pPr>
      <w:tabs>
        <w:tab w:val="left" w:pos="0"/>
        <w:tab w:val="left" w:pos="1980"/>
      </w:tabs>
      <w:adjustRightInd w:val="0"/>
      <w:snapToGrid w:val="0"/>
      <w:spacing w:before="120"/>
    </w:pPr>
    <w:rPr>
      <w:rFonts w:ascii="仿宋_GB2312" w:hAnsi="宋体" w:cs="宋体"/>
      <w:bCs/>
      <w:color w:val="auto"/>
      <w:kern w:val="0"/>
      <w:lang w:val="zh-CN"/>
    </w:rPr>
  </w:style>
  <w:style w:type="paragraph" w:customStyle="1" w:styleId="903">
    <w:name w:val="图"/>
    <w:basedOn w:val="5"/>
    <w:qFormat/>
    <w:uiPriority w:val="0"/>
    <w:pPr>
      <w:autoSpaceDE w:val="0"/>
      <w:autoSpaceDN w:val="0"/>
      <w:adjustRightInd w:val="0"/>
      <w:spacing w:line="360" w:lineRule="auto"/>
      <w:ind w:left="67" w:leftChars="67" w:firstLine="723" w:firstLineChars="300"/>
      <w:jc w:val="center"/>
    </w:pPr>
    <w:rPr>
      <w:rFonts w:ascii="Times New Roman" w:hAnsi="Times New Roman"/>
      <w:b/>
      <w:bCs/>
      <w:spacing w:val="0"/>
      <w:kern w:val="0"/>
      <w:szCs w:val="18"/>
    </w:rPr>
  </w:style>
  <w:style w:type="paragraph" w:customStyle="1" w:styleId="904">
    <w:name w:val="样式 标题 3条标题1.1.1h3H3level_3PIM 3Level 3 HeadHeading 3 - ol...9"/>
    <w:basedOn w:val="6"/>
    <w:qFormat/>
    <w:uiPriority w:val="0"/>
    <w:pPr>
      <w:tabs>
        <w:tab w:val="left" w:pos="709"/>
      </w:tabs>
      <w:adjustRightInd w:val="0"/>
      <w:snapToGrid w:val="0"/>
      <w:spacing w:beforeLines="50" w:afterLines="50" w:line="360" w:lineRule="auto"/>
      <w:ind w:left="709"/>
      <w:jc w:val="left"/>
      <w:textAlignment w:val="baseline"/>
    </w:pPr>
    <w:rPr>
      <w:rFonts w:ascii="Times New Roman" w:hAnsi="宋体" w:eastAsia="宋体"/>
      <w:color w:val="FF0000"/>
    </w:rPr>
  </w:style>
  <w:style w:type="paragraph" w:customStyle="1" w:styleId="905">
    <w:name w:val="xl28"/>
    <w:basedOn w:val="1"/>
    <w:qFormat/>
    <w:uiPriority w:val="0"/>
    <w:pPr>
      <w:widowControl/>
      <w:pBdr>
        <w:top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szCs w:val="24"/>
    </w:rPr>
  </w:style>
  <w:style w:type="paragraph" w:customStyle="1" w:styleId="906">
    <w:name w:val="ss"/>
    <w:basedOn w:val="1"/>
    <w:qFormat/>
    <w:uiPriority w:val="0"/>
    <w:pPr>
      <w:widowControl/>
      <w:spacing w:before="100" w:beforeAutospacing="1" w:after="100" w:afterAutospacing="1" w:line="525" w:lineRule="atLeast"/>
      <w:jc w:val="left"/>
    </w:pPr>
    <w:rPr>
      <w:rFonts w:ascii="宋体" w:hAnsi="宋体" w:eastAsia="宋体"/>
      <w:color w:val="0066CC"/>
      <w:kern w:val="0"/>
      <w:sz w:val="21"/>
      <w:szCs w:val="21"/>
    </w:rPr>
  </w:style>
  <w:style w:type="paragraph" w:customStyle="1" w:styleId="907">
    <w:name w:val="样式 标题 2 + 三号1"/>
    <w:basedOn w:val="4"/>
    <w:qFormat/>
    <w:uiPriority w:val="0"/>
    <w:pPr>
      <w:keepLines w:val="0"/>
      <w:spacing w:before="0" w:after="0" w:line="480" w:lineRule="auto"/>
      <w:ind w:left="1329" w:hanging="420"/>
      <w:jc w:val="left"/>
    </w:pPr>
    <w:rPr>
      <w:rFonts w:ascii="宋体" w:hAnsi="宋体" w:eastAsia="宋体"/>
      <w:b/>
      <w:spacing w:val="4"/>
      <w:sz w:val="32"/>
      <w:szCs w:val="32"/>
    </w:rPr>
  </w:style>
  <w:style w:type="paragraph" w:customStyle="1" w:styleId="908">
    <w:name w:val="文章大标题"/>
    <w:basedOn w:val="1"/>
    <w:qFormat/>
    <w:uiPriority w:val="0"/>
    <w:pPr>
      <w:spacing w:before="312" w:beforeLines="100" w:after="312" w:afterLines="100" w:line="520" w:lineRule="exact"/>
      <w:jc w:val="center"/>
      <w:outlineLvl w:val="0"/>
    </w:pPr>
    <w:rPr>
      <w:rFonts w:eastAsia="黑体"/>
      <w:sz w:val="36"/>
    </w:rPr>
  </w:style>
  <w:style w:type="paragraph" w:customStyle="1" w:styleId="909">
    <w:name w:val="Report List 1"/>
    <w:basedOn w:val="67"/>
    <w:qFormat/>
    <w:uiPriority w:val="0"/>
    <w:pPr>
      <w:widowControl/>
      <w:tabs>
        <w:tab w:val="left" w:pos="360"/>
        <w:tab w:val="left" w:pos="1080"/>
      </w:tabs>
      <w:autoSpaceDE/>
      <w:autoSpaceDN/>
      <w:adjustRightInd/>
      <w:spacing w:after="138" w:line="240" w:lineRule="auto"/>
      <w:ind w:left="425" w:hanging="425" w:firstLineChars="0"/>
      <w:textAlignment w:val="auto"/>
    </w:pPr>
    <w:rPr>
      <w:rFonts w:ascii="Times New Roman"/>
      <w:sz w:val="22"/>
      <w:lang w:val="en-GB" w:eastAsia="en-US"/>
    </w:rPr>
  </w:style>
  <w:style w:type="paragraph" w:customStyle="1" w:styleId="910">
    <w:name w:val="样式13"/>
    <w:basedOn w:val="1"/>
    <w:link w:val="2302"/>
    <w:qFormat/>
    <w:uiPriority w:val="0"/>
    <w:pPr>
      <w:spacing w:line="360" w:lineRule="auto"/>
      <w:ind w:firstLine="480" w:firstLineChars="200"/>
    </w:pPr>
    <w:rPr>
      <w:rFonts w:ascii="Arial" w:hAnsi="Arial" w:eastAsia="宋体" w:cs="Arial"/>
      <w:sz w:val="24"/>
      <w:szCs w:val="24"/>
    </w:rPr>
  </w:style>
  <w:style w:type="paragraph" w:customStyle="1" w:styleId="911">
    <w:name w:val="KM_表头文字"/>
    <w:basedOn w:val="34"/>
    <w:qFormat/>
    <w:uiPriority w:val="0"/>
    <w:pPr>
      <w:spacing w:after="0"/>
      <w:jc w:val="center"/>
      <w:textAlignment w:val="center"/>
    </w:pPr>
    <w:rPr>
      <w:rFonts w:ascii="宋体" w:hAnsi="宋体" w:eastAsia="宋体" w:cs="宋体"/>
      <w:b/>
      <w:bCs/>
      <w:sz w:val="21"/>
      <w:szCs w:val="21"/>
    </w:rPr>
  </w:style>
  <w:style w:type="paragraph" w:customStyle="1" w:styleId="912">
    <w:name w:val="xl40"/>
    <w:basedOn w:val="1"/>
    <w:qFormat/>
    <w:uiPriority w:val="0"/>
    <w:pPr>
      <w:widowControl/>
      <w:pBdr>
        <w:bottom w:val="single" w:color="auto" w:sz="8" w:space="0"/>
      </w:pBdr>
      <w:spacing w:before="100" w:after="100"/>
      <w:jc w:val="center"/>
    </w:pPr>
    <w:rPr>
      <w:rFonts w:ascii="宋体" w:eastAsia="宋体"/>
      <w:kern w:val="0"/>
      <w:sz w:val="24"/>
    </w:rPr>
  </w:style>
  <w:style w:type="paragraph" w:customStyle="1" w:styleId="913">
    <w:name w:val="acee正文"/>
    <w:basedOn w:val="1"/>
    <w:qFormat/>
    <w:uiPriority w:val="0"/>
    <w:pPr>
      <w:spacing w:line="480" w:lineRule="exact"/>
      <w:ind w:firstLine="640" w:firstLineChars="200"/>
    </w:pPr>
    <w:rPr>
      <w:rFonts w:ascii="仿宋_GB2312" w:hAnsi="宋体"/>
      <w:sz w:val="32"/>
    </w:rPr>
  </w:style>
  <w:style w:type="paragraph" w:customStyle="1" w:styleId="914">
    <w:name w:val="Body Text 22"/>
    <w:basedOn w:val="1"/>
    <w:qFormat/>
    <w:uiPriority w:val="0"/>
    <w:pPr>
      <w:adjustRightInd w:val="0"/>
      <w:spacing w:line="440" w:lineRule="atLeast"/>
      <w:ind w:firstLine="480"/>
      <w:textAlignment w:val="baseline"/>
    </w:pPr>
    <w:rPr>
      <w:rFonts w:eastAsia="宋体"/>
      <w:sz w:val="24"/>
    </w:rPr>
  </w:style>
  <w:style w:type="paragraph" w:customStyle="1" w:styleId="915">
    <w:name w:val="表尾"/>
    <w:basedOn w:val="1"/>
    <w:qFormat/>
    <w:uiPriority w:val="0"/>
    <w:pPr>
      <w:tabs>
        <w:tab w:val="left" w:pos="1021"/>
      </w:tabs>
      <w:spacing w:line="160" w:lineRule="exact"/>
    </w:pPr>
    <w:rPr>
      <w:rFonts w:eastAsia="宋体"/>
      <w:sz w:val="10"/>
    </w:rPr>
  </w:style>
  <w:style w:type="paragraph" w:customStyle="1" w:styleId="916">
    <w:name w:val="样式 正文首行缩进:  2 字符 + 首行缩进:  2 字符"/>
    <w:basedOn w:val="1"/>
    <w:qFormat/>
    <w:uiPriority w:val="0"/>
    <w:pPr>
      <w:spacing w:line="360" w:lineRule="auto"/>
      <w:ind w:firstLine="480" w:firstLineChars="200"/>
    </w:pPr>
    <w:rPr>
      <w:rFonts w:eastAsia="宋体" w:cs="宋体"/>
      <w:sz w:val="24"/>
    </w:rPr>
  </w:style>
  <w:style w:type="paragraph" w:customStyle="1" w:styleId="917">
    <w:name w:val="样式 标题 3 + 段后: 0.2 行"/>
    <w:basedOn w:val="6"/>
    <w:qFormat/>
    <w:uiPriority w:val="0"/>
    <w:pPr>
      <w:keepLines w:val="0"/>
      <w:tabs>
        <w:tab w:val="left" w:pos="1080"/>
      </w:tabs>
      <w:adjustRightInd w:val="0"/>
      <w:snapToGrid w:val="0"/>
      <w:spacing w:before="62" w:beforeLines="20" w:after="62" w:afterLines="20"/>
      <w:ind w:firstLine="200" w:firstLineChars="200"/>
      <w:jc w:val="left"/>
    </w:pPr>
    <w:rPr>
      <w:rFonts w:ascii="楷体_GB2312" w:eastAsia="楷体_GB2312" w:cs="宋体"/>
      <w:sz w:val="28"/>
    </w:rPr>
  </w:style>
  <w:style w:type="paragraph" w:customStyle="1" w:styleId="918">
    <w:name w:val="WPS Plain"/>
    <w:qFormat/>
    <w:uiPriority w:val="0"/>
    <w:rPr>
      <w:rFonts w:ascii="Times New Roman" w:hAnsi="Times New Roman" w:eastAsia="宋体" w:cs="Times New Roman"/>
      <w:lang w:val="en-US" w:eastAsia="zh-CN" w:bidi="ar-SA"/>
    </w:rPr>
  </w:style>
  <w:style w:type="paragraph" w:customStyle="1" w:styleId="919">
    <w:name w:val="表格左齐"/>
    <w:basedOn w:val="250"/>
    <w:next w:val="861"/>
    <w:qFormat/>
    <w:uiPriority w:val="0"/>
    <w:pPr>
      <w:framePr w:wrap="around" w:vAnchor="margin" w:hAnchor="text" w:y="1"/>
      <w:widowControl w:val="0"/>
      <w:adjustRightInd w:val="0"/>
      <w:snapToGrid w:val="0"/>
      <w:spacing w:line="240" w:lineRule="auto"/>
      <w:ind w:firstLine="0" w:firstLineChars="0"/>
      <w:jc w:val="left"/>
    </w:pPr>
    <w:rPr>
      <w:rFonts w:ascii="仿宋" w:hAnsi="Calibri"/>
      <w:sz w:val="24"/>
    </w:rPr>
  </w:style>
  <w:style w:type="paragraph" w:customStyle="1" w:styleId="920">
    <w:name w:val="报告书表格"/>
    <w:basedOn w:val="1"/>
    <w:link w:val="1985"/>
    <w:qFormat/>
    <w:uiPriority w:val="0"/>
    <w:pPr>
      <w:adjustRightInd w:val="0"/>
      <w:spacing w:line="240" w:lineRule="atLeast"/>
      <w:jc w:val="center"/>
      <w:textAlignment w:val="baseline"/>
    </w:pPr>
    <w:rPr>
      <w:rFonts w:eastAsia="宋体"/>
      <w:kern w:val="0"/>
      <w:sz w:val="24"/>
    </w:rPr>
  </w:style>
  <w:style w:type="paragraph" w:customStyle="1" w:styleId="921">
    <w:name w:val="样式 内容 + 首行缩进:  2 字符"/>
    <w:basedOn w:val="1"/>
    <w:qFormat/>
    <w:uiPriority w:val="0"/>
    <w:pPr>
      <w:spacing w:line="360" w:lineRule="auto"/>
      <w:ind w:firstLine="480" w:firstLineChars="200"/>
      <w:jc w:val="left"/>
    </w:pPr>
    <w:rPr>
      <w:rFonts w:eastAsia="宋体" w:cs="宋体"/>
      <w:sz w:val="24"/>
    </w:rPr>
  </w:style>
  <w:style w:type="paragraph" w:customStyle="1" w:styleId="922">
    <w:name w:val="p18"/>
    <w:basedOn w:val="1"/>
    <w:qFormat/>
    <w:uiPriority w:val="0"/>
    <w:pPr>
      <w:widowControl/>
      <w:spacing w:after="120"/>
      <w:jc w:val="left"/>
    </w:pPr>
    <w:rPr>
      <w:rFonts w:eastAsia="宋体" w:cs="楷体_GB2312"/>
      <w:kern w:val="0"/>
      <w:sz w:val="21"/>
      <w:szCs w:val="21"/>
    </w:rPr>
  </w:style>
  <w:style w:type="paragraph" w:customStyle="1" w:styleId="923">
    <w:name w:val="样式 标题 2 + 首行缩进:  2 字符1"/>
    <w:basedOn w:val="4"/>
    <w:qFormat/>
    <w:uiPriority w:val="0"/>
    <w:pPr>
      <w:adjustRightInd w:val="0"/>
      <w:snapToGrid w:val="0"/>
      <w:spacing w:before="0" w:after="0" w:line="360" w:lineRule="auto"/>
      <w:ind w:firstLine="643" w:firstLineChars="202"/>
      <w:jc w:val="left"/>
    </w:pPr>
    <w:rPr>
      <w:rFonts w:ascii="宋体" w:hAnsi="宋体" w:cs="宋体"/>
      <w:bCs/>
      <w:sz w:val="30"/>
    </w:rPr>
  </w:style>
  <w:style w:type="paragraph" w:customStyle="1" w:styleId="924">
    <w:name w:val="font8"/>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925">
    <w:name w:val="a4"/>
    <w:basedOn w:val="1"/>
    <w:qFormat/>
    <w:uiPriority w:val="0"/>
    <w:pPr>
      <w:jc w:val="left"/>
      <w:outlineLvl w:val="3"/>
    </w:pPr>
    <w:rPr>
      <w:rFonts w:eastAsia="宋体"/>
      <w:b/>
    </w:rPr>
  </w:style>
  <w:style w:type="paragraph" w:customStyle="1" w:styleId="926">
    <w:name w:val="！正文"/>
    <w:basedOn w:val="1"/>
    <w:qFormat/>
    <w:uiPriority w:val="0"/>
    <w:pPr>
      <w:spacing w:line="288" w:lineRule="auto"/>
      <w:ind w:firstLine="200" w:firstLineChars="200"/>
    </w:pPr>
    <w:rPr>
      <w:rFonts w:eastAsia="宋体"/>
      <w:sz w:val="24"/>
      <w:szCs w:val="24"/>
    </w:rPr>
  </w:style>
  <w:style w:type="paragraph" w:customStyle="1" w:styleId="927">
    <w:name w:val="责任表文"/>
    <w:basedOn w:val="1"/>
    <w:qFormat/>
    <w:uiPriority w:val="0"/>
    <w:pPr>
      <w:adjustRightInd w:val="0"/>
      <w:jc w:val="center"/>
      <w:textAlignment w:val="baseline"/>
    </w:pPr>
    <w:rPr>
      <w:rFonts w:ascii="隶书" w:eastAsia="隶书"/>
      <w:b/>
      <w:kern w:val="24"/>
      <w:sz w:val="36"/>
    </w:rPr>
  </w:style>
  <w:style w:type="paragraph" w:customStyle="1" w:styleId="928">
    <w:name w:val="表格（六号）"/>
    <w:basedOn w:val="1"/>
    <w:next w:val="5"/>
    <w:semiHidden/>
    <w:qFormat/>
    <w:uiPriority w:val="0"/>
    <w:pPr>
      <w:adjustRightInd w:val="0"/>
      <w:snapToGrid w:val="0"/>
      <w:spacing w:line="315" w:lineRule="exact"/>
      <w:jc w:val="center"/>
    </w:pPr>
    <w:rPr>
      <w:rFonts w:ascii="宋体" w:hAnsi="宋体" w:eastAsia="宋体"/>
      <w:kern w:val="0"/>
      <w:sz w:val="15"/>
    </w:rPr>
  </w:style>
  <w:style w:type="paragraph" w:customStyle="1" w:styleId="929">
    <w:name w:val="a2"/>
    <w:basedOn w:val="1"/>
    <w:qFormat/>
    <w:uiPriority w:val="0"/>
    <w:pPr>
      <w:spacing w:before="312" w:beforeLines="100"/>
      <w:jc w:val="left"/>
      <w:outlineLvl w:val="1"/>
    </w:pPr>
    <w:rPr>
      <w:rFonts w:eastAsia="楷体_GB2312"/>
      <w:b/>
      <w:sz w:val="32"/>
    </w:rPr>
  </w:style>
  <w:style w:type="paragraph" w:customStyle="1" w:styleId="930">
    <w:name w:val="Char Char Char Char Char Char Char Char Char Char Char Char Char Char Char Char Char Char Char Char Char Char"/>
    <w:basedOn w:val="1"/>
    <w:next w:val="1"/>
    <w:qFormat/>
    <w:uiPriority w:val="0"/>
    <w:pPr>
      <w:spacing w:line="360" w:lineRule="auto"/>
      <w:ind w:firstLine="200" w:firstLineChars="200"/>
      <w:jc w:val="center"/>
    </w:pPr>
    <w:rPr>
      <w:rFonts w:eastAsia="宋体"/>
      <w:sz w:val="21"/>
      <w:szCs w:val="24"/>
    </w:rPr>
  </w:style>
  <w:style w:type="paragraph" w:customStyle="1" w:styleId="931">
    <w:name w:val="可研报告正文"/>
    <w:basedOn w:val="1"/>
    <w:link w:val="2400"/>
    <w:qFormat/>
    <w:uiPriority w:val="0"/>
    <w:pPr>
      <w:tabs>
        <w:tab w:val="left" w:pos="5880"/>
      </w:tabs>
      <w:spacing w:before="156" w:beforeLines="50" w:line="440" w:lineRule="exact"/>
      <w:ind w:left="425" w:firstLine="482"/>
    </w:pPr>
    <w:rPr>
      <w:rFonts w:eastAsia="宋体"/>
      <w:sz w:val="24"/>
      <w:szCs w:val="24"/>
    </w:rPr>
  </w:style>
  <w:style w:type="paragraph" w:customStyle="1" w:styleId="932">
    <w:name w:val="环评样式"/>
    <w:basedOn w:val="3"/>
    <w:next w:val="3"/>
    <w:qFormat/>
    <w:uiPriority w:val="0"/>
    <w:pPr>
      <w:pageBreakBefore w:val="0"/>
      <w:tabs>
        <w:tab w:val="left" w:pos="896"/>
        <w:tab w:val="clear" w:pos="1080"/>
      </w:tabs>
      <w:spacing w:before="120" w:after="120" w:line="0" w:lineRule="atLeast"/>
      <w:ind w:left="896" w:hanging="420"/>
      <w:jc w:val="both"/>
      <w:outlineLvl w:val="2"/>
    </w:pPr>
    <w:rPr>
      <w:rFonts w:eastAsia="黑体"/>
      <w:b w:val="0"/>
    </w:rPr>
  </w:style>
  <w:style w:type="paragraph" w:customStyle="1" w:styleId="933">
    <w:name w:val="Char Char Char1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34">
    <w:name w:val="G3"/>
    <w:basedOn w:val="60"/>
    <w:next w:val="1"/>
    <w:qFormat/>
    <w:uiPriority w:val="0"/>
    <w:pPr>
      <w:tabs>
        <w:tab w:val="clear" w:pos="1120"/>
        <w:tab w:val="clear" w:pos="8767"/>
      </w:tabs>
      <w:spacing w:before="156" w:beforeLines="50" w:after="156" w:afterLines="50" w:line="360" w:lineRule="auto"/>
      <w:jc w:val="both"/>
      <w:outlineLvl w:val="2"/>
    </w:pPr>
    <w:rPr>
      <w:rFonts w:ascii="Times New Roman" w:hAnsi="Times New Roman"/>
      <w:bCs w:val="0"/>
      <w:caps w:val="0"/>
      <w:szCs w:val="24"/>
    </w:rPr>
  </w:style>
  <w:style w:type="paragraph" w:customStyle="1" w:styleId="935">
    <w:name w:val="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36">
    <w:name w:val="at_6"/>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937">
    <w:name w:val="p0"/>
    <w:basedOn w:val="1"/>
    <w:qFormat/>
    <w:uiPriority w:val="0"/>
    <w:pPr>
      <w:widowControl/>
    </w:pPr>
    <w:rPr>
      <w:rFonts w:eastAsia="宋体"/>
      <w:kern w:val="0"/>
      <w:sz w:val="21"/>
      <w:szCs w:val="21"/>
    </w:rPr>
  </w:style>
  <w:style w:type="paragraph" w:customStyle="1" w:styleId="938">
    <w:name w:val="Char Char1 Char Char Char Char Char Char Char Char Char Char Char Char Char Char Char Char Char Char Char Char1 Char3"/>
    <w:basedOn w:val="1"/>
    <w:qFormat/>
    <w:uiPriority w:val="0"/>
    <w:pPr>
      <w:spacing w:line="360" w:lineRule="auto"/>
      <w:ind w:firstLine="200" w:firstLineChars="200"/>
    </w:pPr>
    <w:rPr>
      <w:rFonts w:ascii="宋体" w:hAnsi="宋体" w:eastAsia="宋体" w:cs="宋体"/>
      <w:sz w:val="24"/>
      <w:szCs w:val="24"/>
    </w:rPr>
  </w:style>
  <w:style w:type="paragraph" w:customStyle="1" w:styleId="939">
    <w:name w:val="段落"/>
    <w:basedOn w:val="1"/>
    <w:qFormat/>
    <w:uiPriority w:val="0"/>
    <w:pPr>
      <w:tabs>
        <w:tab w:val="left" w:pos="1021"/>
      </w:tabs>
      <w:adjustRightInd w:val="0"/>
      <w:spacing w:line="360" w:lineRule="auto"/>
      <w:ind w:firstLine="480" w:firstLineChars="200"/>
    </w:pPr>
    <w:rPr>
      <w:rFonts w:ascii="宋体" w:hAnsi="宋体" w:eastAsia="宋体"/>
      <w:kern w:val="24"/>
      <w:sz w:val="24"/>
    </w:rPr>
  </w:style>
  <w:style w:type="paragraph" w:customStyle="1" w:styleId="940">
    <w:name w:val="char"/>
    <w:basedOn w:val="1"/>
    <w:qFormat/>
    <w:uiPriority w:val="0"/>
    <w:pPr>
      <w:widowControl/>
      <w:spacing w:after="160" w:line="240" w:lineRule="exact"/>
      <w:jc w:val="left"/>
    </w:pPr>
    <w:rPr>
      <w:rFonts w:ascii="Verdana" w:hAnsi="Verdana" w:cs="”“Times New Roman”“"/>
      <w:kern w:val="0"/>
      <w:sz w:val="24"/>
      <w:lang w:eastAsia="en-US"/>
    </w:rPr>
  </w:style>
  <w:style w:type="paragraph" w:customStyle="1" w:styleId="941">
    <w:name w:val="ST20_55"/>
    <w:basedOn w:val="752"/>
    <w:qFormat/>
    <w:uiPriority w:val="0"/>
    <w:pPr>
      <w:tabs>
        <w:tab w:val="left" w:pos="2160"/>
        <w:tab w:val="clear" w:pos="720"/>
      </w:tabs>
      <w:ind w:left="2160"/>
    </w:pPr>
  </w:style>
  <w:style w:type="paragraph" w:customStyle="1" w:styleId="942">
    <w:name w:val="Table Paragraph"/>
    <w:basedOn w:val="1"/>
    <w:qFormat/>
    <w:uiPriority w:val="1"/>
    <w:pPr>
      <w:jc w:val="left"/>
    </w:pPr>
    <w:rPr>
      <w:rFonts w:ascii="Calibri" w:hAnsi="Calibri" w:eastAsia="宋体"/>
      <w:kern w:val="0"/>
      <w:sz w:val="22"/>
      <w:szCs w:val="22"/>
      <w:lang w:eastAsia="en-US"/>
    </w:rPr>
  </w:style>
  <w:style w:type="paragraph" w:customStyle="1" w:styleId="943">
    <w:name w:val="样式 标题 3条标题 + 段前: 0.5 行"/>
    <w:basedOn w:val="6"/>
    <w:next w:val="926"/>
    <w:qFormat/>
    <w:uiPriority w:val="0"/>
    <w:pPr>
      <w:spacing w:before="0" w:after="0"/>
      <w:ind w:left="720" w:hanging="720"/>
    </w:pPr>
    <w:rPr>
      <w:rFonts w:ascii="Times New Roman" w:eastAsia="黑体" w:cs="宋体"/>
      <w:b w:val="0"/>
      <w:bCs w:val="0"/>
      <w:sz w:val="28"/>
    </w:rPr>
  </w:style>
  <w:style w:type="paragraph" w:customStyle="1" w:styleId="944">
    <w:name w:val="流程图"/>
    <w:basedOn w:val="1"/>
    <w:qFormat/>
    <w:uiPriority w:val="0"/>
    <w:pPr>
      <w:adjustRightInd w:val="0"/>
      <w:spacing w:after="60"/>
      <w:jc w:val="center"/>
      <w:textAlignment w:val="baseline"/>
    </w:pPr>
    <w:rPr>
      <w:rFonts w:ascii="宋体" w:hAnsi="Bookman Old Style" w:eastAsia="宋体"/>
      <w:spacing w:val="5"/>
      <w:kern w:val="44"/>
      <w:position w:val="-10"/>
      <w:sz w:val="21"/>
    </w:rPr>
  </w:style>
  <w:style w:type="paragraph" w:customStyle="1" w:styleId="945">
    <w:name w:val="xl4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4"/>
      <w:szCs w:val="24"/>
    </w:rPr>
  </w:style>
  <w:style w:type="paragraph" w:customStyle="1" w:styleId="946">
    <w:name w:val="样式 标题 3 + (中文) 宋体 小四 加粗 Char"/>
    <w:basedOn w:val="6"/>
    <w:qFormat/>
    <w:uiPriority w:val="0"/>
    <w:pPr>
      <w:keepNext w:val="0"/>
      <w:keepLines w:val="0"/>
      <w:tabs>
        <w:tab w:val="left" w:pos="1260"/>
      </w:tabs>
      <w:adjustRightInd w:val="0"/>
      <w:spacing w:before="0" w:after="0" w:line="420" w:lineRule="exact"/>
      <w:ind w:left="1260" w:hanging="420"/>
      <w:textAlignment w:val="baseline"/>
    </w:pPr>
    <w:rPr>
      <w:rFonts w:ascii="楷体_GB2312" w:eastAsia="宋体" w:cs="Arial"/>
      <w:szCs w:val="24"/>
    </w:rPr>
  </w:style>
  <w:style w:type="paragraph" w:customStyle="1" w:styleId="947">
    <w:name w:val="Char Char Char3"/>
    <w:basedOn w:val="1"/>
    <w:qFormat/>
    <w:uiPriority w:val="0"/>
    <w:rPr>
      <w:rFonts w:eastAsia="宋体"/>
      <w:sz w:val="21"/>
    </w:rPr>
  </w:style>
  <w:style w:type="paragraph" w:customStyle="1" w:styleId="948">
    <w:name w:val="样式一.1"/>
    <w:basedOn w:val="5"/>
    <w:qFormat/>
    <w:uiPriority w:val="0"/>
    <w:pPr>
      <w:spacing w:before="156" w:beforeLines="50" w:after="156" w:afterLines="50" w:line="480" w:lineRule="exact"/>
      <w:ind w:left="720" w:firstLine="0"/>
    </w:pPr>
    <w:rPr>
      <w:rFonts w:ascii="Times New Roman" w:hAnsi="Times New Roman" w:cs="Times New Roman"/>
      <w:b/>
      <w:bCs/>
      <w:spacing w:val="0"/>
    </w:rPr>
  </w:style>
  <w:style w:type="paragraph" w:customStyle="1" w:styleId="949">
    <w:name w:val="法规"/>
    <w:basedOn w:val="1"/>
    <w:qFormat/>
    <w:uiPriority w:val="0"/>
    <w:pPr>
      <w:tabs>
        <w:tab w:val="left" w:pos="400"/>
      </w:tabs>
      <w:spacing w:line="440" w:lineRule="exact"/>
      <w:ind w:firstLine="400"/>
    </w:pPr>
    <w:rPr>
      <w:rFonts w:eastAsia="宋体"/>
      <w:sz w:val="25"/>
    </w:rPr>
  </w:style>
  <w:style w:type="paragraph" w:customStyle="1" w:styleId="950">
    <w:name w:val="表格001"/>
    <w:basedOn w:val="1"/>
    <w:qFormat/>
    <w:uiPriority w:val="0"/>
    <w:pPr>
      <w:jc w:val="center"/>
    </w:pPr>
    <w:rPr>
      <w:rFonts w:eastAsia="宋体"/>
      <w:sz w:val="24"/>
    </w:rPr>
  </w:style>
  <w:style w:type="paragraph" w:customStyle="1" w:styleId="951">
    <w:name w:val="五级条标题"/>
    <w:basedOn w:val="952"/>
    <w:next w:val="6"/>
    <w:qFormat/>
    <w:uiPriority w:val="0"/>
    <w:pPr>
      <w:outlineLvl w:val="6"/>
    </w:pPr>
  </w:style>
  <w:style w:type="paragraph" w:customStyle="1" w:styleId="952">
    <w:name w:val="四级条标题"/>
    <w:basedOn w:val="953"/>
    <w:next w:val="6"/>
    <w:qFormat/>
    <w:uiPriority w:val="0"/>
    <w:pPr>
      <w:outlineLvl w:val="5"/>
    </w:pPr>
  </w:style>
  <w:style w:type="paragraph" w:customStyle="1" w:styleId="953">
    <w:name w:val="三级条标题"/>
    <w:basedOn w:val="834"/>
    <w:next w:val="6"/>
    <w:qFormat/>
    <w:uiPriority w:val="0"/>
    <w:pPr>
      <w:outlineLvl w:val="4"/>
    </w:pPr>
  </w:style>
  <w:style w:type="paragraph" w:customStyle="1" w:styleId="954">
    <w:name w:val="封面"/>
    <w:basedOn w:val="3"/>
    <w:qFormat/>
    <w:uiPriority w:val="0"/>
    <w:pPr>
      <w:pageBreakBefore w:val="0"/>
      <w:tabs>
        <w:tab w:val="left" w:pos="3643"/>
        <w:tab w:val="clear" w:pos="1080"/>
      </w:tabs>
      <w:adjustRightInd w:val="0"/>
      <w:spacing w:before="240" w:line="240" w:lineRule="auto"/>
      <w:ind w:left="0" w:firstLine="0"/>
      <w:textAlignment w:val="baseline"/>
    </w:pPr>
    <w:rPr>
      <w:rFonts w:eastAsia="黑体"/>
      <w:sz w:val="52"/>
    </w:rPr>
  </w:style>
  <w:style w:type="paragraph" w:customStyle="1" w:styleId="955">
    <w:name w:val="Char Char Char Char Char Char Char Char Char Char Char Char"/>
    <w:basedOn w:val="1"/>
    <w:qFormat/>
    <w:uiPriority w:val="0"/>
    <w:pPr>
      <w:widowControl/>
      <w:spacing w:after="160" w:line="240" w:lineRule="exact"/>
      <w:jc w:val="left"/>
    </w:pPr>
    <w:rPr>
      <w:rFonts w:ascii="Verdana" w:hAnsi="Verdana" w:eastAsia="宋体"/>
      <w:kern w:val="0"/>
      <w:sz w:val="20"/>
      <w:lang w:eastAsia="en-US"/>
    </w:rPr>
  </w:style>
  <w:style w:type="paragraph" w:customStyle="1" w:styleId="956">
    <w:name w:val="表格文字1"/>
    <w:basedOn w:val="1"/>
    <w:qFormat/>
    <w:uiPriority w:val="0"/>
    <w:pPr>
      <w:adjustRightInd w:val="0"/>
      <w:spacing w:before="120"/>
      <w:ind w:left="-108" w:right="-28" w:firstLine="108"/>
      <w:textAlignment w:val="baseline"/>
    </w:pPr>
    <w:rPr>
      <w:rFonts w:eastAsia="宋体"/>
      <w:kern w:val="0"/>
      <w:sz w:val="21"/>
    </w:rPr>
  </w:style>
  <w:style w:type="paragraph" w:customStyle="1" w:styleId="957">
    <w:name w:val="Char Char6 Char Char Char Char Char Char"/>
    <w:basedOn w:val="1"/>
    <w:semiHidden/>
    <w:qFormat/>
    <w:uiPriority w:val="0"/>
    <w:pPr>
      <w:snapToGrid w:val="0"/>
      <w:spacing w:line="360" w:lineRule="auto"/>
      <w:ind w:firstLine="200" w:firstLineChars="200"/>
    </w:pPr>
    <w:rPr>
      <w:rFonts w:ascii="宋体" w:hAnsi="宋体" w:eastAsia="宋体" w:cs="宋体"/>
      <w:sz w:val="24"/>
      <w:szCs w:val="24"/>
    </w:rPr>
  </w:style>
  <w:style w:type="paragraph" w:customStyle="1" w:styleId="958">
    <w:name w:val="标题3"/>
    <w:basedOn w:val="6"/>
    <w:next w:val="5"/>
    <w:qFormat/>
    <w:uiPriority w:val="0"/>
    <w:pPr>
      <w:tabs>
        <w:tab w:val="left" w:pos="1080"/>
      </w:tabs>
      <w:spacing w:before="0" w:after="0" w:line="360" w:lineRule="auto"/>
      <w:ind w:left="709"/>
    </w:pPr>
    <w:rPr>
      <w:rFonts w:ascii="Times New Roman" w:eastAsia="宋体"/>
      <w:b w:val="0"/>
      <w:bCs w:val="0"/>
      <w:szCs w:val="32"/>
    </w:rPr>
  </w:style>
  <w:style w:type="paragraph" w:customStyle="1" w:styleId="959">
    <w:name w:val="Char Char Char Char Char Char1 Char Char Char Char"/>
    <w:basedOn w:val="1"/>
    <w:qFormat/>
    <w:uiPriority w:val="0"/>
    <w:rPr>
      <w:rFonts w:eastAsia="宋体"/>
      <w:sz w:val="24"/>
      <w:szCs w:val="24"/>
    </w:rPr>
  </w:style>
  <w:style w:type="paragraph" w:customStyle="1" w:styleId="960">
    <w:name w:val="样式 标题 3 + (西文) Times New Roman (中文) 宋体 小四 加粗 段前: 1 行1"/>
    <w:basedOn w:val="6"/>
    <w:qFormat/>
    <w:uiPriority w:val="0"/>
    <w:pPr>
      <w:keepNext w:val="0"/>
      <w:keepLines w:val="0"/>
      <w:tabs>
        <w:tab w:val="left" w:pos="1260"/>
      </w:tabs>
      <w:adjustRightInd w:val="0"/>
      <w:spacing w:before="0" w:after="0" w:line="420" w:lineRule="exact"/>
      <w:ind w:left="1260" w:hanging="420"/>
      <w:textAlignment w:val="baseline"/>
    </w:pPr>
    <w:rPr>
      <w:rFonts w:ascii="Times New Roman" w:eastAsia="宋体" w:cs="宋体"/>
    </w:rPr>
  </w:style>
  <w:style w:type="paragraph" w:customStyle="1" w:styleId="961">
    <w:name w:val="样式 首行缩进:  0.99 厘米"/>
    <w:basedOn w:val="1"/>
    <w:semiHidden/>
    <w:qFormat/>
    <w:uiPriority w:val="0"/>
    <w:pPr>
      <w:adjustRightInd w:val="0"/>
      <w:snapToGrid w:val="0"/>
      <w:spacing w:line="360" w:lineRule="auto"/>
      <w:ind w:firstLine="561"/>
    </w:pPr>
    <w:rPr>
      <w:rFonts w:ascii="仿宋_GB2312" w:eastAsia="宋体" w:cs="宋体"/>
      <w:sz w:val="24"/>
      <w:szCs w:val="28"/>
    </w:rPr>
  </w:style>
  <w:style w:type="paragraph" w:customStyle="1" w:styleId="962">
    <w:name w:val="Char Char Char2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63">
    <w:name w:val="table"/>
    <w:basedOn w:val="1"/>
    <w:qFormat/>
    <w:uiPriority w:val="0"/>
    <w:pPr>
      <w:spacing w:line="360" w:lineRule="auto"/>
      <w:jc w:val="center"/>
    </w:pPr>
    <w:rPr>
      <w:rFonts w:eastAsia="宋体"/>
      <w:bCs/>
      <w:sz w:val="24"/>
      <w:szCs w:val="24"/>
    </w:rPr>
  </w:style>
  <w:style w:type="paragraph" w:customStyle="1" w:styleId="964">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rFonts w:ascii="宋体" w:hAnsi="宋体" w:eastAsia="宋体" w:cs="宋体"/>
      <w:sz w:val="24"/>
      <w:szCs w:val="24"/>
    </w:rPr>
  </w:style>
  <w:style w:type="paragraph" w:customStyle="1" w:styleId="965">
    <w:name w:val="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66">
    <w:name w:val="a表格"/>
    <w:basedOn w:val="896"/>
    <w:qFormat/>
    <w:uiPriority w:val="0"/>
    <w:pPr>
      <w:snapToGrid w:val="0"/>
      <w:ind w:firstLine="0" w:firstLineChars="0"/>
      <w:jc w:val="center"/>
      <w:outlineLvl w:val="2"/>
    </w:pPr>
    <w:rPr>
      <w:sz w:val="21"/>
    </w:rPr>
  </w:style>
  <w:style w:type="paragraph" w:customStyle="1" w:styleId="967">
    <w:name w:val="默认段落字体 Para Char Char Char Char Char Char Char"/>
    <w:basedOn w:val="1"/>
    <w:qFormat/>
    <w:uiPriority w:val="0"/>
    <w:pPr>
      <w:adjustRightInd w:val="0"/>
      <w:spacing w:line="360" w:lineRule="auto"/>
      <w:ind w:left="200" w:hanging="200" w:hangingChars="200"/>
      <w:textAlignment w:val="baseline"/>
    </w:pPr>
    <w:rPr>
      <w:rFonts w:eastAsia="宋体"/>
      <w:kern w:val="0"/>
      <w:sz w:val="24"/>
    </w:rPr>
  </w:style>
  <w:style w:type="paragraph" w:customStyle="1" w:styleId="968">
    <w:name w:val="自动1"/>
    <w:basedOn w:val="1"/>
    <w:link w:val="2807"/>
    <w:qFormat/>
    <w:uiPriority w:val="0"/>
    <w:pPr>
      <w:keepNext/>
      <w:keepLines/>
      <w:spacing w:beforeLines="50" w:afterLines="50" w:line="360" w:lineRule="auto"/>
      <w:outlineLvl w:val="0"/>
    </w:pPr>
    <w:rPr>
      <w:rFonts w:ascii="黑体" w:hAnsi="Arial Unicode MS" w:eastAsia="黑体" w:cs="Arial Unicode MS"/>
      <w:b/>
      <w:bCs/>
      <w:color w:val="000000"/>
      <w:kern w:val="44"/>
      <w:sz w:val="30"/>
      <w:szCs w:val="30"/>
    </w:rPr>
  </w:style>
  <w:style w:type="paragraph" w:customStyle="1" w:styleId="969">
    <w:name w:val="默认段落字体 Para Char"/>
    <w:basedOn w:val="1"/>
    <w:qFormat/>
    <w:uiPriority w:val="0"/>
    <w:pPr>
      <w:spacing w:before="156" w:beforeLines="50" w:after="156" w:afterLines="50" w:line="500" w:lineRule="exact"/>
      <w:ind w:firstLine="480" w:firstLineChars="200"/>
    </w:pPr>
    <w:rPr>
      <w:rFonts w:eastAsia="宋体"/>
      <w:szCs w:val="24"/>
    </w:rPr>
  </w:style>
  <w:style w:type="paragraph" w:customStyle="1" w:styleId="970">
    <w:name w:val="文章正文样式 Char Char3"/>
    <w:basedOn w:val="1"/>
    <w:qFormat/>
    <w:uiPriority w:val="0"/>
    <w:pPr>
      <w:spacing w:line="520" w:lineRule="exact"/>
      <w:ind w:firstLine="480" w:firstLineChars="200"/>
      <w:jc w:val="left"/>
    </w:pPr>
    <w:rPr>
      <w:rFonts w:ascii="宋体" w:hAnsi="宋体" w:eastAsia="宋体"/>
      <w:sz w:val="24"/>
    </w:rPr>
  </w:style>
  <w:style w:type="paragraph" w:customStyle="1" w:styleId="971">
    <w:name w:val="默认段落字体 Para Char Char Char Char"/>
    <w:basedOn w:val="1"/>
    <w:qFormat/>
    <w:uiPriority w:val="0"/>
    <w:rPr>
      <w:rFonts w:eastAsia="宋体"/>
      <w:sz w:val="24"/>
      <w:szCs w:val="24"/>
    </w:rPr>
  </w:style>
  <w:style w:type="paragraph" w:customStyle="1" w:styleId="972">
    <w:name w:val="xl29"/>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 w:val="24"/>
      <w:szCs w:val="24"/>
    </w:rPr>
  </w:style>
  <w:style w:type="paragraph" w:customStyle="1" w:styleId="973">
    <w:name w:val="表文字中"/>
    <w:semiHidden/>
    <w:qFormat/>
    <w:uiPriority w:val="0"/>
    <w:pPr>
      <w:spacing w:line="360" w:lineRule="auto"/>
      <w:jc w:val="center"/>
    </w:pPr>
    <w:rPr>
      <w:rFonts w:ascii="Arial" w:hAnsi="Arial" w:eastAsia="宋体" w:cs="Times New Roman"/>
      <w:kern w:val="2"/>
      <w:sz w:val="21"/>
      <w:lang w:val="en-US" w:eastAsia="zh-CN" w:bidi="ar-SA"/>
    </w:rPr>
  </w:style>
  <w:style w:type="paragraph" w:customStyle="1" w:styleId="974">
    <w:name w:val="样式 样式 标题 4表格1 + 两端对齐 段前: 0.5 行 段后: 0.5 行 + 段前: 0.5 行 段后: 0.5 行"/>
    <w:basedOn w:val="881"/>
    <w:qFormat/>
    <w:uiPriority w:val="0"/>
    <w:pPr>
      <w:tabs>
        <w:tab w:val="left" w:pos="0"/>
        <w:tab w:val="left" w:pos="1492"/>
      </w:tabs>
    </w:pPr>
  </w:style>
  <w:style w:type="paragraph" w:customStyle="1" w:styleId="975">
    <w:name w:val="标题 16"/>
    <w:basedOn w:val="1"/>
    <w:qFormat/>
    <w:uiPriority w:val="0"/>
    <w:rPr>
      <w:rFonts w:eastAsia="宋体"/>
      <w:sz w:val="21"/>
      <w:szCs w:val="24"/>
    </w:rPr>
  </w:style>
  <w:style w:type="paragraph" w:customStyle="1" w:styleId="976">
    <w:name w:val="Lux 正文"/>
    <w:basedOn w:val="1"/>
    <w:qFormat/>
    <w:uiPriority w:val="0"/>
    <w:pPr>
      <w:spacing w:before="80" w:after="80" w:line="500" w:lineRule="exact"/>
      <w:ind w:firstLine="200" w:firstLineChars="200"/>
    </w:pPr>
    <w:rPr>
      <w:rFonts w:eastAsia="宋体"/>
      <w:kern w:val="0"/>
      <w:sz w:val="24"/>
    </w:rPr>
  </w:style>
  <w:style w:type="paragraph" w:customStyle="1" w:styleId="977">
    <w:name w:val="样式 标题 1 +1"/>
    <w:basedOn w:val="3"/>
    <w:next w:val="1"/>
    <w:qFormat/>
    <w:uiPriority w:val="0"/>
    <w:pPr>
      <w:pageBreakBefore w:val="0"/>
      <w:tabs>
        <w:tab w:val="left" w:pos="420"/>
        <w:tab w:val="left" w:pos="3065"/>
      </w:tabs>
      <w:spacing w:before="340" w:after="330" w:line="360" w:lineRule="auto"/>
      <w:ind w:left="420" w:firstLine="0"/>
    </w:pPr>
    <w:rPr>
      <w:rFonts w:ascii="黑体" w:hAnsi="Arial" w:eastAsia="黑体" w:cs="Arial"/>
      <w:bCs/>
      <w:kern w:val="0"/>
      <w:sz w:val="32"/>
      <w:szCs w:val="44"/>
    </w:rPr>
  </w:style>
  <w:style w:type="paragraph" w:customStyle="1" w:styleId="978">
    <w:name w:val="二号标题样式"/>
    <w:basedOn w:val="1"/>
    <w:qFormat/>
    <w:uiPriority w:val="0"/>
    <w:pPr>
      <w:keepNext/>
      <w:keepLines/>
      <w:spacing w:before="156" w:beforeLines="50" w:after="156" w:afterLines="50" w:line="520" w:lineRule="exact"/>
      <w:outlineLvl w:val="2"/>
    </w:pPr>
    <w:rPr>
      <w:rFonts w:ascii="Arial" w:hAnsi="Arial" w:eastAsia="黑体" w:cs="宋体"/>
    </w:rPr>
  </w:style>
  <w:style w:type="paragraph" w:customStyle="1" w:styleId="979">
    <w:name w:val="样式 表 + 首行缩进:  2 字符"/>
    <w:basedOn w:val="646"/>
    <w:semiHidden/>
    <w:qFormat/>
    <w:uiPriority w:val="0"/>
    <w:pPr>
      <w:keepNext w:val="0"/>
      <w:keepLines w:val="0"/>
      <w:tabs>
        <w:tab w:val="clear" w:pos="1080"/>
      </w:tabs>
      <w:adjustRightInd w:val="0"/>
      <w:snapToGrid w:val="0"/>
      <w:spacing w:before="0" w:after="0" w:line="331" w:lineRule="auto"/>
      <w:jc w:val="center"/>
      <w:outlineLvl w:val="9"/>
    </w:pPr>
    <w:rPr>
      <w:rFonts w:ascii="宋体" w:hAnsi="宋体" w:cs="宋体"/>
      <w:b w:val="0"/>
      <w:bCs w:val="0"/>
      <w:kern w:val="0"/>
      <w:sz w:val="21"/>
      <w:szCs w:val="21"/>
    </w:rPr>
  </w:style>
  <w:style w:type="paragraph" w:customStyle="1" w:styleId="980">
    <w:name w:val="标题 18"/>
    <w:basedOn w:val="1"/>
    <w:qFormat/>
    <w:uiPriority w:val="0"/>
    <w:rPr>
      <w:rFonts w:eastAsia="宋体"/>
      <w:sz w:val="21"/>
      <w:szCs w:val="24"/>
    </w:rPr>
  </w:style>
  <w:style w:type="paragraph" w:customStyle="1" w:styleId="981">
    <w:name w:val="pic-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982">
    <w:name w:val="Char Char Char Char1"/>
    <w:basedOn w:val="1"/>
    <w:qFormat/>
    <w:uiPriority w:val="0"/>
    <w:pPr>
      <w:spacing w:before="156" w:beforeLines="50" w:after="156" w:afterLines="50"/>
    </w:pPr>
    <w:rPr>
      <w:rFonts w:eastAsia="宋体"/>
      <w:sz w:val="21"/>
      <w:szCs w:val="24"/>
    </w:rPr>
  </w:style>
  <w:style w:type="paragraph" w:customStyle="1" w:styleId="983">
    <w:name w:val="正文LA"/>
    <w:qFormat/>
    <w:uiPriority w:val="0"/>
    <w:pPr>
      <w:widowControl w:val="0"/>
      <w:tabs>
        <w:tab w:val="left" w:pos="0"/>
      </w:tabs>
      <w:adjustRightInd w:val="0"/>
      <w:spacing w:before="156" w:beforeLines="50" w:line="360" w:lineRule="auto"/>
      <w:ind w:firstLine="225" w:firstLineChars="225"/>
      <w:jc w:val="both"/>
    </w:pPr>
    <w:rPr>
      <w:rFonts w:ascii="宋体" w:hAnsi="宋体" w:eastAsia="宋体" w:cs="Times New Roman"/>
      <w:snapToGrid w:val="0"/>
      <w:sz w:val="24"/>
      <w:lang w:val="en-US" w:eastAsia="zh-CN" w:bidi="ar-SA"/>
    </w:rPr>
  </w:style>
  <w:style w:type="paragraph" w:customStyle="1" w:styleId="984">
    <w:name w:val="Char2"/>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985">
    <w:name w:val="font7"/>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986">
    <w:name w:val="reader-word-layer reader-word-s1-7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987">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988">
    <w:name w:val="ST20_22"/>
    <w:basedOn w:val="753"/>
    <w:qFormat/>
    <w:uiPriority w:val="0"/>
    <w:pPr>
      <w:spacing w:after="120"/>
    </w:pPr>
  </w:style>
  <w:style w:type="paragraph" w:customStyle="1" w:styleId="989">
    <w:name w:val="ST20_40"/>
    <w:basedOn w:val="751"/>
    <w:next w:val="751"/>
    <w:qFormat/>
    <w:uiPriority w:val="0"/>
    <w:pPr>
      <w:spacing w:before="80"/>
    </w:pPr>
  </w:style>
  <w:style w:type="paragraph" w:customStyle="1" w:styleId="990">
    <w:name w:val="Style 表格内容 + Line spacing:  Multiple 1.2 li"/>
    <w:basedOn w:val="250"/>
    <w:qFormat/>
    <w:uiPriority w:val="0"/>
    <w:pPr>
      <w:spacing w:line="240" w:lineRule="auto"/>
      <w:ind w:firstLine="0" w:firstLineChars="0"/>
    </w:pPr>
    <w:rPr>
      <w:rFonts w:cs="宋体"/>
    </w:rPr>
  </w:style>
  <w:style w:type="paragraph" w:customStyle="1" w:styleId="991">
    <w:name w:val="xl42"/>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992">
    <w:name w:val="样式 首行缩进:  0.77 厘米 行距: 固定值 20 磅4"/>
    <w:basedOn w:val="1"/>
    <w:qFormat/>
    <w:uiPriority w:val="0"/>
    <w:pPr>
      <w:spacing w:line="360" w:lineRule="auto"/>
      <w:ind w:firstLine="435"/>
    </w:pPr>
    <w:rPr>
      <w:rFonts w:eastAsia="宋体" w:cs="宋体"/>
      <w:sz w:val="24"/>
    </w:rPr>
  </w:style>
  <w:style w:type="paragraph" w:customStyle="1" w:styleId="993">
    <w:name w:val="Char1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994">
    <w:name w:val="表文"/>
    <w:basedOn w:val="1"/>
    <w:link w:val="1834"/>
    <w:qFormat/>
    <w:uiPriority w:val="0"/>
    <w:pPr>
      <w:tabs>
        <w:tab w:val="left" w:pos="1021"/>
      </w:tabs>
      <w:ind w:firstLine="560"/>
    </w:pPr>
    <w:rPr>
      <w:rFonts w:eastAsia="宋体"/>
      <w:kern w:val="0"/>
      <w:sz w:val="24"/>
    </w:rPr>
  </w:style>
  <w:style w:type="paragraph" w:customStyle="1" w:styleId="995">
    <w:name w:val="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996">
    <w:name w:val="表格2"/>
    <w:basedOn w:val="1"/>
    <w:qFormat/>
    <w:uiPriority w:val="0"/>
    <w:pPr>
      <w:spacing w:line="360" w:lineRule="atLeast"/>
      <w:jc w:val="center"/>
    </w:pPr>
    <w:rPr>
      <w:rFonts w:eastAsia="宋体"/>
      <w:sz w:val="21"/>
      <w:szCs w:val="21"/>
    </w:rPr>
  </w:style>
  <w:style w:type="paragraph" w:customStyle="1" w:styleId="997">
    <w:name w:val="ST20_33"/>
    <w:basedOn w:val="56"/>
    <w:qFormat/>
    <w:uiPriority w:val="0"/>
    <w:pPr>
      <w:keepLines/>
      <w:tabs>
        <w:tab w:val="center" w:pos="4320"/>
        <w:tab w:val="right" w:pos="8640"/>
        <w:tab w:val="clear" w:pos="4153"/>
        <w:tab w:val="clear" w:pos="8306"/>
      </w:tabs>
      <w:autoSpaceDE w:val="0"/>
      <w:autoSpaceDN w:val="0"/>
      <w:adjustRightInd w:val="0"/>
      <w:snapToGrid/>
      <w:spacing w:line="360" w:lineRule="atLeast"/>
      <w:textAlignment w:val="baseline"/>
    </w:pPr>
    <w:rPr>
      <w:rFonts w:ascii="宋体" w:hAnsi="Tms Rmn" w:eastAsia="宋体"/>
      <w:kern w:val="0"/>
      <w:sz w:val="28"/>
      <w:szCs w:val="28"/>
    </w:rPr>
  </w:style>
  <w:style w:type="paragraph" w:customStyle="1" w:styleId="998">
    <w:name w:val="样式 标题 2节H2（一）Underrubrik1prop2Heading 2 HiddenHeading 2 C...5"/>
    <w:basedOn w:val="4"/>
    <w:qFormat/>
    <w:uiPriority w:val="0"/>
    <w:pPr>
      <w:adjustRightInd w:val="0"/>
      <w:snapToGrid w:val="0"/>
      <w:spacing w:beforeLines="50" w:after="120" w:afterLines="50" w:line="360" w:lineRule="auto"/>
    </w:pPr>
    <w:rPr>
      <w:rFonts w:ascii="Times New Roman" w:hAnsi="宋体" w:eastAsia="宋体" w:cs="宋体"/>
      <w:b/>
      <w:bCs/>
      <w:color w:val="FF0000"/>
      <w:sz w:val="30"/>
    </w:rPr>
  </w:style>
  <w:style w:type="paragraph" w:customStyle="1" w:styleId="999">
    <w:name w:val="ST20_63"/>
    <w:basedOn w:val="1000"/>
    <w:qFormat/>
    <w:uiPriority w:val="0"/>
    <w:pPr>
      <w:ind w:left="1800"/>
    </w:pPr>
  </w:style>
  <w:style w:type="paragraph" w:customStyle="1" w:styleId="1000">
    <w:name w:val="ST20_54"/>
    <w:basedOn w:val="752"/>
    <w:qFormat/>
    <w:uiPriority w:val="0"/>
    <w:pPr>
      <w:tabs>
        <w:tab w:val="clear" w:pos="720"/>
      </w:tabs>
      <w:spacing w:after="160"/>
    </w:pPr>
  </w:style>
  <w:style w:type="paragraph" w:customStyle="1" w:styleId="1001">
    <w:name w:val="font0"/>
    <w:basedOn w:val="1"/>
    <w:qFormat/>
    <w:uiPriority w:val="0"/>
    <w:pPr>
      <w:widowControl/>
      <w:spacing w:before="100" w:beforeAutospacing="1" w:after="100" w:afterAutospacing="1"/>
      <w:jc w:val="left"/>
    </w:pPr>
    <w:rPr>
      <w:rFonts w:hint="eastAsia" w:ascii="宋体" w:hAnsi="宋体" w:eastAsia="宋体" w:cs="Arial Unicode MS"/>
      <w:kern w:val="0"/>
      <w:sz w:val="24"/>
      <w:szCs w:val="24"/>
    </w:rPr>
  </w:style>
  <w:style w:type="paragraph" w:customStyle="1" w:styleId="1002">
    <w:name w:val="样式15 Char"/>
    <w:basedOn w:val="1"/>
    <w:qFormat/>
    <w:uiPriority w:val="0"/>
    <w:pPr>
      <w:spacing w:line="360" w:lineRule="auto"/>
      <w:ind w:firstLine="560" w:firstLineChars="200"/>
    </w:pPr>
    <w:rPr>
      <w:rFonts w:eastAsia="宋体"/>
    </w:rPr>
  </w:style>
  <w:style w:type="paragraph" w:customStyle="1" w:styleId="1003">
    <w:name w:val="Char Char Char Char Char Char Char Char Char Char Char Char Char Char Char Char"/>
    <w:basedOn w:val="1"/>
    <w:next w:val="1"/>
    <w:qFormat/>
    <w:uiPriority w:val="0"/>
    <w:rPr>
      <w:rFonts w:eastAsia="宋体"/>
      <w:sz w:val="21"/>
      <w:szCs w:val="24"/>
    </w:rPr>
  </w:style>
  <w:style w:type="paragraph" w:customStyle="1" w:styleId="1004">
    <w:name w:val="河石管道 表格文字小五6"/>
    <w:qFormat/>
    <w:uiPriority w:val="0"/>
    <w:pPr>
      <w:widowControl w:val="0"/>
      <w:tabs>
        <w:tab w:val="left" w:pos="0"/>
        <w:tab w:val="left" w:pos="1659"/>
        <w:tab w:val="left" w:pos="2517"/>
      </w:tabs>
      <w:adjustRightInd w:val="0"/>
      <w:snapToGrid w:val="0"/>
      <w:spacing w:line="320" w:lineRule="atLeast"/>
      <w:jc w:val="center"/>
      <w:textAlignment w:val="baseline"/>
    </w:pPr>
    <w:rPr>
      <w:rFonts w:ascii="Times New Roman" w:hAnsi="Times New Roman" w:eastAsia="宋体" w:cs="Times New Roman"/>
      <w:sz w:val="21"/>
      <w:szCs w:val="21"/>
      <w:lang w:val="en-US" w:eastAsia="zh-CN" w:bidi="ar-SA"/>
    </w:rPr>
  </w:style>
  <w:style w:type="paragraph" w:customStyle="1" w:styleId="1005">
    <w:name w:val="样式14"/>
    <w:basedOn w:val="4"/>
    <w:link w:val="2694"/>
    <w:qFormat/>
    <w:uiPriority w:val="0"/>
    <w:pPr>
      <w:tabs>
        <w:tab w:val="left" w:pos="0"/>
        <w:tab w:val="left" w:pos="2961"/>
        <w:tab w:val="clear" w:pos="567"/>
      </w:tabs>
      <w:ind w:left="2961" w:hanging="576"/>
      <w:jc w:val="left"/>
    </w:pPr>
  </w:style>
  <w:style w:type="paragraph" w:customStyle="1" w:styleId="1006">
    <w:name w:val="样式 样式 Arial 三号 左 段前: 4.65 磅 + 首行缩进:  2 字符"/>
    <w:basedOn w:val="1"/>
    <w:qFormat/>
    <w:uiPriority w:val="0"/>
    <w:pPr>
      <w:spacing w:before="60" w:line="480" w:lineRule="exact"/>
      <w:ind w:firstLine="200" w:firstLineChars="200"/>
      <w:jc w:val="left"/>
    </w:pPr>
    <w:rPr>
      <w:rFonts w:ascii="Arial" w:hAnsi="Arial" w:eastAsia="宋体" w:cs="Arial"/>
      <w:kern w:val="0"/>
      <w:sz w:val="32"/>
      <w:szCs w:val="32"/>
    </w:rPr>
  </w:style>
  <w:style w:type="paragraph" w:customStyle="1" w:styleId="1007">
    <w:name w:val="样式 题注"/>
    <w:basedOn w:val="22"/>
    <w:qFormat/>
    <w:uiPriority w:val="0"/>
    <w:pPr>
      <w:spacing w:before="0" w:after="0" w:line="360" w:lineRule="auto"/>
    </w:pPr>
    <w:rPr>
      <w:rFonts w:cs="宋体"/>
      <w:b/>
      <w:bCs/>
      <w:color w:val="000000"/>
      <w:kern w:val="0"/>
      <w:sz w:val="28"/>
      <w:szCs w:val="28"/>
    </w:rPr>
  </w:style>
  <w:style w:type="paragraph" w:customStyle="1" w:styleId="1008">
    <w:name w:val="样式 样式 标题4 + 右侧:  0.85 字符 + 右侧:  0.85 字符1"/>
    <w:basedOn w:val="1"/>
    <w:qFormat/>
    <w:uiPriority w:val="0"/>
    <w:pPr>
      <w:spacing w:line="377" w:lineRule="auto"/>
      <w:ind w:right="85" w:rightChars="85"/>
      <w:jc w:val="left"/>
      <w:outlineLvl w:val="3"/>
    </w:pPr>
    <w:rPr>
      <w:rFonts w:eastAsia="宋体" w:cs="宋体"/>
      <w:kern w:val="0"/>
      <w:sz w:val="24"/>
    </w:rPr>
  </w:style>
  <w:style w:type="paragraph" w:customStyle="1" w:styleId="1009">
    <w:name w:val="样式 标题 2 + 黑体 四号 非加粗 首行缩进:  2 字符"/>
    <w:basedOn w:val="4"/>
    <w:qFormat/>
    <w:uiPriority w:val="0"/>
    <w:pPr>
      <w:adjustRightInd w:val="0"/>
      <w:snapToGrid w:val="0"/>
      <w:spacing w:before="0" w:after="0" w:line="360" w:lineRule="auto"/>
      <w:ind w:firstLine="606" w:firstLineChars="202"/>
      <w:jc w:val="left"/>
    </w:pPr>
    <w:rPr>
      <w:rFonts w:hAnsi="宋体" w:cs="宋体"/>
      <w:sz w:val="30"/>
    </w:rPr>
  </w:style>
  <w:style w:type="paragraph" w:customStyle="1" w:styleId="1010">
    <w:name w:val="样式 报告书正文 + 首行缩进:  2 字符1"/>
    <w:basedOn w:val="1"/>
    <w:next w:val="1"/>
    <w:qFormat/>
    <w:uiPriority w:val="0"/>
    <w:pPr>
      <w:spacing w:line="360" w:lineRule="auto"/>
      <w:ind w:firstLine="480" w:firstLineChars="200"/>
    </w:pPr>
    <w:rPr>
      <w:rFonts w:eastAsia="宋体" w:cs="宋体"/>
      <w:sz w:val="24"/>
    </w:rPr>
  </w:style>
  <w:style w:type="paragraph" w:customStyle="1" w:styleId="1011">
    <w:name w:val="样式10"/>
    <w:basedOn w:val="1"/>
    <w:link w:val="2310"/>
    <w:qFormat/>
    <w:uiPriority w:val="0"/>
    <w:pPr>
      <w:spacing w:line="360" w:lineRule="auto"/>
    </w:pPr>
    <w:rPr>
      <w:rFonts w:ascii="Arial" w:hAnsi="Arial" w:eastAsia="宋体" w:cs="Arial"/>
      <w:b/>
      <w:bCs/>
      <w:sz w:val="24"/>
      <w:szCs w:val="24"/>
      <w:lang w:val="en-GB"/>
    </w:rPr>
  </w:style>
  <w:style w:type="paragraph" w:customStyle="1" w:styleId="1012">
    <w:name w:val="样式 标题 1 + 黑体 小三"/>
    <w:basedOn w:val="3"/>
    <w:qFormat/>
    <w:uiPriority w:val="0"/>
    <w:pPr>
      <w:pageBreakBefore w:val="0"/>
      <w:tabs>
        <w:tab w:val="left" w:pos="0"/>
        <w:tab w:val="left" w:pos="840"/>
        <w:tab w:val="left" w:pos="2805"/>
        <w:tab w:val="clear" w:pos="1080"/>
      </w:tabs>
      <w:spacing w:before="100" w:beforeAutospacing="1" w:after="100" w:afterAutospacing="1"/>
      <w:ind w:left="840" w:hanging="360"/>
    </w:pPr>
    <w:rPr>
      <w:rFonts w:ascii="黑体" w:hAnsi="黑体" w:eastAsia="黑体"/>
      <w:bCs/>
      <w:kern w:val="0"/>
      <w:sz w:val="30"/>
      <w:szCs w:val="32"/>
    </w:rPr>
  </w:style>
  <w:style w:type="paragraph" w:customStyle="1" w:styleId="1013">
    <w:name w:val="样式 样式 褐色 首行缩进:  2 字符 + 首行缩进:  0 字符"/>
    <w:basedOn w:val="1"/>
    <w:qFormat/>
    <w:uiPriority w:val="0"/>
    <w:pPr>
      <w:widowControl/>
      <w:adjustRightInd w:val="0"/>
      <w:snapToGrid w:val="0"/>
      <w:spacing w:line="420" w:lineRule="auto"/>
      <w:jc w:val="left"/>
    </w:pPr>
    <w:rPr>
      <w:rFonts w:ascii="宋体" w:hAnsi="宋体" w:eastAsia="宋体" w:cs="宋体"/>
      <w:kern w:val="0"/>
      <w:sz w:val="24"/>
    </w:rPr>
  </w:style>
  <w:style w:type="paragraph" w:customStyle="1" w:styleId="1014">
    <w:name w:val="样式 样式 (中文) 仿宋_GB2312 四号1 + 首行缩进:  2 字符"/>
    <w:basedOn w:val="479"/>
    <w:qFormat/>
    <w:uiPriority w:val="0"/>
    <w:pPr>
      <w:tabs>
        <w:tab w:val="left" w:pos="1800"/>
      </w:tabs>
      <w:spacing w:line="460" w:lineRule="exact"/>
      <w:ind w:firstLine="560"/>
      <w:jc w:val="center"/>
    </w:pPr>
  </w:style>
  <w:style w:type="paragraph" w:customStyle="1" w:styleId="1015">
    <w:name w:val="特性表"/>
    <w:basedOn w:val="1"/>
    <w:semiHidden/>
    <w:qFormat/>
    <w:uiPriority w:val="0"/>
    <w:pPr>
      <w:adjustRightInd w:val="0"/>
      <w:snapToGrid w:val="0"/>
      <w:spacing w:line="360" w:lineRule="auto"/>
      <w:jc w:val="center"/>
    </w:pPr>
    <w:rPr>
      <w:rFonts w:ascii="黑体" w:hAnsi="宋体" w:eastAsia="黑体"/>
      <w:sz w:val="30"/>
    </w:rPr>
  </w:style>
  <w:style w:type="paragraph" w:customStyle="1" w:styleId="1016">
    <w:name w:val="标题 15"/>
    <w:basedOn w:val="1"/>
    <w:qFormat/>
    <w:uiPriority w:val="0"/>
    <w:rPr>
      <w:rFonts w:eastAsia="宋体"/>
      <w:sz w:val="21"/>
      <w:szCs w:val="24"/>
    </w:rPr>
  </w:style>
  <w:style w:type="paragraph" w:customStyle="1" w:styleId="1017">
    <w:name w:val="p16"/>
    <w:basedOn w:val="1"/>
    <w:qFormat/>
    <w:uiPriority w:val="0"/>
    <w:pPr>
      <w:widowControl/>
      <w:spacing w:line="520" w:lineRule="atLeast"/>
      <w:ind w:firstLine="420"/>
      <w:jc w:val="left"/>
    </w:pPr>
    <w:rPr>
      <w:rFonts w:eastAsia="宋体"/>
      <w:kern w:val="0"/>
      <w:sz w:val="24"/>
      <w:szCs w:val="24"/>
    </w:rPr>
  </w:style>
  <w:style w:type="paragraph" w:customStyle="1" w:styleId="1018">
    <w:name w:val="Body Text First Indent3"/>
    <w:basedOn w:val="34"/>
    <w:qFormat/>
    <w:uiPriority w:val="0"/>
    <w:pPr>
      <w:tabs>
        <w:tab w:val="left" w:pos="7840"/>
      </w:tabs>
      <w:adjustRightInd w:val="0"/>
      <w:spacing w:before="120" w:line="360" w:lineRule="auto"/>
      <w:ind w:firstLine="567"/>
      <w:textAlignment w:val="baseline"/>
    </w:pPr>
    <w:rPr>
      <w:rFonts w:eastAsia="宋体"/>
      <w:kern w:val="28"/>
      <w:szCs w:val="24"/>
    </w:rPr>
  </w:style>
  <w:style w:type="paragraph" w:customStyle="1" w:styleId="1019">
    <w:name w:val="标题 12"/>
    <w:basedOn w:val="1"/>
    <w:qFormat/>
    <w:uiPriority w:val="0"/>
    <w:rPr>
      <w:rFonts w:eastAsia="宋体"/>
      <w:sz w:val="21"/>
      <w:szCs w:val="24"/>
    </w:rPr>
  </w:style>
  <w:style w:type="paragraph" w:customStyle="1" w:styleId="1020">
    <w:name w:val="正文王"/>
    <w:basedOn w:val="46"/>
    <w:qFormat/>
    <w:uiPriority w:val="0"/>
    <w:pPr>
      <w:spacing w:line="440" w:lineRule="exact"/>
    </w:pPr>
    <w:rPr>
      <w:rFonts w:ascii="Arial" w:hAnsi="Arial" w:cs="宋体"/>
      <w:kern w:val="0"/>
      <w:sz w:val="24"/>
      <w:szCs w:val="24"/>
    </w:rPr>
  </w:style>
  <w:style w:type="paragraph" w:customStyle="1" w:styleId="1021">
    <w:name w:val="xl25"/>
    <w:basedOn w:val="1"/>
    <w:qFormat/>
    <w:uiPriority w:val="0"/>
    <w:pPr>
      <w:widowControl/>
      <w:pBdr>
        <w:top w:val="single" w:color="auto" w:sz="4" w:space="0"/>
        <w:bottom w:val="single" w:color="auto" w:sz="4" w:space="0"/>
      </w:pBdr>
      <w:spacing w:before="100" w:beforeAutospacing="1" w:after="100" w:afterAutospacing="1"/>
      <w:jc w:val="center"/>
    </w:pPr>
    <w:rPr>
      <w:rFonts w:eastAsia="Arial Unicode MS"/>
      <w:kern w:val="0"/>
      <w:sz w:val="24"/>
      <w:szCs w:val="24"/>
    </w:rPr>
  </w:style>
  <w:style w:type="paragraph" w:customStyle="1" w:styleId="1022">
    <w:name w:val="T表格1"/>
    <w:basedOn w:val="34"/>
    <w:qFormat/>
    <w:uiPriority w:val="0"/>
    <w:pPr>
      <w:tabs>
        <w:tab w:val="left" w:pos="900"/>
      </w:tabs>
      <w:spacing w:after="0" w:line="240" w:lineRule="exact"/>
    </w:pPr>
    <w:rPr>
      <w:sz w:val="21"/>
      <w:szCs w:val="24"/>
      <w:lang w:val="zh-CN"/>
    </w:rPr>
  </w:style>
  <w:style w:type="paragraph" w:customStyle="1" w:styleId="1023">
    <w:name w:val="xl41"/>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4"/>
      <w:szCs w:val="24"/>
    </w:rPr>
  </w:style>
  <w:style w:type="paragraph" w:customStyle="1" w:styleId="1024">
    <w:name w:val="np_zhengwen"/>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1025">
    <w:name w:val="Char1 Char Char Char1"/>
    <w:basedOn w:val="1"/>
    <w:qFormat/>
    <w:uiPriority w:val="0"/>
    <w:pPr>
      <w:widowControl/>
      <w:spacing w:after="160" w:line="240" w:lineRule="exact"/>
      <w:jc w:val="left"/>
    </w:pPr>
    <w:rPr>
      <w:rFonts w:ascii="Verdana" w:hAnsi="Verdana" w:eastAsia="宋体"/>
      <w:kern w:val="0"/>
      <w:sz w:val="20"/>
      <w:lang w:eastAsia="en-US"/>
    </w:rPr>
  </w:style>
  <w:style w:type="paragraph" w:customStyle="1" w:styleId="1026">
    <w:name w:val="样式 样式 左侧:  0.64 字符 +"/>
    <w:basedOn w:val="1"/>
    <w:qFormat/>
    <w:uiPriority w:val="0"/>
    <w:pPr>
      <w:tabs>
        <w:tab w:val="left" w:pos="1440"/>
      </w:tabs>
      <w:spacing w:line="500" w:lineRule="atLeast"/>
      <w:ind w:left="200" w:leftChars="200" w:firstLine="200" w:firstLineChars="200"/>
    </w:pPr>
    <w:rPr>
      <w:rFonts w:ascii="宋体" w:hAnsi="宋体" w:eastAsia="宋体"/>
    </w:rPr>
  </w:style>
  <w:style w:type="paragraph" w:customStyle="1" w:styleId="1027">
    <w:name w:val="样式 样式 表格2 + 首行缩进:  2 字符1 +"/>
    <w:basedOn w:val="1028"/>
    <w:semiHidden/>
    <w:qFormat/>
    <w:uiPriority w:val="0"/>
    <w:pPr>
      <w:ind w:firstLine="420" w:firstLineChars="200"/>
    </w:pPr>
  </w:style>
  <w:style w:type="paragraph" w:customStyle="1" w:styleId="1028">
    <w:name w:val="样式 表格2 + 首行缩进:  2 字符1"/>
    <w:basedOn w:val="996"/>
    <w:semiHidden/>
    <w:qFormat/>
    <w:uiPriority w:val="0"/>
    <w:pPr>
      <w:adjustRightInd w:val="0"/>
      <w:snapToGrid w:val="0"/>
      <w:spacing w:before="100" w:beforeAutospacing="1" w:after="100" w:afterAutospacing="1" w:line="240" w:lineRule="exact"/>
    </w:pPr>
    <w:rPr>
      <w:rFonts w:ascii="Arial" w:hAnsi="Arial" w:cs="Arial"/>
      <w:color w:val="000000"/>
      <w:kern w:val="0"/>
      <w:szCs w:val="20"/>
    </w:rPr>
  </w:style>
  <w:style w:type="paragraph" w:customStyle="1" w:styleId="1029">
    <w:name w:val="二级标题"/>
    <w:basedOn w:val="1"/>
    <w:link w:val="2552"/>
    <w:qFormat/>
    <w:uiPriority w:val="0"/>
    <w:pPr>
      <w:spacing w:before="60" w:line="460" w:lineRule="exact"/>
      <w:outlineLvl w:val="1"/>
    </w:pPr>
    <w:rPr>
      <w:rFonts w:eastAsia="宋体"/>
      <w:b/>
      <w:bCs/>
      <w:szCs w:val="24"/>
    </w:rPr>
  </w:style>
  <w:style w:type="paragraph" w:customStyle="1" w:styleId="1030">
    <w:name w:val="font5"/>
    <w:basedOn w:val="1"/>
    <w:qFormat/>
    <w:uiPriority w:val="0"/>
    <w:pPr>
      <w:widowControl/>
      <w:spacing w:before="100" w:beforeAutospacing="1" w:after="100" w:afterAutospacing="1"/>
      <w:jc w:val="left"/>
    </w:pPr>
    <w:rPr>
      <w:rFonts w:hint="eastAsia" w:ascii="宋体" w:hAnsi="宋体" w:eastAsia="宋体" w:cs="Arial Unicode MS"/>
      <w:kern w:val="0"/>
      <w:sz w:val="18"/>
      <w:szCs w:val="18"/>
    </w:rPr>
  </w:style>
  <w:style w:type="paragraph" w:customStyle="1" w:styleId="1031">
    <w:name w:val="xl22"/>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1032">
    <w:name w:val="1 Char"/>
    <w:basedOn w:val="1"/>
    <w:qFormat/>
    <w:uiPriority w:val="0"/>
    <w:rPr>
      <w:rFonts w:eastAsia="宋体"/>
      <w:sz w:val="21"/>
    </w:rPr>
  </w:style>
  <w:style w:type="paragraph" w:customStyle="1" w:styleId="1033">
    <w:name w:val="默认段落字体 Para Char Char Char Char Char Char Char Char Char Char"/>
    <w:basedOn w:val="6"/>
    <w:qFormat/>
    <w:uiPriority w:val="0"/>
    <w:pPr>
      <w:tabs>
        <w:tab w:val="left" w:pos="360"/>
        <w:tab w:val="left" w:pos="900"/>
      </w:tabs>
      <w:snapToGrid w:val="0"/>
      <w:spacing w:line="360" w:lineRule="auto"/>
      <w:ind w:left="542" w:leftChars="-12" w:firstLine="200" w:firstLineChars="200"/>
      <w:jc w:val="left"/>
    </w:pPr>
    <w:rPr>
      <w:rFonts w:ascii="Times New Roman" w:eastAsia="黑体"/>
      <w:b w:val="0"/>
      <w:bCs w:val="0"/>
      <w:sz w:val="28"/>
      <w:szCs w:val="24"/>
    </w:rPr>
  </w:style>
  <w:style w:type="paragraph" w:customStyle="1" w:styleId="1034">
    <w:name w:val="样式 表格 + 首行缩进:  0 字符"/>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035">
    <w:name w:val="Char Char Char Char5"/>
    <w:basedOn w:val="1"/>
    <w:qFormat/>
    <w:uiPriority w:val="0"/>
    <w:pPr>
      <w:spacing w:line="360" w:lineRule="auto"/>
      <w:ind w:firstLine="200" w:firstLineChars="200"/>
    </w:pPr>
    <w:rPr>
      <w:rFonts w:ascii="宋体" w:hAnsi="宋体" w:eastAsia="宋体" w:cs="宋体"/>
      <w:sz w:val="24"/>
      <w:szCs w:val="24"/>
    </w:rPr>
  </w:style>
  <w:style w:type="paragraph" w:customStyle="1" w:styleId="1036">
    <w:name w:val="样式 左1"/>
    <w:basedOn w:val="1"/>
    <w:qFormat/>
    <w:uiPriority w:val="0"/>
    <w:pPr>
      <w:spacing w:line="360" w:lineRule="auto"/>
      <w:ind w:firstLine="480" w:firstLineChars="200"/>
      <w:jc w:val="left"/>
    </w:pPr>
    <w:rPr>
      <w:rFonts w:ascii="Arial" w:hAnsi="Arial" w:eastAsia="宋体"/>
      <w:sz w:val="24"/>
    </w:rPr>
  </w:style>
  <w:style w:type="paragraph" w:customStyle="1" w:styleId="1037">
    <w:name w:val="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38">
    <w:name w:val="封面标准名称"/>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sz w:val="52"/>
      <w:lang w:val="en-US" w:eastAsia="zh-CN" w:bidi="ar-SA"/>
    </w:rPr>
  </w:style>
  <w:style w:type="paragraph" w:customStyle="1" w:styleId="1039">
    <w:name w:val="dxj表内容"/>
    <w:basedOn w:val="1"/>
    <w:next w:val="1"/>
    <w:qFormat/>
    <w:uiPriority w:val="0"/>
    <w:pPr>
      <w:spacing w:line="280" w:lineRule="exact"/>
      <w:jc w:val="center"/>
    </w:pPr>
    <w:rPr>
      <w:rFonts w:eastAsia="宋体"/>
      <w:sz w:val="18"/>
      <w:szCs w:val="18"/>
    </w:rPr>
  </w:style>
  <w:style w:type="paragraph" w:customStyle="1" w:styleId="1040">
    <w:name w:val="CM110"/>
    <w:basedOn w:val="762"/>
    <w:next w:val="762"/>
    <w:qFormat/>
    <w:uiPriority w:val="0"/>
    <w:pPr>
      <w:spacing w:line="626" w:lineRule="atLeast"/>
    </w:pPr>
    <w:rPr>
      <w:rFonts w:ascii="á￥êé" w:eastAsia="á￥êé"/>
    </w:rPr>
  </w:style>
  <w:style w:type="paragraph" w:customStyle="1" w:styleId="1041">
    <w:name w:val="样式 表格2 + 行距: 固定值 20 磅"/>
    <w:basedOn w:val="1"/>
    <w:qFormat/>
    <w:uiPriority w:val="0"/>
    <w:pPr>
      <w:spacing w:line="400" w:lineRule="exact"/>
      <w:jc w:val="center"/>
    </w:pPr>
    <w:rPr>
      <w:rFonts w:eastAsia="宋体" w:cs="宋体"/>
      <w:sz w:val="21"/>
    </w:rPr>
  </w:style>
  <w:style w:type="paragraph" w:customStyle="1" w:styleId="1042">
    <w:name w:val="Lara"/>
    <w:basedOn w:val="3"/>
    <w:qFormat/>
    <w:uiPriority w:val="0"/>
    <w:pPr>
      <w:keepLines w:val="0"/>
      <w:pageBreakBefore w:val="0"/>
      <w:widowControl/>
      <w:spacing w:before="240" w:after="60" w:line="480" w:lineRule="atLeast"/>
      <w:ind w:left="0" w:firstLine="0"/>
      <w:jc w:val="both"/>
    </w:pPr>
    <w:rPr>
      <w:rFonts w:ascii="Arial" w:hAnsi="Arial"/>
      <w:kern w:val="24"/>
      <w:sz w:val="22"/>
      <w:u w:val="words"/>
    </w:rPr>
  </w:style>
  <w:style w:type="paragraph" w:customStyle="1" w:styleId="1043">
    <w:name w:val="正文（缩进2）"/>
    <w:basedOn w:val="1"/>
    <w:semiHidden/>
    <w:qFormat/>
    <w:uiPriority w:val="0"/>
    <w:pPr>
      <w:snapToGrid w:val="0"/>
      <w:spacing w:line="360" w:lineRule="auto"/>
      <w:ind w:firstLine="560" w:firstLineChars="200"/>
    </w:pPr>
    <w:rPr>
      <w:rFonts w:eastAsia="宋体"/>
      <w:color w:val="000000"/>
      <w:spacing w:val="-490"/>
      <w:sz w:val="24"/>
    </w:rPr>
  </w:style>
  <w:style w:type="paragraph" w:customStyle="1" w:styleId="1044">
    <w:name w:val="样式 黑体 小四 行距: 固定值 24 磅"/>
    <w:basedOn w:val="4"/>
    <w:qFormat/>
    <w:uiPriority w:val="0"/>
    <w:pPr>
      <w:tabs>
        <w:tab w:val="clear" w:pos="567"/>
      </w:tabs>
      <w:spacing w:before="0" w:after="0" w:line="360" w:lineRule="auto"/>
      <w:ind w:left="0" w:firstLine="0"/>
    </w:pPr>
    <w:rPr>
      <w:rFonts w:ascii="Times New Roman" w:hAnsi="Times New Roman" w:eastAsia="宋体"/>
      <w:b/>
      <w:bCs/>
      <w:szCs w:val="28"/>
    </w:rPr>
  </w:style>
  <w:style w:type="paragraph" w:customStyle="1" w:styleId="1045">
    <w:name w:val="正文2 Char Char Char Char Char Char Char Char Char Char Char Char1 Char Char Char Char Char Char Char Char1 Char Char Char Char Char Char"/>
    <w:basedOn w:val="1"/>
    <w:qFormat/>
    <w:uiPriority w:val="0"/>
    <w:pPr>
      <w:widowControl/>
      <w:spacing w:line="400" w:lineRule="exact"/>
      <w:jc w:val="center"/>
    </w:pPr>
    <w:rPr>
      <w:rFonts w:ascii="Verdana" w:hAnsi="Verdana" w:eastAsia="宋体"/>
      <w:kern w:val="0"/>
      <w:sz w:val="21"/>
      <w:lang w:eastAsia="en-US"/>
    </w:rPr>
  </w:style>
  <w:style w:type="paragraph" w:customStyle="1" w:styleId="1046">
    <w:name w:val="Char Char Char1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47">
    <w:name w:val="xl44"/>
    <w:basedOn w:val="1"/>
    <w:qFormat/>
    <w:uiPriority w:val="0"/>
    <w:pPr>
      <w:widowControl/>
      <w:pBdr>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048">
    <w:name w:val="1表格"/>
    <w:basedOn w:val="1"/>
    <w:qFormat/>
    <w:uiPriority w:val="0"/>
    <w:pPr>
      <w:spacing w:line="160" w:lineRule="atLeast"/>
      <w:jc w:val="center"/>
    </w:pPr>
    <w:rPr>
      <w:sz w:val="21"/>
    </w:rPr>
  </w:style>
  <w:style w:type="paragraph" w:customStyle="1" w:styleId="1049">
    <w:name w:val="正文文字1"/>
    <w:basedOn w:val="1"/>
    <w:qFormat/>
    <w:uiPriority w:val="0"/>
    <w:pPr>
      <w:spacing w:line="500" w:lineRule="exact"/>
      <w:ind w:firstLine="480" w:firstLineChars="200"/>
    </w:pPr>
    <w:rPr>
      <w:rFonts w:eastAsia="宋体"/>
      <w:sz w:val="24"/>
      <w:szCs w:val="24"/>
    </w:rPr>
  </w:style>
  <w:style w:type="paragraph" w:customStyle="1" w:styleId="1050">
    <w:name w:val="Char Char Char Char Char Char Char Char Char Char 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51">
    <w:name w:val="Char3"/>
    <w:basedOn w:val="1"/>
    <w:qFormat/>
    <w:uiPriority w:val="0"/>
    <w:pPr>
      <w:spacing w:line="360" w:lineRule="auto"/>
      <w:ind w:firstLine="200" w:firstLineChars="200"/>
    </w:pPr>
    <w:rPr>
      <w:rFonts w:ascii="Arial" w:hAnsi="Arial" w:eastAsia="宋体" w:cs="宋体"/>
      <w:sz w:val="24"/>
      <w:szCs w:val="24"/>
    </w:rPr>
  </w:style>
  <w:style w:type="paragraph" w:customStyle="1" w:styleId="1052">
    <w:name w:val="BG1"/>
    <w:basedOn w:val="1"/>
    <w:qFormat/>
    <w:uiPriority w:val="0"/>
    <w:pPr>
      <w:autoSpaceDE w:val="0"/>
      <w:autoSpaceDN w:val="0"/>
      <w:spacing w:line="400" w:lineRule="exact"/>
      <w:jc w:val="center"/>
    </w:pPr>
    <w:rPr>
      <w:rFonts w:eastAsia="宋体"/>
      <w:kern w:val="0"/>
      <w:sz w:val="24"/>
      <w:szCs w:val="24"/>
    </w:rPr>
  </w:style>
  <w:style w:type="paragraph" w:customStyle="1" w:styleId="1053">
    <w:name w:val="T表格小字"/>
    <w:basedOn w:val="34"/>
    <w:qFormat/>
    <w:uiPriority w:val="0"/>
    <w:pPr>
      <w:tabs>
        <w:tab w:val="left" w:pos="900"/>
      </w:tabs>
      <w:spacing w:after="0" w:line="200" w:lineRule="exact"/>
    </w:pPr>
    <w:rPr>
      <w:sz w:val="15"/>
      <w:szCs w:val="24"/>
      <w:lang w:val="zh-CN"/>
    </w:rPr>
  </w:style>
  <w:style w:type="paragraph" w:customStyle="1" w:styleId="1054">
    <w:name w:val="xl37"/>
    <w:basedOn w:val="1"/>
    <w:qFormat/>
    <w:uiPriority w:val="0"/>
    <w:pPr>
      <w:widowControl/>
      <w:spacing w:before="100" w:beforeAutospacing="1" w:after="100" w:afterAutospacing="1"/>
      <w:jc w:val="center"/>
    </w:pPr>
    <w:rPr>
      <w:rFonts w:ascii="宋体" w:hAnsi="宋体" w:eastAsia="宋体"/>
      <w:kern w:val="0"/>
      <w:sz w:val="24"/>
      <w:szCs w:val="24"/>
    </w:rPr>
  </w:style>
  <w:style w:type="paragraph" w:customStyle="1" w:styleId="1055">
    <w:name w:val="标题 17"/>
    <w:basedOn w:val="1"/>
    <w:qFormat/>
    <w:uiPriority w:val="0"/>
    <w:rPr>
      <w:rFonts w:eastAsia="宋体"/>
      <w:sz w:val="21"/>
      <w:szCs w:val="24"/>
    </w:rPr>
  </w:style>
  <w:style w:type="paragraph" w:customStyle="1" w:styleId="1056">
    <w:name w:val="框图字"/>
    <w:basedOn w:val="1"/>
    <w:semiHidden/>
    <w:qFormat/>
    <w:uiPriority w:val="0"/>
    <w:pPr>
      <w:widowControl/>
      <w:adjustRightInd w:val="0"/>
      <w:snapToGrid w:val="0"/>
      <w:ind w:firstLine="200" w:firstLineChars="200"/>
      <w:jc w:val="center"/>
    </w:pPr>
    <w:rPr>
      <w:rFonts w:ascii="宋体" w:eastAsia="宋体" w:cs="宋体"/>
      <w:kern w:val="0"/>
      <w:sz w:val="18"/>
      <w:szCs w:val="18"/>
    </w:rPr>
  </w:style>
  <w:style w:type="paragraph" w:customStyle="1" w:styleId="1057">
    <w:name w:val="样式 四号 首行缩进:  1.01 厘米 行距: 固定值 30 磅"/>
    <w:basedOn w:val="1"/>
    <w:qFormat/>
    <w:uiPriority w:val="0"/>
    <w:pPr>
      <w:spacing w:line="560" w:lineRule="exact"/>
      <w:ind w:firstLine="573"/>
    </w:pPr>
    <w:rPr>
      <w:rFonts w:eastAsia="宋体" w:cs="宋体"/>
      <w:sz w:val="24"/>
    </w:rPr>
  </w:style>
  <w:style w:type="paragraph" w:customStyle="1" w:styleId="1058">
    <w:name w:val="样式 标题 1 + 两端对齐 首行缩进:  0 厘米"/>
    <w:basedOn w:val="3"/>
    <w:qFormat/>
    <w:uiPriority w:val="0"/>
    <w:pPr>
      <w:pageBreakBefore w:val="0"/>
      <w:tabs>
        <w:tab w:val="clear" w:pos="1080"/>
      </w:tabs>
      <w:spacing w:before="400" w:after="400" w:line="520" w:lineRule="exact"/>
      <w:ind w:left="0" w:firstLine="0"/>
    </w:pPr>
    <w:rPr>
      <w:rFonts w:ascii="Arial" w:hAnsi="Arial" w:eastAsia="黑体" w:cs="宋体"/>
      <w:bCs/>
    </w:rPr>
  </w:style>
  <w:style w:type="paragraph" w:customStyle="1" w:styleId="1059">
    <w:name w:val="简单回函地址"/>
    <w:basedOn w:val="1"/>
    <w:qFormat/>
    <w:uiPriority w:val="0"/>
    <w:rPr>
      <w:rFonts w:eastAsia="宋体"/>
      <w:sz w:val="24"/>
    </w:rPr>
  </w:style>
  <w:style w:type="paragraph" w:customStyle="1" w:styleId="1060">
    <w:name w:val="封面标准号2"/>
    <w:basedOn w:val="1"/>
    <w:qFormat/>
    <w:uiPriority w:val="0"/>
    <w:pPr>
      <w:kinsoku w:val="0"/>
      <w:overflowPunct w:val="0"/>
      <w:autoSpaceDE w:val="0"/>
      <w:autoSpaceDN w:val="0"/>
      <w:adjustRightInd w:val="0"/>
      <w:snapToGrid w:val="0"/>
      <w:spacing w:before="357" w:line="280" w:lineRule="exact"/>
      <w:ind w:firstLine="200" w:firstLineChars="200"/>
      <w:jc w:val="right"/>
      <w:textAlignment w:val="center"/>
    </w:pPr>
    <w:rPr>
      <w:rFonts w:eastAsia="宋体"/>
      <w:kern w:val="0"/>
    </w:rPr>
  </w:style>
  <w:style w:type="paragraph" w:customStyle="1" w:styleId="1061">
    <w:name w:val="样式 (符号) 宋体 小四 行距: 固定值 24 磅"/>
    <w:basedOn w:val="1"/>
    <w:qFormat/>
    <w:uiPriority w:val="0"/>
    <w:pPr>
      <w:spacing w:line="480" w:lineRule="exact"/>
      <w:ind w:firstLine="200" w:firstLineChars="200"/>
    </w:pPr>
    <w:rPr>
      <w:rFonts w:hAnsi="宋体" w:eastAsia="宋体" w:cs="宋体"/>
      <w:sz w:val="24"/>
    </w:rPr>
  </w:style>
  <w:style w:type="paragraph" w:customStyle="1" w:styleId="1062">
    <w:name w:val="Title.4"/>
    <w:next w:val="1"/>
    <w:qFormat/>
    <w:uiPriority w:val="0"/>
    <w:pPr>
      <w:keepNext/>
      <w:keepLines/>
      <w:spacing w:before="156" w:beforeLines="50" w:line="360" w:lineRule="auto"/>
      <w:outlineLvl w:val="3"/>
    </w:pPr>
    <w:rPr>
      <w:rFonts w:ascii="Times New Roman" w:hAnsi="Times New Roman" w:eastAsia="仿宋_GB2312" w:cs="Times New Roman"/>
      <w:b/>
      <w:sz w:val="28"/>
      <w:lang w:val="en-US" w:eastAsia="zh-CN" w:bidi="ar-SA"/>
    </w:rPr>
  </w:style>
  <w:style w:type="paragraph" w:customStyle="1" w:styleId="1063">
    <w:name w:val="样式 日期 + 五号 行距: 固定值 20 磅"/>
    <w:basedOn w:val="51"/>
    <w:qFormat/>
    <w:uiPriority w:val="0"/>
    <w:pPr>
      <w:adjustRightInd w:val="0"/>
      <w:spacing w:line="400" w:lineRule="exact"/>
      <w:textAlignment w:val="baseline"/>
    </w:pPr>
    <w:rPr>
      <w:rFonts w:cs="宋体"/>
      <w:sz w:val="21"/>
    </w:rPr>
  </w:style>
  <w:style w:type="paragraph" w:customStyle="1" w:styleId="1064">
    <w:name w:val="小节"/>
    <w:basedOn w:val="1"/>
    <w:qFormat/>
    <w:uiPriority w:val="0"/>
    <w:pPr>
      <w:spacing w:line="360" w:lineRule="auto"/>
    </w:pPr>
    <w:rPr>
      <w:rFonts w:ascii="黑体" w:eastAsia="黑体"/>
    </w:rPr>
  </w:style>
  <w:style w:type="paragraph" w:customStyle="1" w:styleId="1065">
    <w:name w:val="T正文"/>
    <w:qFormat/>
    <w:uiPriority w:val="0"/>
    <w:pPr>
      <w:widowControl w:val="0"/>
      <w:adjustRightInd w:val="0"/>
      <w:snapToGrid w:val="0"/>
      <w:spacing w:before="156" w:beforeLines="50" w:after="156" w:afterLines="50"/>
      <w:ind w:firstLine="480" w:firstLineChars="200"/>
      <w:jc w:val="both"/>
    </w:pPr>
    <w:rPr>
      <w:rFonts w:ascii="Times New Roman" w:hAnsi="Times New Roman" w:eastAsia="宋体" w:cs="Times New Roman"/>
      <w:kern w:val="2"/>
      <w:sz w:val="24"/>
      <w:lang w:val="en-US" w:eastAsia="zh-CN" w:bidi="ar-SA"/>
    </w:rPr>
  </w:style>
  <w:style w:type="paragraph" w:customStyle="1" w:styleId="1066">
    <w:name w:val="样式 标题 1标题章标题 1 Char标题章 Char Char Char Char标题 1 Char Char章标题..."/>
    <w:basedOn w:val="3"/>
    <w:qFormat/>
    <w:uiPriority w:val="0"/>
    <w:pPr>
      <w:tabs>
        <w:tab w:val="left" w:pos="1200"/>
        <w:tab w:val="clear" w:pos="1080"/>
      </w:tabs>
      <w:spacing w:before="240" w:line="360" w:lineRule="auto"/>
      <w:ind w:left="1200" w:hanging="720"/>
    </w:pPr>
    <w:rPr>
      <w:rFonts w:ascii="Arial" w:hAnsi="Arial" w:cs="宋体"/>
      <w:bCs/>
      <w:kern w:val="32"/>
      <w:sz w:val="32"/>
      <w:szCs w:val="32"/>
    </w:rPr>
  </w:style>
  <w:style w:type="paragraph" w:customStyle="1" w:styleId="1067">
    <w:name w:val="样式 题注 + 左侧:  0.98 厘米 首行缩进:  2 字符"/>
    <w:basedOn w:val="22"/>
    <w:semiHidden/>
    <w:qFormat/>
    <w:uiPriority w:val="0"/>
    <w:pPr>
      <w:adjustRightInd w:val="0"/>
      <w:snapToGrid w:val="0"/>
      <w:spacing w:before="120" w:after="0" w:line="300" w:lineRule="exact"/>
      <w:ind w:firstLine="480" w:firstLineChars="200"/>
      <w:jc w:val="center"/>
    </w:pPr>
    <w:rPr>
      <w:sz w:val="24"/>
    </w:rPr>
  </w:style>
  <w:style w:type="paragraph" w:customStyle="1" w:styleId="1068">
    <w:name w:val="Zw Char Char Char Char Char Char"/>
    <w:basedOn w:val="1"/>
    <w:qFormat/>
    <w:uiPriority w:val="0"/>
    <w:rPr>
      <w:rFonts w:eastAsia="楷体_GB2312"/>
      <w:b/>
      <w:bCs/>
      <w:sz w:val="21"/>
      <w:szCs w:val="24"/>
    </w:rPr>
  </w:style>
  <w:style w:type="paragraph" w:customStyle="1" w:styleId="1069">
    <w:name w:val="标题 14"/>
    <w:basedOn w:val="1"/>
    <w:qFormat/>
    <w:uiPriority w:val="0"/>
    <w:rPr>
      <w:rFonts w:eastAsia="宋体"/>
      <w:sz w:val="21"/>
      <w:szCs w:val="24"/>
    </w:rPr>
  </w:style>
  <w:style w:type="paragraph" w:customStyle="1" w:styleId="1070">
    <w:name w:val="reader-word-layer reader-word-s1-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1">
    <w:name w:val="标题 11"/>
    <w:basedOn w:val="1"/>
    <w:qFormat/>
    <w:uiPriority w:val="0"/>
    <w:pPr>
      <w:tabs>
        <w:tab w:val="left" w:pos="1080"/>
      </w:tabs>
      <w:ind w:left="425" w:hanging="425"/>
    </w:pPr>
    <w:rPr>
      <w:rFonts w:eastAsia="宋体"/>
      <w:sz w:val="21"/>
      <w:szCs w:val="24"/>
    </w:rPr>
  </w:style>
  <w:style w:type="paragraph" w:customStyle="1" w:styleId="1072">
    <w:name w:val="Char123"/>
    <w:basedOn w:val="1"/>
    <w:qFormat/>
    <w:uiPriority w:val="0"/>
    <w:pPr>
      <w:spacing w:line="360" w:lineRule="auto"/>
      <w:ind w:firstLine="200" w:firstLineChars="200"/>
      <w:jc w:val="center"/>
    </w:pPr>
    <w:rPr>
      <w:rFonts w:ascii="宋体" w:hAnsi="宋体" w:eastAsia="宋体" w:cs="宋体"/>
      <w:sz w:val="36"/>
      <w:szCs w:val="24"/>
    </w:rPr>
  </w:style>
  <w:style w:type="paragraph" w:customStyle="1" w:styleId="1073">
    <w:name w:val="font9"/>
    <w:basedOn w:val="1"/>
    <w:qFormat/>
    <w:uiPriority w:val="0"/>
    <w:pPr>
      <w:widowControl/>
      <w:snapToGrid w:val="0"/>
      <w:spacing w:before="100" w:beforeAutospacing="1" w:after="100" w:afterAutospacing="1"/>
      <w:jc w:val="left"/>
    </w:pPr>
    <w:rPr>
      <w:rFonts w:eastAsia="Arial Unicode MS"/>
      <w:color w:val="000000"/>
      <w:kern w:val="0"/>
      <w:sz w:val="24"/>
      <w:szCs w:val="24"/>
    </w:rPr>
  </w:style>
  <w:style w:type="paragraph" w:customStyle="1" w:styleId="1074">
    <w:name w:val="主要标题001"/>
    <w:basedOn w:val="4"/>
    <w:next w:val="4"/>
    <w:qFormat/>
    <w:uiPriority w:val="0"/>
    <w:pPr>
      <w:tabs>
        <w:tab w:val="left" w:pos="840"/>
      </w:tabs>
      <w:adjustRightInd w:val="0"/>
      <w:snapToGrid w:val="0"/>
      <w:spacing w:before="0" w:after="0" w:line="600" w:lineRule="exact"/>
      <w:ind w:left="840" w:right="163" w:rightChars="163" w:hanging="840" w:firstLineChars="202"/>
      <w:jc w:val="left"/>
    </w:pPr>
    <w:rPr>
      <w:rFonts w:ascii="Times New Roman" w:hAnsi="Times New Roman" w:eastAsia="宋体"/>
      <w:sz w:val="30"/>
      <w:szCs w:val="28"/>
    </w:rPr>
  </w:style>
  <w:style w:type="paragraph" w:customStyle="1" w:styleId="1075">
    <w:name w:val="表格名称"/>
    <w:basedOn w:val="85"/>
    <w:qFormat/>
    <w:uiPriority w:val="0"/>
    <w:pPr>
      <w:keepNext w:val="0"/>
      <w:keepLines w:val="0"/>
      <w:tabs>
        <w:tab w:val="clear" w:pos="1080"/>
      </w:tabs>
      <w:spacing w:before="0" w:after="0" w:line="240" w:lineRule="auto"/>
      <w:jc w:val="center"/>
      <w:outlineLvl w:val="9"/>
    </w:pPr>
    <w:rPr>
      <w:rFonts w:ascii="Times New Roman" w:hAnsi="Times New Roman" w:eastAsia="宋体" w:cs="Arial"/>
      <w:bCs w:val="0"/>
      <w:color w:val="auto"/>
      <w:szCs w:val="32"/>
    </w:rPr>
  </w:style>
  <w:style w:type="paragraph" w:customStyle="1" w:styleId="1076">
    <w:name w:val="俺的正文样式"/>
    <w:basedOn w:val="1"/>
    <w:qFormat/>
    <w:uiPriority w:val="0"/>
    <w:pPr>
      <w:spacing w:line="500" w:lineRule="exact"/>
      <w:ind w:firstLine="560" w:firstLineChars="200"/>
    </w:pPr>
    <w:rPr>
      <w:rFonts w:ascii="宋体" w:eastAsia="宋体"/>
      <w:szCs w:val="24"/>
    </w:rPr>
  </w:style>
  <w:style w:type="paragraph" w:customStyle="1" w:styleId="1077">
    <w:name w:val="样式 样式5 + 首行缩进:  2 字符"/>
    <w:basedOn w:val="858"/>
    <w:qFormat/>
    <w:uiPriority w:val="0"/>
    <w:pPr>
      <w:ind w:firstLine="480"/>
    </w:pPr>
    <w:rPr>
      <w:szCs w:val="20"/>
    </w:rPr>
  </w:style>
  <w:style w:type="paragraph" w:customStyle="1" w:styleId="1078">
    <w:name w:val="reader-word-layer reader-word-s4-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9">
    <w:name w:val="标1"/>
    <w:basedOn w:val="1"/>
    <w:qFormat/>
    <w:uiPriority w:val="0"/>
    <w:pPr>
      <w:spacing w:before="60" w:line="460" w:lineRule="exact"/>
      <w:outlineLvl w:val="0"/>
    </w:pPr>
    <w:rPr>
      <w:rFonts w:eastAsia="宋体"/>
      <w:b/>
      <w:sz w:val="32"/>
    </w:rPr>
  </w:style>
  <w:style w:type="paragraph" w:customStyle="1" w:styleId="1080">
    <w:name w:val="Char Char Char1 Char Char Char Char Char Char Char Char Char1 Char Char Char Char"/>
    <w:basedOn w:val="1"/>
    <w:qFormat/>
    <w:uiPriority w:val="0"/>
    <w:rPr>
      <w:rFonts w:eastAsia="宋体"/>
      <w:sz w:val="21"/>
    </w:rPr>
  </w:style>
  <w:style w:type="paragraph" w:customStyle="1" w:styleId="1081">
    <w:name w:val="Char4 Char Char Char2"/>
    <w:basedOn w:val="1"/>
    <w:next w:val="1"/>
    <w:qFormat/>
    <w:uiPriority w:val="0"/>
    <w:pPr>
      <w:spacing w:line="360" w:lineRule="auto"/>
      <w:ind w:firstLine="200" w:firstLineChars="200"/>
    </w:pPr>
    <w:rPr>
      <w:rFonts w:eastAsia="宋体"/>
      <w:sz w:val="21"/>
    </w:rPr>
  </w:style>
  <w:style w:type="paragraph" w:customStyle="1" w:styleId="1082">
    <w:name w:val="佛表"/>
    <w:basedOn w:val="67"/>
    <w:qFormat/>
    <w:uiPriority w:val="0"/>
    <w:pPr>
      <w:autoSpaceDE/>
      <w:autoSpaceDN/>
      <w:adjustRightInd/>
      <w:spacing w:line="0" w:lineRule="atLeast"/>
      <w:ind w:left="0" w:firstLine="0" w:firstLineChars="0"/>
      <w:jc w:val="both"/>
      <w:textAlignment w:val="auto"/>
    </w:pPr>
    <w:rPr>
      <w:rFonts w:hAnsi="宋体"/>
      <w:kern w:val="2"/>
      <w:sz w:val="21"/>
      <w:szCs w:val="24"/>
    </w:rPr>
  </w:style>
  <w:style w:type="paragraph" w:customStyle="1" w:styleId="1083">
    <w:name w:val="Char1 Char Char Char Char Char Char Char Char Char"/>
    <w:basedOn w:val="1"/>
    <w:semiHidden/>
    <w:qFormat/>
    <w:uiPriority w:val="0"/>
    <w:pPr>
      <w:snapToGrid w:val="0"/>
      <w:spacing w:line="360" w:lineRule="auto"/>
    </w:pPr>
    <w:rPr>
      <w:rFonts w:ascii="宋体" w:hAnsi="宋体" w:eastAsia="宋体" w:cs="宋体"/>
      <w:sz w:val="24"/>
      <w:szCs w:val="24"/>
    </w:rPr>
  </w:style>
  <w:style w:type="paragraph" w:customStyle="1" w:styleId="1084">
    <w:name w:val="Char7"/>
    <w:basedOn w:val="1"/>
    <w:qFormat/>
    <w:uiPriority w:val="0"/>
    <w:pPr>
      <w:snapToGrid w:val="0"/>
      <w:spacing w:line="360" w:lineRule="auto"/>
      <w:ind w:firstLine="200" w:firstLineChars="200"/>
    </w:pPr>
    <w:rPr>
      <w:rFonts w:ascii="宋体" w:hAnsi="宋体" w:eastAsia="宋体" w:cs="宋体"/>
      <w:sz w:val="24"/>
      <w:szCs w:val="24"/>
    </w:rPr>
  </w:style>
  <w:style w:type="paragraph" w:customStyle="1" w:styleId="1085">
    <w:name w:val="xl34"/>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086">
    <w:name w:val="Char Char Char Char Char Char Char Char Char Char Char Char Char Char Char Char Char Char Char Char Char Char1"/>
    <w:basedOn w:val="1"/>
    <w:next w:val="1"/>
    <w:qFormat/>
    <w:uiPriority w:val="0"/>
    <w:pPr>
      <w:spacing w:line="360" w:lineRule="auto"/>
      <w:ind w:firstLine="200" w:firstLineChars="200"/>
    </w:pPr>
    <w:rPr>
      <w:rFonts w:ascii="宋体" w:hAnsi="宋体" w:eastAsia="宋体"/>
      <w:sz w:val="24"/>
    </w:rPr>
  </w:style>
  <w:style w:type="paragraph" w:customStyle="1" w:styleId="1087">
    <w:name w:val="图表字体"/>
    <w:basedOn w:val="1"/>
    <w:qFormat/>
    <w:uiPriority w:val="0"/>
    <w:pPr>
      <w:jc w:val="center"/>
    </w:pPr>
    <w:rPr>
      <w:rFonts w:eastAsia="宋体"/>
      <w:sz w:val="21"/>
      <w:szCs w:val="24"/>
    </w:rPr>
  </w:style>
  <w:style w:type="paragraph" w:customStyle="1" w:styleId="1088">
    <w:name w:val="Char Char1 Char Char Char"/>
    <w:basedOn w:val="1"/>
    <w:qFormat/>
    <w:uiPriority w:val="0"/>
    <w:rPr>
      <w:rFonts w:eastAsia="宋体"/>
      <w:kern w:val="0"/>
      <w:sz w:val="20"/>
    </w:rPr>
  </w:style>
  <w:style w:type="paragraph" w:customStyle="1" w:styleId="1089">
    <w:name w:val="Char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customStyle="1" w:styleId="1090">
    <w:name w:val="Char Char Char Char Char Char Char5"/>
    <w:basedOn w:val="1"/>
    <w:qFormat/>
    <w:uiPriority w:val="0"/>
  </w:style>
  <w:style w:type="paragraph" w:customStyle="1" w:styleId="1091">
    <w:name w:val="样式 样式 标题 2 + Times New Roman + 段前: 0.5 行 段后: 0.5 行1"/>
    <w:basedOn w:val="1"/>
    <w:qFormat/>
    <w:uiPriority w:val="0"/>
    <w:pPr>
      <w:keepNext/>
      <w:keepLines/>
      <w:spacing w:line="360" w:lineRule="auto"/>
      <w:outlineLvl w:val="1"/>
    </w:pPr>
    <w:rPr>
      <w:rFonts w:eastAsia="宋体" w:cs="宋体"/>
      <w:b/>
      <w:bCs/>
    </w:rPr>
  </w:style>
  <w:style w:type="paragraph" w:customStyle="1" w:styleId="1092">
    <w:name w:val="宋体1"/>
    <w:basedOn w:val="1"/>
    <w:qFormat/>
    <w:uiPriority w:val="0"/>
    <w:pPr>
      <w:tabs>
        <w:tab w:val="left" w:pos="4620"/>
        <w:tab w:val="left" w:pos="5880"/>
      </w:tabs>
      <w:spacing w:line="360" w:lineRule="auto"/>
      <w:ind w:firstLine="744" w:firstLineChars="310"/>
    </w:pPr>
    <w:rPr>
      <w:rFonts w:ascii="Arial" w:hAnsi="Arial" w:eastAsia="宋体" w:cs="宋体"/>
      <w:sz w:val="24"/>
    </w:rPr>
  </w:style>
  <w:style w:type="paragraph" w:customStyle="1" w:styleId="1093">
    <w:name w:val="12Z1H08KX"/>
    <w:basedOn w:val="1"/>
    <w:qFormat/>
    <w:uiPriority w:val="0"/>
    <w:pPr>
      <w:adjustRightInd w:val="0"/>
      <w:spacing w:after="113" w:line="340" w:lineRule="atLeast"/>
      <w:textAlignment w:val="baseline"/>
    </w:pPr>
    <w:rPr>
      <w:rFonts w:ascii="昆仑细圆" w:eastAsia="昆仑细圆"/>
      <w:spacing w:val="20"/>
      <w:kern w:val="0"/>
      <w:sz w:val="24"/>
    </w:rPr>
  </w:style>
  <w:style w:type="paragraph" w:customStyle="1" w:styleId="1094">
    <w:name w:val="样式 正文缩进 + 首行缩进:  0.42 厘米 段前: 7.8 磅 段后: 7.8 磅"/>
    <w:basedOn w:val="5"/>
    <w:qFormat/>
    <w:uiPriority w:val="0"/>
    <w:pPr>
      <w:widowControl/>
      <w:tabs>
        <w:tab w:val="left" w:pos="352"/>
      </w:tabs>
      <w:overflowPunct w:val="0"/>
      <w:autoSpaceDE w:val="0"/>
      <w:autoSpaceDN w:val="0"/>
      <w:adjustRightInd w:val="0"/>
      <w:spacing w:before="156" w:beforeLines="50" w:after="156" w:afterLines="50" w:line="360" w:lineRule="auto"/>
      <w:ind w:firstLine="200" w:firstLineChars="200"/>
      <w:textAlignment w:val="bottom"/>
    </w:pPr>
    <w:rPr>
      <w:rFonts w:ascii="Times New Roman" w:hAnsi="Times New Roman" w:cs="Times New Roman"/>
      <w:spacing w:val="0"/>
      <w:kern w:val="0"/>
    </w:rPr>
  </w:style>
  <w:style w:type="paragraph" w:customStyle="1" w:styleId="1095">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96">
    <w:name w:val="Char11"/>
    <w:basedOn w:val="1"/>
    <w:qFormat/>
    <w:uiPriority w:val="0"/>
    <w:pPr>
      <w:spacing w:line="360" w:lineRule="auto"/>
      <w:ind w:firstLine="200" w:firstLineChars="200"/>
    </w:pPr>
    <w:rPr>
      <w:rFonts w:ascii="宋体" w:hAnsi="宋体" w:eastAsia="宋体" w:cs="宋体"/>
      <w:sz w:val="24"/>
      <w:szCs w:val="24"/>
    </w:rPr>
  </w:style>
  <w:style w:type="paragraph" w:customStyle="1" w:styleId="1097">
    <w:name w:val="主题2"/>
    <w:basedOn w:val="1"/>
    <w:qFormat/>
    <w:uiPriority w:val="0"/>
    <w:pPr>
      <w:adjustRightInd w:val="0"/>
      <w:spacing w:line="360" w:lineRule="auto"/>
      <w:ind w:left="1134" w:right="851"/>
      <w:textAlignment w:val="baseline"/>
    </w:pPr>
    <w:rPr>
      <w:rFonts w:eastAsia="宋体"/>
      <w:kern w:val="0"/>
    </w:rPr>
  </w:style>
  <w:style w:type="paragraph" w:customStyle="1" w:styleId="1098">
    <w:name w:val="表名"/>
    <w:basedOn w:val="1"/>
    <w:link w:val="1843"/>
    <w:qFormat/>
    <w:uiPriority w:val="0"/>
    <w:pPr>
      <w:spacing w:line="360" w:lineRule="auto"/>
      <w:jc w:val="center"/>
    </w:pPr>
    <w:rPr>
      <w:rFonts w:ascii="黑体" w:hAnsi="宋体" w:eastAsia="黑体"/>
      <w:sz w:val="18"/>
    </w:rPr>
  </w:style>
  <w:style w:type="paragraph" w:customStyle="1" w:styleId="1099">
    <w:name w:val="reader-word-layer reader-word-s4-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00">
    <w:name w:val="四号正文28"/>
    <w:basedOn w:val="1"/>
    <w:semiHidden/>
    <w:qFormat/>
    <w:uiPriority w:val="0"/>
    <w:pPr>
      <w:snapToGrid w:val="0"/>
      <w:spacing w:line="560" w:lineRule="exact"/>
      <w:ind w:left="200" w:leftChars="200"/>
    </w:pPr>
    <w:rPr>
      <w:rFonts w:eastAsia="宋体"/>
      <w:bCs/>
      <w:sz w:val="24"/>
      <w:szCs w:val="28"/>
    </w:rPr>
  </w:style>
  <w:style w:type="paragraph" w:customStyle="1" w:styleId="1101">
    <w:name w:val="样式 文章正文 + 小四"/>
    <w:basedOn w:val="1"/>
    <w:link w:val="2567"/>
    <w:qFormat/>
    <w:uiPriority w:val="0"/>
    <w:pPr>
      <w:spacing w:before="156" w:beforeLines="50" w:after="156" w:afterLines="50" w:line="360" w:lineRule="auto"/>
      <w:ind w:firstLine="480" w:firstLineChars="200"/>
    </w:pPr>
    <w:rPr>
      <w:rFonts w:eastAsia="宋体"/>
      <w:sz w:val="24"/>
    </w:rPr>
  </w:style>
  <w:style w:type="paragraph" w:customStyle="1" w:styleId="1102">
    <w:name w:val="正文2"/>
    <w:basedOn w:val="1"/>
    <w:link w:val="1925"/>
    <w:qFormat/>
    <w:uiPriority w:val="0"/>
    <w:pPr>
      <w:adjustRightInd w:val="0"/>
      <w:snapToGrid w:val="0"/>
      <w:spacing w:line="440" w:lineRule="atLeast"/>
      <w:ind w:firstLine="567"/>
    </w:pPr>
    <w:rPr>
      <w:rFonts w:eastAsia="宋体"/>
      <w:sz w:val="24"/>
    </w:rPr>
  </w:style>
  <w:style w:type="paragraph" w:customStyle="1" w:styleId="1103">
    <w:name w:val="条(三级)"/>
    <w:basedOn w:val="1"/>
    <w:next w:val="1"/>
    <w:qFormat/>
    <w:uiPriority w:val="0"/>
    <w:pPr>
      <w:keepNext/>
      <w:keepLines/>
      <w:adjustRightInd w:val="0"/>
      <w:snapToGrid w:val="0"/>
      <w:spacing w:beforeLines="20" w:line="460" w:lineRule="exact"/>
      <w:jc w:val="center"/>
      <w:textAlignment w:val="baseline"/>
    </w:pPr>
    <w:rPr>
      <w:rFonts w:hAnsi="宋体" w:eastAsia="宋体"/>
      <w:spacing w:val="3"/>
      <w:kern w:val="24"/>
      <w:sz w:val="24"/>
    </w:rPr>
  </w:style>
  <w:style w:type="paragraph" w:customStyle="1" w:styleId="1104">
    <w:name w:val="样式 样式 正文文本 + 首行缩进:  2 字符 + 首行缩进:  1.5 字符"/>
    <w:basedOn w:val="1105"/>
    <w:semiHidden/>
    <w:qFormat/>
    <w:uiPriority w:val="0"/>
  </w:style>
  <w:style w:type="paragraph" w:customStyle="1" w:styleId="1105">
    <w:name w:val="样式 正文文本 + 首行缩进:  2 字符"/>
    <w:basedOn w:val="1"/>
    <w:link w:val="2373"/>
    <w:qFormat/>
    <w:uiPriority w:val="0"/>
    <w:pPr>
      <w:autoSpaceDE w:val="0"/>
      <w:autoSpaceDN w:val="0"/>
      <w:adjustRightInd w:val="0"/>
      <w:snapToGrid w:val="0"/>
      <w:spacing w:line="360" w:lineRule="auto"/>
      <w:ind w:firstLine="560" w:firstLineChars="200"/>
      <w:textAlignment w:val="bottom"/>
    </w:pPr>
    <w:rPr>
      <w:rFonts w:eastAsia="宋体"/>
      <w:kern w:val="0"/>
      <w:sz w:val="24"/>
      <w:szCs w:val="28"/>
    </w:rPr>
  </w:style>
  <w:style w:type="paragraph" w:customStyle="1" w:styleId="1106">
    <w:name w:val="修订1"/>
    <w:semiHidden/>
    <w:qFormat/>
    <w:uiPriority w:val="0"/>
    <w:rPr>
      <w:rFonts w:ascii="Times New Roman" w:hAnsi="Times New Roman" w:eastAsia="仿宋_GB2312" w:cs="Times New Roman"/>
      <w:kern w:val="2"/>
      <w:sz w:val="28"/>
      <w:lang w:val="en-US" w:eastAsia="zh-CN" w:bidi="ar-SA"/>
    </w:rPr>
  </w:style>
  <w:style w:type="paragraph" w:customStyle="1" w:styleId="1107">
    <w:name w:val="Char Char113"/>
    <w:basedOn w:val="1"/>
    <w:qFormat/>
    <w:uiPriority w:val="0"/>
    <w:pPr>
      <w:spacing w:line="360" w:lineRule="auto"/>
      <w:ind w:firstLine="200" w:firstLineChars="200"/>
    </w:pPr>
    <w:rPr>
      <w:rFonts w:eastAsia="宋体"/>
      <w:sz w:val="24"/>
    </w:rPr>
  </w:style>
  <w:style w:type="paragraph" w:customStyle="1" w:styleId="1108">
    <w:name w:val="xl49"/>
    <w:basedOn w:val="1"/>
    <w:qFormat/>
    <w:uiPriority w:val="0"/>
    <w:pPr>
      <w:widowControl/>
      <w:snapToGrid w:val="0"/>
      <w:spacing w:before="100" w:after="100"/>
      <w:jc w:val="center"/>
      <w:textAlignment w:val="center"/>
    </w:pPr>
    <w:rPr>
      <w:rFonts w:ascii="宋体" w:hAnsi="宋体" w:eastAsia="宋体"/>
      <w:kern w:val="0"/>
      <w:sz w:val="24"/>
    </w:rPr>
  </w:style>
  <w:style w:type="paragraph" w:customStyle="1" w:styleId="1109">
    <w:name w:val="reader-word-layer reader-word-s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0">
    <w:name w:val="reader-word-layer reader-word-s1-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1">
    <w:name w:val="reader-word-layer reader-word-s1-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2">
    <w:name w:val="图件头"/>
    <w:basedOn w:val="1"/>
    <w:qFormat/>
    <w:uiPriority w:val="0"/>
    <w:pPr>
      <w:spacing w:line="360" w:lineRule="auto"/>
    </w:pPr>
    <w:rPr>
      <w:rFonts w:ascii="Arial" w:hAnsi="Arial" w:eastAsia="宋体"/>
      <w:b/>
      <w:bCs/>
      <w:sz w:val="24"/>
      <w:szCs w:val="24"/>
    </w:rPr>
  </w:style>
  <w:style w:type="paragraph" w:customStyle="1" w:styleId="1113">
    <w:name w:val="缩进"/>
    <w:basedOn w:val="1"/>
    <w:qFormat/>
    <w:uiPriority w:val="0"/>
    <w:pPr>
      <w:autoSpaceDE w:val="0"/>
      <w:autoSpaceDN w:val="0"/>
      <w:adjustRightInd w:val="0"/>
      <w:spacing w:line="400" w:lineRule="atLeast"/>
      <w:ind w:firstLine="425"/>
      <w:textAlignment w:val="baseline"/>
    </w:pPr>
    <w:rPr>
      <w:rFonts w:eastAsia="宋体"/>
      <w:color w:val="000000"/>
      <w:sz w:val="24"/>
      <w:szCs w:val="21"/>
    </w:rPr>
  </w:style>
  <w:style w:type="paragraph" w:customStyle="1" w:styleId="1114">
    <w:name w:val="ST20_27"/>
    <w:basedOn w:val="753"/>
    <w:qFormat/>
    <w:uiPriority w:val="0"/>
    <w:pPr>
      <w:keepNext/>
      <w:spacing w:after="0"/>
    </w:pPr>
  </w:style>
  <w:style w:type="paragraph" w:customStyle="1" w:styleId="1115">
    <w:name w:val="样式 小表 + 两端对齐"/>
    <w:basedOn w:val="1116"/>
    <w:semiHidden/>
    <w:qFormat/>
    <w:uiPriority w:val="0"/>
    <w:rPr>
      <w:rFonts w:ascii="Arial" w:hAnsi="Arial" w:cs="Arial"/>
      <w:sz w:val="21"/>
    </w:rPr>
  </w:style>
  <w:style w:type="paragraph" w:customStyle="1" w:styleId="1116">
    <w:name w:val="小表"/>
    <w:basedOn w:val="1"/>
    <w:qFormat/>
    <w:uiPriority w:val="0"/>
    <w:pPr>
      <w:adjustRightInd w:val="0"/>
      <w:snapToGrid w:val="0"/>
      <w:spacing w:line="331" w:lineRule="auto"/>
      <w:jc w:val="center"/>
    </w:pPr>
    <w:rPr>
      <w:rFonts w:ascii="宋体" w:hAnsi="宋体" w:eastAsia="宋体"/>
      <w:sz w:val="15"/>
    </w:rPr>
  </w:style>
  <w:style w:type="paragraph" w:customStyle="1" w:styleId="1117">
    <w:name w:val="xl33"/>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118">
    <w:name w:val="reader-word-layer reader-word-s2-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9">
    <w:name w:val="普通(Web)1"/>
    <w:basedOn w:val="1"/>
    <w:semiHidden/>
    <w:qFormat/>
    <w:uiPriority w:val="0"/>
    <w:pPr>
      <w:widowControl/>
      <w:snapToGrid w:val="0"/>
      <w:spacing w:before="225" w:after="225" w:line="345" w:lineRule="atLeast"/>
      <w:jc w:val="left"/>
    </w:pPr>
    <w:rPr>
      <w:rFonts w:ascii="宋体" w:hAnsi="宋体" w:eastAsia="宋体" w:cs="宋体"/>
      <w:kern w:val="0"/>
      <w:sz w:val="21"/>
      <w:szCs w:val="21"/>
    </w:rPr>
  </w:style>
  <w:style w:type="paragraph" w:customStyle="1" w:styleId="1120">
    <w:name w:val="首行缩进"/>
    <w:basedOn w:val="1"/>
    <w:qFormat/>
    <w:uiPriority w:val="0"/>
    <w:pPr>
      <w:spacing w:line="460" w:lineRule="atLeast"/>
      <w:jc w:val="center"/>
    </w:pPr>
    <w:rPr>
      <w:rFonts w:eastAsia="宋体"/>
      <w:spacing w:val="16"/>
      <w:sz w:val="24"/>
      <w:szCs w:val="24"/>
    </w:rPr>
  </w:style>
  <w:style w:type="paragraph" w:customStyle="1" w:styleId="1121">
    <w:name w:val="前言、引言标题"/>
    <w:next w:val="1"/>
    <w:qFormat/>
    <w:uiPriority w:val="0"/>
    <w:pPr>
      <w:shd w:val="clear" w:color="FFFFFF" w:fill="FFFFFF"/>
      <w:spacing w:before="640" w:after="560" w:line="360" w:lineRule="auto"/>
      <w:ind w:firstLine="200" w:firstLineChars="200"/>
      <w:jc w:val="center"/>
      <w:outlineLvl w:val="0"/>
    </w:pPr>
    <w:rPr>
      <w:rFonts w:ascii="黑体" w:hAnsi="Times New Roman" w:eastAsia="黑体" w:cs="Times New Roman"/>
      <w:sz w:val="32"/>
      <w:lang w:val="en-US" w:eastAsia="zh-CN" w:bidi="ar-SA"/>
    </w:rPr>
  </w:style>
  <w:style w:type="paragraph" w:customStyle="1" w:styleId="1122">
    <w:name w:val="样式 首行缩进:  2 字符 行距: 1.5 倍行距"/>
    <w:basedOn w:val="1"/>
    <w:qFormat/>
    <w:uiPriority w:val="0"/>
    <w:pPr>
      <w:adjustRightInd w:val="0"/>
      <w:snapToGrid w:val="0"/>
      <w:spacing w:line="360" w:lineRule="auto"/>
      <w:ind w:firstLine="480" w:firstLineChars="200"/>
    </w:pPr>
    <w:rPr>
      <w:rFonts w:eastAsia="宋体" w:cs="宋体"/>
      <w:sz w:val="24"/>
    </w:rPr>
  </w:style>
  <w:style w:type="paragraph" w:customStyle="1" w:styleId="1123">
    <w:name w:val="样式 标题 2 +"/>
    <w:basedOn w:val="4"/>
    <w:qFormat/>
    <w:uiPriority w:val="0"/>
    <w:pPr>
      <w:shd w:val="clear" w:color="auto" w:fill="FFFFFF"/>
      <w:tabs>
        <w:tab w:val="left" w:pos="1260"/>
        <w:tab w:val="left" w:pos="3217"/>
      </w:tabs>
      <w:spacing w:before="0" w:after="0" w:line="360" w:lineRule="auto"/>
      <w:ind w:left="420" w:firstLine="0"/>
      <w:jc w:val="left"/>
    </w:pPr>
    <w:rPr>
      <w:rFonts w:ascii="宋体" w:hAnsi="宋体" w:eastAsia="宋体"/>
      <w:b/>
      <w:bCs/>
      <w:color w:val="000000"/>
      <w:kern w:val="0"/>
      <w:sz w:val="30"/>
      <w:szCs w:val="28"/>
    </w:rPr>
  </w:style>
  <w:style w:type="paragraph" w:customStyle="1" w:styleId="1124">
    <w:name w:val="np_bt2"/>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1125">
    <w:name w:val="ST20_46"/>
    <w:basedOn w:val="752"/>
    <w:next w:val="1"/>
    <w:qFormat/>
    <w:uiPriority w:val="0"/>
    <w:pPr>
      <w:spacing w:after="240"/>
    </w:pPr>
  </w:style>
  <w:style w:type="paragraph" w:customStyle="1" w:styleId="1126">
    <w:name w:val="样式 题注 + 黑体"/>
    <w:basedOn w:val="22"/>
    <w:semiHidden/>
    <w:qFormat/>
    <w:uiPriority w:val="0"/>
    <w:pPr>
      <w:adjustRightInd w:val="0"/>
      <w:snapToGrid w:val="0"/>
      <w:spacing w:before="0" w:after="0" w:line="360" w:lineRule="auto"/>
      <w:jc w:val="left"/>
    </w:pPr>
    <w:rPr>
      <w:rFonts w:ascii="黑体" w:hAnsi="黑体" w:cs="Arial"/>
      <w:kern w:val="0"/>
      <w:sz w:val="21"/>
    </w:rPr>
  </w:style>
  <w:style w:type="paragraph" w:customStyle="1" w:styleId="1127">
    <w:name w:val="样式02"/>
    <w:basedOn w:val="58"/>
    <w:qFormat/>
    <w:uiPriority w:val="0"/>
    <w:pPr>
      <w:pBdr>
        <w:bottom w:val="single" w:color="auto" w:sz="4" w:space="1"/>
      </w:pBdr>
    </w:pPr>
    <w:rPr>
      <w:rFonts w:ascii="宋体" w:hAnsi="宋体" w:eastAsia="宋体" w:cs="宋体"/>
      <w:color w:val="0000FF"/>
      <w:szCs w:val="24"/>
    </w:rPr>
  </w:style>
  <w:style w:type="paragraph" w:customStyle="1" w:styleId="1128">
    <w:name w:val="ST20_47"/>
    <w:basedOn w:val="753"/>
    <w:qFormat/>
    <w:uiPriority w:val="0"/>
    <w:pPr>
      <w:ind w:left="360"/>
    </w:pPr>
  </w:style>
  <w:style w:type="paragraph" w:customStyle="1" w:styleId="1129">
    <w:name w:val="样式 标题 2 + Times New Roman"/>
    <w:basedOn w:val="4"/>
    <w:qFormat/>
    <w:uiPriority w:val="0"/>
    <w:pPr>
      <w:adjustRightInd w:val="0"/>
      <w:spacing w:before="156" w:beforeLines="50" w:after="156" w:afterLines="50" w:line="360" w:lineRule="auto"/>
      <w:textAlignment w:val="baseline"/>
    </w:pPr>
    <w:rPr>
      <w:rFonts w:ascii="Times New Roman" w:hAnsi="Times New Roman" w:eastAsia="宋体"/>
      <w:b/>
      <w:bCs/>
      <w:szCs w:val="32"/>
    </w:rPr>
  </w:style>
  <w:style w:type="paragraph" w:customStyle="1" w:styleId="1130">
    <w:name w:val="2"/>
    <w:basedOn w:val="1"/>
    <w:next w:val="46"/>
    <w:qFormat/>
    <w:uiPriority w:val="0"/>
    <w:rPr>
      <w:rFonts w:ascii="宋体" w:hAnsi="Courier New" w:eastAsia="宋体"/>
      <w:sz w:val="21"/>
    </w:rPr>
  </w:style>
  <w:style w:type="paragraph" w:customStyle="1" w:styleId="1131">
    <w:name w:val="样式 标题 2h2l22nd levelTitre22Header 2H2sect 1.2DO NOT USE..."/>
    <w:basedOn w:val="4"/>
    <w:semiHidden/>
    <w:qFormat/>
    <w:uiPriority w:val="0"/>
    <w:pPr>
      <w:keepLines w:val="0"/>
      <w:widowControl/>
      <w:tabs>
        <w:tab w:val="left" w:pos="576"/>
        <w:tab w:val="left" w:pos="851"/>
        <w:tab w:val="clear" w:pos="567"/>
      </w:tabs>
      <w:adjustRightInd w:val="0"/>
      <w:snapToGrid w:val="0"/>
      <w:spacing w:before="0" w:after="0" w:line="360" w:lineRule="auto"/>
      <w:ind w:left="576" w:hanging="576"/>
      <w:jc w:val="left"/>
    </w:pPr>
    <w:rPr>
      <w:rFonts w:ascii="Arial" w:cs="宋体"/>
      <w:b/>
      <w:bCs/>
      <w:kern w:val="0"/>
      <w:sz w:val="32"/>
    </w:rPr>
  </w:style>
  <w:style w:type="paragraph" w:customStyle="1" w:styleId="1132">
    <w:name w:val="a封面－项目名称"/>
    <w:basedOn w:val="1"/>
    <w:next w:val="1"/>
    <w:qFormat/>
    <w:uiPriority w:val="0"/>
    <w:pPr>
      <w:spacing w:before="156" w:beforeLines="50" w:after="156" w:afterLines="50" w:line="360" w:lineRule="auto"/>
      <w:jc w:val="center"/>
    </w:pPr>
    <w:rPr>
      <w:rFonts w:eastAsia="黑体"/>
      <w:b/>
      <w:sz w:val="48"/>
      <w:szCs w:val="24"/>
    </w:rPr>
  </w:style>
  <w:style w:type="paragraph" w:customStyle="1" w:styleId="1133">
    <w:name w:val="样式 (西文) 宋体 居中 首行缩进:  0.85 厘米 行距: 多倍行距 1.38 字行"/>
    <w:basedOn w:val="1"/>
    <w:semiHidden/>
    <w:qFormat/>
    <w:uiPriority w:val="0"/>
    <w:pPr>
      <w:snapToGrid w:val="0"/>
      <w:spacing w:line="331" w:lineRule="auto"/>
      <w:jc w:val="center"/>
    </w:pPr>
    <w:rPr>
      <w:rFonts w:ascii="宋体" w:hAnsi="宋体" w:eastAsia="宋体" w:cs="宋体"/>
      <w:kern w:val="0"/>
      <w:sz w:val="21"/>
    </w:rPr>
  </w:style>
  <w:style w:type="paragraph" w:customStyle="1" w:styleId="1134">
    <w:name w:val="4标"/>
    <w:basedOn w:val="1"/>
    <w:qFormat/>
    <w:uiPriority w:val="0"/>
    <w:pPr>
      <w:keepNext/>
      <w:keepLines/>
      <w:spacing w:before="156" w:beforeLines="50" w:after="156" w:afterLines="50"/>
      <w:outlineLvl w:val="3"/>
    </w:pPr>
    <w:rPr>
      <w:rFonts w:eastAsia="黑体" w:cs="宋体"/>
      <w:sz w:val="21"/>
    </w:rPr>
  </w:style>
  <w:style w:type="paragraph" w:customStyle="1" w:styleId="1135">
    <w:name w:val="xl3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kern w:val="0"/>
      <w:sz w:val="24"/>
      <w:szCs w:val="24"/>
    </w:rPr>
  </w:style>
  <w:style w:type="paragraph" w:customStyle="1" w:styleId="1136">
    <w:name w:val="Byline"/>
    <w:basedOn w:val="34"/>
    <w:qFormat/>
    <w:uiPriority w:val="0"/>
    <w:pPr>
      <w:widowControl/>
      <w:spacing w:after="0"/>
    </w:pPr>
    <w:rPr>
      <w:rFonts w:ascii="Arial" w:hAnsi="Arial" w:eastAsia="宋体"/>
      <w:kern w:val="0"/>
      <w:sz w:val="24"/>
    </w:rPr>
  </w:style>
  <w:style w:type="paragraph" w:customStyle="1" w:styleId="1137">
    <w:name w:val="段落样式"/>
    <w:basedOn w:val="1"/>
    <w:link w:val="2048"/>
    <w:qFormat/>
    <w:uiPriority w:val="0"/>
    <w:pPr>
      <w:keepNext/>
      <w:suppressLineNumbers/>
      <w:suppressAutoHyphens/>
      <w:adjustRightInd w:val="0"/>
      <w:snapToGrid w:val="0"/>
      <w:spacing w:line="480" w:lineRule="atLeast"/>
      <w:ind w:firstLine="482"/>
      <w:textAlignment w:val="baseline"/>
    </w:pPr>
    <w:rPr>
      <w:rFonts w:eastAsia="宋体"/>
      <w:w w:val="90"/>
      <w:kern w:val="0"/>
      <w:sz w:val="24"/>
      <w:szCs w:val="28"/>
    </w:rPr>
  </w:style>
  <w:style w:type="paragraph" w:customStyle="1" w:styleId="1138">
    <w:name w:val="样式 首行缩进"/>
    <w:basedOn w:val="1"/>
    <w:qFormat/>
    <w:uiPriority w:val="0"/>
    <w:pPr>
      <w:spacing w:before="60" w:after="60" w:line="360" w:lineRule="auto"/>
      <w:ind w:firstLine="480" w:firstLineChars="200"/>
    </w:pPr>
    <w:rPr>
      <w:rFonts w:eastAsia="宋体" w:cs="宋体"/>
      <w:sz w:val="24"/>
    </w:rPr>
  </w:style>
  <w:style w:type="paragraph" w:customStyle="1" w:styleId="1139">
    <w:name w:val="reader-word-layer reader-word-s4-2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0">
    <w:name w:val="reader-word-layer reader-word-s2-1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1">
    <w:name w:val="Char Char Char Char Char Char Char Char Char1"/>
    <w:basedOn w:val="1"/>
    <w:qFormat/>
    <w:uiPriority w:val="0"/>
    <w:pPr>
      <w:widowControl/>
      <w:spacing w:after="160" w:line="240" w:lineRule="exact"/>
      <w:jc w:val="left"/>
    </w:pPr>
    <w:rPr>
      <w:rFonts w:ascii="Verdana" w:hAnsi="Verdana"/>
      <w:kern w:val="0"/>
      <w:sz w:val="21"/>
      <w:lang w:eastAsia="en-US"/>
    </w:rPr>
  </w:style>
  <w:style w:type="paragraph" w:customStyle="1" w:styleId="1142">
    <w:name w:val="样式 标题二 Char + 褐色 首行缩进:  2 字符 段前: 1.3 行 段后: 1 行"/>
    <w:basedOn w:val="1"/>
    <w:qFormat/>
    <w:uiPriority w:val="0"/>
    <w:pPr>
      <w:widowControl/>
      <w:adjustRightInd w:val="0"/>
      <w:spacing w:before="405" w:beforeLines="130" w:after="312" w:afterLines="100" w:line="420" w:lineRule="auto"/>
      <w:ind w:firstLine="200" w:firstLineChars="200"/>
      <w:textAlignment w:val="baseline"/>
      <w:outlineLvl w:val="2"/>
    </w:pPr>
    <w:rPr>
      <w:rFonts w:ascii="宋体" w:hAnsi="宋体" w:eastAsia="黑体" w:cs="宋体"/>
      <w:b/>
      <w:bCs/>
      <w:kern w:val="0"/>
      <w:sz w:val="24"/>
      <w:szCs w:val="24"/>
      <w:u w:color="000000"/>
    </w:rPr>
  </w:style>
  <w:style w:type="paragraph" w:customStyle="1" w:styleId="1143">
    <w:name w:val="默认段落字体 Para Char Char Char1 Char Char Char Char"/>
    <w:basedOn w:val="1"/>
    <w:qFormat/>
    <w:uiPriority w:val="0"/>
    <w:rPr>
      <w:rFonts w:eastAsia="宋体"/>
      <w:sz w:val="24"/>
      <w:szCs w:val="24"/>
    </w:rPr>
  </w:style>
  <w:style w:type="paragraph" w:customStyle="1" w:styleId="1144">
    <w:name w:val="列出段落1"/>
    <w:basedOn w:val="1"/>
    <w:qFormat/>
    <w:uiPriority w:val="0"/>
    <w:pPr>
      <w:ind w:firstLine="420" w:firstLineChars="200"/>
    </w:pPr>
    <w:rPr>
      <w:rFonts w:ascii="Calibri" w:hAnsi="Calibri" w:eastAsia="宋体"/>
      <w:sz w:val="21"/>
      <w:szCs w:val="22"/>
    </w:rPr>
  </w:style>
  <w:style w:type="paragraph" w:customStyle="1" w:styleId="1145">
    <w:name w:val="样式 表格 + 首行缩进:  0.85 厘米1"/>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21"/>
      <w:szCs w:val="21"/>
    </w:rPr>
  </w:style>
  <w:style w:type="paragraph" w:customStyle="1" w:styleId="1146">
    <w:name w:val="ST20_24"/>
    <w:basedOn w:val="753"/>
    <w:qFormat/>
    <w:uiPriority w:val="0"/>
    <w:pPr>
      <w:keepLines/>
      <w:ind w:left="360" w:hanging="360"/>
    </w:pPr>
  </w:style>
  <w:style w:type="paragraph" w:customStyle="1" w:styleId="1147">
    <w:name w:val="reader-word-layer reader-word-s2-4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8">
    <w:name w:val="lux小标题"/>
    <w:basedOn w:val="1"/>
    <w:qFormat/>
    <w:uiPriority w:val="0"/>
    <w:pPr>
      <w:spacing w:before="40" w:after="40" w:line="360" w:lineRule="auto"/>
      <w:jc w:val="left"/>
    </w:pPr>
    <w:rPr>
      <w:rFonts w:ascii="宋体" w:hAnsi="宋体" w:eastAsia="宋体" w:cs="宋体"/>
      <w:b/>
      <w:bCs/>
      <w:sz w:val="24"/>
    </w:rPr>
  </w:style>
  <w:style w:type="paragraph" w:customStyle="1" w:styleId="1149">
    <w:name w:val="ST20_15"/>
    <w:basedOn w:val="1150"/>
    <w:qFormat/>
    <w:uiPriority w:val="0"/>
    <w:pPr>
      <w:tabs>
        <w:tab w:val="left" w:pos="187"/>
      </w:tabs>
      <w:spacing w:after="120"/>
    </w:pPr>
  </w:style>
  <w:style w:type="paragraph" w:customStyle="1" w:styleId="1150">
    <w:name w:val="ST20_4"/>
    <w:basedOn w:val="1"/>
    <w:qFormat/>
    <w:uiPriority w:val="0"/>
    <w:pPr>
      <w:tabs>
        <w:tab w:val="left" w:pos="187"/>
      </w:tabs>
      <w:autoSpaceDE w:val="0"/>
      <w:autoSpaceDN w:val="0"/>
      <w:adjustRightInd w:val="0"/>
      <w:spacing w:line="220" w:lineRule="exact"/>
      <w:ind w:left="187" w:hanging="187"/>
      <w:jc w:val="left"/>
      <w:textAlignment w:val="baseline"/>
    </w:pPr>
    <w:rPr>
      <w:rFonts w:ascii="宋体" w:hAnsi="Tms Rmn" w:eastAsia="宋体"/>
      <w:kern w:val="0"/>
      <w:sz w:val="18"/>
      <w:szCs w:val="18"/>
    </w:rPr>
  </w:style>
  <w:style w:type="paragraph" w:customStyle="1" w:styleId="1151">
    <w:name w:val="样式23"/>
    <w:basedOn w:val="1"/>
    <w:link w:val="2166"/>
    <w:qFormat/>
    <w:uiPriority w:val="0"/>
    <w:pPr>
      <w:spacing w:line="360" w:lineRule="auto"/>
      <w:ind w:firstLine="480" w:firstLineChars="200"/>
    </w:pPr>
    <w:rPr>
      <w:rFonts w:eastAsia="宋体"/>
      <w:sz w:val="24"/>
      <w:szCs w:val="24"/>
      <w:lang w:val="zh-CN"/>
    </w:rPr>
  </w:style>
  <w:style w:type="paragraph" w:customStyle="1" w:styleId="1152">
    <w:name w:val="xl6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153">
    <w:name w:val="xl39"/>
    <w:basedOn w:val="1"/>
    <w:qFormat/>
    <w:uiPriority w:val="0"/>
    <w:pPr>
      <w:widowControl/>
      <w:spacing w:before="100" w:beforeAutospacing="1" w:after="100" w:afterAutospacing="1"/>
      <w:jc w:val="center"/>
    </w:pPr>
    <w:rPr>
      <w:rFonts w:ascii="宋体" w:hAnsi="宋体" w:eastAsia="宋体"/>
      <w:kern w:val="0"/>
      <w:sz w:val="20"/>
    </w:rPr>
  </w:style>
  <w:style w:type="paragraph" w:customStyle="1" w:styleId="1154">
    <w:name w:val="样式 首行缩进:  2 字符2"/>
    <w:basedOn w:val="1"/>
    <w:semiHidden/>
    <w:qFormat/>
    <w:uiPriority w:val="0"/>
    <w:pPr>
      <w:adjustRightInd w:val="0"/>
      <w:snapToGrid w:val="0"/>
      <w:spacing w:line="360" w:lineRule="auto"/>
      <w:ind w:firstLine="480" w:firstLineChars="200"/>
      <w:textAlignment w:val="baseline"/>
    </w:pPr>
    <w:rPr>
      <w:rFonts w:ascii="仿宋_GB2312" w:eastAsia="幼圆" w:cs="仿宋_GB2312"/>
      <w:kern w:val="0"/>
      <w:sz w:val="24"/>
      <w:szCs w:val="24"/>
    </w:rPr>
  </w:style>
  <w:style w:type="paragraph" w:customStyle="1" w:styleId="1155">
    <w:name w:val="6"/>
    <w:basedOn w:val="1"/>
    <w:next w:val="71"/>
    <w:qFormat/>
    <w:uiPriority w:val="0"/>
    <w:pPr>
      <w:snapToGrid w:val="0"/>
      <w:spacing w:after="120"/>
      <w:ind w:left="420" w:leftChars="200"/>
    </w:pPr>
    <w:rPr>
      <w:rFonts w:eastAsia="宋体"/>
      <w:sz w:val="16"/>
      <w:szCs w:val="16"/>
    </w:rPr>
  </w:style>
  <w:style w:type="paragraph" w:customStyle="1" w:styleId="1156">
    <w:name w:val="Char Char Char Char Char Char Char Char Char4"/>
    <w:basedOn w:val="1"/>
    <w:link w:val="1817"/>
    <w:qFormat/>
    <w:uiPriority w:val="0"/>
    <w:pPr>
      <w:widowControl/>
      <w:spacing w:after="160" w:line="240" w:lineRule="exact"/>
      <w:jc w:val="left"/>
    </w:pPr>
    <w:rPr>
      <w:rFonts w:ascii="Verdana" w:hAnsi="Verdana"/>
      <w:kern w:val="0"/>
      <w:sz w:val="21"/>
      <w:lang w:eastAsia="en-US"/>
    </w:rPr>
  </w:style>
  <w:style w:type="paragraph" w:customStyle="1" w:styleId="1157">
    <w:name w:val="表格内文字"/>
    <w:basedOn w:val="1"/>
    <w:qFormat/>
    <w:uiPriority w:val="0"/>
    <w:pPr>
      <w:jc w:val="center"/>
    </w:pPr>
    <w:rPr>
      <w:rFonts w:eastAsia="宋体"/>
      <w:sz w:val="21"/>
      <w:szCs w:val="24"/>
    </w:rPr>
  </w:style>
  <w:style w:type="paragraph" w:customStyle="1" w:styleId="1158">
    <w:name w:val="zw1"/>
    <w:basedOn w:val="1"/>
    <w:qFormat/>
    <w:uiPriority w:val="0"/>
    <w:pPr>
      <w:ind w:firstLine="480"/>
    </w:pPr>
    <w:rPr>
      <w:rFonts w:ascii="宋体" w:hAnsi="宋体" w:eastAsia="宋体"/>
      <w:sz w:val="21"/>
      <w:szCs w:val="28"/>
    </w:rPr>
  </w:style>
  <w:style w:type="paragraph" w:customStyle="1" w:styleId="1159">
    <w:name w:val="样式 表 + 首行缩进:  2 字符1"/>
    <w:basedOn w:val="646"/>
    <w:semiHidden/>
    <w:qFormat/>
    <w:uiPriority w:val="0"/>
    <w:pPr>
      <w:keepNext w:val="0"/>
      <w:keepLines w:val="0"/>
      <w:tabs>
        <w:tab w:val="clear" w:pos="1080"/>
      </w:tabs>
      <w:adjustRightInd w:val="0"/>
      <w:snapToGrid w:val="0"/>
      <w:spacing w:before="0" w:after="0" w:line="331" w:lineRule="auto"/>
      <w:jc w:val="center"/>
      <w:outlineLvl w:val="9"/>
    </w:pPr>
    <w:rPr>
      <w:rFonts w:ascii="宋体" w:hAnsi="宋体" w:cs="宋体"/>
      <w:b w:val="0"/>
      <w:bCs w:val="0"/>
      <w:kern w:val="0"/>
      <w:sz w:val="21"/>
      <w:szCs w:val="21"/>
    </w:rPr>
  </w:style>
  <w:style w:type="paragraph" w:customStyle="1" w:styleId="1160">
    <w:name w:val="样式 标题 1章节标题H1章标题 11标题 1标题 1 Char章标题 1 Char标题yjm1章标题(有序号)...1"/>
    <w:basedOn w:val="3"/>
    <w:semiHidden/>
    <w:qFormat/>
    <w:uiPriority w:val="0"/>
    <w:pPr>
      <w:keepLines w:val="0"/>
      <w:widowControl/>
      <w:adjustRightInd w:val="0"/>
      <w:snapToGrid w:val="0"/>
      <w:spacing w:before="0" w:after="0" w:line="360" w:lineRule="auto"/>
      <w:ind w:firstLine="0"/>
      <w:textAlignment w:val="center"/>
    </w:pPr>
    <w:rPr>
      <w:rFonts w:ascii="Arial" w:hAnsi="Arial" w:eastAsia="华文新魏" w:cs="宋体"/>
      <w:bCs/>
      <w:kern w:val="0"/>
      <w:sz w:val="44"/>
    </w:rPr>
  </w:style>
  <w:style w:type="paragraph" w:customStyle="1" w:styleId="1161">
    <w:name w:val="文字缩"/>
    <w:basedOn w:val="1"/>
    <w:qFormat/>
    <w:uiPriority w:val="0"/>
    <w:pPr>
      <w:adjustRightInd w:val="0"/>
      <w:snapToGrid w:val="0"/>
      <w:spacing w:line="480" w:lineRule="atLeast"/>
      <w:ind w:firstLine="200" w:firstLineChars="200"/>
    </w:pPr>
    <w:rPr>
      <w:rFonts w:ascii="宋体" w:eastAsia="宋体"/>
      <w:spacing w:val="6"/>
      <w:kern w:val="0"/>
    </w:rPr>
  </w:style>
  <w:style w:type="paragraph" w:customStyle="1" w:styleId="1162">
    <w:name w:val="列出段落12"/>
    <w:basedOn w:val="1"/>
    <w:qFormat/>
    <w:uiPriority w:val="0"/>
    <w:pPr>
      <w:ind w:firstLine="420" w:firstLineChars="200"/>
    </w:pPr>
    <w:rPr>
      <w:rFonts w:ascii="Calibri" w:hAnsi="Calibri" w:eastAsia="宋体"/>
      <w:sz w:val="21"/>
      <w:szCs w:val="22"/>
    </w:rPr>
  </w:style>
  <w:style w:type="paragraph" w:customStyle="1" w:styleId="1163">
    <w:name w:val="样式 标题 3标题 3 Char + 行距: 1.5 倍行距1"/>
    <w:basedOn w:val="6"/>
    <w:qFormat/>
    <w:uiPriority w:val="0"/>
    <w:pPr>
      <w:keepLines w:val="0"/>
      <w:spacing w:before="0" w:after="0" w:line="360" w:lineRule="auto"/>
    </w:pPr>
    <w:rPr>
      <w:rFonts w:ascii="Times New Roman" w:hAnsi="宋体" w:eastAsia="宋体"/>
      <w:bCs w:val="0"/>
    </w:rPr>
  </w:style>
  <w:style w:type="paragraph" w:customStyle="1" w:styleId="1164">
    <w:name w:val="xl32"/>
    <w:basedOn w:val="1"/>
    <w:qFormat/>
    <w:uiPriority w:val="0"/>
    <w:pPr>
      <w:widowControl/>
      <w:pBdr>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165">
    <w:name w:val="Char22"/>
    <w:basedOn w:val="1"/>
    <w:qFormat/>
    <w:uiPriority w:val="0"/>
    <w:pPr>
      <w:spacing w:line="360" w:lineRule="auto"/>
      <w:ind w:firstLine="200" w:firstLineChars="200"/>
    </w:pPr>
    <w:rPr>
      <w:rFonts w:ascii="宋体" w:hAnsi="宋体" w:eastAsia="宋体" w:cs="宋体"/>
      <w:sz w:val="24"/>
      <w:szCs w:val="24"/>
    </w:rPr>
  </w:style>
  <w:style w:type="paragraph" w:customStyle="1" w:styleId="1166">
    <w:name w:val="font14"/>
    <w:basedOn w:val="1"/>
    <w:qFormat/>
    <w:uiPriority w:val="0"/>
    <w:pPr>
      <w:widowControl/>
      <w:spacing w:before="100" w:beforeAutospacing="1" w:after="100" w:afterAutospacing="1" w:line="402" w:lineRule="atLeast"/>
      <w:jc w:val="left"/>
    </w:pPr>
    <w:rPr>
      <w:rFonts w:ascii="宋体" w:hAnsi="宋体" w:eastAsia="宋体" w:cs="宋体"/>
      <w:kern w:val="0"/>
      <w:sz w:val="23"/>
      <w:szCs w:val="23"/>
    </w:rPr>
  </w:style>
  <w:style w:type="paragraph" w:customStyle="1" w:styleId="1167">
    <w:name w:val="样式 标题 3条标题1.1.1Heading 3 - oldBold Headbhh3H3l3CT3rd le..."/>
    <w:basedOn w:val="6"/>
    <w:semiHidden/>
    <w:qFormat/>
    <w:uiPriority w:val="0"/>
    <w:pPr>
      <w:keepLines w:val="0"/>
      <w:widowControl/>
      <w:tabs>
        <w:tab w:val="left" w:pos="142"/>
        <w:tab w:val="left" w:pos="284"/>
        <w:tab w:val="left" w:pos="709"/>
        <w:tab w:val="left" w:pos="1134"/>
      </w:tabs>
      <w:adjustRightInd w:val="0"/>
      <w:snapToGrid w:val="0"/>
      <w:spacing w:before="0" w:after="0" w:line="500" w:lineRule="exact"/>
      <w:ind w:left="720" w:hanging="720" w:hangingChars="540"/>
      <w:jc w:val="left"/>
    </w:pPr>
    <w:rPr>
      <w:rFonts w:ascii="Arial" w:hAnsi="Arial" w:eastAsia="黑体" w:cs="宋体"/>
      <w:kern w:val="0"/>
      <w:sz w:val="30"/>
    </w:rPr>
  </w:style>
  <w:style w:type="paragraph" w:customStyle="1" w:styleId="1168">
    <w:name w:val="样式 正文文本缩进 + 小四 黑色 首行缩进:  2 字符 行距: 1.5 倍行距"/>
    <w:basedOn w:val="35"/>
    <w:semiHidden/>
    <w:qFormat/>
    <w:uiPriority w:val="0"/>
    <w:pPr>
      <w:snapToGrid w:val="0"/>
      <w:spacing w:line="360" w:lineRule="auto"/>
      <w:ind w:firstLine="560" w:firstLineChars="200"/>
    </w:pPr>
    <w:rPr>
      <w:rFonts w:ascii="宋体" w:hAnsi="宋体"/>
      <w:color w:val="000000"/>
      <w:sz w:val="24"/>
      <w:szCs w:val="28"/>
    </w:rPr>
  </w:style>
  <w:style w:type="paragraph" w:customStyle="1" w:styleId="1169">
    <w:name w:val="样式 行距: 1.5 倍行距"/>
    <w:basedOn w:val="1"/>
    <w:qFormat/>
    <w:uiPriority w:val="0"/>
    <w:pPr>
      <w:ind w:firstLine="560"/>
    </w:pPr>
    <w:rPr>
      <w:rFonts w:eastAsia="Times New Roman" w:cs="宋体"/>
    </w:rPr>
  </w:style>
  <w:style w:type="paragraph" w:customStyle="1" w:styleId="1170">
    <w:name w:val="ST20_10"/>
    <w:basedOn w:val="1171"/>
    <w:qFormat/>
    <w:uiPriority w:val="0"/>
  </w:style>
  <w:style w:type="paragraph" w:customStyle="1" w:styleId="1171">
    <w:name w:val="ST20_11"/>
    <w:basedOn w:val="753"/>
    <w:qFormat/>
    <w:uiPriority w:val="0"/>
    <w:pPr>
      <w:keepLines/>
      <w:spacing w:after="0"/>
      <w:ind w:right="4320"/>
    </w:pPr>
  </w:style>
  <w:style w:type="paragraph" w:customStyle="1" w:styleId="1172">
    <w:name w:val="样式 标题 1章节标题H1章标题 11标题 1标题 1 Char章标题 1 Char标题yjm1章标题(有序号)..."/>
    <w:basedOn w:val="3"/>
    <w:semiHidden/>
    <w:qFormat/>
    <w:uiPriority w:val="0"/>
    <w:pPr>
      <w:keepLines w:val="0"/>
      <w:widowControl/>
      <w:adjustRightInd w:val="0"/>
      <w:snapToGrid w:val="0"/>
      <w:spacing w:before="0" w:after="0" w:line="360" w:lineRule="auto"/>
      <w:ind w:firstLine="0"/>
      <w:textAlignment w:val="center"/>
    </w:pPr>
    <w:rPr>
      <w:rFonts w:ascii="Arial" w:hAnsi="Arial" w:eastAsia="华文新魏" w:cs="宋体"/>
      <w:bCs/>
      <w:kern w:val="0"/>
      <w:sz w:val="44"/>
    </w:rPr>
  </w:style>
  <w:style w:type="paragraph" w:customStyle="1" w:styleId="1173">
    <w:name w:val="Char Char1 Char Char Char Char"/>
    <w:basedOn w:val="1"/>
    <w:qFormat/>
    <w:uiPriority w:val="0"/>
    <w:rPr>
      <w:rFonts w:eastAsia="宋体"/>
      <w:sz w:val="21"/>
    </w:rPr>
  </w:style>
  <w:style w:type="paragraph" w:customStyle="1" w:styleId="1174">
    <w:name w:val="main_zs"/>
    <w:basedOn w:val="1"/>
    <w:qFormat/>
    <w:uiPriority w:val="0"/>
    <w:pPr>
      <w:widowControl/>
      <w:spacing w:before="100" w:beforeAutospacing="1" w:after="100" w:afterAutospacing="1" w:line="420" w:lineRule="atLeast"/>
      <w:jc w:val="left"/>
    </w:pPr>
    <w:rPr>
      <w:rFonts w:ascii="Arial" w:hAnsi="Arial" w:eastAsia="宋体" w:cs="Arial"/>
      <w:color w:val="003300"/>
      <w:kern w:val="0"/>
      <w:sz w:val="21"/>
      <w:szCs w:val="21"/>
    </w:rPr>
  </w:style>
  <w:style w:type="paragraph" w:customStyle="1" w:styleId="1175">
    <w:name w:val="样式 样式 左 + 右侧:  0.85 字符"/>
    <w:basedOn w:val="1"/>
    <w:qFormat/>
    <w:uiPriority w:val="0"/>
    <w:pPr>
      <w:spacing w:line="360" w:lineRule="auto"/>
      <w:ind w:right="178" w:firstLine="200" w:firstLineChars="200"/>
      <w:jc w:val="left"/>
    </w:pPr>
    <w:rPr>
      <w:rFonts w:eastAsia="宋体" w:cs="宋体"/>
      <w:sz w:val="24"/>
    </w:rPr>
  </w:style>
  <w:style w:type="paragraph" w:customStyle="1" w:styleId="1176">
    <w:name w:val="样式 居中"/>
    <w:basedOn w:val="1"/>
    <w:qFormat/>
    <w:uiPriority w:val="0"/>
    <w:pPr>
      <w:jc w:val="center"/>
    </w:pPr>
    <w:rPr>
      <w:rFonts w:eastAsia="宋体" w:cs="宋体"/>
      <w:sz w:val="21"/>
      <w:szCs w:val="21"/>
    </w:rPr>
  </w:style>
  <w:style w:type="paragraph" w:customStyle="1" w:styleId="1177">
    <w:name w:val="ST20_37"/>
    <w:basedOn w:val="58"/>
    <w:qFormat/>
    <w:uiPriority w:val="0"/>
    <w:pPr>
      <w:keepLines/>
      <w:pBdr>
        <w:bottom w:val="none" w:color="auto" w:sz="0" w:space="0"/>
      </w:pBdr>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ascii="宋体" w:hAnsi="Tms Rmn" w:eastAsia="宋体"/>
      <w:kern w:val="0"/>
      <w:sz w:val="28"/>
      <w:szCs w:val="28"/>
    </w:rPr>
  </w:style>
  <w:style w:type="paragraph" w:customStyle="1" w:styleId="1178">
    <w:name w:val="ST20_26"/>
    <w:basedOn w:val="1114"/>
    <w:next w:val="1179"/>
    <w:qFormat/>
    <w:uiPriority w:val="0"/>
    <w:pPr>
      <w:keepLines/>
      <w:spacing w:after="160"/>
    </w:pPr>
    <w:rPr>
      <w:b/>
      <w:bCs/>
    </w:rPr>
  </w:style>
  <w:style w:type="paragraph" w:customStyle="1" w:styleId="1179">
    <w:name w:val="ST20_28"/>
    <w:basedOn w:val="1114"/>
    <w:next w:val="1180"/>
    <w:qFormat/>
    <w:uiPriority w:val="0"/>
    <w:pPr>
      <w:spacing w:before="720"/>
    </w:pPr>
  </w:style>
  <w:style w:type="paragraph" w:customStyle="1" w:styleId="1180">
    <w:name w:val="ST20_29"/>
    <w:basedOn w:val="1114"/>
    <w:next w:val="756"/>
    <w:qFormat/>
    <w:uiPriority w:val="0"/>
    <w:pPr>
      <w:spacing w:after="160"/>
    </w:pPr>
  </w:style>
  <w:style w:type="paragraph" w:customStyle="1" w:styleId="1181">
    <w:name w:val="图表1"/>
    <w:basedOn w:val="1"/>
    <w:qFormat/>
    <w:uiPriority w:val="0"/>
    <w:pPr>
      <w:tabs>
        <w:tab w:val="left" w:pos="-709"/>
        <w:tab w:val="left" w:pos="284"/>
      </w:tabs>
      <w:kinsoku w:val="0"/>
      <w:overflowPunct w:val="0"/>
      <w:adjustRightInd w:val="0"/>
      <w:snapToGrid w:val="0"/>
      <w:spacing w:line="300" w:lineRule="auto"/>
      <w:jc w:val="center"/>
      <w:textAlignment w:val="baseline"/>
    </w:pPr>
    <w:rPr>
      <w:rFonts w:ascii="宋体" w:eastAsia="宋体" w:cs="宋体"/>
      <w:kern w:val="0"/>
      <w:sz w:val="24"/>
      <w:szCs w:val="24"/>
    </w:rPr>
  </w:style>
  <w:style w:type="paragraph" w:customStyle="1" w:styleId="1182">
    <w:name w:val="Char Char Char Char Char Char Char1"/>
    <w:basedOn w:val="1"/>
    <w:qFormat/>
    <w:uiPriority w:val="0"/>
  </w:style>
  <w:style w:type="paragraph" w:customStyle="1" w:styleId="1183">
    <w:name w:val="样式 样式1 + 首行缩进:  2 字符 右侧:  0.85 字符"/>
    <w:basedOn w:val="1"/>
    <w:next w:val="1"/>
    <w:qFormat/>
    <w:uiPriority w:val="0"/>
    <w:pPr>
      <w:tabs>
        <w:tab w:val="left" w:pos="105"/>
      </w:tabs>
      <w:spacing w:line="360" w:lineRule="auto"/>
      <w:ind w:right="85"/>
      <w:jc w:val="left"/>
    </w:pPr>
    <w:rPr>
      <w:rFonts w:eastAsia="宋体" w:cs="宋体"/>
      <w:sz w:val="24"/>
    </w:rPr>
  </w:style>
  <w:style w:type="paragraph" w:customStyle="1" w:styleId="1184">
    <w:name w:val="表格文字（小五）"/>
    <w:basedOn w:val="77"/>
    <w:next w:val="5"/>
    <w:semiHidden/>
    <w:qFormat/>
    <w:uiPriority w:val="0"/>
    <w:pPr>
      <w:tabs>
        <w:tab w:val="left" w:pos="746"/>
      </w:tabs>
      <w:snapToGrid w:val="0"/>
      <w:spacing w:line="360" w:lineRule="exact"/>
      <w:textAlignment w:val="center"/>
    </w:pPr>
  </w:style>
  <w:style w:type="paragraph" w:customStyle="1" w:styleId="1185">
    <w:name w:val="样式 样式 样式1 + 首行缩进:  2 字符 右侧:  0.85 字符 + 右侧:  0.85 字符"/>
    <w:basedOn w:val="1183"/>
    <w:qFormat/>
    <w:uiPriority w:val="0"/>
    <w:pPr>
      <w:ind w:right="176"/>
      <w:jc w:val="both"/>
    </w:pPr>
  </w:style>
  <w:style w:type="paragraph" w:customStyle="1" w:styleId="1186">
    <w:name w:val="lux"/>
    <w:basedOn w:val="1"/>
    <w:next w:val="1"/>
    <w:qFormat/>
    <w:uiPriority w:val="0"/>
    <w:pPr>
      <w:spacing w:before="100" w:beforeAutospacing="1" w:after="100" w:afterAutospacing="1" w:line="360" w:lineRule="auto"/>
      <w:ind w:firstLine="200" w:firstLineChars="200"/>
    </w:pPr>
    <w:rPr>
      <w:rFonts w:eastAsia="宋体"/>
      <w:sz w:val="24"/>
      <w:szCs w:val="24"/>
    </w:rPr>
  </w:style>
  <w:style w:type="paragraph" w:customStyle="1" w:styleId="1187">
    <w:name w:val="样式 (西文) 仿宋_GB2312 左侧:  0.98 厘米"/>
    <w:basedOn w:val="1"/>
    <w:semiHidden/>
    <w:qFormat/>
    <w:uiPriority w:val="0"/>
    <w:pPr>
      <w:adjustRightInd w:val="0"/>
      <w:snapToGrid w:val="0"/>
      <w:spacing w:line="360" w:lineRule="auto"/>
      <w:ind w:firstLine="200" w:firstLineChars="200"/>
    </w:pPr>
    <w:rPr>
      <w:rFonts w:ascii="仿宋_GB2312" w:eastAsia="宋体"/>
      <w:sz w:val="24"/>
    </w:rPr>
  </w:style>
  <w:style w:type="paragraph" w:customStyle="1" w:styleId="1188">
    <w:name w:val="Char Char Char Char Char Char Char Char Char1 Char Char1"/>
    <w:basedOn w:val="1"/>
    <w:qFormat/>
    <w:uiPriority w:val="0"/>
    <w:rPr>
      <w:rFonts w:eastAsia="宋体"/>
      <w:sz w:val="24"/>
      <w:szCs w:val="24"/>
    </w:rPr>
  </w:style>
  <w:style w:type="paragraph" w:customStyle="1" w:styleId="1189">
    <w:name w:val="默认段落字体 Para Char Char Char Char Char Char Char Char Char1 Char Char Char Char Char Char Char"/>
    <w:basedOn w:val="1"/>
    <w:qFormat/>
    <w:uiPriority w:val="0"/>
    <w:rPr>
      <w:rFonts w:eastAsia="宋体"/>
      <w:b/>
      <w:bCs/>
      <w:sz w:val="36"/>
      <w:szCs w:val="32"/>
    </w:rPr>
  </w:style>
  <w:style w:type="paragraph" w:customStyle="1" w:styleId="1190">
    <w:name w:val="xl54"/>
    <w:basedOn w:val="1"/>
    <w:qFormat/>
    <w:uiPriority w:val="0"/>
    <w:pPr>
      <w:widowControl/>
      <w:pBdr>
        <w:bottom w:val="single" w:color="auto" w:sz="4" w:space="0"/>
        <w:right w:val="single" w:color="auto" w:sz="4" w:space="0"/>
      </w:pBdr>
      <w:spacing w:before="100" w:beforeAutospacing="1" w:after="100" w:afterAutospacing="1" w:line="520" w:lineRule="exact"/>
      <w:jc w:val="center"/>
    </w:pPr>
    <w:rPr>
      <w:rFonts w:ascii="Arial Unicode MS" w:hAnsi="Arial Unicode MS" w:eastAsia="Arial Unicode MS" w:cs="Arial Unicode MS"/>
      <w:kern w:val="0"/>
      <w:sz w:val="20"/>
    </w:rPr>
  </w:style>
  <w:style w:type="paragraph" w:customStyle="1" w:styleId="1191">
    <w:name w:val="样式 报告 + 首行缩进:  2 字符 段前: 3 磅 段后: 3 磅"/>
    <w:basedOn w:val="1"/>
    <w:qFormat/>
    <w:uiPriority w:val="0"/>
    <w:pPr>
      <w:overflowPunct w:val="0"/>
      <w:autoSpaceDE w:val="0"/>
      <w:autoSpaceDN w:val="0"/>
      <w:adjustRightInd w:val="0"/>
      <w:spacing w:before="60" w:after="60" w:line="400" w:lineRule="atLeast"/>
      <w:ind w:firstLine="480" w:firstLineChars="200"/>
      <w:jc w:val="left"/>
      <w:textAlignment w:val="baseline"/>
    </w:pPr>
    <w:rPr>
      <w:rFonts w:eastAsia="宋体" w:cs="宋体"/>
      <w:kern w:val="0"/>
      <w:sz w:val="24"/>
      <w:szCs w:val="24"/>
    </w:rPr>
  </w:style>
  <w:style w:type="paragraph" w:customStyle="1" w:styleId="1192">
    <w:name w:val="样式 标题 1章标题 1h11st levelSection Headl1featurehead章节标题标题 1..."/>
    <w:basedOn w:val="3"/>
    <w:semiHidden/>
    <w:qFormat/>
    <w:uiPriority w:val="0"/>
    <w:pPr>
      <w:keepNext w:val="0"/>
      <w:keepLines w:val="0"/>
      <w:pageBreakBefore w:val="0"/>
      <w:topLinePunct/>
      <w:adjustRightInd w:val="0"/>
      <w:snapToGrid w:val="0"/>
      <w:spacing w:before="700" w:after="360" w:line="530" w:lineRule="exact"/>
      <w:ind w:left="0" w:firstLine="0"/>
      <w:textAlignment w:val="baseline"/>
    </w:pPr>
    <w:rPr>
      <w:rFonts w:ascii="Arial" w:cs="宋体"/>
      <w:sz w:val="40"/>
    </w:rPr>
  </w:style>
  <w:style w:type="paragraph" w:customStyle="1" w:styleId="1193">
    <w:name w:val="表内样式"/>
    <w:basedOn w:val="1"/>
    <w:next w:val="1"/>
    <w:semiHidden/>
    <w:qFormat/>
    <w:uiPriority w:val="0"/>
    <w:pPr>
      <w:snapToGrid w:val="0"/>
      <w:jc w:val="center"/>
    </w:pPr>
    <w:rPr>
      <w:rFonts w:eastAsia="宋体"/>
      <w:kern w:val="0"/>
      <w:sz w:val="21"/>
      <w:szCs w:val="24"/>
    </w:rPr>
  </w:style>
  <w:style w:type="paragraph" w:customStyle="1" w:styleId="1194">
    <w:name w:val="Char1 Char Char Char Char Char Char"/>
    <w:basedOn w:val="1"/>
    <w:qFormat/>
    <w:uiPriority w:val="0"/>
    <w:pPr>
      <w:spacing w:beforeLines="50" w:afterLines="50" w:line="360" w:lineRule="auto"/>
      <w:ind w:firstLine="200" w:firstLineChars="200"/>
    </w:pPr>
    <w:rPr>
      <w:rFonts w:ascii="宋体" w:hAnsi="宋体" w:eastAsia="宋体" w:cs="宋体"/>
      <w:sz w:val="24"/>
      <w:szCs w:val="24"/>
    </w:rPr>
  </w:style>
  <w:style w:type="paragraph" w:customStyle="1" w:styleId="1195">
    <w:name w:val="正式表格"/>
    <w:basedOn w:val="1196"/>
    <w:semiHidden/>
    <w:qFormat/>
    <w:uiPriority w:val="0"/>
    <w:pPr>
      <w:tabs>
        <w:tab w:val="left" w:pos="3660"/>
      </w:tabs>
      <w:spacing w:line="240" w:lineRule="exact"/>
      <w:ind w:firstLine="0" w:firstLineChars="0"/>
    </w:pPr>
  </w:style>
  <w:style w:type="paragraph" w:customStyle="1" w:styleId="1196">
    <w:name w:val="标表"/>
    <w:basedOn w:val="1"/>
    <w:semiHidden/>
    <w:qFormat/>
    <w:uiPriority w:val="0"/>
    <w:pPr>
      <w:keepNext/>
      <w:tabs>
        <w:tab w:val="left" w:pos="3660"/>
      </w:tabs>
      <w:adjustRightInd w:val="0"/>
      <w:snapToGrid w:val="0"/>
      <w:spacing w:before="100" w:beforeAutospacing="1" w:after="100" w:afterAutospacing="1" w:line="360" w:lineRule="auto"/>
      <w:ind w:firstLine="420" w:firstLineChars="200"/>
      <w:jc w:val="center"/>
    </w:pPr>
    <w:rPr>
      <w:rFonts w:ascii="黑体" w:hAnsi="Arial" w:eastAsia="宋体" w:cs="Arial"/>
      <w:sz w:val="21"/>
      <w:szCs w:val="21"/>
    </w:rPr>
  </w:style>
  <w:style w:type="paragraph" w:customStyle="1" w:styleId="1197">
    <w:name w:val="xl170"/>
    <w:basedOn w:val="1"/>
    <w:qFormat/>
    <w:uiPriority w:val="0"/>
    <w:pPr>
      <w:widowControl/>
      <w:pBdr>
        <w:top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198">
    <w:name w:val="正文22磅"/>
    <w:basedOn w:val="1"/>
    <w:qFormat/>
    <w:uiPriority w:val="0"/>
    <w:pPr>
      <w:spacing w:line="420" w:lineRule="exact"/>
      <w:ind w:firstLine="480" w:firstLineChars="200"/>
    </w:pPr>
    <w:rPr>
      <w:rFonts w:eastAsia="宋体"/>
      <w:sz w:val="24"/>
      <w:szCs w:val="24"/>
    </w:rPr>
  </w:style>
  <w:style w:type="paragraph" w:customStyle="1" w:styleId="1199">
    <w:name w:val="正文 lux"/>
    <w:basedOn w:val="1"/>
    <w:qFormat/>
    <w:uiPriority w:val="0"/>
    <w:pPr>
      <w:adjustRightInd w:val="0"/>
      <w:snapToGrid w:val="0"/>
      <w:spacing w:line="500" w:lineRule="exact"/>
      <w:ind w:firstLine="200" w:firstLineChars="200"/>
    </w:pPr>
    <w:rPr>
      <w:rFonts w:eastAsia="宋体"/>
      <w:sz w:val="24"/>
      <w:szCs w:val="28"/>
    </w:rPr>
  </w:style>
  <w:style w:type="paragraph" w:customStyle="1" w:styleId="1200">
    <w:name w:val="Char Char Char Char Char Char Char Char Char Char Char Char Char Char Char Char Char Char1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201">
    <w:name w:val="Char Char Char1 Char Char Char Char Char"/>
    <w:basedOn w:val="1"/>
    <w:semiHidden/>
    <w:qFormat/>
    <w:uiPriority w:val="0"/>
    <w:pPr>
      <w:snapToGrid w:val="0"/>
      <w:spacing w:line="360" w:lineRule="auto"/>
      <w:ind w:firstLine="200" w:firstLineChars="200"/>
      <w:jc w:val="center"/>
    </w:pPr>
    <w:rPr>
      <w:rFonts w:ascii="宋体" w:hAnsi="宋体" w:eastAsia="宋体" w:cs="宋体"/>
      <w:sz w:val="24"/>
    </w:rPr>
  </w:style>
  <w:style w:type="paragraph" w:customStyle="1" w:styleId="1202">
    <w:name w:val="xyb自建正文"/>
    <w:basedOn w:val="1"/>
    <w:qFormat/>
    <w:uiPriority w:val="0"/>
    <w:pPr>
      <w:spacing w:beforeLines="50" w:line="360" w:lineRule="auto"/>
      <w:ind w:firstLine="480" w:firstLineChars="200"/>
      <w:textAlignment w:val="baseline"/>
    </w:pPr>
    <w:rPr>
      <w:rFonts w:eastAsia="宋体"/>
      <w:kern w:val="0"/>
      <w:sz w:val="24"/>
      <w:szCs w:val="24"/>
    </w:rPr>
  </w:style>
  <w:style w:type="paragraph" w:customStyle="1" w:styleId="1203">
    <w:name w:val="样式 表格 + 首行缩进:  2 字符2"/>
    <w:basedOn w:val="1"/>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cs="宋体"/>
      <w:sz w:val="24"/>
    </w:rPr>
  </w:style>
  <w:style w:type="paragraph" w:customStyle="1" w:styleId="1204">
    <w:name w:val="123456"/>
    <w:basedOn w:val="1"/>
    <w:qFormat/>
    <w:uiPriority w:val="0"/>
    <w:pPr>
      <w:spacing w:before="120" w:after="120" w:line="360" w:lineRule="auto"/>
      <w:ind w:firstLine="200" w:firstLineChars="200"/>
    </w:pPr>
    <w:rPr>
      <w:rFonts w:eastAsia="宋体"/>
      <w:sz w:val="24"/>
      <w:szCs w:val="24"/>
    </w:rPr>
  </w:style>
  <w:style w:type="paragraph" w:customStyle="1" w:styleId="1205">
    <w:name w:val="表题"/>
    <w:basedOn w:val="1"/>
    <w:link w:val="2787"/>
    <w:qFormat/>
    <w:uiPriority w:val="0"/>
    <w:pPr>
      <w:tabs>
        <w:tab w:val="right" w:pos="0"/>
      </w:tabs>
      <w:adjustRightInd w:val="0"/>
      <w:snapToGrid w:val="0"/>
      <w:jc w:val="center"/>
    </w:pPr>
    <w:rPr>
      <w:rFonts w:ascii="宋体" w:hAnsi="宋体" w:eastAsia="宋体"/>
      <w:b/>
      <w:spacing w:val="12"/>
      <w:sz w:val="24"/>
      <w:szCs w:val="24"/>
    </w:rPr>
  </w:style>
  <w:style w:type="paragraph" w:customStyle="1" w:styleId="1206">
    <w:name w:val="Char Char Char Char Char Char Char Char Char Char Char Char Char Char Char Char Char Char Char Char Char Char Char Char Char1"/>
    <w:basedOn w:val="1"/>
    <w:next w:val="1"/>
    <w:qFormat/>
    <w:uiPriority w:val="0"/>
    <w:pPr>
      <w:adjustRightInd w:val="0"/>
      <w:snapToGrid w:val="0"/>
      <w:spacing w:line="240" w:lineRule="atLeast"/>
    </w:pPr>
    <w:rPr>
      <w:rFonts w:hAnsi="新宋体" w:eastAsia="新宋体"/>
      <w:sz w:val="21"/>
      <w:szCs w:val="21"/>
    </w:rPr>
  </w:style>
  <w:style w:type="paragraph" w:customStyle="1" w:styleId="1207">
    <w:name w:val="宋体"/>
    <w:basedOn w:val="1"/>
    <w:qFormat/>
    <w:uiPriority w:val="0"/>
    <w:pPr>
      <w:tabs>
        <w:tab w:val="left" w:pos="8640"/>
      </w:tabs>
      <w:snapToGrid w:val="0"/>
      <w:jc w:val="center"/>
    </w:pPr>
    <w:rPr>
      <w:b/>
      <w:color w:val="000000"/>
      <w:szCs w:val="21"/>
    </w:rPr>
  </w:style>
  <w:style w:type="paragraph" w:customStyle="1" w:styleId="1208">
    <w:name w:val="样式 正文 + 宋体"/>
    <w:basedOn w:val="1102"/>
    <w:qFormat/>
    <w:uiPriority w:val="0"/>
    <w:pPr>
      <w:widowControl/>
      <w:overflowPunct w:val="0"/>
      <w:adjustRightInd/>
      <w:snapToGrid/>
      <w:spacing w:line="500" w:lineRule="exact"/>
      <w:ind w:firstLine="539"/>
    </w:pPr>
    <w:rPr>
      <w:rFonts w:cs="Arial"/>
      <w:kern w:val="0"/>
      <w:sz w:val="28"/>
      <w:szCs w:val="28"/>
    </w:rPr>
  </w:style>
  <w:style w:type="paragraph" w:customStyle="1" w:styleId="1209">
    <w:name w:val="样式 标题 2标题2 + (西文) 仿宋_GB2312 段前: 0.2 行 段后: 0.2 行"/>
    <w:basedOn w:val="4"/>
    <w:qFormat/>
    <w:uiPriority w:val="0"/>
    <w:pPr>
      <w:tabs>
        <w:tab w:val="center" w:pos="567"/>
      </w:tabs>
      <w:adjustRightInd w:val="0"/>
      <w:snapToGrid w:val="0"/>
      <w:spacing w:before="48" w:beforeLines="20" w:after="0" w:afterLines="20" w:line="600" w:lineRule="exact"/>
      <w:ind w:left="0" w:firstLine="0"/>
    </w:pPr>
    <w:rPr>
      <w:rFonts w:ascii="Times New Roman" w:hAnsi="Times New Roman" w:eastAsia="宋体" w:cs="宋体"/>
      <w:b/>
      <w:bCs/>
      <w:sz w:val="32"/>
    </w:rPr>
  </w:style>
  <w:style w:type="paragraph" w:customStyle="1" w:styleId="1210">
    <w:name w:val="样式 表格 + 首行缩进:  2 字符 行距: 最小值 15 磅"/>
    <w:basedOn w:val="1"/>
    <w:qFormat/>
    <w:uiPriority w:val="0"/>
    <w:pPr>
      <w:suppressLineNumbers/>
      <w:autoSpaceDE w:val="0"/>
      <w:autoSpaceDN w:val="0"/>
      <w:adjustRightInd w:val="0"/>
      <w:spacing w:line="460" w:lineRule="atLeast"/>
      <w:ind w:firstLine="200" w:firstLineChars="200"/>
      <w:jc w:val="center"/>
      <w:textAlignment w:val="baseline"/>
    </w:pPr>
    <w:rPr>
      <w:rFonts w:eastAsia="宋体"/>
      <w:color w:val="000000"/>
      <w:w w:val="90"/>
      <w:kern w:val="0"/>
      <w:szCs w:val="28"/>
    </w:rPr>
  </w:style>
  <w:style w:type="paragraph" w:customStyle="1" w:styleId="1211">
    <w:name w:val="样式 行距: 单倍行距"/>
    <w:basedOn w:val="1"/>
    <w:semiHidden/>
    <w:qFormat/>
    <w:uiPriority w:val="0"/>
    <w:pPr>
      <w:adjustRightInd w:val="0"/>
      <w:snapToGrid w:val="0"/>
      <w:spacing w:line="360" w:lineRule="auto"/>
      <w:ind w:firstLine="560" w:firstLineChars="200"/>
    </w:pPr>
    <w:rPr>
      <w:rFonts w:eastAsia="宋体" w:cs="宋体"/>
      <w:sz w:val="24"/>
    </w:rPr>
  </w:style>
  <w:style w:type="paragraph" w:customStyle="1" w:styleId="1212">
    <w:name w:val="Char1 Char Char Char Char Char Char Char Char Char Char Char Char"/>
    <w:basedOn w:val="1"/>
    <w:qFormat/>
    <w:uiPriority w:val="0"/>
    <w:pPr>
      <w:snapToGrid w:val="0"/>
    </w:pPr>
    <w:rPr>
      <w:rFonts w:eastAsia="宋体"/>
      <w:sz w:val="21"/>
      <w:szCs w:val="24"/>
    </w:rPr>
  </w:style>
  <w:style w:type="paragraph" w:customStyle="1" w:styleId="1213">
    <w:name w:val="xl35"/>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4">
    <w:name w:val="xl36"/>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5">
    <w:name w:val="xl45"/>
    <w:basedOn w:val="1"/>
    <w:qFormat/>
    <w:uiPriority w:val="0"/>
    <w:pPr>
      <w:widowControl/>
      <w:pBdr>
        <w:top w:val="single" w:color="auto" w:sz="4" w:space="0"/>
        <w:left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6">
    <w:name w:val="ST20_18"/>
    <w:basedOn w:val="753"/>
    <w:qFormat/>
    <w:uiPriority w:val="0"/>
    <w:pPr>
      <w:keepLines/>
      <w:tabs>
        <w:tab w:val="left" w:pos="720"/>
      </w:tabs>
      <w:spacing w:after="240"/>
      <w:ind w:left="1080" w:right="2880" w:hanging="1080"/>
    </w:pPr>
  </w:style>
  <w:style w:type="paragraph" w:customStyle="1" w:styleId="1217">
    <w:name w:val="ST20_62"/>
    <w:basedOn w:val="1000"/>
    <w:qFormat/>
    <w:uiPriority w:val="0"/>
    <w:pPr>
      <w:ind w:left="1440"/>
    </w:pPr>
  </w:style>
  <w:style w:type="paragraph" w:customStyle="1" w:styleId="1218">
    <w:name w:val="xl46"/>
    <w:basedOn w:val="1"/>
    <w:qFormat/>
    <w:uiPriority w:val="0"/>
    <w:pPr>
      <w:widowControl/>
      <w:pBdr>
        <w:top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9">
    <w:name w:val="xl47"/>
    <w:basedOn w:val="1"/>
    <w:qFormat/>
    <w:uiPriority w:val="0"/>
    <w:pPr>
      <w:widowControl/>
      <w:pBdr>
        <w:top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20">
    <w:name w:val="xl48"/>
    <w:basedOn w:val="1"/>
    <w:qFormat/>
    <w:uiPriority w:val="0"/>
    <w:pPr>
      <w:widowControl/>
      <w:pBdr>
        <w:top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21">
    <w:name w:val="样式 标题 3 + 首行缩进:  0.85 厘米"/>
    <w:basedOn w:val="6"/>
    <w:qFormat/>
    <w:uiPriority w:val="0"/>
    <w:pPr>
      <w:keepNext w:val="0"/>
      <w:keepLines w:val="0"/>
      <w:tabs>
        <w:tab w:val="left" w:pos="142"/>
        <w:tab w:val="left" w:pos="284"/>
        <w:tab w:val="left" w:pos="709"/>
        <w:tab w:val="left" w:pos="1134"/>
      </w:tabs>
      <w:adjustRightInd w:val="0"/>
      <w:snapToGrid w:val="0"/>
      <w:spacing w:before="0" w:after="0" w:line="500" w:lineRule="exact"/>
      <w:ind w:left="0" w:firstLine="0"/>
      <w:jc w:val="left"/>
      <w:textAlignment w:val="baseline"/>
    </w:pPr>
    <w:rPr>
      <w:rFonts w:ascii="Times New Roman" w:hAnsi="Arial" w:eastAsia="宋体"/>
      <w:bCs w:val="0"/>
      <w:kern w:val="0"/>
    </w:rPr>
  </w:style>
  <w:style w:type="paragraph" w:customStyle="1" w:styleId="1222">
    <w:name w:val="样式 (符号) 宋体 小四 首行缩进:  2 字符 行距: 1.5 倍行距"/>
    <w:basedOn w:val="1"/>
    <w:semiHidden/>
    <w:qFormat/>
    <w:uiPriority w:val="0"/>
    <w:pPr>
      <w:adjustRightInd w:val="0"/>
      <w:snapToGrid w:val="0"/>
      <w:spacing w:line="360" w:lineRule="auto"/>
      <w:ind w:firstLine="480" w:firstLineChars="200"/>
    </w:pPr>
    <w:rPr>
      <w:rFonts w:ascii="宋体" w:hAnsi="宋体" w:eastAsia="宋体"/>
      <w:color w:val="000000"/>
      <w:kern w:val="0"/>
      <w:sz w:val="24"/>
    </w:rPr>
  </w:style>
  <w:style w:type="paragraph" w:customStyle="1" w:styleId="1223">
    <w:name w:val="样式 首行缩进:  1.92 字符"/>
    <w:basedOn w:val="1"/>
    <w:semiHidden/>
    <w:qFormat/>
    <w:uiPriority w:val="0"/>
    <w:pPr>
      <w:adjustRightInd w:val="0"/>
      <w:snapToGrid w:val="0"/>
      <w:spacing w:line="360" w:lineRule="auto"/>
      <w:ind w:firstLine="200" w:firstLineChars="200"/>
    </w:pPr>
    <w:rPr>
      <w:rFonts w:eastAsia="宋体" w:cs="宋体"/>
      <w:sz w:val="24"/>
    </w:rPr>
  </w:style>
  <w:style w:type="paragraph" w:customStyle="1" w:styleId="1224">
    <w:name w:val="ST20_36"/>
    <w:basedOn w:val="58"/>
    <w:qFormat/>
    <w:uiPriority w:val="0"/>
    <w:pPr>
      <w:keepLines/>
      <w:pBdr>
        <w:bottom w:val="none" w:color="auto" w:sz="0" w:space="0"/>
      </w:pBdr>
      <w:tabs>
        <w:tab w:val="center" w:pos="4320"/>
        <w:tab w:val="right" w:pos="8640"/>
        <w:tab w:val="clear" w:pos="4153"/>
        <w:tab w:val="clear" w:pos="8306"/>
      </w:tabs>
      <w:autoSpaceDE w:val="0"/>
      <w:autoSpaceDN w:val="0"/>
      <w:adjustRightInd w:val="0"/>
      <w:snapToGrid/>
      <w:spacing w:line="360" w:lineRule="atLeast"/>
      <w:jc w:val="left"/>
      <w:textAlignment w:val="baseline"/>
    </w:pPr>
    <w:rPr>
      <w:rFonts w:ascii="宋体" w:hAnsi="Tms Rmn" w:eastAsia="宋体"/>
      <w:kern w:val="0"/>
      <w:sz w:val="28"/>
      <w:szCs w:val="28"/>
    </w:rPr>
  </w:style>
  <w:style w:type="paragraph" w:customStyle="1" w:styleId="1225">
    <w:name w:val="xl65"/>
    <w:basedOn w:val="1"/>
    <w:qFormat/>
    <w:uiPriority w:val="0"/>
    <w:pPr>
      <w:widowControl/>
      <w:pBdr>
        <w:bottom w:val="single" w:color="auto" w:sz="4" w:space="0"/>
        <w:right w:val="single" w:color="auto" w:sz="4" w:space="0"/>
      </w:pBdr>
      <w:spacing w:before="100" w:beforeAutospacing="1" w:after="100" w:afterAutospacing="1" w:line="520" w:lineRule="exact"/>
      <w:jc w:val="center"/>
    </w:pPr>
    <w:rPr>
      <w:rFonts w:hint="eastAsia" w:ascii="黑体" w:hAnsi="Arial Unicode MS" w:eastAsia="黑体" w:cs="Arial Unicode MS"/>
      <w:kern w:val="0"/>
      <w:sz w:val="20"/>
    </w:rPr>
  </w:style>
  <w:style w:type="paragraph" w:customStyle="1" w:styleId="1226">
    <w:name w:val="样式 标题 4H4H41标题3款标题款款标题1.1.1.1目L4条标题1.1.1.1标题1.1.1.1BS..."/>
    <w:basedOn w:val="7"/>
    <w:semiHidden/>
    <w:qFormat/>
    <w:uiPriority w:val="0"/>
    <w:pPr>
      <w:tabs>
        <w:tab w:val="left" w:pos="864"/>
      </w:tabs>
      <w:adjustRightInd w:val="0"/>
      <w:snapToGrid w:val="0"/>
      <w:ind w:left="864" w:hanging="864"/>
      <w:jc w:val="left"/>
    </w:pPr>
    <w:rPr>
      <w:rFonts w:eastAsia="楷体_GB2312" w:cs="宋体"/>
      <w:bCs/>
      <w:color w:val="auto"/>
      <w:kern w:val="0"/>
      <w:sz w:val="30"/>
    </w:rPr>
  </w:style>
  <w:style w:type="paragraph" w:customStyle="1" w:styleId="1227">
    <w:name w:val="样式 小四 首行缩进:  1.01 厘米 行距: 1.5 倍行距"/>
    <w:basedOn w:val="1"/>
    <w:semiHidden/>
    <w:qFormat/>
    <w:uiPriority w:val="0"/>
    <w:pPr>
      <w:adjustRightInd w:val="0"/>
      <w:snapToGrid w:val="0"/>
      <w:spacing w:line="360" w:lineRule="auto"/>
      <w:ind w:firstLine="570"/>
      <w:jc w:val="left"/>
      <w:textAlignment w:val="baseline"/>
    </w:pPr>
    <w:rPr>
      <w:rFonts w:eastAsia="宋体"/>
      <w:kern w:val="0"/>
      <w:sz w:val="24"/>
    </w:rPr>
  </w:style>
  <w:style w:type="paragraph" w:customStyle="1" w:styleId="1228">
    <w:name w:val="xl50"/>
    <w:basedOn w:val="1"/>
    <w:qFormat/>
    <w:uiPriority w:val="0"/>
    <w:pPr>
      <w:widowControl/>
      <w:snapToGrid w:val="0"/>
      <w:spacing w:before="100" w:beforeAutospacing="1" w:after="100" w:afterAutospacing="1"/>
      <w:jc w:val="center"/>
    </w:pPr>
    <w:rPr>
      <w:rFonts w:ascii="宋体" w:hAnsi="宋体" w:eastAsia="宋体"/>
      <w:b/>
      <w:bCs/>
      <w:kern w:val="0"/>
      <w:sz w:val="24"/>
      <w:szCs w:val="28"/>
    </w:rPr>
  </w:style>
  <w:style w:type="paragraph" w:customStyle="1" w:styleId="1229">
    <w:name w:val="Char8"/>
    <w:basedOn w:val="1"/>
    <w:qFormat/>
    <w:uiPriority w:val="0"/>
    <w:pPr>
      <w:adjustRightInd w:val="0"/>
      <w:snapToGrid w:val="0"/>
      <w:spacing w:line="360" w:lineRule="auto"/>
      <w:ind w:firstLine="200" w:firstLineChars="200"/>
    </w:pPr>
    <w:rPr>
      <w:rFonts w:ascii="宋体" w:hAnsi="宋体" w:eastAsia="黑体" w:cs="宋体"/>
      <w:b/>
      <w:sz w:val="44"/>
      <w:szCs w:val="24"/>
    </w:rPr>
  </w:style>
  <w:style w:type="paragraph" w:customStyle="1" w:styleId="1230">
    <w:name w:val="样式 首行缩进:  2 字符3"/>
    <w:basedOn w:val="1"/>
    <w:qFormat/>
    <w:uiPriority w:val="0"/>
    <w:pPr>
      <w:adjustRightInd w:val="0"/>
      <w:snapToGrid w:val="0"/>
      <w:spacing w:line="360" w:lineRule="auto"/>
      <w:ind w:firstLine="200" w:firstLineChars="200"/>
    </w:pPr>
    <w:rPr>
      <w:rFonts w:eastAsia="宋体" w:cs="宋体"/>
      <w:kern w:val="0"/>
      <w:sz w:val="24"/>
    </w:rPr>
  </w:style>
  <w:style w:type="paragraph" w:customStyle="1" w:styleId="1231">
    <w:name w:val="表格第一排"/>
    <w:basedOn w:val="1"/>
    <w:semiHidden/>
    <w:qFormat/>
    <w:uiPriority w:val="0"/>
    <w:pPr>
      <w:adjustRightInd w:val="0"/>
      <w:snapToGrid w:val="0"/>
      <w:spacing w:line="840" w:lineRule="exact"/>
      <w:jc w:val="center"/>
      <w:textAlignment w:val="center"/>
    </w:pPr>
    <w:rPr>
      <w:rFonts w:eastAsia="黑体"/>
      <w:bCs/>
      <w:sz w:val="21"/>
    </w:rPr>
  </w:style>
  <w:style w:type="paragraph" w:customStyle="1" w:styleId="1232">
    <w:name w:val="Char71"/>
    <w:basedOn w:val="1"/>
    <w:qFormat/>
    <w:uiPriority w:val="0"/>
    <w:pPr>
      <w:snapToGrid w:val="0"/>
      <w:spacing w:line="360" w:lineRule="auto"/>
      <w:ind w:firstLine="200" w:firstLineChars="200"/>
    </w:pPr>
    <w:rPr>
      <w:rFonts w:ascii="宋体" w:hAnsi="宋体" w:eastAsia="宋体" w:cs="宋体"/>
      <w:sz w:val="24"/>
      <w:szCs w:val="24"/>
    </w:rPr>
  </w:style>
  <w:style w:type="paragraph" w:customStyle="1" w:styleId="1233">
    <w:name w:val="默认段落字体 Para Char Char Char Char Char Char Char Char Char Char Char Char Char1 Char"/>
    <w:basedOn w:val="26"/>
    <w:qFormat/>
    <w:uiPriority w:val="0"/>
    <w:pPr>
      <w:adjustRightInd w:val="0"/>
      <w:snapToGrid w:val="0"/>
      <w:spacing w:line="360" w:lineRule="auto"/>
    </w:pPr>
    <w:rPr>
      <w:rFonts w:ascii="Tahoma" w:hAnsi="Tahoma" w:eastAsia="宋体"/>
      <w:sz w:val="24"/>
      <w:szCs w:val="24"/>
    </w:rPr>
  </w:style>
  <w:style w:type="paragraph" w:customStyle="1" w:styleId="1234">
    <w:name w:val="流程文字"/>
    <w:basedOn w:val="1"/>
    <w:semiHidden/>
    <w:qFormat/>
    <w:uiPriority w:val="0"/>
    <w:pPr>
      <w:tabs>
        <w:tab w:val="left" w:pos="6480"/>
      </w:tabs>
      <w:topLinePunct/>
      <w:adjustRightInd w:val="0"/>
      <w:snapToGrid w:val="0"/>
      <w:jc w:val="center"/>
    </w:pPr>
    <w:rPr>
      <w:rFonts w:eastAsia="宋体"/>
      <w:sz w:val="21"/>
    </w:rPr>
  </w:style>
  <w:style w:type="paragraph" w:customStyle="1" w:styleId="1235">
    <w:name w:val="样式 表格 + 首行缩进:  0 字符1"/>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236">
    <w:name w:val="样式 表格 + 首行缩进:  2 字符"/>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237">
    <w:name w:val="样式 标表 +"/>
    <w:basedOn w:val="1"/>
    <w:semiHidden/>
    <w:qFormat/>
    <w:uiPriority w:val="0"/>
    <w:pPr>
      <w:keepNext/>
      <w:tabs>
        <w:tab w:val="left" w:pos="3660"/>
      </w:tabs>
      <w:adjustRightInd w:val="0"/>
      <w:snapToGrid w:val="0"/>
      <w:spacing w:before="100" w:beforeAutospacing="1" w:after="100" w:afterAutospacing="1" w:line="300" w:lineRule="auto"/>
      <w:jc w:val="left"/>
    </w:pPr>
    <w:rPr>
      <w:rFonts w:ascii="Arial" w:hAnsi="Arial" w:eastAsia="宋体" w:cs="宋体"/>
      <w:kern w:val="0"/>
      <w:sz w:val="21"/>
    </w:rPr>
  </w:style>
  <w:style w:type="paragraph" w:customStyle="1" w:styleId="1238">
    <w:name w:val="样式 表格 + 居中 左侧:  0.98 厘米"/>
    <w:basedOn w:val="1"/>
    <w:semiHidden/>
    <w:qFormat/>
    <w:uiPriority w:val="0"/>
    <w:pPr>
      <w:snapToGrid w:val="0"/>
      <w:spacing w:before="100" w:beforeAutospacing="1" w:after="100" w:afterAutospacing="1" w:line="300" w:lineRule="auto"/>
      <w:ind w:firstLine="200" w:firstLineChars="200"/>
    </w:pPr>
    <w:rPr>
      <w:rFonts w:ascii="Arial" w:hAnsi="Arial" w:eastAsia="宋体"/>
      <w:kern w:val="0"/>
      <w:sz w:val="24"/>
    </w:rPr>
  </w:style>
  <w:style w:type="paragraph" w:customStyle="1" w:styleId="1239">
    <w:name w:val="Tblhead"/>
    <w:basedOn w:val="1"/>
    <w:next w:val="1"/>
    <w:semiHidden/>
    <w:qFormat/>
    <w:uiPriority w:val="0"/>
    <w:pPr>
      <w:pageBreakBefore/>
      <w:suppressAutoHyphens/>
      <w:autoSpaceDE w:val="0"/>
      <w:autoSpaceDN w:val="0"/>
      <w:adjustRightInd w:val="0"/>
      <w:snapToGrid w:val="0"/>
      <w:jc w:val="center"/>
      <w:textAlignment w:val="baseline"/>
    </w:pPr>
    <w:rPr>
      <w:rFonts w:ascii="宋体" w:eastAsia="宋体"/>
      <w:spacing w:val="-3"/>
      <w:kern w:val="0"/>
      <w:sz w:val="24"/>
    </w:rPr>
  </w:style>
  <w:style w:type="paragraph" w:customStyle="1" w:styleId="1240">
    <w:name w:val="样式 居中 首行缩进:  0.85 厘米"/>
    <w:basedOn w:val="1"/>
    <w:semiHidden/>
    <w:qFormat/>
    <w:uiPriority w:val="0"/>
    <w:pPr>
      <w:snapToGrid w:val="0"/>
      <w:jc w:val="center"/>
    </w:pPr>
    <w:rPr>
      <w:rFonts w:ascii="宋体" w:hAnsi="Courier New" w:eastAsia="宋体" w:cs="宋体"/>
      <w:kern w:val="0"/>
      <w:sz w:val="21"/>
      <w:szCs w:val="21"/>
    </w:rPr>
  </w:style>
  <w:style w:type="paragraph" w:customStyle="1" w:styleId="1241">
    <w:name w:val="样式 表 + 首行缩进:  0.85 厘米"/>
    <w:basedOn w:val="1"/>
    <w:semiHidden/>
    <w:qFormat/>
    <w:uiPriority w:val="0"/>
    <w:pPr>
      <w:adjustRightInd w:val="0"/>
      <w:snapToGrid w:val="0"/>
    </w:pPr>
    <w:rPr>
      <w:rFonts w:ascii="仿宋_GB2312" w:hAnsi="Courier New" w:eastAsia="宋体" w:cs="宋体"/>
      <w:kern w:val="0"/>
      <w:sz w:val="21"/>
      <w:szCs w:val="21"/>
    </w:rPr>
  </w:style>
  <w:style w:type="paragraph" w:customStyle="1" w:styleId="1242">
    <w:name w:val="样式 表格 + 首行缩进:  0.85 厘米"/>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21"/>
    </w:rPr>
  </w:style>
  <w:style w:type="paragraph" w:customStyle="1" w:styleId="1243">
    <w:name w:val="样式 正文文本缩进 2 + 左侧:  0.98 厘米 首行缩进:  2 字符"/>
    <w:basedOn w:val="1"/>
    <w:semiHidden/>
    <w:qFormat/>
    <w:uiPriority w:val="0"/>
    <w:pPr>
      <w:adjustRightInd w:val="0"/>
      <w:snapToGrid w:val="0"/>
      <w:spacing w:line="360" w:lineRule="auto"/>
      <w:ind w:firstLine="560" w:firstLineChars="200"/>
    </w:pPr>
    <w:rPr>
      <w:rFonts w:eastAsia="宋体"/>
      <w:sz w:val="24"/>
    </w:rPr>
  </w:style>
  <w:style w:type="paragraph" w:customStyle="1" w:styleId="1244">
    <w:name w:val="样式 表格 + 小五 首行缩进:  0.63 厘米 行距: 固定值 12 磅"/>
    <w:basedOn w:val="1"/>
    <w:semiHidden/>
    <w:qFormat/>
    <w:uiPriority w:val="0"/>
    <w:pPr>
      <w:tabs>
        <w:tab w:val="center" w:pos="4422"/>
      </w:tabs>
      <w:adjustRightInd w:val="0"/>
      <w:snapToGrid w:val="0"/>
      <w:spacing w:before="100" w:beforeAutospacing="1" w:after="100" w:afterAutospacing="1" w:line="240" w:lineRule="exact"/>
      <w:jc w:val="center"/>
    </w:pPr>
    <w:rPr>
      <w:rFonts w:ascii="Arial" w:hAnsi="Arial" w:eastAsia="宋体" w:cs="宋体"/>
      <w:kern w:val="0"/>
      <w:sz w:val="18"/>
      <w:szCs w:val="21"/>
    </w:rPr>
  </w:style>
  <w:style w:type="paragraph" w:customStyle="1" w:styleId="1245">
    <w:name w:val="样式 表格 + 两端对齐1"/>
    <w:basedOn w:val="1"/>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cs="宋体"/>
      <w:sz w:val="24"/>
    </w:rPr>
  </w:style>
  <w:style w:type="paragraph" w:customStyle="1" w:styleId="1246">
    <w:name w:val="样式 表格 + 小五 首行缩进:  0.63 厘米"/>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18"/>
      <w:szCs w:val="21"/>
    </w:rPr>
  </w:style>
  <w:style w:type="paragraph" w:customStyle="1" w:styleId="1247">
    <w:name w:val="reader-word-layer reader-word-s2-2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48">
    <w:name w:val="样式 表 + 居中 首行缩进:  0.85 厘米"/>
    <w:basedOn w:val="1"/>
    <w:semiHidden/>
    <w:qFormat/>
    <w:uiPriority w:val="0"/>
    <w:pPr>
      <w:adjustRightInd w:val="0"/>
      <w:snapToGrid w:val="0"/>
      <w:jc w:val="center"/>
    </w:pPr>
    <w:rPr>
      <w:rFonts w:ascii="仿宋_GB2312" w:hAnsi="Courier New" w:eastAsia="宋体" w:cs="宋体"/>
      <w:kern w:val="0"/>
      <w:sz w:val="21"/>
      <w:szCs w:val="21"/>
    </w:rPr>
  </w:style>
  <w:style w:type="paragraph" w:customStyle="1" w:styleId="1249">
    <w:name w:val="标题003"/>
    <w:basedOn w:val="1"/>
    <w:semiHidden/>
    <w:qFormat/>
    <w:uiPriority w:val="0"/>
    <w:pPr>
      <w:adjustRightInd w:val="0"/>
      <w:snapToGrid w:val="0"/>
      <w:spacing w:before="120" w:line="440" w:lineRule="exact"/>
      <w:outlineLvl w:val="2"/>
    </w:pPr>
    <w:rPr>
      <w:rFonts w:eastAsia="宋体"/>
      <w:b/>
      <w:sz w:val="27"/>
    </w:rPr>
  </w:style>
  <w:style w:type="paragraph" w:customStyle="1" w:styleId="1250">
    <w:name w:val="表1表2"/>
    <w:basedOn w:val="1"/>
    <w:qFormat/>
    <w:uiPriority w:val="0"/>
    <w:pPr>
      <w:autoSpaceDE w:val="0"/>
      <w:autoSpaceDN w:val="0"/>
      <w:adjustRightInd w:val="0"/>
      <w:snapToGrid w:val="0"/>
      <w:spacing w:line="360" w:lineRule="auto"/>
      <w:ind w:firstLine="200" w:firstLineChars="200"/>
      <w:jc w:val="center"/>
      <w:textAlignment w:val="center"/>
    </w:pPr>
    <w:rPr>
      <w:rFonts w:eastAsia="黑体"/>
      <w:kern w:val="0"/>
      <w:sz w:val="24"/>
    </w:rPr>
  </w:style>
  <w:style w:type="paragraph" w:customStyle="1" w:styleId="1251">
    <w:name w:val="样式 标题 2 + 段前: 0.2 行 段后: 0.2 行 行距: 最小值 29.7 磅"/>
    <w:basedOn w:val="4"/>
    <w:semiHidden/>
    <w:qFormat/>
    <w:uiPriority w:val="0"/>
    <w:pPr>
      <w:tabs>
        <w:tab w:val="center" w:pos="567"/>
      </w:tabs>
      <w:adjustRightInd w:val="0"/>
      <w:snapToGrid w:val="0"/>
      <w:spacing w:before="100" w:beforeLines="20" w:after="0" w:afterLines="20" w:line="594" w:lineRule="atLeast"/>
      <w:ind w:left="0" w:firstLine="0"/>
      <w:jc w:val="left"/>
    </w:pPr>
    <w:rPr>
      <w:rFonts w:ascii="宋体" w:hAnsi="宋体" w:eastAsia="宋体"/>
      <w:bCs/>
      <w:sz w:val="30"/>
    </w:rPr>
  </w:style>
  <w:style w:type="paragraph" w:customStyle="1" w:styleId="1252">
    <w:name w:val="样式 样式 表格 + 左侧:  0.98 厘米 + 居中"/>
    <w:basedOn w:val="787"/>
    <w:semiHidden/>
    <w:qFormat/>
    <w:uiPriority w:val="0"/>
    <w:pPr>
      <w:jc w:val="center"/>
    </w:pPr>
  </w:style>
  <w:style w:type="paragraph" w:customStyle="1" w:styleId="1253">
    <w:name w:val="reader-word-layer reader-word-s2-2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54">
    <w:name w:val="样式 (西文) 仿宋_GB2312 (中文) 幼圆 小四 行距: 1.5 倍行距 首行缩进:  2 字符"/>
    <w:basedOn w:val="1"/>
    <w:semiHidden/>
    <w:qFormat/>
    <w:uiPriority w:val="0"/>
    <w:pPr>
      <w:adjustRightInd w:val="0"/>
      <w:snapToGrid w:val="0"/>
      <w:spacing w:line="360" w:lineRule="auto"/>
      <w:ind w:firstLine="560" w:firstLineChars="200"/>
    </w:pPr>
    <w:rPr>
      <w:rFonts w:ascii="仿宋_GB2312" w:eastAsia="宋体" w:cs="宋体"/>
      <w:kern w:val="0"/>
      <w:sz w:val="24"/>
    </w:rPr>
  </w:style>
  <w:style w:type="paragraph" w:customStyle="1" w:styleId="1255">
    <w:name w:val="样式 段落样式 + 小四 字符缩放: 100% 行距: 最小值 22 磅"/>
    <w:basedOn w:val="1137"/>
    <w:semiHidden/>
    <w:qFormat/>
    <w:uiPriority w:val="0"/>
    <w:pPr>
      <w:suppressLineNumbers w:val="0"/>
      <w:suppressAutoHyphens w:val="0"/>
      <w:spacing w:line="440" w:lineRule="atLeast"/>
    </w:pPr>
    <w:rPr>
      <w:w w:val="100"/>
      <w:kern w:val="32"/>
      <w:szCs w:val="20"/>
    </w:rPr>
  </w:style>
  <w:style w:type="paragraph" w:customStyle="1" w:styleId="1256">
    <w:name w:val="样式 样式 正文缩进s4 + 首行缩进:  2 字符 + 首行缩进:  2 字符"/>
    <w:basedOn w:val="1"/>
    <w:qFormat/>
    <w:uiPriority w:val="0"/>
    <w:pPr>
      <w:adjustRightInd w:val="0"/>
      <w:snapToGrid w:val="0"/>
      <w:spacing w:line="480" w:lineRule="exact"/>
      <w:ind w:firstLine="524" w:firstLineChars="187"/>
    </w:pPr>
    <w:rPr>
      <w:rFonts w:eastAsia="宋体"/>
      <w:color w:val="000000"/>
      <w:sz w:val="21"/>
    </w:rPr>
  </w:style>
  <w:style w:type="paragraph" w:customStyle="1" w:styleId="1257">
    <w:name w:val="样式 题注 + 首行缩进:  2 字符"/>
    <w:basedOn w:val="22"/>
    <w:qFormat/>
    <w:uiPriority w:val="0"/>
    <w:pPr>
      <w:adjustRightInd w:val="0"/>
      <w:snapToGrid w:val="0"/>
      <w:spacing w:before="0" w:after="0" w:line="300" w:lineRule="auto"/>
      <w:ind w:firstLine="105" w:firstLineChars="50"/>
      <w:jc w:val="left"/>
    </w:pPr>
    <w:rPr>
      <w:kern w:val="0"/>
      <w:sz w:val="21"/>
    </w:rPr>
  </w:style>
  <w:style w:type="paragraph" w:customStyle="1" w:styleId="1258">
    <w:name w:val="样式 王向东正文 + 首行缩进:  2 字符"/>
    <w:basedOn w:val="1259"/>
    <w:semiHidden/>
    <w:qFormat/>
    <w:uiPriority w:val="0"/>
    <w:pPr>
      <w:spacing w:line="360" w:lineRule="auto"/>
      <w:ind w:right="0" w:rightChars="0"/>
      <w:jc w:val="both"/>
    </w:pPr>
    <w:rPr>
      <w:rFonts w:cs="宋体"/>
      <w:szCs w:val="20"/>
    </w:rPr>
  </w:style>
  <w:style w:type="paragraph" w:customStyle="1" w:styleId="1259">
    <w:name w:val="王向东正文"/>
    <w:link w:val="2427"/>
    <w:qFormat/>
    <w:uiPriority w:val="0"/>
    <w:pPr>
      <w:ind w:right="22" w:rightChars="8" w:firstLine="560" w:firstLineChars="200"/>
    </w:pPr>
    <w:rPr>
      <w:rFonts w:ascii="Times New Roman" w:hAnsi="Times New Roman" w:eastAsia="仿宋_GB2312" w:cs="幼圆"/>
      <w:kern w:val="2"/>
      <w:sz w:val="28"/>
      <w:szCs w:val="28"/>
      <w:lang w:val="en-US" w:eastAsia="zh-CN" w:bidi="ar-SA"/>
    </w:rPr>
  </w:style>
  <w:style w:type="paragraph" w:customStyle="1" w:styleId="1260">
    <w:name w:val="样式 正文文本缩进 + 左侧:  2 字符 首行缩进:  2 字符"/>
    <w:basedOn w:val="1"/>
    <w:semiHidden/>
    <w:qFormat/>
    <w:uiPriority w:val="0"/>
    <w:pPr>
      <w:adjustRightInd w:val="0"/>
      <w:snapToGrid w:val="0"/>
      <w:spacing w:after="120" w:line="360" w:lineRule="auto"/>
      <w:ind w:firstLine="560" w:firstLineChars="200"/>
    </w:pPr>
    <w:rPr>
      <w:rFonts w:eastAsia="宋体" w:cs="宋体"/>
      <w:sz w:val="24"/>
      <w:szCs w:val="28"/>
    </w:rPr>
  </w:style>
  <w:style w:type="paragraph" w:customStyle="1" w:styleId="1261">
    <w:name w:val="ST20_25"/>
    <w:basedOn w:val="1"/>
    <w:next w:val="1262"/>
    <w:qFormat/>
    <w:uiPriority w:val="0"/>
    <w:pPr>
      <w:autoSpaceDE w:val="0"/>
      <w:autoSpaceDN w:val="0"/>
      <w:adjustRightInd w:val="0"/>
      <w:spacing w:before="80" w:line="360" w:lineRule="atLeast"/>
      <w:jc w:val="left"/>
      <w:textAlignment w:val="baseline"/>
    </w:pPr>
    <w:rPr>
      <w:rFonts w:ascii="宋体" w:hAnsi="Tms Rmn" w:eastAsia="宋体"/>
      <w:b/>
      <w:bCs/>
      <w:kern w:val="0"/>
      <w:szCs w:val="28"/>
    </w:rPr>
  </w:style>
  <w:style w:type="paragraph" w:customStyle="1" w:styleId="1262">
    <w:name w:val="ST20_23"/>
    <w:basedOn w:val="1171"/>
    <w:next w:val="1263"/>
    <w:qFormat/>
    <w:uiPriority w:val="0"/>
  </w:style>
  <w:style w:type="paragraph" w:customStyle="1" w:styleId="1263">
    <w:name w:val="ST20_9"/>
    <w:basedOn w:val="1"/>
    <w:next w:val="1170"/>
    <w:qFormat/>
    <w:uiPriority w:val="0"/>
    <w:pPr>
      <w:autoSpaceDE w:val="0"/>
      <w:autoSpaceDN w:val="0"/>
      <w:adjustRightInd w:val="0"/>
      <w:spacing w:before="480" w:line="360" w:lineRule="atLeast"/>
      <w:jc w:val="left"/>
      <w:textAlignment w:val="baseline"/>
    </w:pPr>
    <w:rPr>
      <w:rFonts w:ascii="宋体" w:hAnsi="Tms Rmn" w:eastAsia="宋体"/>
      <w:kern w:val="0"/>
      <w:szCs w:val="28"/>
    </w:rPr>
  </w:style>
  <w:style w:type="paragraph" w:customStyle="1" w:styleId="1264">
    <w:name w:val="ST20_17"/>
    <w:basedOn w:val="1171"/>
    <w:qFormat/>
    <w:uiPriority w:val="0"/>
    <w:pPr>
      <w:ind w:right="5040"/>
    </w:pPr>
  </w:style>
  <w:style w:type="paragraph" w:customStyle="1" w:styleId="1265">
    <w:name w:val="7"/>
    <w:basedOn w:val="1"/>
    <w:next w:val="35"/>
    <w:qFormat/>
    <w:uiPriority w:val="0"/>
    <w:pPr>
      <w:adjustRightInd w:val="0"/>
      <w:spacing w:line="480" w:lineRule="auto"/>
      <w:ind w:firstLine="480" w:firstLineChars="200"/>
      <w:textAlignment w:val="baseline"/>
    </w:pPr>
    <w:rPr>
      <w:rFonts w:ascii="Arial" w:hAnsi="Arial"/>
      <w:sz w:val="24"/>
    </w:rPr>
  </w:style>
  <w:style w:type="paragraph" w:customStyle="1" w:styleId="1266">
    <w:name w:val="样式 正文文本缩进 2 + 左侧:  2 字符 首行缩进:  2 字符 行距: 1.5 倍行距"/>
    <w:basedOn w:val="1"/>
    <w:semiHidden/>
    <w:qFormat/>
    <w:uiPriority w:val="0"/>
    <w:pPr>
      <w:adjustRightInd w:val="0"/>
      <w:snapToGrid w:val="0"/>
      <w:spacing w:after="120" w:line="360" w:lineRule="auto"/>
      <w:ind w:firstLine="560" w:firstLineChars="200"/>
    </w:pPr>
    <w:rPr>
      <w:rFonts w:eastAsia="宋体" w:cs="宋体"/>
      <w:sz w:val="24"/>
      <w:szCs w:val="28"/>
    </w:rPr>
  </w:style>
  <w:style w:type="paragraph" w:customStyle="1" w:styleId="1267">
    <w:name w:val="样式 正文文本缩进 + 左侧:  0.98 厘米 首行缩进:  2 字符"/>
    <w:basedOn w:val="1"/>
    <w:semiHidden/>
    <w:qFormat/>
    <w:uiPriority w:val="0"/>
    <w:pPr>
      <w:adjustRightInd w:val="0"/>
      <w:snapToGrid w:val="0"/>
      <w:spacing w:line="360" w:lineRule="auto"/>
      <w:ind w:firstLine="560" w:firstLineChars="200"/>
    </w:pPr>
    <w:rPr>
      <w:rFonts w:eastAsia="宋体"/>
      <w:sz w:val="24"/>
    </w:rPr>
  </w:style>
  <w:style w:type="paragraph" w:customStyle="1" w:styleId="1268">
    <w:name w:val="样式 正文缩进s4标题4 + 左侧:  0.98 厘米 首行缩进:  2 字符"/>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szCs w:val="32"/>
    </w:rPr>
  </w:style>
  <w:style w:type="paragraph" w:customStyle="1" w:styleId="1269">
    <w:name w:val="样式 正文缩进s4标题4 + 左侧:  0.98 厘米 首行缩进:  2 字符1"/>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kern w:val="16"/>
      <w:szCs w:val="32"/>
    </w:rPr>
  </w:style>
  <w:style w:type="paragraph" w:customStyle="1" w:styleId="1270">
    <w:name w:val="样式 表格 + 左侧:  0.98 厘米 行距: 固定值 12 磅"/>
    <w:basedOn w:val="1"/>
    <w:semiHidden/>
    <w:qFormat/>
    <w:uiPriority w:val="0"/>
    <w:pPr>
      <w:adjustRightInd w:val="0"/>
      <w:snapToGrid w:val="0"/>
      <w:spacing w:before="100" w:beforeAutospacing="1" w:after="100" w:afterAutospacing="1" w:line="240" w:lineRule="exact"/>
      <w:ind w:left="560" w:leftChars="200"/>
      <w:jc w:val="center"/>
    </w:pPr>
    <w:rPr>
      <w:rFonts w:ascii="Arial" w:hAnsi="Arial" w:eastAsia="宋体"/>
      <w:color w:val="000000"/>
      <w:sz w:val="21"/>
    </w:rPr>
  </w:style>
  <w:style w:type="paragraph" w:customStyle="1" w:styleId="1271">
    <w:name w:val="样式 样式 标题 3 + 小四 右侧:  0.42 厘米 段前: 0 磅 段后: 0 磅 行距: 最小值 28 磅 + 首行缩进..."/>
    <w:basedOn w:val="1"/>
    <w:qFormat/>
    <w:uiPriority w:val="0"/>
    <w:pPr>
      <w:keepNext/>
      <w:keepLines/>
      <w:spacing w:before="50" w:beforeLines="50" w:after="50" w:afterLines="50" w:line="480" w:lineRule="atLeast"/>
      <w:ind w:right="238"/>
      <w:outlineLvl w:val="2"/>
    </w:pPr>
    <w:rPr>
      <w:rFonts w:eastAsia="宋体" w:cs="宋体"/>
      <w:b/>
      <w:bCs/>
      <w:sz w:val="24"/>
    </w:rPr>
  </w:style>
  <w:style w:type="paragraph" w:customStyle="1" w:styleId="1272">
    <w:name w:val="样式 表格 + 加粗 居中 左侧:  0.98 厘米"/>
    <w:basedOn w:val="1"/>
    <w:semiHidden/>
    <w:qFormat/>
    <w:uiPriority w:val="0"/>
    <w:pPr>
      <w:snapToGrid w:val="0"/>
      <w:spacing w:before="100" w:beforeAutospacing="1" w:after="100" w:afterAutospacing="1"/>
      <w:ind w:left="560" w:leftChars="200" w:firstLine="200" w:firstLineChars="200"/>
    </w:pPr>
    <w:rPr>
      <w:rFonts w:ascii="Arial" w:hAnsi="Arial" w:eastAsia="宋体"/>
      <w:b/>
      <w:bCs/>
      <w:color w:val="000000"/>
      <w:sz w:val="24"/>
    </w:rPr>
  </w:style>
  <w:style w:type="paragraph" w:customStyle="1" w:styleId="1273">
    <w:name w:val="xl66"/>
    <w:basedOn w:val="1"/>
    <w:qFormat/>
    <w:uiPriority w:val="0"/>
    <w:pPr>
      <w:widowControl/>
      <w:pBdr>
        <w:top w:val="single" w:color="auto" w:sz="4" w:space="0"/>
        <w:bottom w:val="single" w:color="auto" w:sz="4" w:space="0"/>
        <w:right w:val="single" w:color="auto" w:sz="4" w:space="0"/>
      </w:pBdr>
      <w:shd w:val="clear" w:color="FFFFFF" w:fill="auto"/>
      <w:spacing w:before="100" w:beforeAutospacing="1" w:after="100" w:afterAutospacing="1"/>
      <w:jc w:val="left"/>
    </w:pPr>
    <w:rPr>
      <w:rFonts w:ascii="Arial Narrow" w:hAnsi="Arial Narrow" w:eastAsia="宋体"/>
      <w:kern w:val="0"/>
      <w:sz w:val="18"/>
      <w:szCs w:val="18"/>
    </w:rPr>
  </w:style>
  <w:style w:type="paragraph" w:customStyle="1" w:styleId="1274">
    <w:name w:val="样式 表格 + 左侧:  0.98 厘米 字符缩放: 90%"/>
    <w:basedOn w:val="1"/>
    <w:semiHidden/>
    <w:qFormat/>
    <w:uiPriority w:val="0"/>
    <w:pPr>
      <w:adjustRightInd w:val="0"/>
      <w:snapToGrid w:val="0"/>
      <w:spacing w:before="100" w:beforeAutospacing="1" w:after="100" w:afterAutospacing="1"/>
      <w:ind w:left="560" w:leftChars="200"/>
      <w:jc w:val="center"/>
    </w:pPr>
    <w:rPr>
      <w:rFonts w:ascii="Arial" w:hAnsi="Arial" w:eastAsia="宋体"/>
      <w:color w:val="000000"/>
      <w:w w:val="90"/>
      <w:sz w:val="21"/>
    </w:rPr>
  </w:style>
  <w:style w:type="paragraph" w:customStyle="1" w:styleId="1275">
    <w:name w:val="样式 正文缩进s4 + 首行缩进:  2 字符"/>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szCs w:val="32"/>
    </w:rPr>
  </w:style>
  <w:style w:type="paragraph" w:customStyle="1" w:styleId="1276">
    <w:name w:val="reader-word-layer reader-word-s1-5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77">
    <w:name w:val="ST20_16"/>
    <w:basedOn w:val="1171"/>
    <w:qFormat/>
    <w:uiPriority w:val="0"/>
    <w:pPr>
      <w:ind w:left="3240" w:right="0"/>
    </w:pPr>
  </w:style>
  <w:style w:type="paragraph" w:customStyle="1" w:styleId="1278">
    <w:name w:val="xl80"/>
    <w:basedOn w:val="1"/>
    <w:qFormat/>
    <w:uiPriority w:val="0"/>
    <w:pPr>
      <w:widowControl/>
      <w:pBdr>
        <w:top w:val="single" w:color="auto" w:sz="8" w:space="0"/>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279">
    <w:name w:val="样式 样式 样式 正文缩进s4 + 首行缩进:  2 字符 + 首行缩进:  2 字符 +"/>
    <w:basedOn w:val="1256"/>
    <w:semiHidden/>
    <w:qFormat/>
    <w:uiPriority w:val="0"/>
    <w:pPr>
      <w:spacing w:line="490" w:lineRule="exact"/>
    </w:pPr>
    <w:rPr>
      <w:color w:val="auto"/>
      <w:szCs w:val="28"/>
    </w:rPr>
  </w:style>
  <w:style w:type="paragraph" w:customStyle="1" w:styleId="1280">
    <w:name w:val="样式 左 左侧:  0.98 厘米"/>
    <w:basedOn w:val="1"/>
    <w:semiHidden/>
    <w:qFormat/>
    <w:uiPriority w:val="0"/>
    <w:pPr>
      <w:adjustRightInd w:val="0"/>
      <w:snapToGrid w:val="0"/>
      <w:spacing w:line="360" w:lineRule="auto"/>
      <w:ind w:firstLine="200" w:firstLineChars="200"/>
      <w:jc w:val="left"/>
    </w:pPr>
    <w:rPr>
      <w:rFonts w:eastAsia="宋体"/>
      <w:sz w:val="24"/>
    </w:rPr>
  </w:style>
  <w:style w:type="paragraph" w:customStyle="1" w:styleId="1281">
    <w:name w:val="样式 (西文) 宋体 左侧:  0.98 厘米"/>
    <w:basedOn w:val="1"/>
    <w:semiHidden/>
    <w:qFormat/>
    <w:uiPriority w:val="0"/>
    <w:pPr>
      <w:adjustRightInd w:val="0"/>
      <w:snapToGrid w:val="0"/>
      <w:spacing w:line="360" w:lineRule="auto"/>
      <w:ind w:firstLine="200" w:firstLineChars="200"/>
    </w:pPr>
    <w:rPr>
      <w:rFonts w:ascii="宋体" w:eastAsia="宋体"/>
      <w:sz w:val="24"/>
    </w:rPr>
  </w:style>
  <w:style w:type="paragraph" w:customStyle="1" w:styleId="1282">
    <w:name w:val="表格文字+"/>
    <w:basedOn w:val="1"/>
    <w:semiHidden/>
    <w:qFormat/>
    <w:uiPriority w:val="0"/>
    <w:pPr>
      <w:tabs>
        <w:tab w:val="left" w:pos="3720"/>
      </w:tabs>
      <w:autoSpaceDE w:val="0"/>
      <w:autoSpaceDN w:val="0"/>
      <w:adjustRightInd w:val="0"/>
      <w:snapToGrid w:val="0"/>
      <w:jc w:val="center"/>
      <w:textAlignment w:val="bottom"/>
    </w:pPr>
    <w:rPr>
      <w:rFonts w:eastAsia="宋体" w:cs="宋体"/>
      <w:kern w:val="0"/>
      <w:sz w:val="21"/>
    </w:rPr>
  </w:style>
  <w:style w:type="paragraph" w:customStyle="1" w:styleId="1283">
    <w:name w:val="ST20_6"/>
    <w:basedOn w:val="753"/>
    <w:qFormat/>
    <w:uiPriority w:val="0"/>
    <w:pPr>
      <w:keepNext/>
    </w:pPr>
  </w:style>
  <w:style w:type="paragraph" w:customStyle="1" w:styleId="1284">
    <w:name w:val="Address 1"/>
    <w:basedOn w:val="1"/>
    <w:qFormat/>
    <w:uiPriority w:val="0"/>
    <w:pPr>
      <w:framePr w:w="2400" w:wrap="notBeside" w:vAnchor="page" w:hAnchor="page" w:x="8065" w:y="1009" w:anchorLock="1"/>
      <w:widowControl/>
      <w:spacing w:line="200" w:lineRule="atLeast"/>
      <w:jc w:val="left"/>
    </w:pPr>
    <w:rPr>
      <w:rFonts w:eastAsia="宋体"/>
      <w:kern w:val="0"/>
      <w:sz w:val="16"/>
    </w:rPr>
  </w:style>
  <w:style w:type="paragraph" w:customStyle="1" w:styleId="1285">
    <w:name w:val="样式 左侧:  0.98 厘米 字距调整小四"/>
    <w:basedOn w:val="1"/>
    <w:semiHidden/>
    <w:qFormat/>
    <w:uiPriority w:val="0"/>
    <w:pPr>
      <w:adjustRightInd w:val="0"/>
      <w:snapToGrid w:val="0"/>
      <w:spacing w:line="360" w:lineRule="auto"/>
      <w:ind w:firstLine="200" w:firstLineChars="200"/>
    </w:pPr>
    <w:rPr>
      <w:rFonts w:eastAsia="宋体"/>
      <w:kern w:val="24"/>
      <w:sz w:val="24"/>
    </w:rPr>
  </w:style>
  <w:style w:type="paragraph" w:customStyle="1" w:styleId="1286">
    <w:name w:val="xl134"/>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287">
    <w:name w:val="样式 左侧:  0.98 厘米 首行缩进:  2.25 字符"/>
    <w:basedOn w:val="1"/>
    <w:semiHidden/>
    <w:qFormat/>
    <w:uiPriority w:val="0"/>
    <w:pPr>
      <w:adjustRightInd w:val="0"/>
      <w:snapToGrid w:val="0"/>
      <w:spacing w:line="360" w:lineRule="auto"/>
      <w:ind w:firstLine="200" w:firstLineChars="200"/>
    </w:pPr>
    <w:rPr>
      <w:rFonts w:eastAsia="宋体"/>
      <w:sz w:val="24"/>
    </w:rPr>
  </w:style>
  <w:style w:type="paragraph" w:customStyle="1" w:styleId="1288">
    <w:name w:val="样式 左侧:  0.98 厘米1"/>
    <w:basedOn w:val="1"/>
    <w:semiHidden/>
    <w:qFormat/>
    <w:uiPriority w:val="0"/>
    <w:pPr>
      <w:adjustRightInd w:val="0"/>
      <w:snapToGrid w:val="0"/>
      <w:spacing w:line="360" w:lineRule="auto"/>
      <w:ind w:firstLine="200" w:firstLineChars="200"/>
    </w:pPr>
    <w:rPr>
      <w:rFonts w:eastAsia="宋体"/>
      <w:kern w:val="0"/>
      <w:sz w:val="24"/>
    </w:rPr>
  </w:style>
  <w:style w:type="paragraph" w:customStyle="1" w:styleId="1289">
    <w:name w:val="样式 正文文本 + 左侧:  0.98 厘米"/>
    <w:basedOn w:val="1"/>
    <w:semiHidden/>
    <w:qFormat/>
    <w:uiPriority w:val="0"/>
    <w:pPr>
      <w:widowControl/>
      <w:tabs>
        <w:tab w:val="left" w:pos="3720"/>
      </w:tabs>
      <w:autoSpaceDE w:val="0"/>
      <w:autoSpaceDN w:val="0"/>
      <w:adjustRightInd w:val="0"/>
      <w:snapToGrid w:val="0"/>
      <w:spacing w:line="360" w:lineRule="auto"/>
      <w:ind w:firstLine="200" w:firstLineChars="200"/>
      <w:jc w:val="left"/>
      <w:textAlignment w:val="bottom"/>
    </w:pPr>
    <w:rPr>
      <w:rFonts w:ascii="仿宋_GB2312" w:eastAsia="宋体"/>
      <w:kern w:val="0"/>
      <w:sz w:val="24"/>
    </w:rPr>
  </w:style>
  <w:style w:type="paragraph" w:customStyle="1" w:styleId="1290">
    <w:name w:val="特性表注"/>
    <w:basedOn w:val="1"/>
    <w:semiHidden/>
    <w:qFormat/>
    <w:uiPriority w:val="0"/>
    <w:pPr>
      <w:snapToGrid w:val="0"/>
    </w:pPr>
    <w:rPr>
      <w:rFonts w:ascii="宋体" w:hAnsi="宋体" w:eastAsia="宋体"/>
      <w:sz w:val="21"/>
      <w:szCs w:val="24"/>
    </w:rPr>
  </w:style>
  <w:style w:type="paragraph" w:customStyle="1" w:styleId="1291">
    <w:name w:val="样式 样式 表格2 + 首行缩进:  2 字符 + 首行缩进:  2 字符"/>
    <w:basedOn w:val="1292"/>
    <w:semiHidden/>
    <w:qFormat/>
    <w:uiPriority w:val="0"/>
    <w:pPr>
      <w:adjustRightInd w:val="0"/>
      <w:ind w:firstLine="0" w:firstLineChars="0"/>
      <w:outlineLvl w:val="0"/>
    </w:pPr>
    <w:rPr>
      <w:rFonts w:ascii="Arial" w:hAnsi="Arial" w:cs="Arial"/>
    </w:rPr>
  </w:style>
  <w:style w:type="paragraph" w:customStyle="1" w:styleId="1292">
    <w:name w:val="样式 表格2 + 首行缩进:  2 字符"/>
    <w:basedOn w:val="996"/>
    <w:semiHidden/>
    <w:qFormat/>
    <w:uiPriority w:val="0"/>
    <w:pPr>
      <w:snapToGrid w:val="0"/>
      <w:spacing w:before="100" w:beforeAutospacing="1" w:after="100" w:afterAutospacing="1" w:line="240" w:lineRule="exact"/>
      <w:ind w:firstLine="420" w:firstLineChars="200"/>
    </w:pPr>
    <w:rPr>
      <w:rFonts w:ascii="宋体" w:hAnsi="宋体"/>
      <w:color w:val="000000"/>
      <w:kern w:val="0"/>
      <w:szCs w:val="20"/>
    </w:rPr>
  </w:style>
  <w:style w:type="paragraph" w:customStyle="1" w:styleId="1293">
    <w:name w:val="Char2 Char Char Char Char Char Char"/>
    <w:basedOn w:val="1"/>
    <w:semiHidden/>
    <w:qFormat/>
    <w:uiPriority w:val="0"/>
    <w:pPr>
      <w:snapToGrid w:val="0"/>
    </w:pPr>
    <w:rPr>
      <w:rFonts w:eastAsia="宋体"/>
      <w:sz w:val="21"/>
      <w:szCs w:val="24"/>
    </w:rPr>
  </w:style>
  <w:style w:type="paragraph" w:customStyle="1" w:styleId="1294">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napToGrid w:val="0"/>
      <w:spacing w:before="100" w:beforeAutospacing="1" w:after="100" w:afterAutospacing="1"/>
      <w:jc w:val="left"/>
      <w:textAlignment w:val="center"/>
    </w:pPr>
    <w:rPr>
      <w:rFonts w:ascii="Arial Unicode MS" w:hAnsi="Arial Unicode MS" w:eastAsia="Arial Unicode MS" w:cs="Arial Unicode MS"/>
      <w:b/>
      <w:bCs/>
      <w:kern w:val="0"/>
      <w:sz w:val="20"/>
    </w:rPr>
  </w:style>
  <w:style w:type="paragraph" w:customStyle="1" w:styleId="1295">
    <w:name w:val="Char2 Char Char Char Char Char Char1"/>
    <w:basedOn w:val="1"/>
    <w:semiHidden/>
    <w:qFormat/>
    <w:uiPriority w:val="0"/>
    <w:pPr>
      <w:snapToGrid w:val="0"/>
    </w:pPr>
    <w:rPr>
      <w:rFonts w:eastAsia="宋体"/>
      <w:sz w:val="21"/>
      <w:szCs w:val="24"/>
    </w:rPr>
  </w:style>
  <w:style w:type="paragraph" w:customStyle="1" w:styleId="1296">
    <w:name w:val="正文样式"/>
    <w:basedOn w:val="34"/>
    <w:semiHidden/>
    <w:qFormat/>
    <w:uiPriority w:val="0"/>
    <w:pPr>
      <w:widowControl/>
      <w:snapToGrid w:val="0"/>
      <w:spacing w:after="0" w:line="360" w:lineRule="auto"/>
      <w:ind w:firstLine="560" w:firstLineChars="200"/>
    </w:pPr>
    <w:rPr>
      <w:rFonts w:ascii="Arial" w:hAnsi="Arial" w:eastAsia="楷体_GB2312" w:cs="Arial"/>
      <w:sz w:val="24"/>
      <w:szCs w:val="28"/>
    </w:rPr>
  </w:style>
  <w:style w:type="paragraph" w:customStyle="1" w:styleId="1297">
    <w:name w:val="1章(治)"/>
    <w:basedOn w:val="1"/>
    <w:next w:val="1"/>
    <w:qFormat/>
    <w:uiPriority w:val="0"/>
    <w:pPr>
      <w:spacing w:line="360" w:lineRule="auto"/>
      <w:jc w:val="center"/>
      <w:outlineLvl w:val="0"/>
    </w:pPr>
    <w:rPr>
      <w:rFonts w:ascii="黑体" w:hAnsi="宋体" w:eastAsia="黑体"/>
      <w:b/>
      <w:sz w:val="44"/>
    </w:rPr>
  </w:style>
  <w:style w:type="paragraph" w:customStyle="1" w:styleId="1298">
    <w:name w:val="预评价正文"/>
    <w:basedOn w:val="1"/>
    <w:semiHidden/>
    <w:qFormat/>
    <w:uiPriority w:val="0"/>
    <w:pPr>
      <w:snapToGrid w:val="0"/>
      <w:spacing w:line="360" w:lineRule="auto"/>
      <w:ind w:firstLine="200" w:firstLineChars="200"/>
    </w:pPr>
    <w:rPr>
      <w:rFonts w:ascii="Arial" w:hAnsi="Arial" w:eastAsia="宋体" w:cs="Arial"/>
      <w:sz w:val="24"/>
      <w:szCs w:val="24"/>
    </w:rPr>
  </w:style>
  <w:style w:type="paragraph" w:customStyle="1" w:styleId="1299">
    <w:name w:val="xl102"/>
    <w:basedOn w:val="1"/>
    <w:qFormat/>
    <w:uiPriority w:val="0"/>
    <w:pPr>
      <w:widowControl/>
      <w:pBdr>
        <w:bottom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300">
    <w:name w:val="xl79"/>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301">
    <w:name w:val="样式 仿宋_GB2312 四号 首行缩进:  0.74 厘米"/>
    <w:basedOn w:val="1"/>
    <w:semiHidden/>
    <w:qFormat/>
    <w:uiPriority w:val="0"/>
    <w:pPr>
      <w:snapToGrid w:val="0"/>
      <w:spacing w:line="560" w:lineRule="exact"/>
      <w:ind w:firstLine="200" w:firstLineChars="200"/>
    </w:pPr>
    <w:rPr>
      <w:rFonts w:eastAsia="宋体" w:cs="宋体"/>
      <w:sz w:val="24"/>
      <w:szCs w:val="28"/>
    </w:rPr>
  </w:style>
  <w:style w:type="paragraph" w:customStyle="1" w:styleId="1302">
    <w:name w:val="Char2 Char Char Char Char Char Char Char Char Char2"/>
    <w:basedOn w:val="1"/>
    <w:semiHidden/>
    <w:qFormat/>
    <w:uiPriority w:val="0"/>
    <w:pPr>
      <w:snapToGrid w:val="0"/>
    </w:pPr>
    <w:rPr>
      <w:rFonts w:eastAsia="宋体"/>
      <w:sz w:val="21"/>
      <w:szCs w:val="24"/>
    </w:rPr>
  </w:style>
  <w:style w:type="paragraph" w:customStyle="1" w:styleId="1303">
    <w:name w:val="C0 Plain Text"/>
    <w:basedOn w:val="1"/>
    <w:qFormat/>
    <w:uiPriority w:val="0"/>
    <w:pPr>
      <w:widowControl/>
      <w:overflowPunct w:val="0"/>
      <w:autoSpaceDE w:val="0"/>
      <w:autoSpaceDN w:val="0"/>
      <w:adjustRightInd w:val="0"/>
      <w:spacing w:before="120" w:after="120"/>
      <w:textAlignment w:val="baseline"/>
    </w:pPr>
    <w:rPr>
      <w:rFonts w:eastAsia="宋体"/>
      <w:kern w:val="0"/>
      <w:sz w:val="24"/>
      <w:lang w:val="en-GB" w:eastAsia="en-US"/>
    </w:rPr>
  </w:style>
  <w:style w:type="paragraph" w:customStyle="1" w:styleId="1304">
    <w:name w:val="样式 (西文) Arial (中文) 黑体 二号 加粗 居中"/>
    <w:basedOn w:val="1"/>
    <w:qFormat/>
    <w:uiPriority w:val="0"/>
    <w:pPr>
      <w:jc w:val="center"/>
    </w:pPr>
    <w:rPr>
      <w:rFonts w:ascii="黑体" w:hAnsi="Arial" w:eastAsia="黑体" w:cs="宋体"/>
      <w:bCs/>
      <w:szCs w:val="28"/>
    </w:rPr>
  </w:style>
  <w:style w:type="paragraph" w:customStyle="1" w:styleId="1305">
    <w:name w:val="xl149"/>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06">
    <w:name w:val="黑点"/>
    <w:basedOn w:val="1"/>
    <w:qFormat/>
    <w:uiPriority w:val="0"/>
    <w:pPr>
      <w:tabs>
        <w:tab w:val="left" w:pos="600"/>
        <w:tab w:val="left" w:pos="2100"/>
      </w:tabs>
      <w:adjustRightInd w:val="0"/>
      <w:snapToGrid w:val="0"/>
      <w:spacing w:line="360" w:lineRule="auto"/>
      <w:ind w:left="2100" w:hanging="420"/>
      <w:jc w:val="left"/>
      <w:textAlignment w:val="baseline"/>
    </w:pPr>
    <w:rPr>
      <w:rFonts w:ascii="宋体" w:hAnsi="宋体" w:eastAsia="宋体"/>
      <w:color w:val="000000"/>
      <w:kern w:val="0"/>
      <w:sz w:val="24"/>
    </w:rPr>
  </w:style>
  <w:style w:type="paragraph" w:customStyle="1" w:styleId="1307">
    <w:name w:val="xl136"/>
    <w:basedOn w:val="1"/>
    <w:qFormat/>
    <w:uiPriority w:val="0"/>
    <w:pPr>
      <w:widowControl/>
      <w:pBdr>
        <w:top w:val="single" w:color="auto" w:sz="4" w:space="0"/>
        <w:lef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308">
    <w:name w:val="表格单位"/>
    <w:basedOn w:val="1"/>
    <w:qFormat/>
    <w:uiPriority w:val="0"/>
    <w:pPr>
      <w:jc w:val="right"/>
    </w:pPr>
    <w:rPr>
      <w:rFonts w:eastAsia="黑体"/>
      <w:b/>
      <w:sz w:val="18"/>
      <w:szCs w:val="24"/>
    </w:rPr>
  </w:style>
  <w:style w:type="paragraph" w:customStyle="1" w:styleId="1309">
    <w:name w:val="ST20_45"/>
    <w:basedOn w:val="751"/>
    <w:qFormat/>
    <w:uiPriority w:val="0"/>
    <w:pPr>
      <w:ind w:left="2160"/>
    </w:pPr>
  </w:style>
  <w:style w:type="paragraph" w:customStyle="1" w:styleId="1310">
    <w:name w:val="样式 标题 3条标题1.1.1 + 段前: 0.5 行"/>
    <w:basedOn w:val="6"/>
    <w:semiHidden/>
    <w:qFormat/>
    <w:uiPriority w:val="0"/>
    <w:pPr>
      <w:keepLines w:val="0"/>
      <w:tabs>
        <w:tab w:val="left" w:pos="142"/>
        <w:tab w:val="left" w:pos="284"/>
        <w:tab w:val="left" w:pos="567"/>
        <w:tab w:val="left" w:pos="709"/>
        <w:tab w:val="left" w:pos="1134"/>
      </w:tabs>
      <w:adjustRightInd w:val="0"/>
      <w:snapToGrid w:val="0"/>
      <w:spacing w:before="156" w:beforeLines="50" w:after="0" w:line="500" w:lineRule="exact"/>
      <w:ind w:left="709"/>
      <w:jc w:val="left"/>
    </w:pPr>
    <w:rPr>
      <w:rFonts w:ascii="Arial" w:hAnsi="Arial" w:eastAsia="黑体" w:cs="宋体"/>
      <w:b w:val="0"/>
      <w:kern w:val="0"/>
      <w:sz w:val="32"/>
    </w:rPr>
  </w:style>
  <w:style w:type="paragraph" w:customStyle="1" w:styleId="1311">
    <w:name w:val="条(四级)"/>
    <w:basedOn w:val="1103"/>
    <w:next w:val="7"/>
    <w:qFormat/>
    <w:uiPriority w:val="0"/>
    <w:pPr>
      <w:tabs>
        <w:tab w:val="left" w:pos="1246"/>
      </w:tabs>
      <w:snapToGrid/>
      <w:spacing w:beforeLines="0"/>
      <w:jc w:val="both"/>
    </w:pPr>
    <w:rPr>
      <w:rFonts w:ascii="宋体" w:hAnsi="Times New Roman"/>
      <w:spacing w:val="0"/>
      <w:kern w:val="0"/>
      <w:sz w:val="26"/>
    </w:rPr>
  </w:style>
  <w:style w:type="paragraph" w:customStyle="1" w:styleId="1312">
    <w:name w:val="横文本框"/>
    <w:basedOn w:val="1"/>
    <w:qFormat/>
    <w:uiPriority w:val="0"/>
    <w:pPr>
      <w:spacing w:before="100" w:after="30" w:line="360" w:lineRule="auto"/>
      <w:jc w:val="center"/>
    </w:pPr>
    <w:rPr>
      <w:rFonts w:ascii="宋体" w:hAnsi="宋体" w:eastAsia="宋体"/>
      <w:sz w:val="21"/>
    </w:rPr>
  </w:style>
  <w:style w:type="paragraph" w:customStyle="1" w:styleId="1313">
    <w:name w:val="表中字"/>
    <w:qFormat/>
    <w:uiPriority w:val="0"/>
    <w:pPr>
      <w:widowControl w:val="0"/>
      <w:jc w:val="center"/>
    </w:pPr>
    <w:rPr>
      <w:rFonts w:ascii="宋体" w:hAnsi="Times New Roman" w:eastAsia="宋体" w:cs="Times New Roman"/>
      <w:kern w:val="2"/>
      <w:sz w:val="21"/>
      <w:szCs w:val="24"/>
      <w:lang w:val="en-US" w:eastAsia="zh-TW" w:bidi="ar-SA"/>
    </w:rPr>
  </w:style>
  <w:style w:type="paragraph" w:customStyle="1" w:styleId="1314">
    <w:name w:val="正文+行距"/>
    <w:basedOn w:val="1"/>
    <w:semiHidden/>
    <w:qFormat/>
    <w:uiPriority w:val="0"/>
    <w:rPr>
      <w:rFonts w:eastAsia="宋体"/>
      <w:sz w:val="21"/>
      <w:szCs w:val="24"/>
    </w:rPr>
  </w:style>
  <w:style w:type="paragraph" w:customStyle="1" w:styleId="1315">
    <w:name w:val="表格下方正文"/>
    <w:basedOn w:val="1"/>
    <w:link w:val="1962"/>
    <w:qFormat/>
    <w:uiPriority w:val="0"/>
    <w:pPr>
      <w:snapToGrid w:val="0"/>
      <w:spacing w:before="400" w:line="460" w:lineRule="exact"/>
      <w:ind w:firstLine="200" w:firstLineChars="200"/>
    </w:pPr>
    <w:rPr>
      <w:rFonts w:eastAsia="宋体"/>
      <w:sz w:val="24"/>
      <w:szCs w:val="24"/>
    </w:rPr>
  </w:style>
  <w:style w:type="paragraph" w:customStyle="1" w:styleId="1316">
    <w:name w:val="xl126"/>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317">
    <w:name w:val="样式 标题 2节标题 1.1标题 1.1标题 yjm2第一章 标题 2Heading 2 HiddenHeading..."/>
    <w:basedOn w:val="4"/>
    <w:semiHidden/>
    <w:qFormat/>
    <w:uiPriority w:val="0"/>
    <w:pPr>
      <w:keepLines w:val="0"/>
      <w:tabs>
        <w:tab w:val="center" w:pos="567"/>
      </w:tabs>
      <w:adjustRightInd w:val="0"/>
      <w:snapToGrid w:val="0"/>
      <w:spacing w:beforeLines="50" w:after="0" w:line="360" w:lineRule="auto"/>
      <w:ind w:left="0" w:firstLine="0"/>
      <w:jc w:val="left"/>
    </w:pPr>
    <w:rPr>
      <w:rFonts w:ascii="Arial" w:cs="宋体"/>
      <w:b/>
      <w:sz w:val="32"/>
    </w:rPr>
  </w:style>
  <w:style w:type="paragraph" w:customStyle="1" w:styleId="1318">
    <w:name w:val="_a) énum. (1er niveau)"/>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1319">
    <w:name w:val="ST20_21"/>
    <w:basedOn w:val="752"/>
    <w:qFormat/>
    <w:uiPriority w:val="0"/>
    <w:pPr>
      <w:tabs>
        <w:tab w:val="clear" w:pos="720"/>
      </w:tabs>
      <w:spacing w:after="160"/>
    </w:pPr>
  </w:style>
  <w:style w:type="paragraph" w:customStyle="1" w:styleId="1320">
    <w:name w:val="样式 标题 2"/>
    <w:basedOn w:val="4"/>
    <w:qFormat/>
    <w:uiPriority w:val="0"/>
    <w:pPr>
      <w:keepLines w:val="0"/>
      <w:tabs>
        <w:tab w:val="center" w:pos="567"/>
      </w:tabs>
      <w:adjustRightInd w:val="0"/>
      <w:snapToGrid w:val="0"/>
      <w:spacing w:beforeLines="50" w:after="0" w:line="360" w:lineRule="auto"/>
      <w:ind w:left="0" w:firstLine="0"/>
      <w:jc w:val="left"/>
    </w:pPr>
    <w:rPr>
      <w:rFonts w:ascii="Arial" w:cs="宋体"/>
      <w:b/>
      <w:sz w:val="32"/>
    </w:rPr>
  </w:style>
  <w:style w:type="paragraph" w:customStyle="1" w:styleId="1321">
    <w:name w:val="标题4 YHY"/>
    <w:basedOn w:val="7"/>
    <w:next w:val="1"/>
    <w:qFormat/>
    <w:uiPriority w:val="0"/>
    <w:pPr>
      <w:keepNext w:val="0"/>
      <w:keepLines w:val="0"/>
      <w:tabs>
        <w:tab w:val="left" w:pos="352"/>
        <w:tab w:val="left" w:pos="798"/>
      </w:tabs>
      <w:spacing w:before="50" w:beforeLines="50" w:after="50" w:afterLines="50" w:line="360" w:lineRule="auto"/>
      <w:ind w:left="0" w:firstLine="0"/>
      <w:jc w:val="both"/>
    </w:pPr>
    <w:rPr>
      <w:rFonts w:ascii="宋体" w:hAnsi="宋体" w:eastAsia="宋体"/>
      <w:b w:val="0"/>
      <w:color w:val="auto"/>
      <w:szCs w:val="24"/>
    </w:rPr>
  </w:style>
  <w:style w:type="paragraph" w:customStyle="1" w:styleId="1322">
    <w:name w:val="样式 标题 3 + 段前: 0.3 行1"/>
    <w:basedOn w:val="6"/>
    <w:semiHidden/>
    <w:qFormat/>
    <w:uiPriority w:val="0"/>
    <w:pPr>
      <w:tabs>
        <w:tab w:val="left" w:pos="142"/>
        <w:tab w:val="left" w:pos="284"/>
        <w:tab w:val="left" w:pos="709"/>
        <w:tab w:val="left" w:pos="1134"/>
      </w:tabs>
      <w:adjustRightInd w:val="0"/>
      <w:snapToGrid w:val="0"/>
      <w:spacing w:before="0" w:after="0" w:line="500" w:lineRule="exact"/>
      <w:ind w:left="0" w:firstLine="0"/>
      <w:jc w:val="left"/>
    </w:pPr>
    <w:rPr>
      <w:rFonts w:ascii="Arial" w:hAnsi="Arial" w:eastAsia="黑体" w:cs="宋体"/>
      <w:bCs w:val="0"/>
      <w:sz w:val="32"/>
    </w:rPr>
  </w:style>
  <w:style w:type="paragraph" w:customStyle="1" w:styleId="1323">
    <w:name w:val="样式 标题 3 + 行距: 多倍行距 1.45 字行"/>
    <w:basedOn w:val="6"/>
    <w:qFormat/>
    <w:uiPriority w:val="0"/>
    <w:pPr>
      <w:tabs>
        <w:tab w:val="left" w:pos="1260"/>
      </w:tabs>
      <w:adjustRightInd w:val="0"/>
      <w:spacing w:before="0" w:after="0" w:line="420" w:lineRule="exact"/>
      <w:ind w:left="1260" w:hanging="420"/>
      <w:textAlignment w:val="baseline"/>
    </w:pPr>
    <w:rPr>
      <w:rFonts w:ascii="Times New Roman" w:eastAsia="宋体"/>
      <w:szCs w:val="24"/>
    </w:rPr>
  </w:style>
  <w:style w:type="paragraph" w:customStyle="1" w:styleId="1324">
    <w:name w:val="正文文本缩进 31"/>
    <w:basedOn w:val="1"/>
    <w:qFormat/>
    <w:uiPriority w:val="0"/>
    <w:pPr>
      <w:adjustRightInd w:val="0"/>
      <w:snapToGrid w:val="0"/>
      <w:spacing w:line="360" w:lineRule="auto"/>
      <w:ind w:firstLine="480"/>
      <w:textAlignment w:val="baseline"/>
    </w:pPr>
    <w:rPr>
      <w:rFonts w:ascii="宋体" w:hAnsi="宋体" w:eastAsia="宋体"/>
      <w:sz w:val="24"/>
    </w:rPr>
  </w:style>
  <w:style w:type="paragraph" w:customStyle="1" w:styleId="1325">
    <w:name w:val="font15"/>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326">
    <w:name w:val="xl5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0"/>
    </w:rPr>
  </w:style>
  <w:style w:type="paragraph" w:customStyle="1" w:styleId="1327">
    <w:name w:val="font16"/>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328">
    <w:name w:val="1标题3级"/>
    <w:basedOn w:val="1"/>
    <w:qFormat/>
    <w:uiPriority w:val="0"/>
    <w:pPr>
      <w:keepNext/>
      <w:adjustRightInd w:val="0"/>
      <w:spacing w:before="120" w:beforeLines="50" w:after="120" w:afterLines="50"/>
    </w:pPr>
    <w:rPr>
      <w:rFonts w:ascii="宋体" w:hAnsi="宋体" w:eastAsia="宋体"/>
      <w:b/>
      <w:bCs/>
      <w:kern w:val="0"/>
      <w:szCs w:val="28"/>
    </w:rPr>
  </w:style>
  <w:style w:type="paragraph" w:customStyle="1" w:styleId="1329">
    <w:name w:val="表格方案样式2"/>
    <w:basedOn w:val="1330"/>
    <w:qFormat/>
    <w:uiPriority w:val="0"/>
    <w:pPr>
      <w:tabs>
        <w:tab w:val="left" w:pos="567"/>
      </w:tabs>
    </w:pPr>
    <w:rPr>
      <w:spacing w:val="0"/>
    </w:rPr>
  </w:style>
  <w:style w:type="paragraph" w:customStyle="1" w:styleId="1330">
    <w:name w:val="表格文字样式"/>
    <w:basedOn w:val="1"/>
    <w:qFormat/>
    <w:uiPriority w:val="0"/>
    <w:pPr>
      <w:widowControl/>
      <w:tabs>
        <w:tab w:val="left" w:pos="567"/>
      </w:tabs>
      <w:jc w:val="center"/>
    </w:pPr>
    <w:rPr>
      <w:rFonts w:ascii="宋体" w:hAnsi="宋体" w:eastAsia="华文中宋" w:cs="宋体"/>
      <w:spacing w:val="20"/>
      <w:kern w:val="0"/>
      <w:sz w:val="24"/>
    </w:rPr>
  </w:style>
  <w:style w:type="paragraph" w:customStyle="1" w:styleId="1331">
    <w:name w:val="段落2"/>
    <w:basedOn w:val="1"/>
    <w:qFormat/>
    <w:uiPriority w:val="0"/>
    <w:pPr>
      <w:spacing w:beforeLines="50"/>
      <w:ind w:left="500" w:leftChars="500"/>
    </w:pPr>
    <w:rPr>
      <w:rFonts w:ascii="Arial" w:hAnsi="Arial" w:eastAsia="宋体"/>
      <w:sz w:val="22"/>
      <w:szCs w:val="24"/>
    </w:rPr>
  </w:style>
  <w:style w:type="paragraph" w:customStyle="1" w:styleId="1332">
    <w:name w:val="reader-word-layer reader-word-s1-5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333">
    <w:name w:val="ST20_59"/>
    <w:basedOn w:val="1319"/>
    <w:qFormat/>
    <w:uiPriority w:val="0"/>
    <w:pPr>
      <w:ind w:left="1800"/>
    </w:pPr>
  </w:style>
  <w:style w:type="paragraph" w:customStyle="1" w:styleId="1334">
    <w:name w:val="样式 7表格(治) + (符号) 宋体 小四 行距: 多倍行距 1.13 字行"/>
    <w:basedOn w:val="195"/>
    <w:qFormat/>
    <w:uiPriority w:val="0"/>
    <w:pPr>
      <w:spacing w:line="271" w:lineRule="auto"/>
    </w:pPr>
    <w:rPr>
      <w:rFonts w:eastAsia="宋体" w:cs="宋体"/>
      <w:color w:val="auto"/>
      <w:sz w:val="18"/>
      <w:szCs w:val="20"/>
    </w:rPr>
  </w:style>
  <w:style w:type="paragraph" w:customStyle="1" w:styleId="1335">
    <w:name w:val="ST20_57"/>
    <w:basedOn w:val="1319"/>
    <w:qFormat/>
    <w:uiPriority w:val="0"/>
    <w:pPr>
      <w:ind w:left="2160"/>
    </w:pPr>
  </w:style>
  <w:style w:type="paragraph" w:customStyle="1" w:styleId="1336">
    <w:name w:val="xl73"/>
    <w:basedOn w:val="1"/>
    <w:qFormat/>
    <w:uiPriority w:val="0"/>
    <w:pPr>
      <w:widowControl/>
      <w:pBdr>
        <w:top w:val="single" w:color="auto" w:sz="8" w:space="0"/>
        <w:bottom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337">
    <w:name w:val="表字"/>
    <w:basedOn w:val="1"/>
    <w:qFormat/>
    <w:uiPriority w:val="0"/>
    <w:pPr>
      <w:jc w:val="center"/>
    </w:pPr>
    <w:rPr>
      <w:rFonts w:ascii="宋体" w:eastAsia="宋体"/>
      <w:sz w:val="21"/>
    </w:rPr>
  </w:style>
  <w:style w:type="paragraph" w:customStyle="1" w:styleId="1338">
    <w:name w:val="In Table (II)"/>
    <w:basedOn w:val="702"/>
    <w:semiHidden/>
    <w:qFormat/>
    <w:uiPriority w:val="0"/>
    <w:pPr>
      <w:tabs>
        <w:tab w:val="clear" w:pos="2200"/>
        <w:tab w:val="clear" w:pos="3960"/>
        <w:tab w:val="clear" w:pos="5280"/>
      </w:tabs>
      <w:spacing w:beforeLines="25" w:afterLines="25"/>
      <w:ind w:left="48" w:leftChars="20"/>
    </w:pPr>
    <w:rPr>
      <w:rFonts w:ascii="宋体" w:hAnsi="宋体" w:eastAsia="宋体"/>
      <w:bCs/>
      <w:sz w:val="18"/>
      <w:szCs w:val="18"/>
    </w:rPr>
  </w:style>
  <w:style w:type="paragraph" w:customStyle="1" w:styleId="1339">
    <w:name w:val="ST20_48"/>
    <w:basedOn w:val="752"/>
    <w:qFormat/>
    <w:uiPriority w:val="0"/>
    <w:pPr>
      <w:tabs>
        <w:tab w:val="left" w:pos="1080"/>
        <w:tab w:val="clear" w:pos="720"/>
      </w:tabs>
      <w:ind w:left="1080"/>
    </w:pPr>
  </w:style>
  <w:style w:type="paragraph" w:customStyle="1" w:styleId="1340">
    <w:name w:val="纯文本3"/>
    <w:basedOn w:val="1"/>
    <w:qFormat/>
    <w:uiPriority w:val="0"/>
    <w:pPr>
      <w:adjustRightInd w:val="0"/>
      <w:jc w:val="left"/>
      <w:textAlignment w:val="baseline"/>
    </w:pPr>
    <w:rPr>
      <w:rFonts w:ascii="宋体" w:hAnsi="Courier New" w:eastAsia="宋体"/>
      <w:sz w:val="24"/>
    </w:rPr>
  </w:style>
  <w:style w:type="paragraph" w:customStyle="1" w:styleId="1341">
    <w:name w:val="ST20_56"/>
    <w:basedOn w:val="1319"/>
    <w:qFormat/>
    <w:uiPriority w:val="0"/>
    <w:pPr>
      <w:ind w:left="1080"/>
    </w:pPr>
  </w:style>
  <w:style w:type="paragraph" w:customStyle="1" w:styleId="1342">
    <w:name w:val="表格内容格式"/>
    <w:basedOn w:val="1"/>
    <w:qFormat/>
    <w:uiPriority w:val="0"/>
    <w:pPr>
      <w:adjustRightInd w:val="0"/>
      <w:spacing w:line="240" w:lineRule="atLeast"/>
      <w:textAlignment w:val="baseline"/>
    </w:pPr>
    <w:rPr>
      <w:rFonts w:ascii="宋体" w:hAnsi="宋体" w:eastAsia="宋体"/>
      <w:color w:val="000000"/>
      <w:kern w:val="0"/>
      <w:sz w:val="21"/>
    </w:rPr>
  </w:style>
  <w:style w:type="paragraph" w:customStyle="1" w:styleId="1343">
    <w:name w:val="正文首行缩进1"/>
    <w:basedOn w:val="34"/>
    <w:next w:val="1"/>
    <w:qFormat/>
    <w:uiPriority w:val="0"/>
    <w:pPr>
      <w:spacing w:after="0" w:line="460" w:lineRule="exact"/>
      <w:ind w:firstLine="567"/>
    </w:pPr>
    <w:rPr>
      <w:rFonts w:ascii="Arial" w:hAnsi="Arial" w:eastAsia="宋体"/>
      <w:kern w:val="28"/>
      <w:sz w:val="24"/>
    </w:rPr>
  </w:style>
  <w:style w:type="paragraph" w:customStyle="1" w:styleId="1344">
    <w:name w:val="自定义表格文字居中"/>
    <w:basedOn w:val="1"/>
    <w:qFormat/>
    <w:uiPriority w:val="0"/>
    <w:pPr>
      <w:adjustRightInd w:val="0"/>
      <w:snapToGrid w:val="0"/>
      <w:ind w:left="4" w:hanging="4" w:hangingChars="2"/>
      <w:jc w:val="center"/>
      <w:outlineLvl w:val="0"/>
    </w:pPr>
    <w:rPr>
      <w:rFonts w:ascii="宋体" w:hAnsi="宋体" w:eastAsia="宋体"/>
      <w:kern w:val="0"/>
      <w:sz w:val="21"/>
      <w:szCs w:val="21"/>
    </w:rPr>
  </w:style>
  <w:style w:type="paragraph" w:customStyle="1" w:styleId="1345">
    <w:name w:val="刘正文"/>
    <w:basedOn w:val="1"/>
    <w:semiHidden/>
    <w:qFormat/>
    <w:uiPriority w:val="0"/>
    <w:pPr>
      <w:spacing w:line="500" w:lineRule="exact"/>
      <w:ind w:firstLine="567"/>
    </w:pPr>
    <w:rPr>
      <w:color w:val="000000"/>
    </w:rPr>
  </w:style>
  <w:style w:type="paragraph" w:customStyle="1" w:styleId="1346">
    <w:name w:val="表格后正文"/>
    <w:basedOn w:val="1347"/>
    <w:qFormat/>
    <w:uiPriority w:val="0"/>
    <w:pPr>
      <w:tabs>
        <w:tab w:val="left" w:pos="567"/>
      </w:tabs>
      <w:spacing w:before="200"/>
    </w:pPr>
  </w:style>
  <w:style w:type="paragraph" w:customStyle="1" w:styleId="1347">
    <w:name w:val="新正文样式"/>
    <w:basedOn w:val="1"/>
    <w:qFormat/>
    <w:uiPriority w:val="0"/>
    <w:pPr>
      <w:widowControl/>
      <w:tabs>
        <w:tab w:val="left" w:pos="567"/>
      </w:tabs>
      <w:spacing w:line="360" w:lineRule="auto"/>
      <w:ind w:firstLine="560" w:firstLineChars="200"/>
      <w:jc w:val="left"/>
    </w:pPr>
    <w:rPr>
      <w:rFonts w:ascii="宋体" w:hAnsi="宋体" w:eastAsia="华文中宋" w:cs="宋体"/>
      <w:spacing w:val="20"/>
      <w:kern w:val="0"/>
      <w:sz w:val="24"/>
    </w:rPr>
  </w:style>
  <w:style w:type="paragraph" w:customStyle="1" w:styleId="1348">
    <w:name w:val="xl125"/>
    <w:basedOn w:val="1"/>
    <w:qFormat/>
    <w:uiPriority w:val="0"/>
    <w:pPr>
      <w:widowControl/>
      <w:pBdr>
        <w:bottom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349">
    <w:name w:val="样式 2标题(治) +"/>
    <w:basedOn w:val="1"/>
    <w:semiHidden/>
    <w:qFormat/>
    <w:uiPriority w:val="0"/>
    <w:pPr>
      <w:keepNext/>
      <w:keepLines/>
      <w:spacing w:before="120" w:after="120"/>
      <w:outlineLvl w:val="1"/>
    </w:pPr>
    <w:rPr>
      <w:rFonts w:eastAsia="黑体" w:cs="宋体"/>
      <w:b/>
      <w:bCs/>
      <w:sz w:val="30"/>
    </w:rPr>
  </w:style>
  <w:style w:type="paragraph" w:customStyle="1" w:styleId="1350">
    <w:name w:val="表中正文"/>
    <w:qFormat/>
    <w:uiPriority w:val="0"/>
    <w:pPr>
      <w:widowControl w:val="0"/>
      <w:spacing w:line="240" w:lineRule="atLeast"/>
      <w:jc w:val="center"/>
    </w:pPr>
    <w:rPr>
      <w:rFonts w:ascii="Times New Roman" w:hAnsi="Times New Roman" w:eastAsia="宋体" w:cs="宋体"/>
      <w:snapToGrid w:val="0"/>
      <w:kern w:val="2"/>
      <w:sz w:val="21"/>
      <w:szCs w:val="18"/>
      <w:lang w:val="en-US" w:eastAsia="zh-CN" w:bidi="ar-SA"/>
    </w:rPr>
  </w:style>
  <w:style w:type="paragraph" w:customStyle="1" w:styleId="1351">
    <w:name w:val="xl96"/>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352">
    <w:name w:val="样式 1标题4级 + 段前: 0.5 行 段后: 0.5 行"/>
    <w:basedOn w:val="1353"/>
    <w:qFormat/>
    <w:uiPriority w:val="0"/>
    <w:pPr>
      <w:spacing w:before="50" w:beforeLines="0" w:after="50" w:afterLines="0"/>
      <w:ind w:firstLine="0"/>
    </w:pPr>
    <w:rPr>
      <w:rFonts w:cs="宋体"/>
      <w:bCs/>
      <w:szCs w:val="20"/>
    </w:rPr>
  </w:style>
  <w:style w:type="paragraph" w:customStyle="1" w:styleId="1353">
    <w:name w:val="1标题4级"/>
    <w:basedOn w:val="1"/>
    <w:qFormat/>
    <w:uiPriority w:val="0"/>
    <w:pPr>
      <w:keepNext/>
      <w:snapToGrid w:val="0"/>
      <w:spacing w:before="156" w:beforeLines="50" w:after="156" w:afterLines="50" w:line="360" w:lineRule="auto"/>
      <w:ind w:firstLine="425"/>
      <w:outlineLvl w:val="2"/>
    </w:pPr>
    <w:rPr>
      <w:rFonts w:eastAsia="黑体"/>
      <w:b/>
      <w:kern w:val="0"/>
      <w:sz w:val="24"/>
      <w:szCs w:val="24"/>
    </w:rPr>
  </w:style>
  <w:style w:type="paragraph" w:customStyle="1" w:styleId="1354">
    <w:name w:val="样式 标题 3H3H31H32H33u3标题 3 Char Char Char标题 3 Char Char Cha...2"/>
    <w:basedOn w:val="6"/>
    <w:qFormat/>
    <w:uiPriority w:val="0"/>
    <w:pPr>
      <w:keepLines w:val="0"/>
      <w:tabs>
        <w:tab w:val="left" w:pos="57"/>
      </w:tabs>
      <w:spacing w:before="0" w:after="0" w:line="360" w:lineRule="auto"/>
      <w:ind w:left="-1134" w:firstLine="567"/>
      <w:jc w:val="left"/>
    </w:pPr>
    <w:rPr>
      <w:rFonts w:ascii="Times New Roman" w:hAnsi="宋体" w:eastAsia="宋体" w:cs="宋体"/>
    </w:rPr>
  </w:style>
  <w:style w:type="paragraph" w:customStyle="1" w:styleId="1355">
    <w:name w:val="样式 首行缩进:  0.77 厘米 行距: 固定值 20 磅"/>
    <w:basedOn w:val="1"/>
    <w:qFormat/>
    <w:uiPriority w:val="0"/>
    <w:pPr>
      <w:spacing w:line="360" w:lineRule="auto"/>
      <w:ind w:firstLine="435"/>
    </w:pPr>
    <w:rPr>
      <w:rFonts w:eastAsia="宋体"/>
      <w:sz w:val="24"/>
    </w:rPr>
  </w:style>
  <w:style w:type="paragraph" w:customStyle="1" w:styleId="1356">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357">
    <w:name w:val="正文居中"/>
    <w:basedOn w:val="1"/>
    <w:qFormat/>
    <w:uiPriority w:val="0"/>
    <w:pPr>
      <w:adjustRightInd w:val="0"/>
      <w:snapToGrid w:val="0"/>
      <w:spacing w:line="360" w:lineRule="auto"/>
      <w:jc w:val="center"/>
      <w:textAlignment w:val="baseline"/>
    </w:pPr>
    <w:rPr>
      <w:rFonts w:ascii="宋体" w:hAnsi="宋体" w:eastAsia="宋体"/>
      <w:kern w:val="0"/>
      <w:sz w:val="24"/>
    </w:rPr>
  </w:style>
  <w:style w:type="paragraph" w:customStyle="1" w:styleId="1358">
    <w:name w:val="xl111"/>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59">
    <w:name w:val="表格内字体"/>
    <w:basedOn w:val="46"/>
    <w:qFormat/>
    <w:uiPriority w:val="0"/>
    <w:pPr>
      <w:adjustRightInd w:val="0"/>
      <w:snapToGrid w:val="0"/>
      <w:jc w:val="center"/>
    </w:pPr>
    <w:rPr>
      <w:rFonts w:ascii="Times New Roman" w:hAnsi="Times New Roman"/>
      <w:kern w:val="0"/>
      <w:sz w:val="24"/>
    </w:rPr>
  </w:style>
  <w:style w:type="paragraph" w:customStyle="1" w:styleId="1360">
    <w:name w:val="样式 标题 1 + Times New Roman"/>
    <w:basedOn w:val="3"/>
    <w:qFormat/>
    <w:uiPriority w:val="0"/>
    <w:pPr>
      <w:keepNext w:val="0"/>
      <w:keepLines w:val="0"/>
      <w:pageBreakBefore w:val="0"/>
      <w:adjustRightInd w:val="0"/>
      <w:snapToGrid w:val="0"/>
      <w:spacing w:before="100" w:beforeLines="100" w:after="100" w:afterLines="100" w:line="480" w:lineRule="atLeast"/>
      <w:ind w:left="0" w:firstLine="200" w:firstLineChars="200"/>
      <w:textAlignment w:val="baseline"/>
    </w:pPr>
    <w:rPr>
      <w:bCs/>
      <w:kern w:val="2"/>
      <w:sz w:val="32"/>
    </w:rPr>
  </w:style>
  <w:style w:type="paragraph" w:customStyle="1" w:styleId="1361">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宋体" w:hAnsi="宋体" w:eastAsia="宋体"/>
      <w:kern w:val="0"/>
      <w:sz w:val="20"/>
    </w:rPr>
  </w:style>
  <w:style w:type="paragraph" w:customStyle="1" w:styleId="1362">
    <w:name w:val="xl88"/>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63">
    <w:name w:val="样式 标题 2 + (西文) Times New Roman (中文) 宋体 四号 首行缩进:  2 字符 段前: 6 ...1"/>
    <w:basedOn w:val="4"/>
    <w:qFormat/>
    <w:uiPriority w:val="0"/>
    <w:pPr>
      <w:tabs>
        <w:tab w:val="center" w:pos="567"/>
      </w:tabs>
      <w:adjustRightInd w:val="0"/>
      <w:snapToGrid w:val="0"/>
      <w:spacing w:after="120" w:line="480" w:lineRule="atLeast"/>
      <w:ind w:left="0" w:firstLine="200" w:firstLineChars="200"/>
    </w:pPr>
    <w:rPr>
      <w:rFonts w:ascii="Times New Roman" w:hAnsi="Times New Roman" w:eastAsia="宋体" w:cs="宋体"/>
      <w:b/>
      <w:bCs/>
    </w:rPr>
  </w:style>
  <w:style w:type="paragraph" w:customStyle="1" w:styleId="1364">
    <w:name w:val="Titre Instr. 2"/>
    <w:basedOn w:val="1365"/>
    <w:qFormat/>
    <w:uiPriority w:val="0"/>
    <w:pPr>
      <w:pBdr>
        <w:top w:val="none" w:color="auto" w:sz="0" w:space="0"/>
        <w:left w:val="none" w:color="auto" w:sz="0" w:space="0"/>
        <w:bottom w:val="none" w:color="auto" w:sz="0" w:space="0"/>
        <w:right w:val="none" w:color="auto" w:sz="0" w:space="0"/>
      </w:pBdr>
    </w:pPr>
  </w:style>
  <w:style w:type="paragraph" w:customStyle="1" w:styleId="1365">
    <w:name w:val="Titre Instruction"/>
    <w:basedOn w:val="1"/>
    <w:qFormat/>
    <w:uiPriority w:val="0"/>
    <w:pPr>
      <w:widowControl/>
      <w:pBdr>
        <w:top w:val="double" w:color="auto" w:sz="6" w:space="1"/>
        <w:left w:val="double" w:color="auto" w:sz="6" w:space="1"/>
        <w:bottom w:val="double" w:color="auto" w:sz="6" w:space="1"/>
        <w:right w:val="double" w:color="auto" w:sz="6" w:space="1"/>
      </w:pBdr>
      <w:spacing w:before="120" w:after="1320"/>
      <w:ind w:left="851" w:right="851"/>
      <w:jc w:val="center"/>
    </w:pPr>
    <w:rPr>
      <w:rFonts w:eastAsia="宋体"/>
      <w:b/>
      <w:caps/>
      <w:kern w:val="0"/>
      <w:sz w:val="32"/>
      <w:lang w:val="fr-FR"/>
    </w:rPr>
  </w:style>
  <w:style w:type="paragraph" w:customStyle="1" w:styleId="1366">
    <w:name w:val="样式 行距: 最小值 24 磅 首行缩进:  2 字符"/>
    <w:basedOn w:val="1"/>
    <w:qFormat/>
    <w:uiPriority w:val="0"/>
    <w:pPr>
      <w:spacing w:line="480" w:lineRule="atLeast"/>
      <w:ind w:firstLine="480" w:firstLineChars="200"/>
    </w:pPr>
    <w:rPr>
      <w:rFonts w:eastAsia="宋体" w:cs="宋体"/>
      <w:sz w:val="24"/>
    </w:rPr>
  </w:style>
  <w:style w:type="paragraph" w:customStyle="1" w:styleId="1367">
    <w:name w:val="ST20_43"/>
    <w:basedOn w:val="1319"/>
    <w:next w:val="1"/>
    <w:qFormat/>
    <w:uiPriority w:val="0"/>
    <w:pPr>
      <w:spacing w:after="240"/>
    </w:pPr>
  </w:style>
  <w:style w:type="paragraph" w:customStyle="1" w:styleId="1368">
    <w:name w:val="正文表"/>
    <w:basedOn w:val="1"/>
    <w:semiHidden/>
    <w:qFormat/>
    <w:uiPriority w:val="0"/>
    <w:pPr>
      <w:tabs>
        <w:tab w:val="left" w:pos="2451"/>
        <w:tab w:val="left" w:pos="4614"/>
        <w:tab w:val="left" w:pos="6777"/>
        <w:tab w:val="left" w:pos="8940"/>
      </w:tabs>
      <w:autoSpaceDE w:val="0"/>
      <w:autoSpaceDN w:val="0"/>
      <w:adjustRightInd w:val="0"/>
      <w:jc w:val="center"/>
      <w:textAlignment w:val="bottom"/>
    </w:pPr>
    <w:rPr>
      <w:rFonts w:eastAsia="宋体"/>
      <w:color w:val="000000"/>
      <w:kern w:val="0"/>
    </w:rPr>
  </w:style>
  <w:style w:type="paragraph" w:customStyle="1" w:styleId="1369">
    <w:name w:val="Char81"/>
    <w:basedOn w:val="1"/>
    <w:qFormat/>
    <w:uiPriority w:val="0"/>
    <w:pPr>
      <w:adjustRightInd w:val="0"/>
      <w:snapToGrid w:val="0"/>
      <w:spacing w:line="360" w:lineRule="auto"/>
      <w:ind w:firstLine="200" w:firstLineChars="200"/>
    </w:pPr>
    <w:rPr>
      <w:rFonts w:ascii="宋体" w:hAnsi="宋体" w:eastAsia="黑体" w:cs="宋体"/>
      <w:b/>
      <w:sz w:val="44"/>
      <w:szCs w:val="24"/>
    </w:rPr>
  </w:style>
  <w:style w:type="paragraph" w:customStyle="1" w:styleId="1370">
    <w:name w:val="reader-word-layer reader-word-s1-5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371">
    <w:name w:val="Char Char2 Char Char Char Char1"/>
    <w:basedOn w:val="1"/>
    <w:semiHidden/>
    <w:qFormat/>
    <w:uiPriority w:val="0"/>
    <w:pPr>
      <w:snapToGrid w:val="0"/>
      <w:spacing w:line="360" w:lineRule="auto"/>
    </w:pPr>
    <w:rPr>
      <w:rFonts w:ascii="宋体" w:hAnsi="宋体" w:eastAsia="宋体" w:cs="宋体"/>
      <w:sz w:val="24"/>
      <w:szCs w:val="24"/>
    </w:rPr>
  </w:style>
  <w:style w:type="paragraph" w:customStyle="1" w:styleId="1372">
    <w:name w:val="Char Char6 Char Char Char Char Char Char1"/>
    <w:basedOn w:val="1"/>
    <w:semiHidden/>
    <w:qFormat/>
    <w:uiPriority w:val="0"/>
    <w:pPr>
      <w:snapToGrid w:val="0"/>
      <w:spacing w:line="360" w:lineRule="auto"/>
      <w:ind w:firstLine="200" w:firstLineChars="200"/>
    </w:pPr>
    <w:rPr>
      <w:rFonts w:ascii="宋体" w:hAnsi="宋体" w:eastAsia="宋体" w:cs="宋体"/>
      <w:sz w:val="24"/>
      <w:szCs w:val="24"/>
    </w:rPr>
  </w:style>
  <w:style w:type="paragraph" w:customStyle="1" w:styleId="1373">
    <w:name w:val="Char Char Char1 Char1"/>
    <w:basedOn w:val="1"/>
    <w:qFormat/>
    <w:uiPriority w:val="0"/>
    <w:pPr>
      <w:spacing w:line="360" w:lineRule="auto"/>
      <w:ind w:firstLine="200" w:firstLineChars="200"/>
    </w:pPr>
    <w:rPr>
      <w:rFonts w:ascii="宋体" w:hAnsi="宋体" w:eastAsia="宋体" w:cs="宋体"/>
      <w:sz w:val="24"/>
      <w:szCs w:val="24"/>
    </w:rPr>
  </w:style>
  <w:style w:type="paragraph" w:customStyle="1" w:styleId="1374">
    <w:name w:val="Char Char Char Char2"/>
    <w:basedOn w:val="1"/>
    <w:qFormat/>
    <w:uiPriority w:val="0"/>
    <w:rPr>
      <w:rFonts w:eastAsia="宋体"/>
      <w:sz w:val="21"/>
      <w:szCs w:val="24"/>
    </w:rPr>
  </w:style>
  <w:style w:type="paragraph" w:customStyle="1" w:styleId="1375">
    <w:name w:val="文字"/>
    <w:basedOn w:val="1"/>
    <w:qFormat/>
    <w:uiPriority w:val="0"/>
    <w:pPr>
      <w:widowControl/>
      <w:spacing w:after="120" w:afterLines="50" w:line="360" w:lineRule="auto"/>
      <w:ind w:firstLine="420"/>
    </w:pPr>
    <w:rPr>
      <w:rFonts w:eastAsia="宋体"/>
      <w:kern w:val="0"/>
      <w:sz w:val="24"/>
      <w:szCs w:val="24"/>
    </w:rPr>
  </w:style>
  <w:style w:type="paragraph" w:customStyle="1" w:styleId="1376">
    <w:name w:val="样式 标题 2标题 21标题 121节H2SeHead wsa2标题 1.1 + 黑体 四号 非加粗"/>
    <w:basedOn w:val="4"/>
    <w:qFormat/>
    <w:uiPriority w:val="0"/>
    <w:pPr>
      <w:spacing w:before="260" w:after="260" w:line="416" w:lineRule="auto"/>
      <w:ind w:left="0" w:firstLine="0"/>
    </w:pPr>
    <w:rPr>
      <w:rFonts w:hAnsi="黑体"/>
      <w:szCs w:val="32"/>
    </w:rPr>
  </w:style>
  <w:style w:type="paragraph" w:customStyle="1" w:styleId="1377">
    <w:name w:val="样式 标题 4 + 宋体 小四 非加粗"/>
    <w:basedOn w:val="7"/>
    <w:qFormat/>
    <w:uiPriority w:val="0"/>
    <w:pPr>
      <w:tabs>
        <w:tab w:val="left" w:pos="708"/>
      </w:tabs>
      <w:spacing w:before="280" w:after="290" w:line="376" w:lineRule="auto"/>
      <w:ind w:left="708" w:hanging="708"/>
      <w:jc w:val="both"/>
    </w:pPr>
    <w:rPr>
      <w:rFonts w:ascii="宋体" w:hAnsi="宋体" w:eastAsia="宋体"/>
      <w:b w:val="0"/>
      <w:color w:val="auto"/>
      <w:szCs w:val="28"/>
    </w:rPr>
  </w:style>
  <w:style w:type="paragraph" w:customStyle="1" w:styleId="1378">
    <w:name w:val="ST20_49"/>
    <w:basedOn w:val="752"/>
    <w:qFormat/>
    <w:uiPriority w:val="0"/>
    <w:pPr>
      <w:tabs>
        <w:tab w:val="left" w:pos="1440"/>
        <w:tab w:val="clear" w:pos="720"/>
      </w:tabs>
      <w:ind w:left="1440"/>
    </w:pPr>
  </w:style>
  <w:style w:type="paragraph" w:customStyle="1" w:styleId="1379">
    <w:name w:val="Titre 1 sans SP"/>
    <w:basedOn w:val="3"/>
    <w:qFormat/>
    <w:uiPriority w:val="0"/>
    <w:pPr>
      <w:keepNext w:val="0"/>
      <w:keepLines w:val="0"/>
      <w:pageBreakBefore w:val="0"/>
      <w:widowControl/>
      <w:tabs>
        <w:tab w:val="left" w:pos="432"/>
      </w:tabs>
      <w:spacing w:before="720" w:after="120" w:line="280" w:lineRule="atLeast"/>
      <w:ind w:left="432" w:hanging="432"/>
      <w:jc w:val="left"/>
    </w:pPr>
    <w:rPr>
      <w:b w:val="0"/>
      <w:caps/>
      <w:kern w:val="0"/>
      <w:sz w:val="32"/>
    </w:rPr>
  </w:style>
  <w:style w:type="paragraph" w:customStyle="1" w:styleId="1380">
    <w:name w:val="xl85"/>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381">
    <w:name w:val="Company Name One"/>
    <w:basedOn w:val="805"/>
    <w:next w:val="1"/>
    <w:qFormat/>
    <w:uiPriority w:val="0"/>
  </w:style>
  <w:style w:type="paragraph" w:customStyle="1" w:styleId="1382">
    <w:name w:val="Document Label"/>
    <w:basedOn w:val="1"/>
    <w:next w:val="1"/>
    <w:qFormat/>
    <w:uiPriority w:val="0"/>
    <w:pPr>
      <w:widowControl/>
      <w:spacing w:after="220"/>
      <w:ind w:right="-360"/>
      <w:jc w:val="left"/>
    </w:pPr>
    <w:rPr>
      <w:rFonts w:eastAsia="宋体"/>
      <w:spacing w:val="-20"/>
      <w:kern w:val="0"/>
      <w:sz w:val="48"/>
    </w:rPr>
  </w:style>
  <w:style w:type="paragraph" w:customStyle="1" w:styleId="1383">
    <w:name w:val="高表内"/>
    <w:basedOn w:val="46"/>
    <w:semiHidden/>
    <w:qFormat/>
    <w:uiPriority w:val="0"/>
    <w:pPr>
      <w:autoSpaceDE w:val="0"/>
      <w:adjustRightInd w:val="0"/>
      <w:snapToGrid w:val="0"/>
      <w:spacing w:before="60" w:after="60"/>
      <w:jc w:val="left"/>
      <w:textAlignment w:val="baseline"/>
    </w:pPr>
    <w:rPr>
      <w:rFonts w:ascii="Arial" w:hAnsi="Arial"/>
    </w:rPr>
  </w:style>
  <w:style w:type="paragraph" w:customStyle="1" w:styleId="1384">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kern w:val="0"/>
      <w:sz w:val="20"/>
    </w:rPr>
  </w:style>
  <w:style w:type="paragraph" w:customStyle="1" w:styleId="1385">
    <w:name w:val="xl148"/>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86">
    <w:name w:val="首页脚注"/>
    <w:basedOn w:val="56"/>
    <w:semiHidden/>
    <w:qFormat/>
    <w:uiPriority w:val="0"/>
    <w:pPr>
      <w:keepLines/>
      <w:widowControl/>
      <w:tabs>
        <w:tab w:val="center" w:pos="4320"/>
        <w:tab w:val="clear" w:pos="4153"/>
        <w:tab w:val="clear" w:pos="8306"/>
      </w:tabs>
      <w:overflowPunct w:val="0"/>
      <w:autoSpaceDE w:val="0"/>
      <w:autoSpaceDN w:val="0"/>
      <w:adjustRightInd w:val="0"/>
      <w:snapToGrid/>
      <w:spacing w:line="360" w:lineRule="auto"/>
      <w:jc w:val="center"/>
      <w:textAlignment w:val="baseline"/>
    </w:pPr>
    <w:rPr>
      <w:rFonts w:eastAsia="宋体"/>
      <w:kern w:val="0"/>
      <w:sz w:val="28"/>
    </w:rPr>
  </w:style>
  <w:style w:type="paragraph" w:customStyle="1" w:styleId="1387">
    <w:name w:val="xl61"/>
    <w:basedOn w:val="1"/>
    <w:qFormat/>
    <w:uiPriority w:val="0"/>
    <w:pPr>
      <w:widowControl/>
      <w:spacing w:before="100" w:beforeAutospacing="1" w:after="100" w:afterAutospacing="1"/>
      <w:jc w:val="center"/>
    </w:pPr>
    <w:rPr>
      <w:rFonts w:ascii="宋体" w:hAnsi="宋体" w:eastAsia="宋体" w:cs="宋体"/>
      <w:kern w:val="0"/>
      <w:sz w:val="20"/>
    </w:rPr>
  </w:style>
  <w:style w:type="paragraph" w:customStyle="1" w:styleId="1388">
    <w:name w:val="样式 (符号) 宋体 首行缩进:  0.93 厘米 段前: 6 磅 段后: 6 磅 行距: 固定值 18 磅1"/>
    <w:basedOn w:val="1"/>
    <w:qFormat/>
    <w:uiPriority w:val="0"/>
    <w:pPr>
      <w:spacing w:before="160" w:after="160" w:line="320" w:lineRule="exact"/>
      <w:ind w:firstLine="527"/>
    </w:pPr>
    <w:rPr>
      <w:rFonts w:hAnsi="宋体" w:eastAsia="宋体"/>
      <w:sz w:val="24"/>
    </w:rPr>
  </w:style>
  <w:style w:type="paragraph" w:customStyle="1" w:styleId="1389">
    <w:name w:val="xl112"/>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90">
    <w:name w:val="4"/>
    <w:basedOn w:val="1"/>
    <w:qFormat/>
    <w:uiPriority w:val="0"/>
    <w:pPr>
      <w:spacing w:line="360" w:lineRule="auto"/>
      <w:ind w:firstLine="200" w:firstLineChars="200"/>
    </w:pPr>
    <w:rPr>
      <w:rFonts w:ascii="宋体" w:hAnsi="宋体" w:eastAsia="宋体" w:cs="宋体"/>
      <w:sz w:val="24"/>
      <w:szCs w:val="24"/>
    </w:rPr>
  </w:style>
  <w:style w:type="paragraph" w:customStyle="1" w:styleId="1391">
    <w:name w:val="Body Text 21"/>
    <w:basedOn w:val="1"/>
    <w:qFormat/>
    <w:uiPriority w:val="0"/>
    <w:pPr>
      <w:adjustRightInd w:val="0"/>
      <w:jc w:val="left"/>
    </w:pPr>
    <w:rPr>
      <w:rFonts w:eastAsia="宋体"/>
      <w:sz w:val="24"/>
    </w:rPr>
  </w:style>
  <w:style w:type="paragraph" w:customStyle="1" w:styleId="1392">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color w:val="FF0000"/>
      <w:kern w:val="0"/>
      <w:sz w:val="20"/>
    </w:rPr>
  </w:style>
  <w:style w:type="paragraph" w:customStyle="1" w:styleId="1393">
    <w:name w:val="Char Char2 Char Char Char Char Char Char"/>
    <w:basedOn w:val="1"/>
    <w:semiHidden/>
    <w:qFormat/>
    <w:uiPriority w:val="0"/>
    <w:pPr>
      <w:spacing w:line="360" w:lineRule="auto"/>
    </w:pPr>
    <w:rPr>
      <w:rFonts w:ascii="宋体" w:hAnsi="宋体" w:eastAsia="宋体"/>
      <w:sz w:val="22"/>
      <w:szCs w:val="24"/>
    </w:rPr>
  </w:style>
  <w:style w:type="paragraph" w:customStyle="1" w:styleId="1394">
    <w:name w:val="正文02"/>
    <w:basedOn w:val="1"/>
    <w:qFormat/>
    <w:uiPriority w:val="0"/>
    <w:pPr>
      <w:spacing w:before="400" w:line="460" w:lineRule="exact"/>
      <w:ind w:firstLine="200" w:firstLineChars="200"/>
    </w:pPr>
    <w:rPr>
      <w:rFonts w:eastAsia="宋体"/>
      <w:sz w:val="24"/>
      <w:szCs w:val="24"/>
    </w:rPr>
  </w:style>
  <w:style w:type="paragraph" w:customStyle="1" w:styleId="1395">
    <w:name w:val="xl107"/>
    <w:basedOn w:val="1"/>
    <w:qFormat/>
    <w:uiPriority w:val="0"/>
    <w:pPr>
      <w:widowControl/>
      <w:pBdr>
        <w:top w:val="single" w:color="auto" w:sz="4" w:space="0"/>
        <w:lef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96">
    <w:name w:val="样式 样式 标题 1 + 自动设置 + 段前: 0.5 行 段后: 0.5 行"/>
    <w:basedOn w:val="1"/>
    <w:qFormat/>
    <w:uiPriority w:val="0"/>
    <w:pPr>
      <w:keepNext/>
      <w:keepLines/>
      <w:adjustRightInd w:val="0"/>
      <w:spacing w:after="50" w:afterLines="50" w:line="360" w:lineRule="auto"/>
      <w:jc w:val="center"/>
      <w:textAlignment w:val="baseline"/>
      <w:outlineLvl w:val="0"/>
    </w:pPr>
    <w:rPr>
      <w:rFonts w:eastAsia="黑体" w:cs="宋体"/>
      <w:bCs/>
      <w:sz w:val="30"/>
    </w:rPr>
  </w:style>
  <w:style w:type="paragraph" w:customStyle="1" w:styleId="1397">
    <w:name w:val="ST20_52"/>
    <w:basedOn w:val="751"/>
    <w:qFormat/>
    <w:uiPriority w:val="0"/>
    <w:pPr>
      <w:ind w:left="1440"/>
    </w:pPr>
  </w:style>
  <w:style w:type="paragraph" w:customStyle="1" w:styleId="1398">
    <w:name w:val="（1）名字"/>
    <w:basedOn w:val="1"/>
    <w:qFormat/>
    <w:uiPriority w:val="0"/>
    <w:pPr>
      <w:adjustRightInd w:val="0"/>
      <w:spacing w:line="480" w:lineRule="auto"/>
      <w:textAlignment w:val="baseline"/>
    </w:pPr>
    <w:rPr>
      <w:rFonts w:hAnsi="宋体" w:eastAsia="宋体"/>
      <w:sz w:val="24"/>
      <w:szCs w:val="24"/>
    </w:rPr>
  </w:style>
  <w:style w:type="paragraph" w:customStyle="1" w:styleId="1399">
    <w:name w:val="样式 (中文) 黑体 三号 居中 行距: 固定值 24 磅"/>
    <w:basedOn w:val="3"/>
    <w:qFormat/>
    <w:uiPriority w:val="0"/>
    <w:pPr>
      <w:pageBreakBefore w:val="0"/>
      <w:tabs>
        <w:tab w:val="left" w:pos="980"/>
      </w:tabs>
      <w:adjustRightInd w:val="0"/>
      <w:spacing w:before="0" w:after="0" w:line="360" w:lineRule="auto"/>
      <w:ind w:left="980" w:hanging="420"/>
      <w:textAlignment w:val="baseline"/>
    </w:pPr>
    <w:rPr>
      <w:rFonts w:cs="宋体"/>
      <w:b w:val="0"/>
      <w:bCs/>
      <w:sz w:val="32"/>
      <w:szCs w:val="32"/>
    </w:rPr>
  </w:style>
  <w:style w:type="paragraph" w:customStyle="1" w:styleId="1400">
    <w:name w:val="xl131"/>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401">
    <w:name w:val="Personal Info"/>
    <w:basedOn w:val="1402"/>
    <w:qFormat/>
    <w:uiPriority w:val="0"/>
    <w:pPr>
      <w:tabs>
        <w:tab w:val="left" w:pos="420"/>
      </w:tabs>
      <w:spacing w:before="220"/>
    </w:pPr>
  </w:style>
  <w:style w:type="paragraph" w:customStyle="1" w:styleId="1402">
    <w:name w:val="Achievement"/>
    <w:basedOn w:val="34"/>
    <w:qFormat/>
    <w:uiPriority w:val="0"/>
    <w:pPr>
      <w:widowControl/>
      <w:tabs>
        <w:tab w:val="left" w:pos="420"/>
      </w:tabs>
      <w:spacing w:after="60" w:line="220" w:lineRule="atLeast"/>
      <w:ind w:right="-360"/>
      <w:jc w:val="left"/>
    </w:pPr>
    <w:rPr>
      <w:rFonts w:eastAsia="宋体"/>
      <w:kern w:val="0"/>
      <w:sz w:val="20"/>
    </w:rPr>
  </w:style>
  <w:style w:type="paragraph" w:customStyle="1" w:styleId="1403">
    <w:name w:val="样式 标题 1 + 自动设置"/>
    <w:basedOn w:val="3"/>
    <w:qFormat/>
    <w:uiPriority w:val="0"/>
    <w:pPr>
      <w:pageBreakBefore w:val="0"/>
      <w:tabs>
        <w:tab w:val="left" w:pos="980"/>
      </w:tabs>
      <w:adjustRightInd w:val="0"/>
      <w:spacing w:before="50" w:beforeLines="50" w:after="50" w:afterLines="50" w:line="360" w:lineRule="auto"/>
      <w:ind w:left="980" w:hanging="420"/>
      <w:textAlignment w:val="baseline"/>
    </w:pPr>
    <w:rPr>
      <w:rFonts w:eastAsia="黑体"/>
      <w:b w:val="0"/>
      <w:bCs/>
      <w:kern w:val="2"/>
      <w:sz w:val="30"/>
      <w:szCs w:val="30"/>
    </w:rPr>
  </w:style>
  <w:style w:type="paragraph" w:customStyle="1" w:styleId="1404">
    <w:name w:val="论文正文"/>
    <w:basedOn w:val="5"/>
    <w:qFormat/>
    <w:uiPriority w:val="0"/>
    <w:pPr>
      <w:spacing w:line="240" w:lineRule="auto"/>
      <w:ind w:firstLine="480" w:firstLineChars="200"/>
    </w:pPr>
    <w:rPr>
      <w:rFonts w:ascii="宋体" w:hAnsi="宋体" w:cs="Times New Roman"/>
      <w:spacing w:val="0"/>
      <w:sz w:val="28"/>
      <w:szCs w:val="24"/>
    </w:rPr>
  </w:style>
  <w:style w:type="paragraph" w:customStyle="1" w:styleId="1405">
    <w:name w:val="表、图名"/>
    <w:basedOn w:val="1"/>
    <w:link w:val="2901"/>
    <w:qFormat/>
    <w:uiPriority w:val="0"/>
    <w:pPr>
      <w:adjustRightInd w:val="0"/>
      <w:snapToGrid w:val="0"/>
      <w:spacing w:before="100" w:beforeAutospacing="1" w:line="360" w:lineRule="auto"/>
      <w:ind w:left="-6"/>
      <w:jc w:val="center"/>
    </w:pPr>
    <w:rPr>
      <w:rFonts w:ascii="黑体" w:hAnsi="宋体" w:eastAsia="黑体"/>
      <w:color w:val="000000"/>
      <w:kern w:val="0"/>
      <w:sz w:val="24"/>
      <w:szCs w:val="24"/>
    </w:rPr>
  </w:style>
  <w:style w:type="paragraph" w:customStyle="1" w:styleId="1406">
    <w:name w:val="my"/>
    <w:qFormat/>
    <w:uiPriority w:val="0"/>
    <w:pPr>
      <w:spacing w:before="60" w:line="460" w:lineRule="exact"/>
      <w:ind w:firstLine="200" w:firstLineChars="200"/>
    </w:pPr>
    <w:rPr>
      <w:rFonts w:ascii="Times New Roman" w:hAnsi="Times New Roman" w:eastAsia="宋体" w:cs="Times New Roman"/>
      <w:sz w:val="24"/>
      <w:lang w:val="en-US" w:eastAsia="zh-CN" w:bidi="ar-SA"/>
    </w:rPr>
  </w:style>
  <w:style w:type="paragraph" w:customStyle="1" w:styleId="1407">
    <w:name w:val="样式 标题 3 + (西文) Times New Roman (中文) 宋体 小四 加粗 段前: 1 行"/>
    <w:basedOn w:val="6"/>
    <w:qFormat/>
    <w:uiPriority w:val="0"/>
    <w:pPr>
      <w:keepNext w:val="0"/>
      <w:keepLines w:val="0"/>
      <w:tabs>
        <w:tab w:val="left" w:pos="1260"/>
      </w:tabs>
      <w:adjustRightInd w:val="0"/>
      <w:spacing w:before="0" w:after="0"/>
      <w:ind w:left="271" w:leftChars="113" w:hanging="420"/>
      <w:textAlignment w:val="baseline"/>
    </w:pPr>
    <w:rPr>
      <w:rFonts w:ascii="Times New Roman" w:eastAsia="宋体"/>
      <w:sz w:val="18"/>
      <w:szCs w:val="18"/>
    </w:rPr>
  </w:style>
  <w:style w:type="paragraph" w:customStyle="1" w:styleId="1408">
    <w:name w:val="样式－表"/>
    <w:basedOn w:val="1"/>
    <w:qFormat/>
    <w:uiPriority w:val="0"/>
    <w:pPr>
      <w:adjustRightInd w:val="0"/>
      <w:snapToGrid w:val="0"/>
      <w:spacing w:before="62"/>
      <w:jc w:val="center"/>
    </w:pPr>
    <w:rPr>
      <w:rFonts w:eastAsia="宋体"/>
      <w:color w:val="000000"/>
      <w:kern w:val="0"/>
      <w:sz w:val="24"/>
    </w:rPr>
  </w:style>
  <w:style w:type="paragraph" w:customStyle="1" w:styleId="1409">
    <w:name w:val="样式 左"/>
    <w:basedOn w:val="1"/>
    <w:qFormat/>
    <w:uiPriority w:val="0"/>
    <w:pPr>
      <w:spacing w:line="360" w:lineRule="auto"/>
      <w:jc w:val="left"/>
    </w:pPr>
    <w:rPr>
      <w:rFonts w:ascii="Arial" w:hAnsi="Arial" w:eastAsia="宋体"/>
      <w:sz w:val="24"/>
    </w:rPr>
  </w:style>
  <w:style w:type="paragraph" w:customStyle="1" w:styleId="1410">
    <w:name w:val="xl87"/>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411">
    <w:name w:val="图像样式"/>
    <w:basedOn w:val="1"/>
    <w:qFormat/>
    <w:uiPriority w:val="0"/>
    <w:pPr>
      <w:snapToGrid w:val="0"/>
      <w:spacing w:before="50" w:beforeLines="50" w:after="50" w:afterLines="50"/>
      <w:jc w:val="center"/>
    </w:pPr>
    <w:rPr>
      <w:rFonts w:eastAsia="宋体"/>
      <w:sz w:val="24"/>
      <w:szCs w:val="24"/>
    </w:rPr>
  </w:style>
  <w:style w:type="paragraph" w:customStyle="1" w:styleId="1412">
    <w:name w:val="xl152"/>
    <w:basedOn w:val="1"/>
    <w:qFormat/>
    <w:uiPriority w:val="0"/>
    <w:pPr>
      <w:widowControl/>
      <w:pBdr>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413">
    <w:name w:val="reader-word-layer reader-word-s1-5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14">
    <w:name w:val="Style1"/>
    <w:basedOn w:val="1"/>
    <w:qFormat/>
    <w:uiPriority w:val="0"/>
    <w:pPr>
      <w:widowControl/>
      <w:tabs>
        <w:tab w:val="left" w:pos="840"/>
        <w:tab w:val="left" w:pos="1440"/>
      </w:tabs>
      <w:ind w:left="90" w:hanging="420"/>
      <w:jc w:val="left"/>
    </w:pPr>
    <w:rPr>
      <w:rFonts w:ascii="Arial" w:hAnsi="Arial" w:eastAsia="宋体"/>
      <w:b/>
      <w:kern w:val="0"/>
      <w:sz w:val="20"/>
    </w:rPr>
  </w:style>
  <w:style w:type="paragraph" w:customStyle="1" w:styleId="1415">
    <w:name w:val="Bullet 4"/>
    <w:basedOn w:val="1"/>
    <w:next w:val="1"/>
    <w:qFormat/>
    <w:uiPriority w:val="0"/>
    <w:pPr>
      <w:widowControl/>
      <w:tabs>
        <w:tab w:val="left" w:pos="420"/>
        <w:tab w:val="left" w:pos="1440"/>
      </w:tabs>
      <w:ind w:left="4320"/>
      <w:jc w:val="left"/>
    </w:pPr>
    <w:rPr>
      <w:rFonts w:ascii="Arial" w:hAnsi="Arial" w:eastAsia="宋体"/>
      <w:kern w:val="0"/>
      <w:sz w:val="20"/>
    </w:rPr>
  </w:style>
  <w:style w:type="paragraph" w:customStyle="1" w:styleId="1416">
    <w:name w:val="默认段落字体 Para Char Char Char Char Char Char Char Char Char1 Char Char Char Char"/>
    <w:basedOn w:val="1"/>
    <w:qFormat/>
    <w:uiPriority w:val="0"/>
    <w:rPr>
      <w:rFonts w:eastAsia="宋体"/>
      <w:sz w:val="21"/>
    </w:rPr>
  </w:style>
  <w:style w:type="paragraph" w:customStyle="1" w:styleId="1417">
    <w:name w:val="fontcontent"/>
    <w:basedOn w:val="1"/>
    <w:qFormat/>
    <w:uiPriority w:val="0"/>
    <w:pPr>
      <w:widowControl/>
      <w:spacing w:line="360" w:lineRule="auto"/>
      <w:jc w:val="left"/>
    </w:pPr>
    <w:rPr>
      <w:rFonts w:ascii="宋体" w:hAnsi="宋体" w:eastAsia="宋体" w:cs="宋体"/>
      <w:color w:val="333333"/>
      <w:kern w:val="0"/>
      <w:sz w:val="18"/>
      <w:szCs w:val="18"/>
    </w:rPr>
  </w:style>
  <w:style w:type="paragraph" w:customStyle="1" w:styleId="1418">
    <w:name w:val="!Texte courant"/>
    <w:qFormat/>
    <w:uiPriority w:val="0"/>
    <w:pPr>
      <w:spacing w:before="120" w:line="280" w:lineRule="atLeast"/>
      <w:jc w:val="both"/>
    </w:pPr>
    <w:rPr>
      <w:rFonts w:ascii="Times New Roman" w:hAnsi="Times New Roman" w:eastAsia="宋体" w:cs="Times New Roman"/>
      <w:sz w:val="24"/>
      <w:lang w:val="fr-FR" w:eastAsia="zh-CN" w:bidi="ar-SA"/>
    </w:rPr>
  </w:style>
  <w:style w:type="paragraph" w:customStyle="1" w:styleId="1419">
    <w:name w:val="样式 标题 4款标题1.1.1.1标题 4 Char Char标题 4 Char四表格1目H4H41L4Mi..."/>
    <w:basedOn w:val="7"/>
    <w:qFormat/>
    <w:uiPriority w:val="0"/>
    <w:pPr>
      <w:keepLines w:val="0"/>
      <w:adjustRightInd w:val="0"/>
      <w:snapToGrid w:val="0"/>
      <w:spacing w:line="360" w:lineRule="auto"/>
      <w:textAlignment w:val="baseline"/>
    </w:pPr>
    <w:rPr>
      <w:rFonts w:ascii="仿宋_GB2312" w:hAnsi="Times New Roman" w:cs="宋体"/>
      <w:bCs/>
      <w:color w:val="auto"/>
      <w:kern w:val="0"/>
    </w:rPr>
  </w:style>
  <w:style w:type="paragraph" w:customStyle="1" w:styleId="1420">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宋体" w:hAnsi="宋体" w:eastAsia="宋体"/>
      <w:kern w:val="0"/>
      <w:sz w:val="20"/>
    </w:rPr>
  </w:style>
  <w:style w:type="paragraph" w:customStyle="1" w:styleId="1421">
    <w:name w:val="首行缩进:  0.99 厘米 + 首行缩进:  2 字符"/>
    <w:basedOn w:val="1"/>
    <w:semiHidden/>
    <w:qFormat/>
    <w:uiPriority w:val="0"/>
    <w:pPr>
      <w:widowControl/>
      <w:tabs>
        <w:tab w:val="left" w:pos="2632"/>
      </w:tabs>
      <w:topLinePunct/>
      <w:spacing w:line="480" w:lineRule="exact"/>
      <w:ind w:firstLine="480" w:firstLineChars="200"/>
    </w:pPr>
    <w:rPr>
      <w:rFonts w:ascii="Arial" w:hAnsi="宋体" w:eastAsia="宋体" w:cs="Arial"/>
      <w:kern w:val="0"/>
      <w:sz w:val="24"/>
      <w:szCs w:val="24"/>
    </w:rPr>
  </w:style>
  <w:style w:type="paragraph" w:customStyle="1" w:styleId="1422">
    <w:name w:val="样式 标题 2标题节标题节 Char Char标题 2 Char Char Char节标题 1.1第一层条H2He..."/>
    <w:basedOn w:val="3"/>
    <w:qFormat/>
    <w:uiPriority w:val="0"/>
    <w:pPr>
      <w:keepLines w:val="0"/>
      <w:pageBreakBefore w:val="0"/>
      <w:tabs>
        <w:tab w:val="left" w:pos="0"/>
      </w:tabs>
      <w:spacing w:before="0" w:after="0" w:line="360" w:lineRule="auto"/>
      <w:ind w:left="0" w:firstLine="0"/>
      <w:jc w:val="left"/>
    </w:pPr>
    <w:rPr>
      <w:rFonts w:eastAsia="黑体" w:cs="宋体"/>
      <w:bCs/>
      <w:kern w:val="2"/>
      <w:sz w:val="28"/>
    </w:rPr>
  </w:style>
  <w:style w:type="paragraph" w:customStyle="1" w:styleId="1423">
    <w:name w:val="xl140"/>
    <w:basedOn w:val="1"/>
    <w:qFormat/>
    <w:uiPriority w:val="0"/>
    <w:pPr>
      <w:widowControl/>
      <w:spacing w:before="100" w:beforeAutospacing="1" w:after="100" w:afterAutospacing="1"/>
      <w:jc w:val="left"/>
    </w:pPr>
    <w:rPr>
      <w:rFonts w:ascii="Arial" w:hAnsi="Arial" w:eastAsia="宋体" w:cs="Arial"/>
      <w:kern w:val="0"/>
      <w:sz w:val="24"/>
      <w:szCs w:val="24"/>
    </w:rPr>
  </w:style>
  <w:style w:type="paragraph" w:customStyle="1" w:styleId="1424">
    <w:name w:val="样式 标题 3H3H31H32H33u3标题 3 Char Char Char标题 3 Char Char Cha...1"/>
    <w:basedOn w:val="1"/>
    <w:qFormat/>
    <w:uiPriority w:val="0"/>
    <w:pPr>
      <w:tabs>
        <w:tab w:val="left" w:pos="432"/>
      </w:tabs>
      <w:spacing w:line="360" w:lineRule="auto"/>
      <w:ind w:left="432" w:hanging="432"/>
      <w:jc w:val="left"/>
    </w:pPr>
    <w:rPr>
      <w:rFonts w:hAnsi="宋体" w:eastAsia="宋体" w:cs="宋体"/>
      <w:b/>
      <w:bCs/>
      <w:sz w:val="24"/>
    </w:rPr>
  </w:style>
  <w:style w:type="paragraph" w:customStyle="1" w:styleId="1425">
    <w:name w:val="ST20_50"/>
    <w:basedOn w:val="752"/>
    <w:qFormat/>
    <w:uiPriority w:val="0"/>
    <w:pPr>
      <w:tabs>
        <w:tab w:val="left" w:pos="1800"/>
        <w:tab w:val="clear" w:pos="720"/>
      </w:tabs>
      <w:ind w:left="1800"/>
    </w:pPr>
  </w:style>
  <w:style w:type="paragraph" w:customStyle="1" w:styleId="1426">
    <w:name w:val="样式 段落 + 首行缩进:  0.63 厘米 段前: 1 行"/>
    <w:basedOn w:val="939"/>
    <w:qFormat/>
    <w:uiPriority w:val="0"/>
    <w:pPr>
      <w:tabs>
        <w:tab w:val="clear" w:pos="1021"/>
      </w:tabs>
      <w:adjustRightInd/>
      <w:spacing w:line="0" w:lineRule="atLeast"/>
      <w:ind w:left="773" w:leftChars="322" w:firstLine="360" w:firstLineChars="0"/>
    </w:pPr>
    <w:rPr>
      <w:rFonts w:ascii="Arial" w:hAnsi="Arial" w:eastAsia="Arial"/>
      <w:kern w:val="2"/>
      <w:sz w:val="22"/>
    </w:rPr>
  </w:style>
  <w:style w:type="paragraph" w:customStyle="1" w:styleId="1427">
    <w:name w:val="Bullet 5"/>
    <w:basedOn w:val="1"/>
    <w:next w:val="1"/>
    <w:qFormat/>
    <w:uiPriority w:val="0"/>
    <w:pPr>
      <w:widowControl/>
      <w:tabs>
        <w:tab w:val="left" w:pos="420"/>
        <w:tab w:val="left" w:pos="1440"/>
      </w:tabs>
      <w:ind w:left="5041"/>
      <w:jc w:val="left"/>
    </w:pPr>
    <w:rPr>
      <w:rFonts w:ascii="Arial" w:hAnsi="Arial" w:eastAsia="宋体"/>
      <w:kern w:val="0"/>
      <w:sz w:val="20"/>
    </w:rPr>
  </w:style>
  <w:style w:type="paragraph" w:customStyle="1" w:styleId="1428">
    <w:name w:val="样式 标题 4款标题1.1.1.1标题 4 Char Char标题 4 Char四表格1目H4H41L4Mi...2"/>
    <w:basedOn w:val="7"/>
    <w:qFormat/>
    <w:uiPriority w:val="0"/>
    <w:pPr>
      <w:keepLines w:val="0"/>
      <w:adjustRightInd w:val="0"/>
      <w:snapToGrid w:val="0"/>
      <w:spacing w:before="120" w:line="360" w:lineRule="auto"/>
      <w:textAlignment w:val="baseline"/>
    </w:pPr>
    <w:rPr>
      <w:rFonts w:ascii="Times New Roman" w:hAnsi="Times New Roman" w:eastAsia="宋体"/>
      <w:bCs/>
      <w:kern w:val="0"/>
    </w:rPr>
  </w:style>
  <w:style w:type="paragraph" w:customStyle="1" w:styleId="1429">
    <w:name w:val="表内式样"/>
    <w:qFormat/>
    <w:uiPriority w:val="0"/>
    <w:pPr>
      <w:framePr w:hSpace="180" w:wrap="around" w:vAnchor="text" w:hAnchor="margin" w:x="-684" w:y="3"/>
      <w:widowControl w:val="0"/>
      <w:spacing w:line="0" w:lineRule="atLeast"/>
      <w:jc w:val="center"/>
    </w:pPr>
    <w:rPr>
      <w:rFonts w:ascii="Times New Roman" w:hAnsi="Times New Roman" w:eastAsia="宋体" w:cs="Times New Roman"/>
      <w:kern w:val="2"/>
      <w:sz w:val="21"/>
      <w:lang w:val="en-US" w:eastAsia="zh-CN" w:bidi="ar-SA"/>
    </w:rPr>
  </w:style>
  <w:style w:type="paragraph" w:customStyle="1" w:styleId="1430">
    <w:name w:val="xl9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1431">
    <w:name w:val="样式 标题 1章标题章ChChapter HeadingIBM Section Head标题 1 Char Char..."/>
    <w:basedOn w:val="3"/>
    <w:qFormat/>
    <w:uiPriority w:val="0"/>
    <w:pPr>
      <w:pageBreakBefore w:val="0"/>
      <w:tabs>
        <w:tab w:val="left" w:pos="532"/>
        <w:tab w:val="clear" w:pos="1080"/>
      </w:tabs>
      <w:spacing w:before="240" w:beforeLines="100" w:after="0" w:line="360" w:lineRule="auto"/>
      <w:ind w:left="532" w:right="532" w:rightChars="532" w:hanging="432"/>
      <w:jc w:val="both"/>
    </w:pPr>
    <w:rPr>
      <w:rFonts w:ascii="宋体" w:hAnsi="宋体" w:eastAsia="黑体" w:cs="宋体"/>
      <w:bCs/>
      <w:sz w:val="44"/>
    </w:rPr>
  </w:style>
  <w:style w:type="paragraph" w:customStyle="1" w:styleId="1432">
    <w:name w:val="xl146"/>
    <w:basedOn w:val="1"/>
    <w:qFormat/>
    <w:uiPriority w:val="0"/>
    <w:pPr>
      <w:widowControl/>
      <w:pBdr>
        <w:top w:val="single" w:color="auto" w:sz="8" w:space="0"/>
        <w:left w:val="single" w:color="auto" w:sz="4" w:space="0"/>
      </w:pBdr>
      <w:spacing w:before="100" w:beforeAutospacing="1" w:after="100" w:afterAutospacing="1"/>
      <w:jc w:val="center"/>
      <w:textAlignment w:val="center"/>
    </w:pPr>
    <w:rPr>
      <w:rFonts w:ascii="黑体" w:hAnsi="宋体" w:eastAsia="黑体" w:cs="宋体"/>
      <w:kern w:val="0"/>
      <w:sz w:val="20"/>
    </w:rPr>
  </w:style>
  <w:style w:type="paragraph" w:customStyle="1" w:styleId="1433">
    <w:name w:val="c"/>
    <w:link w:val="2715"/>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1434">
    <w:name w:val="xl55"/>
    <w:basedOn w:val="1"/>
    <w:qFormat/>
    <w:uiPriority w:val="0"/>
    <w:pPr>
      <w:widowControl/>
      <w:pBdr>
        <w:top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kern w:val="0"/>
      <w:sz w:val="20"/>
    </w:rPr>
  </w:style>
  <w:style w:type="paragraph" w:customStyle="1" w:styleId="1435">
    <w:name w:val="xl150"/>
    <w:basedOn w:val="1"/>
    <w:qFormat/>
    <w:uiPriority w:val="0"/>
    <w:pPr>
      <w:widowControl/>
      <w:pBdr>
        <w:lef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436">
    <w:name w:val="gb1"/>
    <w:basedOn w:val="1"/>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kern w:val="0"/>
      <w:sz w:val="21"/>
    </w:rPr>
  </w:style>
  <w:style w:type="paragraph" w:customStyle="1" w:styleId="1437">
    <w:name w:val="表格-五号"/>
    <w:basedOn w:val="1"/>
    <w:semiHidden/>
    <w:qFormat/>
    <w:uiPriority w:val="0"/>
    <w:pPr>
      <w:adjustRightInd w:val="0"/>
      <w:jc w:val="center"/>
      <w:textAlignment w:val="baseline"/>
    </w:pPr>
    <w:rPr>
      <w:rFonts w:ascii="宋体" w:eastAsia="宋体"/>
      <w:kern w:val="0"/>
      <w:sz w:val="21"/>
      <w:szCs w:val="24"/>
    </w:rPr>
  </w:style>
  <w:style w:type="paragraph" w:customStyle="1" w:styleId="1438">
    <w:name w:val="Sun"/>
    <w:basedOn w:val="1"/>
    <w:semiHidden/>
    <w:qFormat/>
    <w:uiPriority w:val="0"/>
    <w:pPr>
      <w:adjustRightInd w:val="0"/>
      <w:spacing w:line="360" w:lineRule="auto"/>
      <w:ind w:firstLine="567"/>
      <w:textAlignment w:val="baseline"/>
    </w:pPr>
    <w:rPr>
      <w:rFonts w:ascii="宋体" w:eastAsia="宋体"/>
      <w:kern w:val="28"/>
    </w:rPr>
  </w:style>
  <w:style w:type="paragraph" w:customStyle="1" w:styleId="1439">
    <w:name w:val="xl95"/>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440">
    <w:name w:val="Heading Base"/>
    <w:basedOn w:val="34"/>
    <w:next w:val="34"/>
    <w:qFormat/>
    <w:uiPriority w:val="0"/>
    <w:pPr>
      <w:keepNext/>
      <w:keepLines/>
      <w:widowControl/>
      <w:spacing w:after="0" w:line="220" w:lineRule="atLeast"/>
      <w:ind w:right="-360"/>
      <w:jc w:val="left"/>
    </w:pPr>
    <w:rPr>
      <w:rFonts w:ascii="Arial" w:hAnsi="Arial" w:eastAsia="宋体"/>
      <w:spacing w:val="-4"/>
      <w:kern w:val="0"/>
      <w:sz w:val="18"/>
    </w:rPr>
  </w:style>
  <w:style w:type="paragraph" w:customStyle="1" w:styleId="1441">
    <w:name w:val="图片"/>
    <w:basedOn w:val="1"/>
    <w:next w:val="22"/>
    <w:qFormat/>
    <w:uiPriority w:val="0"/>
    <w:pPr>
      <w:widowControl/>
      <w:tabs>
        <w:tab w:val="left" w:pos="1335"/>
      </w:tabs>
      <w:adjustRightInd w:val="0"/>
      <w:snapToGrid w:val="0"/>
      <w:ind w:left="1335" w:hanging="705"/>
      <w:jc w:val="center"/>
    </w:pPr>
    <w:rPr>
      <w:rFonts w:ascii="Arial" w:hAnsi="Arial"/>
      <w:color w:val="000000"/>
      <w:kern w:val="0"/>
    </w:rPr>
  </w:style>
  <w:style w:type="paragraph" w:customStyle="1" w:styleId="1442">
    <w:name w:val="标题5"/>
    <w:basedOn w:val="5"/>
    <w:qFormat/>
    <w:uiPriority w:val="0"/>
    <w:pPr>
      <w:keepNext/>
      <w:widowControl/>
      <w:overflowPunct w:val="0"/>
      <w:autoSpaceDE w:val="0"/>
      <w:autoSpaceDN w:val="0"/>
      <w:adjustRightInd w:val="0"/>
      <w:spacing w:before="240" w:after="60" w:line="240" w:lineRule="auto"/>
      <w:ind w:firstLine="0"/>
      <w:jc w:val="left"/>
      <w:textAlignment w:val="baseline"/>
      <w:outlineLvl w:val="2"/>
    </w:pPr>
    <w:rPr>
      <w:rFonts w:ascii="Times New Roman" w:hAnsi="Times New Roman" w:cs="Times New Roman"/>
      <w:i/>
      <w:spacing w:val="0"/>
      <w:kern w:val="0"/>
    </w:rPr>
  </w:style>
  <w:style w:type="paragraph" w:customStyle="1" w:styleId="1443">
    <w:name w:val="z-窗体底端1"/>
    <w:basedOn w:val="1"/>
    <w:next w:val="1"/>
    <w:link w:val="2162"/>
    <w:qFormat/>
    <w:uiPriority w:val="0"/>
    <w:pPr>
      <w:widowControl/>
      <w:pBdr>
        <w:top w:val="single" w:color="auto" w:sz="6" w:space="1"/>
      </w:pBdr>
      <w:jc w:val="center"/>
    </w:pPr>
    <w:rPr>
      <w:rFonts w:ascii="Arial" w:hAnsi="Arial" w:eastAsia="宋体" w:cs="Arial"/>
      <w:vanish/>
      <w:kern w:val="0"/>
      <w:sz w:val="16"/>
      <w:szCs w:val="16"/>
    </w:rPr>
  </w:style>
  <w:style w:type="paragraph" w:customStyle="1" w:styleId="1444">
    <w:name w:val="项目号"/>
    <w:basedOn w:val="1"/>
    <w:semiHidden/>
    <w:qFormat/>
    <w:uiPriority w:val="0"/>
    <w:pPr>
      <w:tabs>
        <w:tab w:val="left" w:pos="425"/>
      </w:tabs>
      <w:spacing w:line="300" w:lineRule="auto"/>
      <w:ind w:left="425" w:hanging="425"/>
      <w:jc w:val="left"/>
    </w:pPr>
    <w:rPr>
      <w:rFonts w:eastAsia="宋体"/>
      <w:sz w:val="24"/>
    </w:rPr>
  </w:style>
  <w:style w:type="paragraph" w:customStyle="1" w:styleId="1445">
    <w:name w:val="调研内容"/>
    <w:basedOn w:val="1"/>
    <w:qFormat/>
    <w:uiPriority w:val="0"/>
    <w:pPr>
      <w:spacing w:line="360" w:lineRule="auto"/>
    </w:pPr>
    <w:rPr>
      <w:rFonts w:eastAsia="宋体"/>
      <w:sz w:val="21"/>
    </w:rPr>
  </w:style>
  <w:style w:type="paragraph" w:customStyle="1" w:styleId="1446">
    <w:name w:val="Items"/>
    <w:basedOn w:val="1"/>
    <w:qFormat/>
    <w:uiPriority w:val="0"/>
    <w:pPr>
      <w:tabs>
        <w:tab w:val="left" w:pos="860"/>
      </w:tabs>
      <w:spacing w:before="48" w:after="72" w:line="440" w:lineRule="atLeast"/>
      <w:ind w:left="860" w:hanging="420"/>
    </w:pPr>
    <w:rPr>
      <w:rFonts w:ascii="Tahoma" w:hAnsi="Tahoma" w:eastAsia="华文中宋"/>
      <w:sz w:val="26"/>
    </w:rPr>
  </w:style>
  <w:style w:type="paragraph" w:customStyle="1" w:styleId="1447">
    <w:name w:val="表第一列"/>
    <w:basedOn w:val="41"/>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eastAsia="宋体"/>
      <w:color w:val="000000"/>
      <w:spacing w:val="-4"/>
      <w:sz w:val="21"/>
    </w:rPr>
  </w:style>
  <w:style w:type="paragraph" w:customStyle="1" w:styleId="1448">
    <w:name w:val="节标"/>
    <w:basedOn w:val="1"/>
    <w:qFormat/>
    <w:uiPriority w:val="0"/>
    <w:pPr>
      <w:widowControl/>
      <w:autoSpaceDE w:val="0"/>
      <w:autoSpaceDN w:val="0"/>
      <w:adjustRightInd w:val="0"/>
      <w:spacing w:line="480" w:lineRule="exact"/>
      <w:ind w:firstLine="567"/>
      <w:jc w:val="center"/>
      <w:textAlignment w:val="bottom"/>
    </w:pPr>
    <w:rPr>
      <w:rFonts w:eastAsia="宋体"/>
      <w:b/>
      <w:kern w:val="0"/>
      <w:sz w:val="30"/>
    </w:rPr>
  </w:style>
  <w:style w:type="paragraph" w:customStyle="1" w:styleId="1449">
    <w:name w:val="段标"/>
    <w:basedOn w:val="1"/>
    <w:qFormat/>
    <w:uiPriority w:val="0"/>
    <w:pPr>
      <w:adjustRightInd w:val="0"/>
      <w:spacing w:line="360" w:lineRule="auto"/>
      <w:ind w:firstLine="567"/>
      <w:jc w:val="left"/>
      <w:textAlignment w:val="baseline"/>
    </w:pPr>
    <w:rPr>
      <w:rFonts w:eastAsia="宋体"/>
      <w:kern w:val="0"/>
    </w:rPr>
  </w:style>
  <w:style w:type="paragraph" w:customStyle="1" w:styleId="1450">
    <w:name w:val="ListingStart"/>
    <w:basedOn w:val="1"/>
    <w:qFormat/>
    <w:uiPriority w:val="0"/>
    <w:pPr>
      <w:widowControl/>
      <w:tabs>
        <w:tab w:val="left" w:pos="-2608"/>
        <w:tab w:val="right" w:pos="-227"/>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s>
      <w:overflowPunct w:val="0"/>
      <w:autoSpaceDE w:val="0"/>
      <w:autoSpaceDN w:val="0"/>
      <w:adjustRightInd w:val="0"/>
      <w:spacing w:after="120" w:line="277" w:lineRule="exact"/>
      <w:textAlignment w:val="baseline"/>
    </w:pPr>
    <w:rPr>
      <w:rFonts w:eastAsia="宋体"/>
      <w:kern w:val="0"/>
      <w:sz w:val="24"/>
      <w:lang w:val="en-GB" w:eastAsia="ja-JP"/>
    </w:rPr>
  </w:style>
  <w:style w:type="paragraph" w:customStyle="1" w:styleId="1451">
    <w:name w:val="Listing"/>
    <w:basedOn w:val="1"/>
    <w:qFormat/>
    <w:uiPriority w:val="0"/>
    <w:pPr>
      <w:widowControl/>
      <w:overflowPunct w:val="0"/>
      <w:autoSpaceDE w:val="0"/>
      <w:autoSpaceDN w:val="0"/>
      <w:adjustRightInd w:val="0"/>
      <w:textAlignment w:val="baseline"/>
    </w:pPr>
    <w:rPr>
      <w:rFonts w:ascii="Arial" w:hAnsi="Arial" w:eastAsia="宋体"/>
      <w:b/>
      <w:kern w:val="0"/>
      <w:sz w:val="22"/>
      <w:lang w:val="en-GB"/>
    </w:rPr>
  </w:style>
  <w:style w:type="paragraph" w:customStyle="1" w:styleId="1452">
    <w:name w:val="Table header"/>
    <w:basedOn w:val="1"/>
    <w:qFormat/>
    <w:uiPriority w:val="0"/>
    <w:pPr>
      <w:spacing w:before="80" w:after="80"/>
      <w:jc w:val="left"/>
    </w:pPr>
    <w:rPr>
      <w:rFonts w:ascii="Arial" w:hAnsi="Arial" w:eastAsia="宋体"/>
      <w:b/>
      <w:kern w:val="0"/>
      <w:sz w:val="20"/>
      <w:lang w:val="en-GB" w:eastAsia="ja-JP"/>
    </w:rPr>
  </w:style>
  <w:style w:type="paragraph" w:customStyle="1" w:styleId="1453">
    <w:name w:val="正文表格5号"/>
    <w:basedOn w:val="1"/>
    <w:qFormat/>
    <w:uiPriority w:val="0"/>
    <w:pPr>
      <w:adjustRightInd w:val="0"/>
      <w:spacing w:line="312" w:lineRule="atLeast"/>
      <w:textAlignment w:val="baseline"/>
    </w:pPr>
    <w:rPr>
      <w:rFonts w:ascii="宋体" w:eastAsia="宋体"/>
      <w:kern w:val="0"/>
      <w:sz w:val="21"/>
    </w:rPr>
  </w:style>
  <w:style w:type="paragraph" w:customStyle="1" w:styleId="1454">
    <w:name w:val="正文文字4号缩进2"/>
    <w:basedOn w:val="52"/>
    <w:qFormat/>
    <w:uiPriority w:val="0"/>
    <w:pPr>
      <w:snapToGrid w:val="0"/>
      <w:spacing w:line="460" w:lineRule="atLeast"/>
      <w:ind w:firstLine="601" w:firstLineChars="192"/>
    </w:pPr>
    <w:rPr>
      <w:rFonts w:ascii="Arial" w:hAnsi="Arial"/>
      <w:sz w:val="28"/>
    </w:rPr>
  </w:style>
  <w:style w:type="paragraph" w:customStyle="1" w:styleId="1455">
    <w:name w:val="节直"/>
    <w:basedOn w:val="1"/>
    <w:qFormat/>
    <w:uiPriority w:val="0"/>
    <w:pPr>
      <w:adjustRightInd w:val="0"/>
      <w:spacing w:before="120" w:line="480" w:lineRule="exact"/>
      <w:ind w:firstLine="567"/>
      <w:jc w:val="center"/>
      <w:textAlignment w:val="baseline"/>
    </w:pPr>
    <w:rPr>
      <w:rFonts w:eastAsia="宋体"/>
      <w:kern w:val="0"/>
      <w:szCs w:val="24"/>
    </w:rPr>
  </w:style>
  <w:style w:type="paragraph" w:customStyle="1" w:styleId="1456">
    <w:name w:val="样式 宋体 五号 居中 首行缩进:  0 厘米 行距: 固定值 16 磅"/>
    <w:basedOn w:val="1"/>
    <w:qFormat/>
    <w:uiPriority w:val="0"/>
    <w:pPr>
      <w:adjustRightInd w:val="0"/>
      <w:snapToGrid w:val="0"/>
      <w:spacing w:line="312" w:lineRule="auto"/>
    </w:pPr>
    <w:rPr>
      <w:rFonts w:ascii="宋体" w:hAnsi="宋体" w:eastAsia="宋体" w:cs="宋体"/>
      <w:sz w:val="21"/>
      <w:szCs w:val="21"/>
    </w:rPr>
  </w:style>
  <w:style w:type="paragraph" w:customStyle="1" w:styleId="1457">
    <w:name w:val="font10"/>
    <w:basedOn w:val="1"/>
    <w:qFormat/>
    <w:uiPriority w:val="0"/>
    <w:pPr>
      <w:widowControl/>
      <w:adjustRightInd w:val="0"/>
      <w:snapToGrid w:val="0"/>
      <w:spacing w:before="100" w:beforeAutospacing="1" w:after="100" w:afterAutospacing="1" w:line="312" w:lineRule="auto"/>
      <w:jc w:val="left"/>
    </w:pPr>
    <w:rPr>
      <w:rFonts w:ascii="宋体" w:hAnsi="宋体" w:eastAsia="宋体" w:cs="宋体"/>
      <w:b/>
      <w:bCs/>
      <w:color w:val="000000"/>
      <w:kern w:val="0"/>
      <w:sz w:val="16"/>
      <w:szCs w:val="16"/>
    </w:rPr>
  </w:style>
  <w:style w:type="paragraph" w:customStyle="1" w:styleId="1458">
    <w:name w:val="gb"/>
    <w:basedOn w:val="1"/>
    <w:qFormat/>
    <w:uiPriority w:val="0"/>
    <w:pPr>
      <w:widowControl/>
      <w:tabs>
        <w:tab w:val="left" w:pos="227"/>
      </w:tabs>
      <w:overflowPunct w:val="0"/>
      <w:adjustRightInd w:val="0"/>
      <w:spacing w:before="120" w:after="120"/>
      <w:jc w:val="left"/>
      <w:textAlignment w:val="baseline"/>
    </w:pPr>
    <w:rPr>
      <w:rFonts w:ascii="Arial" w:hAnsi="Arial" w:eastAsia="仿宋体" w:cs="Arial"/>
      <w:kern w:val="0"/>
      <w:sz w:val="24"/>
      <w:szCs w:val="24"/>
    </w:rPr>
  </w:style>
  <w:style w:type="paragraph" w:customStyle="1" w:styleId="1459">
    <w:name w:val="ST20_3"/>
    <w:basedOn w:val="1"/>
    <w:qFormat/>
    <w:uiPriority w:val="0"/>
    <w:pPr>
      <w:keepLines/>
      <w:tabs>
        <w:tab w:val="center" w:pos="4320"/>
        <w:tab w:val="right" w:pos="8640"/>
      </w:tabs>
      <w:autoSpaceDE w:val="0"/>
      <w:autoSpaceDN w:val="0"/>
      <w:adjustRightInd w:val="0"/>
      <w:spacing w:line="360" w:lineRule="atLeast"/>
      <w:jc w:val="left"/>
      <w:textAlignment w:val="baseline"/>
    </w:pPr>
    <w:rPr>
      <w:rFonts w:ascii="宋体" w:hAnsi="Tms Rmn" w:eastAsia="宋体"/>
      <w:kern w:val="0"/>
      <w:szCs w:val="28"/>
    </w:rPr>
  </w:style>
  <w:style w:type="paragraph" w:customStyle="1" w:styleId="1460">
    <w:name w:val="xl64"/>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461">
    <w:name w:val="表前文字"/>
    <w:basedOn w:val="1"/>
    <w:qFormat/>
    <w:uiPriority w:val="0"/>
    <w:pPr>
      <w:jc w:val="center"/>
    </w:pPr>
    <w:rPr>
      <w:rFonts w:ascii="宋体" w:hAnsi="宋体" w:eastAsia="宋体"/>
      <w:bCs/>
      <w:color w:val="000000"/>
      <w:szCs w:val="24"/>
    </w:rPr>
  </w:style>
  <w:style w:type="paragraph" w:customStyle="1" w:styleId="1462">
    <w:name w:val="ST20_38"/>
    <w:basedOn w:val="1463"/>
    <w:next w:val="1463"/>
    <w:qFormat/>
    <w:uiPriority w:val="0"/>
    <w:pPr>
      <w:spacing w:before="120"/>
    </w:pPr>
  </w:style>
  <w:style w:type="paragraph" w:customStyle="1" w:styleId="1463">
    <w:name w:val="ST20_5"/>
    <w:basedOn w:val="753"/>
    <w:qFormat/>
    <w:uiPriority w:val="0"/>
    <w:pPr>
      <w:keepLines/>
      <w:ind w:left="720" w:right="720"/>
    </w:pPr>
    <w:rPr>
      <w:i/>
      <w:iCs/>
    </w:rPr>
  </w:style>
  <w:style w:type="paragraph" w:customStyle="1" w:styleId="1464">
    <w:name w:val="正文格式"/>
    <w:basedOn w:val="1"/>
    <w:link w:val="2746"/>
    <w:qFormat/>
    <w:uiPriority w:val="0"/>
    <w:pPr>
      <w:spacing w:line="360" w:lineRule="auto"/>
      <w:ind w:firstLine="527"/>
    </w:pPr>
    <w:rPr>
      <w:rFonts w:eastAsia="楷体_GB2312"/>
    </w:rPr>
  </w:style>
  <w:style w:type="paragraph" w:customStyle="1" w:styleId="1465">
    <w:name w:val="ST20_1"/>
    <w:basedOn w:val="1"/>
    <w:qFormat/>
    <w:uiPriority w:val="0"/>
    <w:pPr>
      <w:keepNext/>
      <w:keepLines/>
      <w:autoSpaceDE w:val="0"/>
      <w:autoSpaceDN w:val="0"/>
      <w:adjustRightInd w:val="0"/>
      <w:spacing w:before="240" w:after="120" w:line="360" w:lineRule="atLeast"/>
      <w:jc w:val="left"/>
      <w:textAlignment w:val="baseline"/>
    </w:pPr>
    <w:rPr>
      <w:rFonts w:ascii="宋体" w:hAnsi="Tms Rmn" w:eastAsia="宋体"/>
      <w:b/>
      <w:bCs/>
      <w:kern w:val="0"/>
      <w:sz w:val="36"/>
      <w:szCs w:val="36"/>
    </w:rPr>
  </w:style>
  <w:style w:type="paragraph" w:customStyle="1" w:styleId="1466">
    <w:name w:val="ST20_8"/>
    <w:basedOn w:val="1"/>
    <w:next w:val="1467"/>
    <w:qFormat/>
    <w:uiPriority w:val="0"/>
    <w:pPr>
      <w:keepNext/>
      <w:autoSpaceDE w:val="0"/>
      <w:autoSpaceDN w:val="0"/>
      <w:adjustRightInd w:val="0"/>
      <w:spacing w:line="360" w:lineRule="atLeast"/>
      <w:jc w:val="left"/>
      <w:textAlignment w:val="baseline"/>
    </w:pPr>
    <w:rPr>
      <w:rFonts w:ascii="宋体" w:hAnsi="Tms Rmn" w:eastAsia="宋体"/>
      <w:kern w:val="0"/>
      <w:szCs w:val="28"/>
    </w:rPr>
  </w:style>
  <w:style w:type="paragraph" w:customStyle="1" w:styleId="1467">
    <w:name w:val="ST20_7"/>
    <w:basedOn w:val="1466"/>
    <w:next w:val="753"/>
    <w:qFormat/>
    <w:uiPriority w:val="0"/>
    <w:pPr>
      <w:keepNext w:val="0"/>
      <w:spacing w:before="120"/>
    </w:pPr>
    <w:rPr>
      <w:i/>
      <w:iCs/>
      <w:sz w:val="18"/>
      <w:szCs w:val="18"/>
    </w:rPr>
  </w:style>
  <w:style w:type="paragraph" w:customStyle="1" w:styleId="1468">
    <w:name w:val="ST20_32"/>
    <w:basedOn w:val="56"/>
    <w:qFormat/>
    <w:uiPriority w:val="0"/>
    <w:pPr>
      <w:keepLines/>
      <w:tabs>
        <w:tab w:val="center" w:pos="4320"/>
        <w:tab w:val="clear" w:pos="4153"/>
        <w:tab w:val="clear" w:pos="8306"/>
      </w:tabs>
      <w:autoSpaceDE w:val="0"/>
      <w:autoSpaceDN w:val="0"/>
      <w:adjustRightInd w:val="0"/>
      <w:snapToGrid/>
      <w:spacing w:line="360" w:lineRule="atLeast"/>
      <w:jc w:val="center"/>
      <w:textAlignment w:val="baseline"/>
    </w:pPr>
    <w:rPr>
      <w:rFonts w:ascii="宋体" w:hAnsi="Tms Rmn" w:eastAsia="宋体"/>
      <w:kern w:val="0"/>
      <w:sz w:val="28"/>
      <w:szCs w:val="28"/>
    </w:rPr>
  </w:style>
  <w:style w:type="paragraph" w:customStyle="1" w:styleId="1469">
    <w:name w:val="ST20_34"/>
    <w:basedOn w:val="56"/>
    <w:qFormat/>
    <w:uiPriority w:val="0"/>
    <w:pPr>
      <w:keepLines/>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ascii="宋体" w:hAnsi="Tms Rmn" w:eastAsia="宋体"/>
      <w:kern w:val="0"/>
      <w:sz w:val="28"/>
      <w:szCs w:val="28"/>
    </w:rPr>
  </w:style>
  <w:style w:type="paragraph" w:customStyle="1" w:styleId="1470">
    <w:name w:val="正文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471">
    <w:name w:val="ST20_35"/>
    <w:basedOn w:val="58"/>
    <w:qFormat/>
    <w:uiPriority w:val="0"/>
    <w:pPr>
      <w:keepLines/>
      <w:pBdr>
        <w:bottom w:val="none" w:color="auto" w:sz="0" w:space="0"/>
      </w:pBdr>
      <w:tabs>
        <w:tab w:val="center" w:pos="4320"/>
        <w:tab w:val="clear" w:pos="4153"/>
        <w:tab w:val="clear" w:pos="8306"/>
      </w:tabs>
      <w:autoSpaceDE w:val="0"/>
      <w:autoSpaceDN w:val="0"/>
      <w:adjustRightInd w:val="0"/>
      <w:snapToGrid/>
      <w:spacing w:line="360" w:lineRule="atLeast"/>
      <w:textAlignment w:val="baseline"/>
    </w:pPr>
    <w:rPr>
      <w:rFonts w:ascii="宋体" w:hAnsi="Tms Rmn" w:eastAsia="宋体"/>
      <w:kern w:val="0"/>
      <w:sz w:val="28"/>
      <w:szCs w:val="28"/>
    </w:rPr>
  </w:style>
  <w:style w:type="paragraph" w:customStyle="1" w:styleId="1472">
    <w:name w:val="ST20_39"/>
    <w:basedOn w:val="1463"/>
    <w:next w:val="1"/>
    <w:qFormat/>
    <w:uiPriority w:val="0"/>
    <w:pPr>
      <w:spacing w:after="240"/>
    </w:pPr>
  </w:style>
  <w:style w:type="paragraph" w:customStyle="1" w:styleId="1473">
    <w:name w:val="ST20_51"/>
    <w:basedOn w:val="751"/>
    <w:qFormat/>
    <w:uiPriority w:val="0"/>
    <w:pPr>
      <w:ind w:left="1080"/>
    </w:pPr>
  </w:style>
  <w:style w:type="paragraph" w:customStyle="1" w:styleId="1474">
    <w:name w:val="ST20_42"/>
    <w:basedOn w:val="1319"/>
    <w:next w:val="1319"/>
    <w:qFormat/>
    <w:uiPriority w:val="0"/>
    <w:pPr>
      <w:spacing w:before="80"/>
    </w:pPr>
  </w:style>
  <w:style w:type="paragraph" w:customStyle="1" w:styleId="1475">
    <w:name w:val="ST20_44"/>
    <w:basedOn w:val="752"/>
    <w:next w:val="752"/>
    <w:qFormat/>
    <w:uiPriority w:val="0"/>
    <w:pPr>
      <w:spacing w:before="80"/>
    </w:pPr>
  </w:style>
  <w:style w:type="paragraph" w:customStyle="1" w:styleId="1476">
    <w:name w:val="ST20_53"/>
    <w:basedOn w:val="751"/>
    <w:qFormat/>
    <w:uiPriority w:val="0"/>
    <w:pPr>
      <w:ind w:left="1800"/>
    </w:pPr>
  </w:style>
  <w:style w:type="paragraph" w:customStyle="1" w:styleId="1477">
    <w:name w:val="ST20_64"/>
    <w:basedOn w:val="1000"/>
    <w:qFormat/>
    <w:uiPriority w:val="0"/>
    <w:pPr>
      <w:ind w:left="2160"/>
    </w:pPr>
  </w:style>
  <w:style w:type="paragraph" w:customStyle="1" w:styleId="1478">
    <w:name w:val="ST20_58"/>
    <w:basedOn w:val="1319"/>
    <w:qFormat/>
    <w:uiPriority w:val="0"/>
    <w:pPr>
      <w:ind w:left="1440"/>
    </w:pPr>
  </w:style>
  <w:style w:type="paragraph" w:customStyle="1" w:styleId="1479">
    <w:name w:val="ST20_60"/>
    <w:basedOn w:val="1000"/>
    <w:qFormat/>
    <w:uiPriority w:val="0"/>
    <w:pPr>
      <w:ind w:left="1080"/>
    </w:pPr>
  </w:style>
  <w:style w:type="paragraph" w:customStyle="1" w:styleId="1480">
    <w:name w:val="xl124"/>
    <w:basedOn w:val="1"/>
    <w:qFormat/>
    <w:uiPriority w:val="0"/>
    <w:pPr>
      <w:widowControl/>
      <w:pBdr>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481">
    <w:name w:val="Bullet 3"/>
    <w:basedOn w:val="1"/>
    <w:next w:val="1"/>
    <w:qFormat/>
    <w:uiPriority w:val="0"/>
    <w:pPr>
      <w:widowControl/>
      <w:tabs>
        <w:tab w:val="left" w:pos="420"/>
        <w:tab w:val="left" w:pos="1440"/>
      </w:tabs>
      <w:ind w:left="3600"/>
      <w:jc w:val="left"/>
    </w:pPr>
    <w:rPr>
      <w:rFonts w:ascii="Arial" w:hAnsi="Arial" w:eastAsia="宋体"/>
      <w:kern w:val="0"/>
      <w:sz w:val="20"/>
    </w:rPr>
  </w:style>
  <w:style w:type="paragraph" w:customStyle="1" w:styleId="1482">
    <w:name w:val="Bullet1"/>
    <w:basedOn w:val="1"/>
    <w:qFormat/>
    <w:uiPriority w:val="0"/>
    <w:pPr>
      <w:tabs>
        <w:tab w:val="left" w:pos="2337"/>
      </w:tabs>
      <w:ind w:left="2337" w:hanging="552"/>
    </w:pPr>
    <w:rPr>
      <w:rFonts w:eastAsia="宋体"/>
      <w:sz w:val="21"/>
      <w:szCs w:val="24"/>
    </w:rPr>
  </w:style>
  <w:style w:type="paragraph" w:customStyle="1" w:styleId="1483">
    <w:name w:val="ST20_61"/>
    <w:basedOn w:val="753"/>
    <w:qFormat/>
    <w:uiPriority w:val="0"/>
    <w:pPr>
      <w:keepNext/>
    </w:pPr>
  </w:style>
  <w:style w:type="paragraph" w:customStyle="1" w:styleId="1484">
    <w:name w:val="xl109"/>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485">
    <w:name w:val="题注+"/>
    <w:basedOn w:val="22"/>
    <w:next w:val="1"/>
    <w:qFormat/>
    <w:uiPriority w:val="0"/>
    <w:pPr>
      <w:spacing w:before="0" w:after="0" w:line="360" w:lineRule="auto"/>
    </w:pPr>
    <w:rPr>
      <w:rFonts w:eastAsia="宋体" w:cs="Arial"/>
      <w:sz w:val="24"/>
    </w:rPr>
  </w:style>
  <w:style w:type="paragraph" w:customStyle="1" w:styleId="1486">
    <w:name w:val="首消息标题"/>
    <w:basedOn w:val="80"/>
    <w:next w:val="80"/>
    <w:qFormat/>
    <w:uiPriority w:val="0"/>
    <w:pPr>
      <w:keepLines/>
      <w:widowControl/>
      <w:pBdr>
        <w:top w:val="none" w:color="auto" w:sz="0" w:space="0"/>
        <w:left w:val="none" w:color="auto" w:sz="0" w:space="0"/>
        <w:bottom w:val="none" w:color="auto" w:sz="0" w:space="0"/>
        <w:right w:val="none" w:color="auto" w:sz="0" w:space="0"/>
      </w:pBdr>
      <w:shd w:val="clear" w:color="auto" w:fill="auto"/>
      <w:tabs>
        <w:tab w:val="left" w:pos="1045"/>
        <w:tab w:val="right" w:pos="8640"/>
      </w:tabs>
      <w:snapToGrid/>
      <w:spacing w:after="40" w:line="440" w:lineRule="atLeast"/>
      <w:ind w:left="0" w:leftChars="0" w:firstLine="0" w:firstLineChars="0"/>
      <w:jc w:val="left"/>
    </w:pPr>
    <w:rPr>
      <w:b/>
      <w:bCs/>
    </w:rPr>
  </w:style>
  <w:style w:type="paragraph" w:customStyle="1" w:styleId="1487">
    <w:name w:val="标题4，中板"/>
    <w:basedOn w:val="7"/>
    <w:next w:val="1"/>
    <w:qFormat/>
    <w:uiPriority w:val="0"/>
    <w:pPr>
      <w:keepLines w:val="0"/>
      <w:widowControl/>
      <w:tabs>
        <w:tab w:val="left" w:pos="425"/>
        <w:tab w:val="clear" w:pos="4008"/>
      </w:tabs>
      <w:adjustRightInd w:val="0"/>
      <w:snapToGrid w:val="0"/>
      <w:spacing w:before="312" w:beforeLines="100" w:after="240" w:line="360" w:lineRule="auto"/>
      <w:ind w:left="0" w:firstLine="0"/>
      <w:jc w:val="left"/>
    </w:pPr>
    <w:rPr>
      <w:rFonts w:ascii="Times New Roman" w:hAnsi="Times New Roman" w:eastAsia="楷体_GB2312" w:cs="宋体"/>
      <w:color w:val="auto"/>
      <w:kern w:val="0"/>
      <w:szCs w:val="24"/>
    </w:rPr>
  </w:style>
  <w:style w:type="paragraph" w:customStyle="1" w:styleId="1488">
    <w:name w:val="公司名"/>
    <w:basedOn w:val="1489"/>
    <w:qFormat/>
    <w:uiPriority w:val="0"/>
    <w:pPr>
      <w:framePr w:w="3552" w:hSpace="0" w:x="7501" w:y="1009"/>
      <w:pBdr>
        <w:top w:val="single" w:color="auto" w:sz="6" w:space="9"/>
        <w:left w:val="single" w:color="auto" w:sz="6" w:space="9"/>
        <w:bottom w:val="single" w:color="auto" w:sz="6" w:space="9"/>
        <w:right w:val="single" w:color="auto" w:sz="6" w:space="9"/>
      </w:pBdr>
      <w:shd w:val="solid" w:color="auto" w:fill="auto"/>
      <w:tabs>
        <w:tab w:val="left" w:pos="2640"/>
      </w:tabs>
      <w:spacing w:line="320" w:lineRule="exact"/>
    </w:pPr>
    <w:rPr>
      <w:rFonts w:ascii="Arial Black" w:hAnsi="Arial Black" w:eastAsia="黑体"/>
      <w:spacing w:val="0"/>
      <w:position w:val="-2"/>
      <w:sz w:val="32"/>
      <w:szCs w:val="32"/>
    </w:rPr>
  </w:style>
  <w:style w:type="paragraph" w:customStyle="1" w:styleId="1489">
    <w:name w:val="回信地址"/>
    <w:basedOn w:val="1"/>
    <w:qFormat/>
    <w:uiPriority w:val="0"/>
    <w:pPr>
      <w:keepLines/>
      <w:framePr w:w="3073" w:h="450" w:hRule="exact" w:hSpace="180" w:wrap="notBeside" w:vAnchor="page" w:hAnchor="page" w:x="1801" w:y="961" w:anchorLock="1"/>
      <w:widowControl/>
      <w:tabs>
        <w:tab w:val="left" w:pos="2640"/>
      </w:tabs>
      <w:spacing w:line="200" w:lineRule="atLeast"/>
      <w:jc w:val="left"/>
    </w:pPr>
    <w:rPr>
      <w:rFonts w:ascii="Arial" w:hAnsi="Arial" w:eastAsia="宋体"/>
      <w:spacing w:val="-2"/>
      <w:kern w:val="0"/>
      <w:sz w:val="21"/>
      <w:szCs w:val="21"/>
    </w:rPr>
  </w:style>
  <w:style w:type="paragraph" w:customStyle="1" w:styleId="1490">
    <w:name w:val="reader-word-layer reader-word-s1-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91">
    <w:name w:val="xl75"/>
    <w:basedOn w:val="1"/>
    <w:qFormat/>
    <w:uiPriority w:val="0"/>
    <w:pPr>
      <w:widowControl/>
      <w:pBdr>
        <w:top w:val="single" w:color="auto" w:sz="8" w:space="0"/>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492">
    <w:name w:val="文档标签"/>
    <w:basedOn w:val="1493"/>
    <w:qFormat/>
    <w:uiPriority w:val="0"/>
    <w:pPr>
      <w:spacing w:before="400" w:after="120" w:line="240" w:lineRule="atLeast"/>
      <w:ind w:left="-840"/>
    </w:pPr>
    <w:rPr>
      <w:rFonts w:eastAsia="黑体"/>
      <w:b w:val="0"/>
      <w:bCs w:val="0"/>
      <w:spacing w:val="0"/>
      <w:sz w:val="44"/>
      <w:szCs w:val="44"/>
    </w:rPr>
  </w:style>
  <w:style w:type="paragraph" w:customStyle="1" w:styleId="1493">
    <w:name w:val="基准标题"/>
    <w:basedOn w:val="34"/>
    <w:next w:val="34"/>
    <w:qFormat/>
    <w:uiPriority w:val="0"/>
    <w:pPr>
      <w:keepNext/>
      <w:keepLines/>
      <w:widowControl/>
      <w:spacing w:after="0" w:line="180" w:lineRule="atLeast"/>
      <w:jc w:val="left"/>
    </w:pPr>
    <w:rPr>
      <w:rFonts w:ascii="Arial Black" w:hAnsi="Arial Black" w:eastAsia="宋体"/>
      <w:b/>
      <w:bCs/>
      <w:spacing w:val="-10"/>
      <w:kern w:val="28"/>
      <w:sz w:val="24"/>
      <w:szCs w:val="24"/>
    </w:rPr>
  </w:style>
  <w:style w:type="paragraph" w:customStyle="1" w:styleId="1494">
    <w:name w:val="尾消息标题"/>
    <w:basedOn w:val="80"/>
    <w:next w:val="34"/>
    <w:qFormat/>
    <w:uiPriority w:val="0"/>
    <w:pPr>
      <w:keepLines/>
      <w:widowControl/>
      <w:pBdr>
        <w:top w:val="none" w:color="auto" w:sz="0" w:space="0"/>
        <w:left w:val="none" w:color="auto" w:sz="0" w:space="0"/>
        <w:bottom w:val="single" w:color="auto" w:sz="6" w:space="19"/>
        <w:right w:val="none" w:color="auto" w:sz="0" w:space="0"/>
        <w:between w:val="single" w:color="auto" w:sz="6" w:space="19"/>
      </w:pBdr>
      <w:shd w:val="clear" w:color="auto" w:fill="auto"/>
      <w:tabs>
        <w:tab w:val="left" w:pos="1260"/>
        <w:tab w:val="left" w:pos="2940"/>
        <w:tab w:val="left" w:pos="5040"/>
        <w:tab w:val="right" w:pos="8640"/>
      </w:tabs>
      <w:snapToGrid/>
      <w:spacing w:before="120" w:after="120" w:line="440" w:lineRule="atLeast"/>
      <w:ind w:left="0" w:leftChars="0" w:firstLine="0" w:firstLineChars="0"/>
      <w:jc w:val="left"/>
    </w:pPr>
    <w:rPr>
      <w:b/>
      <w:bCs/>
    </w:rPr>
  </w:style>
  <w:style w:type="paragraph" w:customStyle="1" w:styleId="1495">
    <w:name w:val="样式 样式 宋体 四号 黑色 行距: 1.5 倍行距 + 左侧:  0 厘米 首行缩进:  0 厘米"/>
    <w:basedOn w:val="1496"/>
    <w:qFormat/>
    <w:uiPriority w:val="0"/>
    <w:rPr>
      <w:rFonts w:hAnsi="宋体"/>
      <w:b/>
      <w:sz w:val="30"/>
      <w:szCs w:val="30"/>
    </w:rPr>
  </w:style>
  <w:style w:type="paragraph" w:customStyle="1" w:styleId="1496">
    <w:name w:val="样式 宋体 四号 黑色 行距: 1.5 倍行距"/>
    <w:basedOn w:val="1"/>
    <w:qFormat/>
    <w:uiPriority w:val="0"/>
    <w:pPr>
      <w:spacing w:line="360" w:lineRule="auto"/>
    </w:pPr>
    <w:rPr>
      <w:rFonts w:ascii="宋体" w:eastAsia="宋体" w:cs="宋体"/>
      <w:color w:val="000000"/>
    </w:rPr>
  </w:style>
  <w:style w:type="paragraph" w:customStyle="1" w:styleId="1497">
    <w:name w:val="font1"/>
    <w:basedOn w:val="1"/>
    <w:qFormat/>
    <w:uiPriority w:val="0"/>
    <w:pPr>
      <w:widowControl/>
      <w:spacing w:before="100" w:after="100"/>
      <w:jc w:val="left"/>
    </w:pPr>
    <w:rPr>
      <w:rFonts w:ascii="宋体" w:hAnsi="宋体" w:eastAsia="宋体"/>
      <w:kern w:val="0"/>
      <w:sz w:val="24"/>
      <w:szCs w:val="24"/>
    </w:rPr>
  </w:style>
  <w:style w:type="paragraph" w:customStyle="1" w:styleId="1498">
    <w:name w:val="正文首行缩进11"/>
    <w:basedOn w:val="5"/>
    <w:qFormat/>
    <w:uiPriority w:val="0"/>
    <w:pPr>
      <w:tabs>
        <w:tab w:val="left" w:pos="0"/>
      </w:tabs>
      <w:overflowPunct w:val="0"/>
      <w:autoSpaceDE w:val="0"/>
      <w:autoSpaceDN w:val="0"/>
      <w:adjustRightInd w:val="0"/>
      <w:spacing w:before="120" w:line="360" w:lineRule="auto"/>
      <w:ind w:firstLine="567"/>
      <w:textAlignment w:val="baseline"/>
    </w:pPr>
    <w:rPr>
      <w:rFonts w:ascii="宋体" w:hAnsi="Garamond" w:cs="Times New Roman"/>
      <w:spacing w:val="0"/>
      <w:kern w:val="0"/>
      <w:sz w:val="28"/>
    </w:rPr>
  </w:style>
  <w:style w:type="paragraph" w:customStyle="1" w:styleId="1499">
    <w:name w:val="样式 报告书正文 + 首行缩进:  2 字符"/>
    <w:basedOn w:val="1"/>
    <w:qFormat/>
    <w:uiPriority w:val="0"/>
    <w:pPr>
      <w:spacing w:line="360" w:lineRule="auto"/>
      <w:ind w:firstLine="560" w:firstLineChars="200"/>
    </w:pPr>
    <w:rPr>
      <w:rFonts w:eastAsia="宋体"/>
      <w:color w:val="000000"/>
      <w:szCs w:val="28"/>
    </w:rPr>
  </w:style>
  <w:style w:type="paragraph" w:customStyle="1" w:styleId="1500">
    <w:name w:val="样式 自定义缩进 + 黑色 首行缩进:  2 字符"/>
    <w:basedOn w:val="1"/>
    <w:qFormat/>
    <w:uiPriority w:val="0"/>
    <w:pPr>
      <w:spacing w:line="336" w:lineRule="auto"/>
      <w:ind w:firstLine="480" w:firstLineChars="200"/>
      <w:jc w:val="left"/>
    </w:pPr>
    <w:rPr>
      <w:rFonts w:ascii="宋体" w:hAnsi="宋体" w:eastAsia="宋体"/>
      <w:color w:val="000000"/>
      <w:kern w:val="0"/>
    </w:rPr>
  </w:style>
  <w:style w:type="paragraph" w:customStyle="1" w:styleId="1501">
    <w:name w:val="xl110"/>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02">
    <w:name w:val="Name"/>
    <w:basedOn w:val="1"/>
    <w:next w:val="1"/>
    <w:qFormat/>
    <w:uiPriority w:val="0"/>
    <w:pPr>
      <w:widowControl/>
      <w:spacing w:after="440" w:line="240" w:lineRule="atLeast"/>
      <w:ind w:left="2160"/>
      <w:jc w:val="left"/>
    </w:pPr>
    <w:rPr>
      <w:rFonts w:eastAsia="宋体"/>
      <w:spacing w:val="-20"/>
      <w:kern w:val="0"/>
      <w:sz w:val="48"/>
    </w:rPr>
  </w:style>
  <w:style w:type="paragraph" w:customStyle="1" w:styleId="1503">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宋体"/>
      <w:kern w:val="0"/>
      <w:sz w:val="24"/>
      <w:szCs w:val="24"/>
    </w:rPr>
  </w:style>
  <w:style w:type="paragraph" w:customStyle="1" w:styleId="1504">
    <w:name w:val="节以下标题样式"/>
    <w:basedOn w:val="1347"/>
    <w:qFormat/>
    <w:uiPriority w:val="0"/>
    <w:pPr>
      <w:ind w:firstLine="0" w:firstLineChars="0"/>
    </w:pPr>
  </w:style>
  <w:style w:type="paragraph" w:customStyle="1" w:styleId="1505">
    <w:name w:val="样式 标题 3标31.1.1条标题 3 Char Char标题 3 Char + 黑色"/>
    <w:basedOn w:val="6"/>
    <w:qFormat/>
    <w:uiPriority w:val="0"/>
    <w:pPr>
      <w:keepNext w:val="0"/>
      <w:keepLines w:val="0"/>
      <w:widowControl/>
      <w:spacing w:before="0" w:after="0" w:line="336" w:lineRule="auto"/>
      <w:ind w:left="0" w:firstLine="0"/>
      <w:jc w:val="left"/>
    </w:pPr>
    <w:rPr>
      <w:rFonts w:ascii="宋体" w:hAnsi="宋体" w:eastAsia="宋体"/>
      <w:b w:val="0"/>
      <w:bCs w:val="0"/>
      <w:color w:val="000000"/>
      <w:kern w:val="0"/>
      <w:sz w:val="28"/>
      <w:szCs w:val="24"/>
    </w:rPr>
  </w:style>
  <w:style w:type="paragraph" w:customStyle="1" w:styleId="1506">
    <w:name w:val="xl71"/>
    <w:basedOn w:val="1"/>
    <w:qFormat/>
    <w:uiPriority w:val="0"/>
    <w:pPr>
      <w:widowControl/>
      <w:pBdr>
        <w:top w:val="single" w:color="auto" w:sz="4" w:space="0"/>
        <w:left w:val="single" w:color="auto" w:sz="4" w:space="0"/>
        <w:bottom w:val="single" w:color="auto" w:sz="4" w:space="0"/>
        <w:right w:val="single" w:color="auto" w:sz="4" w:space="0"/>
      </w:pBdr>
      <w:spacing w:before="100" w:after="100"/>
      <w:jc w:val="left"/>
    </w:pPr>
    <w:rPr>
      <w:rFonts w:ascii="宋体" w:hAnsi="宋体" w:eastAsia="宋体"/>
      <w:b/>
      <w:kern w:val="0"/>
      <w:sz w:val="18"/>
    </w:rPr>
  </w:style>
  <w:style w:type="paragraph" w:customStyle="1" w:styleId="1507">
    <w:name w:val="xl8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黑体" w:hAnsi="宋体" w:eastAsia="黑体" w:cs="宋体"/>
      <w:kern w:val="0"/>
      <w:sz w:val="20"/>
    </w:rPr>
  </w:style>
  <w:style w:type="paragraph" w:customStyle="1" w:styleId="1508">
    <w:name w:val="标题 2.1.1"/>
    <w:basedOn w:val="884"/>
    <w:qFormat/>
    <w:uiPriority w:val="0"/>
    <w:pPr>
      <w:tabs>
        <w:tab w:val="left" w:pos="1890"/>
        <w:tab w:val="clear" w:pos="3092"/>
      </w:tabs>
      <w:ind w:left="907" w:firstLine="353"/>
    </w:pPr>
  </w:style>
  <w:style w:type="paragraph" w:customStyle="1" w:styleId="1509">
    <w:name w:val="Paragraph 1"/>
    <w:basedOn w:val="1"/>
    <w:qFormat/>
    <w:uiPriority w:val="0"/>
    <w:pPr>
      <w:widowControl/>
      <w:spacing w:after="120"/>
      <w:ind w:left="720"/>
    </w:pPr>
    <w:rPr>
      <w:rFonts w:ascii="Arial" w:hAnsi="Arial" w:eastAsia="宋体"/>
      <w:kern w:val="0"/>
      <w:sz w:val="22"/>
    </w:rPr>
  </w:style>
  <w:style w:type="paragraph" w:customStyle="1" w:styleId="1510">
    <w:name w:val="表内5"/>
    <w:basedOn w:val="1"/>
    <w:qFormat/>
    <w:uiPriority w:val="0"/>
    <w:pPr>
      <w:adjustRightInd w:val="0"/>
      <w:snapToGrid w:val="0"/>
      <w:spacing w:beforeLines="20" w:line="300" w:lineRule="auto"/>
      <w:jc w:val="center"/>
      <w:textAlignment w:val="baseline"/>
    </w:pPr>
    <w:rPr>
      <w:rFonts w:ascii="宋体" w:eastAsia="宋体"/>
      <w:sz w:val="21"/>
    </w:rPr>
  </w:style>
  <w:style w:type="paragraph" w:customStyle="1" w:styleId="1511">
    <w:name w:val="xl144"/>
    <w:basedOn w:val="1"/>
    <w:qFormat/>
    <w:uiPriority w:val="0"/>
    <w:pPr>
      <w:widowControl/>
      <w:pBdr>
        <w:bottom w:val="single" w:color="auto" w:sz="8" w:space="0"/>
      </w:pBdr>
      <w:spacing w:before="100" w:beforeAutospacing="1" w:after="100" w:afterAutospacing="1"/>
      <w:jc w:val="left"/>
    </w:pPr>
    <w:rPr>
      <w:rFonts w:ascii="Arial" w:hAnsi="Arial" w:eastAsia="宋体" w:cs="Arial"/>
      <w:kern w:val="0"/>
      <w:sz w:val="24"/>
      <w:szCs w:val="24"/>
    </w:rPr>
  </w:style>
  <w:style w:type="paragraph" w:customStyle="1" w:styleId="1512">
    <w:name w:val="xl118"/>
    <w:basedOn w:val="1"/>
    <w:qFormat/>
    <w:uiPriority w:val="0"/>
    <w:pPr>
      <w:widowControl/>
      <w:pBdr>
        <w:left w:val="single" w:color="auto" w:sz="4" w:space="0"/>
        <w:bottom w:val="single" w:color="auto" w:sz="8"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13">
    <w:name w:val="No Title"/>
    <w:basedOn w:val="1"/>
    <w:qFormat/>
    <w:uiPriority w:val="0"/>
    <w:pPr>
      <w:widowControl/>
      <w:pBdr>
        <w:top w:val="single" w:color="FFFFFF" w:sz="6" w:space="2"/>
        <w:left w:val="single" w:color="FFFFFF" w:sz="6" w:space="2"/>
        <w:bottom w:val="single" w:color="FFFFFF" w:sz="6" w:space="2"/>
        <w:right w:val="single" w:color="FFFFFF" w:sz="6" w:space="2"/>
      </w:pBdr>
      <w:spacing w:before="120" w:line="280" w:lineRule="atLeast"/>
      <w:jc w:val="left"/>
    </w:pPr>
    <w:rPr>
      <w:rFonts w:ascii="Arial" w:hAnsi="Arial" w:eastAsia="宋体"/>
      <w:b/>
      <w:spacing w:val="-10"/>
      <w:kern w:val="0"/>
      <w:position w:val="7"/>
      <w:sz w:val="20"/>
    </w:rPr>
  </w:style>
  <w:style w:type="paragraph" w:customStyle="1" w:styleId="1514">
    <w:name w:val="Bullet 2"/>
    <w:basedOn w:val="1"/>
    <w:next w:val="1"/>
    <w:qFormat/>
    <w:uiPriority w:val="0"/>
    <w:pPr>
      <w:widowControl/>
      <w:tabs>
        <w:tab w:val="left" w:pos="420"/>
        <w:tab w:val="left" w:pos="1440"/>
      </w:tabs>
      <w:ind w:left="2880"/>
      <w:jc w:val="left"/>
    </w:pPr>
    <w:rPr>
      <w:rFonts w:ascii="Arial" w:hAnsi="Arial" w:eastAsia="宋体"/>
      <w:kern w:val="0"/>
      <w:sz w:val="20"/>
    </w:rPr>
  </w:style>
  <w:style w:type="paragraph" w:customStyle="1" w:styleId="1515">
    <w:name w:val="表头居中"/>
    <w:basedOn w:val="1"/>
    <w:qFormat/>
    <w:uiPriority w:val="0"/>
    <w:pPr>
      <w:tabs>
        <w:tab w:val="left" w:pos="5280"/>
      </w:tabs>
      <w:spacing w:line="360" w:lineRule="auto"/>
      <w:jc w:val="center"/>
    </w:pPr>
    <w:rPr>
      <w:rFonts w:ascii="Arial" w:hAnsi="Arial" w:eastAsia="宋体" w:cs="宋体"/>
      <w:b/>
      <w:sz w:val="24"/>
    </w:rPr>
  </w:style>
  <w:style w:type="paragraph" w:customStyle="1" w:styleId="1516">
    <w:name w:val="样式 目录 1 + 小四"/>
    <w:basedOn w:val="60"/>
    <w:qFormat/>
    <w:uiPriority w:val="0"/>
    <w:pPr>
      <w:tabs>
        <w:tab w:val="right" w:leader="dot" w:pos="9240"/>
        <w:tab w:val="clear" w:pos="1120"/>
        <w:tab w:val="clear" w:pos="8767"/>
      </w:tabs>
      <w:spacing w:before="120" w:after="120" w:line="360" w:lineRule="auto"/>
    </w:pPr>
    <w:rPr>
      <w:rFonts w:hAnsi="Times New Roman"/>
      <w:sz w:val="28"/>
      <w:szCs w:val="28"/>
    </w:rPr>
  </w:style>
  <w:style w:type="paragraph" w:customStyle="1" w:styleId="1517">
    <w:name w:val="茅工页眉"/>
    <w:basedOn w:val="58"/>
    <w:qFormat/>
    <w:uiPriority w:val="0"/>
    <w:pPr>
      <w:tabs>
        <w:tab w:val="center" w:pos="4819"/>
        <w:tab w:val="right" w:pos="9071"/>
        <w:tab w:val="clear" w:pos="4153"/>
        <w:tab w:val="clear" w:pos="8306"/>
      </w:tabs>
      <w:adjustRightInd w:val="0"/>
      <w:snapToGrid/>
      <w:spacing w:line="240" w:lineRule="atLeast"/>
      <w:jc w:val="both"/>
      <w:textAlignment w:val="baseline"/>
    </w:pPr>
    <w:rPr>
      <w:rFonts w:eastAsia="宋体"/>
      <w:kern w:val="0"/>
      <w:sz w:val="21"/>
    </w:rPr>
  </w:style>
  <w:style w:type="paragraph" w:customStyle="1" w:styleId="1518">
    <w:name w:val="xl67"/>
    <w:basedOn w:val="1"/>
    <w:qFormat/>
    <w:uiPriority w:val="0"/>
    <w:pPr>
      <w:widowControl/>
      <w:pBdr>
        <w:top w:val="single" w:color="auto" w:sz="4" w:space="0"/>
        <w:bottom w:val="single" w:color="auto" w:sz="4" w:space="0"/>
        <w:right w:val="single" w:color="auto" w:sz="4" w:space="0"/>
      </w:pBdr>
      <w:shd w:val="pct10" w:color="FFFFFF" w:fill="auto"/>
      <w:spacing w:before="100" w:beforeAutospacing="1" w:after="100" w:afterAutospacing="1"/>
      <w:jc w:val="left"/>
    </w:pPr>
    <w:rPr>
      <w:rFonts w:ascii="Arial Narrow" w:hAnsi="Arial Narrow" w:eastAsia="宋体"/>
      <w:kern w:val="0"/>
      <w:sz w:val="18"/>
      <w:szCs w:val="18"/>
    </w:rPr>
  </w:style>
  <w:style w:type="paragraph" w:customStyle="1" w:styleId="1519">
    <w:name w:val="xl68"/>
    <w:basedOn w:val="1"/>
    <w:qFormat/>
    <w:uiPriority w:val="0"/>
    <w:pPr>
      <w:widowControl/>
      <w:pBdr>
        <w:top w:val="single" w:color="auto" w:sz="4" w:space="0"/>
        <w:bottom w:val="single" w:color="auto" w:sz="4" w:space="0"/>
        <w:right w:val="single" w:color="auto" w:sz="4" w:space="0"/>
      </w:pBdr>
      <w:shd w:val="clear" w:color="FFFFFF" w:fill="auto"/>
      <w:spacing w:before="100" w:beforeAutospacing="1" w:after="100" w:afterAutospacing="1"/>
      <w:jc w:val="left"/>
    </w:pPr>
    <w:rPr>
      <w:rFonts w:hint="eastAsia" w:ascii="宋体" w:hAnsi="宋体" w:eastAsia="宋体"/>
      <w:kern w:val="0"/>
      <w:sz w:val="18"/>
      <w:szCs w:val="18"/>
    </w:rPr>
  </w:style>
  <w:style w:type="paragraph" w:customStyle="1" w:styleId="1520">
    <w:name w:val="kk"/>
    <w:basedOn w:val="34"/>
    <w:qFormat/>
    <w:uiPriority w:val="0"/>
    <w:pPr>
      <w:autoSpaceDE w:val="0"/>
      <w:autoSpaceDN w:val="0"/>
      <w:adjustRightInd w:val="0"/>
      <w:spacing w:after="0" w:line="360" w:lineRule="auto"/>
      <w:textAlignment w:val="baseline"/>
    </w:pPr>
    <w:rPr>
      <w:rFonts w:eastAsia="宋体"/>
      <w:spacing w:val="10"/>
      <w:kern w:val="0"/>
      <w:sz w:val="24"/>
    </w:rPr>
  </w:style>
  <w:style w:type="paragraph" w:customStyle="1" w:styleId="1521">
    <w:name w:val="xl70"/>
    <w:basedOn w:val="1"/>
    <w:qFormat/>
    <w:uiPriority w:val="0"/>
    <w:pPr>
      <w:widowControl/>
      <w:pBdr>
        <w:top w:val="single" w:color="auto" w:sz="4" w:space="0"/>
        <w:left w:val="single" w:color="auto" w:sz="8" w:space="0"/>
        <w:bottom w:val="single" w:color="auto" w:sz="8" w:space="0"/>
        <w:right w:val="single" w:color="auto" w:sz="4" w:space="0"/>
      </w:pBdr>
      <w:shd w:val="pct10" w:color="FFFFFF" w:fill="auto"/>
      <w:spacing w:before="100" w:beforeAutospacing="1" w:after="100" w:afterAutospacing="1"/>
      <w:jc w:val="left"/>
    </w:pPr>
    <w:rPr>
      <w:rFonts w:hint="eastAsia" w:ascii="宋体" w:hAnsi="宋体" w:eastAsia="宋体"/>
      <w:kern w:val="0"/>
      <w:sz w:val="18"/>
      <w:szCs w:val="18"/>
    </w:rPr>
  </w:style>
  <w:style w:type="paragraph" w:customStyle="1" w:styleId="1522">
    <w:name w:val="_point"/>
    <w:qFormat/>
    <w:uiPriority w:val="0"/>
    <w:pPr>
      <w:ind w:left="1418" w:hanging="284"/>
      <w:jc w:val="both"/>
    </w:pPr>
    <w:rPr>
      <w:rFonts w:ascii="Times New Roman" w:hAnsi="Times New Roman" w:eastAsia="宋体" w:cs="Times New Roman"/>
      <w:sz w:val="24"/>
      <w:lang w:val="fr-FR" w:eastAsia="zh-CN" w:bidi="ar-SA"/>
    </w:rPr>
  </w:style>
  <w:style w:type="paragraph" w:customStyle="1" w:styleId="1523">
    <w:name w:val="c条2"/>
    <w:basedOn w:val="1"/>
    <w:next w:val="1"/>
    <w:qFormat/>
    <w:uiPriority w:val="0"/>
    <w:pPr>
      <w:spacing w:line="360" w:lineRule="auto"/>
      <w:outlineLvl w:val="2"/>
    </w:pPr>
    <w:rPr>
      <w:rFonts w:ascii="黑体" w:hAnsi="宋体" w:eastAsia="宋体"/>
      <w:sz w:val="24"/>
      <w:szCs w:val="21"/>
    </w:rPr>
  </w:style>
  <w:style w:type="paragraph" w:customStyle="1" w:styleId="1524">
    <w:name w:val="Cc List"/>
    <w:basedOn w:val="1"/>
    <w:qFormat/>
    <w:uiPriority w:val="0"/>
    <w:pPr>
      <w:widowControl/>
    </w:pPr>
    <w:rPr>
      <w:rFonts w:ascii="Arial" w:hAnsi="Arial" w:eastAsia="宋体"/>
      <w:kern w:val="0"/>
      <w:sz w:val="22"/>
    </w:rPr>
  </w:style>
  <w:style w:type="paragraph" w:customStyle="1" w:styleId="1525">
    <w:name w:val="ksheet"/>
    <w:basedOn w:val="1"/>
    <w:qFormat/>
    <w:uiPriority w:val="0"/>
    <w:pPr>
      <w:autoSpaceDE w:val="0"/>
      <w:autoSpaceDN w:val="0"/>
      <w:adjustRightInd w:val="0"/>
      <w:spacing w:line="300" w:lineRule="exact"/>
      <w:jc w:val="center"/>
      <w:textAlignment w:val="baseline"/>
    </w:pPr>
    <w:rPr>
      <w:rFonts w:ascii="宋体" w:eastAsia="宋体"/>
      <w:color w:val="000000"/>
      <w:kern w:val="0"/>
      <w:sz w:val="21"/>
    </w:rPr>
  </w:style>
  <w:style w:type="paragraph" w:customStyle="1" w:styleId="1526">
    <w:name w:val="Reference Initials"/>
    <w:basedOn w:val="1"/>
    <w:qFormat/>
    <w:uiPriority w:val="0"/>
    <w:pPr>
      <w:widowControl/>
    </w:pPr>
    <w:rPr>
      <w:rFonts w:ascii="Arial" w:hAnsi="Arial" w:eastAsia="宋体"/>
      <w:kern w:val="0"/>
      <w:sz w:val="22"/>
    </w:rPr>
  </w:style>
  <w:style w:type="paragraph" w:customStyle="1" w:styleId="1527">
    <w:name w:val="Enclosure"/>
    <w:basedOn w:val="1"/>
    <w:qFormat/>
    <w:uiPriority w:val="0"/>
    <w:pPr>
      <w:widowControl/>
    </w:pPr>
    <w:rPr>
      <w:rFonts w:ascii="Arial" w:hAnsi="Arial" w:eastAsia="宋体"/>
      <w:kern w:val="0"/>
      <w:sz w:val="22"/>
    </w:rPr>
  </w:style>
  <w:style w:type="paragraph" w:customStyle="1" w:styleId="1528">
    <w:name w:val="CM106"/>
    <w:basedOn w:val="762"/>
    <w:next w:val="762"/>
    <w:qFormat/>
    <w:uiPriority w:val="0"/>
    <w:pPr>
      <w:spacing w:line="626" w:lineRule="atLeast"/>
    </w:pPr>
    <w:rPr>
      <w:rFonts w:ascii="á￥êé" w:eastAsia="á￥êé"/>
    </w:rPr>
  </w:style>
  <w:style w:type="paragraph" w:customStyle="1" w:styleId="1529">
    <w:name w:val="xl101"/>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30">
    <w:name w:val="xl167"/>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531">
    <w:name w:val="CM107"/>
    <w:basedOn w:val="762"/>
    <w:next w:val="762"/>
    <w:qFormat/>
    <w:uiPriority w:val="0"/>
    <w:pPr>
      <w:spacing w:line="626" w:lineRule="atLeast"/>
    </w:pPr>
    <w:rPr>
      <w:rFonts w:ascii="á￥êé" w:eastAsia="á￥êé"/>
    </w:rPr>
  </w:style>
  <w:style w:type="paragraph" w:customStyle="1" w:styleId="1532">
    <w:name w:val="CM21"/>
    <w:basedOn w:val="762"/>
    <w:next w:val="762"/>
    <w:qFormat/>
    <w:uiPriority w:val="0"/>
    <w:pPr>
      <w:spacing w:line="666" w:lineRule="atLeast"/>
    </w:pPr>
    <w:rPr>
      <w:rFonts w:ascii="á￥êé" w:eastAsia="á￥êé"/>
    </w:rPr>
  </w:style>
  <w:style w:type="paragraph" w:customStyle="1" w:styleId="1533">
    <w:name w:val="reader-word-layer reader-word-s1-6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534">
    <w:name w:val="*Insertion tableau"/>
    <w:qFormat/>
    <w:uiPriority w:val="0"/>
    <w:pPr>
      <w:spacing w:line="280" w:lineRule="atLeast"/>
    </w:pPr>
    <w:rPr>
      <w:rFonts w:ascii="Times New Roman" w:hAnsi="Times New Roman" w:eastAsia="宋体" w:cs="Times New Roman"/>
      <w:sz w:val="24"/>
      <w:lang w:val="fr-FR" w:eastAsia="zh-CN" w:bidi="ar-SA"/>
    </w:rPr>
  </w:style>
  <w:style w:type="paragraph" w:customStyle="1" w:styleId="1535">
    <w:name w:val="Objective"/>
    <w:basedOn w:val="1"/>
    <w:next w:val="34"/>
    <w:qFormat/>
    <w:uiPriority w:val="0"/>
    <w:pPr>
      <w:widowControl/>
      <w:spacing w:before="220" w:after="220" w:line="220" w:lineRule="atLeast"/>
      <w:jc w:val="left"/>
    </w:pPr>
    <w:rPr>
      <w:rFonts w:eastAsia="宋体"/>
      <w:kern w:val="0"/>
      <w:sz w:val="20"/>
    </w:rPr>
  </w:style>
  <w:style w:type="paragraph" w:customStyle="1" w:styleId="1536">
    <w:name w:val="xl72"/>
    <w:basedOn w:val="1"/>
    <w:qFormat/>
    <w:uiPriority w:val="0"/>
    <w:pPr>
      <w:widowControl/>
      <w:pBdr>
        <w:top w:val="single" w:color="auto" w:sz="4" w:space="0"/>
        <w:left w:val="single" w:color="auto" w:sz="4" w:space="0"/>
        <w:right w:val="single" w:color="auto" w:sz="4" w:space="0"/>
      </w:pBdr>
      <w:spacing w:before="100" w:after="100"/>
      <w:jc w:val="center"/>
    </w:pPr>
    <w:rPr>
      <w:rFonts w:eastAsia="宋体"/>
      <w:kern w:val="0"/>
      <w:sz w:val="24"/>
    </w:rPr>
  </w:style>
  <w:style w:type="paragraph" w:customStyle="1" w:styleId="1537">
    <w:name w:val="xl86"/>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38">
    <w:name w:val="xl105"/>
    <w:basedOn w:val="1"/>
    <w:qFormat/>
    <w:uiPriority w:val="0"/>
    <w:pPr>
      <w:widowControl/>
      <w:pBdr>
        <w:top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39">
    <w:name w:val="xl94"/>
    <w:basedOn w:val="1"/>
    <w:qFormat/>
    <w:uiPriority w:val="0"/>
    <w:pPr>
      <w:widowControl/>
      <w:pBdr>
        <w:top w:val="single" w:color="auto" w:sz="4" w:space="0"/>
        <w:bottom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540">
    <w:name w:val="xl121"/>
    <w:basedOn w:val="1"/>
    <w:qFormat/>
    <w:uiPriority w:val="0"/>
    <w:pPr>
      <w:widowControl/>
      <w:pBdr>
        <w:left w:val="single" w:color="auto" w:sz="4" w:space="0"/>
        <w:bottom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1541">
    <w:name w:val="章(一级)"/>
    <w:basedOn w:val="3"/>
    <w:next w:val="1"/>
    <w:qFormat/>
    <w:uiPriority w:val="0"/>
    <w:pPr>
      <w:keepNext w:val="0"/>
      <w:keepLines w:val="0"/>
      <w:pageBreakBefore w:val="0"/>
      <w:widowControl/>
      <w:spacing w:before="0" w:after="0" w:line="400" w:lineRule="exact"/>
      <w:ind w:left="0" w:firstLine="240"/>
      <w:jc w:val="left"/>
    </w:pPr>
    <w:rPr>
      <w:rFonts w:ascii="黑体" w:eastAsia="黑体"/>
      <w:kern w:val="0"/>
      <w:sz w:val="24"/>
    </w:rPr>
  </w:style>
  <w:style w:type="paragraph" w:customStyle="1" w:styleId="1542">
    <w:name w:val="xl123"/>
    <w:basedOn w:val="1"/>
    <w:qFormat/>
    <w:uiPriority w:val="0"/>
    <w:pPr>
      <w:widowControl/>
      <w:pBdr>
        <w:left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43">
    <w:name w:val="表内序号"/>
    <w:basedOn w:val="1"/>
    <w:qFormat/>
    <w:uiPriority w:val="0"/>
    <w:pPr>
      <w:jc w:val="center"/>
    </w:pPr>
    <w:rPr>
      <w:rFonts w:eastAsia="宋体"/>
      <w:color w:val="000000"/>
      <w:sz w:val="21"/>
    </w:rPr>
  </w:style>
  <w:style w:type="paragraph" w:customStyle="1" w:styleId="1544">
    <w:name w:val="Numbered List 1"/>
    <w:basedOn w:val="5"/>
    <w:qFormat/>
    <w:uiPriority w:val="0"/>
    <w:pPr>
      <w:widowControl/>
      <w:tabs>
        <w:tab w:val="left" w:pos="420"/>
      </w:tabs>
      <w:spacing w:after="120" w:line="0" w:lineRule="atLeast"/>
      <w:ind w:firstLine="0"/>
      <w:jc w:val="left"/>
    </w:pPr>
    <w:rPr>
      <w:rFonts w:ascii="Times New Roman" w:hAnsi="Times New Roman" w:cs="Times New Roman"/>
      <w:spacing w:val="0"/>
      <w:kern w:val="0"/>
      <w:u w:val="single"/>
      <w:lang w:val="en-GB"/>
    </w:rPr>
  </w:style>
  <w:style w:type="paragraph" w:customStyle="1" w:styleId="1545">
    <w:name w:val="条文1"/>
    <w:basedOn w:val="7"/>
    <w:qFormat/>
    <w:uiPriority w:val="0"/>
    <w:pPr>
      <w:keepNext w:val="0"/>
      <w:keepLines w:val="0"/>
      <w:adjustRightInd w:val="0"/>
      <w:spacing w:line="460" w:lineRule="exact"/>
      <w:ind w:left="907" w:hanging="425"/>
      <w:jc w:val="both"/>
      <w:textAlignment w:val="baseline"/>
      <w:outlineLvl w:val="9"/>
    </w:pPr>
    <w:rPr>
      <w:rFonts w:ascii="宋体" w:hAnsi="Times New Roman" w:eastAsia="宋体"/>
      <w:b w:val="0"/>
      <w:color w:val="auto"/>
      <w:kern w:val="0"/>
      <w:sz w:val="26"/>
    </w:rPr>
  </w:style>
  <w:style w:type="paragraph" w:customStyle="1" w:styleId="1546">
    <w:name w:val="xl97"/>
    <w:basedOn w:val="1"/>
    <w:qFormat/>
    <w:uiPriority w:val="0"/>
    <w:pPr>
      <w:widowControl/>
      <w:pBdr>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547">
    <w:name w:val="Address 2"/>
    <w:basedOn w:val="1"/>
    <w:qFormat/>
    <w:uiPriority w:val="0"/>
    <w:pPr>
      <w:framePr w:w="2405" w:wrap="notBeside" w:vAnchor="page" w:hAnchor="page" w:x="5761" w:y="1009" w:anchorLock="1"/>
      <w:widowControl/>
      <w:spacing w:line="200" w:lineRule="atLeast"/>
      <w:jc w:val="left"/>
    </w:pPr>
    <w:rPr>
      <w:rFonts w:eastAsia="宋体"/>
      <w:kern w:val="0"/>
      <w:sz w:val="16"/>
    </w:rPr>
  </w:style>
  <w:style w:type="paragraph" w:customStyle="1" w:styleId="1548">
    <w:name w:val="条(二级)"/>
    <w:basedOn w:val="4"/>
    <w:next w:val="1103"/>
    <w:qFormat/>
    <w:uiPriority w:val="0"/>
    <w:pPr>
      <w:tabs>
        <w:tab w:val="left" w:pos="1246"/>
      </w:tabs>
      <w:adjustRightInd w:val="0"/>
      <w:spacing w:before="0" w:after="0" w:afterLines="50" w:line="460" w:lineRule="exact"/>
      <w:ind w:left="0" w:firstLine="0"/>
      <w:jc w:val="center"/>
      <w:textAlignment w:val="baseline"/>
      <w:outlineLvl w:val="9"/>
    </w:pPr>
    <w:rPr>
      <w:rFonts w:ascii="宋体" w:hAnsi="Times New Roman"/>
      <w:kern w:val="0"/>
      <w:sz w:val="26"/>
    </w:rPr>
  </w:style>
  <w:style w:type="paragraph" w:customStyle="1" w:styleId="1549">
    <w:name w:val="档案号"/>
    <w:basedOn w:val="58"/>
    <w:qFormat/>
    <w:uiPriority w:val="0"/>
    <w:pPr>
      <w:pBdr>
        <w:bottom w:val="none" w:color="auto" w:sz="0" w:space="0"/>
      </w:pBdr>
      <w:tabs>
        <w:tab w:val="center" w:pos="4320"/>
        <w:tab w:val="right" w:pos="8640"/>
        <w:tab w:val="clear" w:pos="4153"/>
        <w:tab w:val="clear" w:pos="8306"/>
      </w:tabs>
      <w:adjustRightInd w:val="0"/>
      <w:snapToGrid/>
      <w:spacing w:line="460" w:lineRule="exact"/>
      <w:jc w:val="right"/>
      <w:textAlignment w:val="baseline"/>
    </w:pPr>
    <w:rPr>
      <w:rFonts w:ascii="宋体" w:hAnsi="Arial" w:eastAsia="宋体"/>
      <w:spacing w:val="3"/>
      <w:kern w:val="24"/>
      <w:sz w:val="24"/>
    </w:rPr>
  </w:style>
  <w:style w:type="paragraph" w:customStyle="1" w:styleId="1550">
    <w:name w:val="正文 1"/>
    <w:basedOn w:val="1"/>
    <w:qFormat/>
    <w:uiPriority w:val="0"/>
    <w:pPr>
      <w:adjustRightInd w:val="0"/>
      <w:spacing w:before="60" w:after="60" w:line="312" w:lineRule="auto"/>
      <w:ind w:firstLine="601"/>
      <w:jc w:val="left"/>
      <w:textAlignment w:val="baseline"/>
    </w:pPr>
    <w:rPr>
      <w:rFonts w:eastAsia="宋体"/>
      <w:kern w:val="0"/>
    </w:rPr>
  </w:style>
  <w:style w:type="paragraph" w:customStyle="1" w:styleId="1551">
    <w:name w:val="xl122"/>
    <w:basedOn w:val="1"/>
    <w:qFormat/>
    <w:uiPriority w:val="0"/>
    <w:pPr>
      <w:widowControl/>
      <w:pBdr>
        <w:bottom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552">
    <w:name w:val="City/State"/>
    <w:basedOn w:val="34"/>
    <w:next w:val="34"/>
    <w:qFormat/>
    <w:uiPriority w:val="0"/>
    <w:pPr>
      <w:keepNext/>
      <w:widowControl/>
      <w:spacing w:after="220" w:line="220" w:lineRule="atLeast"/>
      <w:ind w:right="-360"/>
      <w:jc w:val="left"/>
    </w:pPr>
    <w:rPr>
      <w:rFonts w:eastAsia="宋体"/>
      <w:kern w:val="0"/>
      <w:sz w:val="20"/>
    </w:rPr>
  </w:style>
  <w:style w:type="paragraph" w:customStyle="1" w:styleId="1553">
    <w:name w:val="表格文字自调"/>
    <w:basedOn w:val="46"/>
    <w:qFormat/>
    <w:uiPriority w:val="0"/>
    <w:pPr>
      <w:ind w:right="-273" w:rightChars="-130"/>
    </w:pPr>
    <w:rPr>
      <w:rFonts w:hAnsi="宋体"/>
      <w:sz w:val="24"/>
      <w:szCs w:val="24"/>
    </w:rPr>
  </w:style>
  <w:style w:type="paragraph" w:customStyle="1" w:styleId="1554">
    <w:name w:val="Institution"/>
    <w:basedOn w:val="1"/>
    <w:next w:val="1402"/>
    <w:qFormat/>
    <w:uiPriority w:val="0"/>
    <w:pPr>
      <w:widowControl/>
      <w:tabs>
        <w:tab w:val="left" w:pos="2160"/>
        <w:tab w:val="right" w:pos="6480"/>
      </w:tabs>
      <w:spacing w:before="220" w:after="60" w:line="220" w:lineRule="atLeast"/>
      <w:ind w:right="-360"/>
      <w:jc w:val="left"/>
    </w:pPr>
    <w:rPr>
      <w:rFonts w:eastAsia="宋体"/>
      <w:kern w:val="0"/>
      <w:sz w:val="20"/>
    </w:rPr>
  </w:style>
  <w:style w:type="paragraph" w:customStyle="1" w:styleId="1555">
    <w:name w:val="Job Title"/>
    <w:next w:val="1402"/>
    <w:qFormat/>
    <w:uiPriority w:val="0"/>
    <w:pPr>
      <w:spacing w:after="40" w:line="220" w:lineRule="atLeast"/>
    </w:pPr>
    <w:rPr>
      <w:rFonts w:ascii="Arial" w:hAnsi="Arial" w:eastAsia="宋体" w:cs="Times New Roman"/>
      <w:b/>
      <w:spacing w:val="-10"/>
      <w:lang w:val="en-US" w:eastAsia="zh-CN" w:bidi="ar-SA"/>
    </w:rPr>
  </w:style>
  <w:style w:type="paragraph" w:customStyle="1" w:styleId="1556">
    <w:name w:val="xl113"/>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557">
    <w:name w:val="xl147"/>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558">
    <w:name w:val="xl132"/>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559">
    <w:name w:val="xl100"/>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60">
    <w:name w:val="_puce (1er niveau)"/>
    <w:qFormat/>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1561">
    <w:name w:val="_tiret (2e niveau)"/>
    <w:qFormat/>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1562">
    <w:name w:val="xl108"/>
    <w:basedOn w:val="1"/>
    <w:qFormat/>
    <w:uiPriority w:val="0"/>
    <w:pPr>
      <w:widowControl/>
      <w:pBdr>
        <w:top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63">
    <w:name w:val="*Centrage"/>
    <w:qFormat/>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1564">
    <w:name w:val="Titre Prem Page"/>
    <w:basedOn w:val="1"/>
    <w:qFormat/>
    <w:uiPriority w:val="0"/>
    <w:pPr>
      <w:widowControl/>
      <w:tabs>
        <w:tab w:val="center" w:pos="9923"/>
      </w:tabs>
      <w:jc w:val="center"/>
    </w:pPr>
    <w:rPr>
      <w:rFonts w:ascii="Times" w:hAnsi="Times" w:eastAsia="宋体"/>
      <w:b/>
      <w:color w:val="000000"/>
      <w:kern w:val="0"/>
      <w:sz w:val="48"/>
      <w:lang w:val="fr-FR"/>
    </w:rPr>
  </w:style>
  <w:style w:type="paragraph" w:customStyle="1" w:styleId="1565">
    <w:name w:val="环保篇"/>
    <w:basedOn w:val="1"/>
    <w:next w:val="1"/>
    <w:qFormat/>
    <w:uiPriority w:val="0"/>
    <w:pPr>
      <w:spacing w:line="360" w:lineRule="auto"/>
      <w:ind w:firstLine="200" w:firstLineChars="200"/>
    </w:pPr>
    <w:rPr>
      <w:rFonts w:eastAsia="宋体"/>
      <w:szCs w:val="28"/>
    </w:rPr>
  </w:style>
  <w:style w:type="paragraph" w:customStyle="1" w:styleId="1566">
    <w:name w:val="条文2"/>
    <w:basedOn w:val="7"/>
    <w:qFormat/>
    <w:uiPriority w:val="0"/>
    <w:pPr>
      <w:keepNext w:val="0"/>
      <w:keepLines w:val="0"/>
      <w:adjustRightInd w:val="0"/>
      <w:spacing w:line="460" w:lineRule="exact"/>
      <w:ind w:left="1151" w:hanging="425"/>
      <w:jc w:val="left"/>
      <w:textAlignment w:val="baseline"/>
      <w:outlineLvl w:val="9"/>
    </w:pPr>
    <w:rPr>
      <w:rFonts w:ascii="宋体" w:eastAsia="宋体"/>
      <w:b w:val="0"/>
      <w:color w:val="auto"/>
      <w:spacing w:val="3"/>
      <w:kern w:val="24"/>
    </w:rPr>
  </w:style>
  <w:style w:type="paragraph" w:customStyle="1" w:styleId="1567">
    <w:name w:val="msocommentsubject"/>
    <w:basedOn w:val="28"/>
    <w:next w:val="28"/>
    <w:qFormat/>
    <w:uiPriority w:val="0"/>
    <w:rPr>
      <w:rFonts w:eastAsia="宋体"/>
      <w:b/>
      <w:bCs/>
      <w:sz w:val="21"/>
    </w:rPr>
  </w:style>
  <w:style w:type="paragraph" w:customStyle="1" w:styleId="1568">
    <w:name w:val="zxl正文首行缩进  2 字符 行距: Char"/>
    <w:basedOn w:val="1"/>
    <w:qFormat/>
    <w:uiPriority w:val="0"/>
    <w:pPr>
      <w:widowControl/>
      <w:tabs>
        <w:tab w:val="left" w:pos="-1843"/>
        <w:tab w:val="left" w:pos="1727"/>
        <w:tab w:val="left" w:pos="1884"/>
      </w:tabs>
      <w:spacing w:line="440" w:lineRule="atLeast"/>
      <w:outlineLvl w:val="0"/>
    </w:pPr>
    <w:rPr>
      <w:rFonts w:ascii="宋体" w:hAnsi="宋体" w:eastAsia="宋体"/>
      <w:color w:val="000000"/>
    </w:rPr>
  </w:style>
  <w:style w:type="paragraph" w:customStyle="1" w:styleId="1569">
    <w:name w:val="文本块1"/>
    <w:basedOn w:val="1"/>
    <w:qFormat/>
    <w:uiPriority w:val="0"/>
    <w:pPr>
      <w:tabs>
        <w:tab w:val="left" w:pos="0"/>
      </w:tabs>
      <w:adjustRightInd w:val="0"/>
      <w:spacing w:line="460" w:lineRule="exact"/>
      <w:ind w:left="130" w:right="202" w:firstLine="520"/>
      <w:textAlignment w:val="baseline"/>
    </w:pPr>
    <w:rPr>
      <w:rFonts w:ascii="Arial" w:hAnsi="Arial" w:eastAsia="宋体"/>
      <w:spacing w:val="10"/>
      <w:sz w:val="24"/>
    </w:rPr>
  </w:style>
  <w:style w:type="paragraph" w:customStyle="1" w:styleId="1570">
    <w:name w:val="样式 标题 5标5标题 5 Char1) Char项 Char1)项标5 Char + 黑色"/>
    <w:basedOn w:val="8"/>
    <w:qFormat/>
    <w:uiPriority w:val="0"/>
    <w:pPr>
      <w:keepNext w:val="0"/>
      <w:keepLines w:val="0"/>
      <w:tabs>
        <w:tab w:val="left" w:pos="425"/>
        <w:tab w:val="clear" w:pos="1008"/>
      </w:tabs>
      <w:spacing w:before="0" w:after="0" w:line="336" w:lineRule="auto"/>
      <w:ind w:left="0" w:hanging="425"/>
      <w:jc w:val="left"/>
    </w:pPr>
    <w:rPr>
      <w:rFonts w:ascii="宋体" w:hAnsi="宋体" w:eastAsia="宋体"/>
      <w:b w:val="0"/>
      <w:bCs w:val="0"/>
      <w:color w:val="000000"/>
      <w:kern w:val="0"/>
      <w:sz w:val="28"/>
      <w:szCs w:val="24"/>
    </w:rPr>
  </w:style>
  <w:style w:type="paragraph" w:customStyle="1" w:styleId="1571">
    <w:name w:val="样式 标题 6标6无节 + 黑色"/>
    <w:basedOn w:val="9"/>
    <w:qFormat/>
    <w:uiPriority w:val="0"/>
    <w:pPr>
      <w:keepNext w:val="0"/>
      <w:tabs>
        <w:tab w:val="left" w:pos="840"/>
        <w:tab w:val="left" w:pos="3080"/>
        <w:tab w:val="clear" w:pos="1152"/>
      </w:tabs>
      <w:spacing w:before="0" w:after="0" w:line="336" w:lineRule="auto"/>
      <w:ind w:left="0" w:firstLine="480" w:firstLineChars="200"/>
      <w:jc w:val="left"/>
    </w:pPr>
    <w:rPr>
      <w:rFonts w:ascii="宋体" w:eastAsia="宋体"/>
      <w:b w:val="0"/>
      <w:bCs w:val="0"/>
      <w:color w:val="000000"/>
      <w:kern w:val="0"/>
      <w:sz w:val="28"/>
    </w:rPr>
  </w:style>
  <w:style w:type="paragraph" w:customStyle="1" w:styleId="1572">
    <w:name w:val="xl90"/>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73">
    <w:name w:val="WJ正文"/>
    <w:basedOn w:val="1"/>
    <w:qFormat/>
    <w:uiPriority w:val="0"/>
    <w:pPr>
      <w:widowControl/>
      <w:spacing w:line="360" w:lineRule="auto"/>
      <w:ind w:firstLine="538" w:firstLineChars="192"/>
    </w:pPr>
    <w:rPr>
      <w:rFonts w:ascii="仿宋_GB2312"/>
      <w:szCs w:val="28"/>
    </w:rPr>
  </w:style>
  <w:style w:type="paragraph" w:customStyle="1" w:styleId="1574">
    <w:name w:val="xl172"/>
    <w:basedOn w:val="1"/>
    <w:qFormat/>
    <w:uiPriority w:val="0"/>
    <w:pPr>
      <w:widowControl/>
      <w:pBdr>
        <w:bottom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575">
    <w:name w:val="font13"/>
    <w:basedOn w:val="1"/>
    <w:qFormat/>
    <w:uiPriority w:val="0"/>
    <w:pPr>
      <w:widowControl/>
      <w:spacing w:before="100" w:beforeAutospacing="1" w:after="100" w:afterAutospacing="1"/>
      <w:jc w:val="left"/>
    </w:pPr>
    <w:rPr>
      <w:rFonts w:ascii="Arial" w:hAnsi="Arial" w:eastAsia="宋体" w:cs="Arial"/>
      <w:kern w:val="0"/>
      <w:sz w:val="22"/>
      <w:szCs w:val="22"/>
    </w:rPr>
  </w:style>
  <w:style w:type="paragraph" w:customStyle="1" w:styleId="1576">
    <w:name w:val="font17"/>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577">
    <w:name w:val="font18"/>
    <w:basedOn w:val="1"/>
    <w:qFormat/>
    <w:uiPriority w:val="0"/>
    <w:pPr>
      <w:widowControl/>
      <w:spacing w:before="100" w:beforeAutospacing="1" w:after="100" w:afterAutospacing="1"/>
      <w:jc w:val="left"/>
    </w:pPr>
    <w:rPr>
      <w:rFonts w:ascii="Arial" w:hAnsi="Arial" w:eastAsia="宋体" w:cs="Arial"/>
      <w:kern w:val="0"/>
      <w:sz w:val="18"/>
      <w:szCs w:val="18"/>
    </w:rPr>
  </w:style>
  <w:style w:type="paragraph" w:customStyle="1" w:styleId="1578">
    <w:name w:val="xl74"/>
    <w:basedOn w:val="1"/>
    <w:qFormat/>
    <w:uiPriority w:val="0"/>
    <w:pPr>
      <w:widowControl/>
      <w:pBdr>
        <w:top w:val="single" w:color="auto" w:sz="8"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79">
    <w:name w:val="xl76"/>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580">
    <w:name w:val="xl115"/>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81">
    <w:name w:val="xl77"/>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2">
    <w:name w:val="xl78"/>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3">
    <w:name w:val="xl82"/>
    <w:basedOn w:val="1"/>
    <w:qFormat/>
    <w:uiPriority w:val="0"/>
    <w:pPr>
      <w:widowControl/>
      <w:pBdr>
        <w:top w:val="single" w:color="auto" w:sz="8"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4">
    <w:name w:val="字元 字元1"/>
    <w:basedOn w:val="1"/>
    <w:qFormat/>
    <w:uiPriority w:val="0"/>
    <w:pPr>
      <w:widowControl/>
      <w:spacing w:after="160" w:line="240" w:lineRule="exact"/>
      <w:jc w:val="left"/>
    </w:pPr>
    <w:rPr>
      <w:rFonts w:ascii="Verdana" w:hAnsi="Verdana" w:cs="Verdana"/>
      <w:color w:val="000000"/>
      <w:kern w:val="0"/>
      <w:sz w:val="24"/>
      <w:szCs w:val="24"/>
      <w:lang w:eastAsia="en-US"/>
    </w:rPr>
  </w:style>
  <w:style w:type="paragraph" w:customStyle="1" w:styleId="1585">
    <w:name w:val="xl83"/>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586">
    <w:name w:val="xl91"/>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7">
    <w:name w:val="xl92"/>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8">
    <w:name w:val="样式 正文文本缩进 + 居中"/>
    <w:basedOn w:val="35"/>
    <w:qFormat/>
    <w:uiPriority w:val="0"/>
    <w:pPr>
      <w:widowControl/>
      <w:tabs>
        <w:tab w:val="left" w:pos="1680"/>
      </w:tabs>
      <w:spacing w:line="500" w:lineRule="exact"/>
      <w:ind w:firstLine="420"/>
      <w:jc w:val="center"/>
    </w:pPr>
    <w:rPr>
      <w:rFonts w:cs="宋体"/>
      <w:sz w:val="24"/>
    </w:rPr>
  </w:style>
  <w:style w:type="paragraph" w:customStyle="1" w:styleId="1589">
    <w:name w:val="居中对齐"/>
    <w:basedOn w:val="1"/>
    <w:qFormat/>
    <w:uiPriority w:val="0"/>
    <w:pPr>
      <w:jc w:val="center"/>
    </w:pPr>
    <w:rPr>
      <w:rFonts w:eastAsia="宋体"/>
      <w:sz w:val="21"/>
      <w:szCs w:val="24"/>
    </w:rPr>
  </w:style>
  <w:style w:type="paragraph" w:customStyle="1" w:styleId="1590">
    <w:name w:val="xl98"/>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591">
    <w:name w:val="xl99"/>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592">
    <w:name w:val="xl103"/>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93">
    <w:name w:val="xl106"/>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94">
    <w:name w:val="xl114"/>
    <w:basedOn w:val="1"/>
    <w:qFormat/>
    <w:uiPriority w:val="0"/>
    <w:pPr>
      <w:widowControl/>
      <w:pBdr>
        <w:bottom w:val="single" w:color="auto" w:sz="8"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595">
    <w:name w:val="xl116"/>
    <w:basedOn w:val="1"/>
    <w:qFormat/>
    <w:uiPriority w:val="0"/>
    <w:pPr>
      <w:widowControl/>
      <w:spacing w:before="100" w:beforeAutospacing="1" w:after="100" w:afterAutospacing="1"/>
      <w:jc w:val="left"/>
      <w:textAlignment w:val="center"/>
    </w:pPr>
    <w:rPr>
      <w:rFonts w:ascii="Arial" w:hAnsi="Arial" w:eastAsia="宋体" w:cs="Arial"/>
      <w:kern w:val="0"/>
      <w:sz w:val="24"/>
      <w:szCs w:val="24"/>
    </w:rPr>
  </w:style>
  <w:style w:type="paragraph" w:customStyle="1" w:styleId="1596">
    <w:name w:val="xl117"/>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7">
    <w:name w:val="xl119"/>
    <w:basedOn w:val="1"/>
    <w:qFormat/>
    <w:uiPriority w:val="0"/>
    <w:pPr>
      <w:widowControl/>
      <w:pBdr>
        <w:bottom w:val="single" w:color="auto" w:sz="8"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8">
    <w:name w:val="xl120"/>
    <w:basedOn w:val="1"/>
    <w:qFormat/>
    <w:uiPriority w:val="0"/>
    <w:pPr>
      <w:widowControl/>
      <w:pBdr>
        <w:bottom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9">
    <w:name w:val="0"/>
    <w:basedOn w:val="1"/>
    <w:qFormat/>
    <w:uiPriority w:val="0"/>
    <w:pPr>
      <w:widowControl/>
      <w:snapToGrid w:val="0"/>
    </w:pPr>
    <w:rPr>
      <w:rFonts w:ascii="宋体" w:hAnsi="宋体" w:eastAsia="宋体"/>
      <w:spacing w:val="5"/>
      <w:kern w:val="0"/>
      <w:sz w:val="25"/>
    </w:rPr>
  </w:style>
  <w:style w:type="paragraph" w:customStyle="1" w:styleId="1600">
    <w:name w:val="标题1正文"/>
    <w:basedOn w:val="1"/>
    <w:qFormat/>
    <w:uiPriority w:val="0"/>
    <w:pPr>
      <w:keepNext/>
      <w:keepLines/>
      <w:spacing w:beforeLines="50" w:line="300" w:lineRule="auto"/>
      <w:ind w:left="850" w:leftChars="500" w:hanging="350" w:hangingChars="350"/>
    </w:pPr>
    <w:rPr>
      <w:rFonts w:eastAsia="宋体"/>
      <w:sz w:val="24"/>
      <w:szCs w:val="24"/>
    </w:rPr>
  </w:style>
  <w:style w:type="paragraph" w:customStyle="1" w:styleId="1601">
    <w:name w:val="xl127"/>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602">
    <w:name w:val="xl12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603">
    <w:name w:val="xl129"/>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604">
    <w:name w:val="xl130"/>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05">
    <w:name w:val="xl133"/>
    <w:basedOn w:val="1"/>
    <w:qFormat/>
    <w:uiPriority w:val="0"/>
    <w:pPr>
      <w:widowControl/>
      <w:spacing w:before="100" w:beforeAutospacing="1" w:after="100" w:afterAutospacing="1"/>
      <w:jc w:val="left"/>
      <w:textAlignment w:val="center"/>
    </w:pPr>
    <w:rPr>
      <w:rFonts w:ascii="Arial" w:hAnsi="Arial" w:eastAsia="宋体" w:cs="Arial"/>
      <w:kern w:val="0"/>
      <w:sz w:val="22"/>
      <w:szCs w:val="22"/>
    </w:rPr>
  </w:style>
  <w:style w:type="paragraph" w:customStyle="1" w:styleId="1606">
    <w:name w:val="xl135"/>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07">
    <w:name w:val="xl137"/>
    <w:basedOn w:val="1"/>
    <w:qFormat/>
    <w:uiPriority w:val="0"/>
    <w:pPr>
      <w:widowControl/>
      <w:pBdr>
        <w:top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08">
    <w:name w:val="xl138"/>
    <w:basedOn w:val="1"/>
    <w:qFormat/>
    <w:uiPriority w:val="0"/>
    <w:pPr>
      <w:widowControl/>
      <w:pBdr>
        <w:top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09">
    <w:name w:val="正文表标题"/>
    <w:next w:val="1"/>
    <w:qFormat/>
    <w:uiPriority w:val="0"/>
    <w:pPr>
      <w:tabs>
        <w:tab w:val="left" w:pos="436"/>
      </w:tabs>
      <w:ind w:left="16" w:firstLine="560"/>
      <w:jc w:val="center"/>
    </w:pPr>
    <w:rPr>
      <w:rFonts w:ascii="黑体" w:hAnsi="Times New Roman" w:eastAsia="黑体" w:cs="黑体"/>
      <w:sz w:val="21"/>
      <w:szCs w:val="21"/>
      <w:lang w:val="en-US" w:eastAsia="zh-CN" w:bidi="ar-SA"/>
    </w:rPr>
  </w:style>
  <w:style w:type="paragraph" w:customStyle="1" w:styleId="1610">
    <w:name w:val="xl139"/>
    <w:basedOn w:val="1"/>
    <w:qFormat/>
    <w:uiPriority w:val="0"/>
    <w:pPr>
      <w:widowControl/>
      <w:pBdr>
        <w:lef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11">
    <w:name w:val="xl143"/>
    <w:basedOn w:val="1"/>
    <w:qFormat/>
    <w:uiPriority w:val="0"/>
    <w:pPr>
      <w:widowControl/>
      <w:pBdr>
        <w:left w:val="single" w:color="auto" w:sz="4" w:space="0"/>
        <w:bottom w:val="single" w:color="auto" w:sz="8" w:space="0"/>
      </w:pBdr>
      <w:spacing w:before="100" w:beforeAutospacing="1" w:after="100" w:afterAutospacing="1"/>
      <w:jc w:val="left"/>
    </w:pPr>
    <w:rPr>
      <w:rFonts w:ascii="Arial" w:hAnsi="Arial" w:eastAsia="宋体" w:cs="Arial"/>
      <w:kern w:val="0"/>
      <w:sz w:val="24"/>
      <w:szCs w:val="24"/>
    </w:rPr>
  </w:style>
  <w:style w:type="paragraph" w:customStyle="1" w:styleId="1612">
    <w:name w:val="缺省文本_注释_宋体"/>
    <w:basedOn w:val="1"/>
    <w:qFormat/>
    <w:uiPriority w:val="0"/>
    <w:pPr>
      <w:widowControl/>
      <w:tabs>
        <w:tab w:val="left" w:pos="639"/>
        <w:tab w:val="center" w:pos="5670"/>
        <w:tab w:val="right" w:pos="7655"/>
      </w:tabs>
      <w:spacing w:before="80" w:after="120" w:line="360" w:lineRule="exact"/>
      <w:jc w:val="left"/>
      <w:outlineLvl w:val="7"/>
    </w:pPr>
    <w:rPr>
      <w:rFonts w:ascii="宋体" w:hAnsi="宋体" w:eastAsia="宋体" w:cs="宋体"/>
      <w:spacing w:val="4"/>
      <w:kern w:val="28"/>
      <w:sz w:val="24"/>
    </w:rPr>
  </w:style>
  <w:style w:type="paragraph" w:customStyle="1" w:styleId="1613">
    <w:name w:val="xl145"/>
    <w:basedOn w:val="1"/>
    <w:qFormat/>
    <w:uiPriority w:val="0"/>
    <w:pPr>
      <w:widowControl/>
      <w:pBdr>
        <w:bottom w:val="single" w:color="auto" w:sz="8"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14">
    <w:name w:val="xl151"/>
    <w:basedOn w:val="1"/>
    <w:qFormat/>
    <w:uiPriority w:val="0"/>
    <w:pPr>
      <w:widowControl/>
      <w:spacing w:before="100" w:beforeAutospacing="1" w:after="100" w:afterAutospacing="1"/>
      <w:jc w:val="center"/>
      <w:textAlignment w:val="center"/>
    </w:pPr>
    <w:rPr>
      <w:rFonts w:ascii="Arial" w:hAnsi="Arial" w:eastAsia="宋体" w:cs="Arial"/>
      <w:kern w:val="0"/>
      <w:sz w:val="22"/>
      <w:szCs w:val="22"/>
    </w:rPr>
  </w:style>
  <w:style w:type="paragraph" w:customStyle="1" w:styleId="1615">
    <w:name w:val="xl155"/>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616">
    <w:name w:val="xl156"/>
    <w:basedOn w:val="1"/>
    <w:qFormat/>
    <w:uiPriority w:val="0"/>
    <w:pPr>
      <w:widowControl/>
      <w:pBdr>
        <w:top w:val="single" w:color="auto" w:sz="4" w:space="0"/>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17">
    <w:name w:val="xl157"/>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18">
    <w:name w:val="xl158"/>
    <w:basedOn w:val="1"/>
    <w:qFormat/>
    <w:uiPriority w:val="0"/>
    <w:pPr>
      <w:widowControl/>
      <w:pBdr>
        <w:top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19">
    <w:name w:val="style1"/>
    <w:basedOn w:val="1"/>
    <w:qFormat/>
    <w:uiPriority w:val="0"/>
    <w:pPr>
      <w:widowControl/>
      <w:spacing w:before="100" w:beforeAutospacing="1" w:after="100" w:afterAutospacing="1"/>
      <w:jc w:val="left"/>
    </w:pPr>
    <w:rPr>
      <w:rFonts w:ascii="宋体" w:hAnsi="宋体" w:eastAsia="宋体" w:cs="宋体"/>
      <w:b/>
      <w:bCs/>
      <w:kern w:val="0"/>
      <w:szCs w:val="28"/>
    </w:rPr>
  </w:style>
  <w:style w:type="paragraph" w:customStyle="1" w:styleId="1620">
    <w:name w:val="xl160"/>
    <w:basedOn w:val="1"/>
    <w:qFormat/>
    <w:uiPriority w:val="0"/>
    <w:pPr>
      <w:widowControl/>
      <w:pBdr>
        <w:top w:val="single" w:color="auto" w:sz="8" w:space="0"/>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1">
    <w:name w:val="xl161"/>
    <w:basedOn w:val="1"/>
    <w:qFormat/>
    <w:uiPriority w:val="0"/>
    <w:pPr>
      <w:widowControl/>
      <w:pBdr>
        <w:top w:val="single" w:color="auto" w:sz="8" w:space="0"/>
      </w:pBdr>
      <w:spacing w:before="100" w:beforeAutospacing="1" w:after="100" w:afterAutospacing="1"/>
      <w:jc w:val="left"/>
      <w:textAlignment w:val="center"/>
    </w:pPr>
    <w:rPr>
      <w:rFonts w:ascii="Arial" w:hAnsi="Arial" w:eastAsia="宋体" w:cs="Arial"/>
      <w:kern w:val="0"/>
      <w:sz w:val="20"/>
    </w:rPr>
  </w:style>
  <w:style w:type="paragraph" w:customStyle="1" w:styleId="1622">
    <w:name w:val="xl162"/>
    <w:basedOn w:val="1"/>
    <w:qFormat/>
    <w:uiPriority w:val="0"/>
    <w:pPr>
      <w:widowControl/>
      <w:pBdr>
        <w:top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3">
    <w:name w:val="xl164"/>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4">
    <w:name w:val="xl165"/>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5">
    <w:name w:val="xl166"/>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6">
    <w:name w:val="表格 32"/>
    <w:basedOn w:val="1"/>
    <w:qFormat/>
    <w:uiPriority w:val="0"/>
    <w:pPr>
      <w:autoSpaceDE w:val="0"/>
      <w:autoSpaceDN w:val="0"/>
      <w:adjustRightInd w:val="0"/>
      <w:spacing w:line="0" w:lineRule="atLeast"/>
      <w:ind w:firstLine="200" w:firstLineChars="200"/>
      <w:jc w:val="center"/>
      <w:textAlignment w:val="baseline"/>
    </w:pPr>
    <w:rPr>
      <w:rFonts w:eastAsia="宋体"/>
      <w:kern w:val="0"/>
      <w:sz w:val="24"/>
    </w:rPr>
  </w:style>
  <w:style w:type="paragraph" w:customStyle="1" w:styleId="1627">
    <w:name w:val="Char31"/>
    <w:basedOn w:val="7"/>
    <w:qFormat/>
    <w:uiPriority w:val="0"/>
    <w:pPr>
      <w:widowControl/>
      <w:tabs>
        <w:tab w:val="left" w:pos="1680"/>
      </w:tabs>
      <w:spacing w:before="140" w:line="220" w:lineRule="atLeast"/>
      <w:ind w:left="720" w:firstLine="0"/>
      <w:jc w:val="left"/>
    </w:pPr>
    <w:rPr>
      <w:rFonts w:ascii="Futura Bk BT" w:hAnsi="Futura Bk BT" w:eastAsia="Times New Roman"/>
      <w:b w:val="0"/>
      <w:color w:val="auto"/>
      <w:spacing w:val="-4"/>
      <w:kern w:val="28"/>
      <w:sz w:val="21"/>
      <w:lang w:val="en-AU" w:eastAsia="en-US"/>
    </w:rPr>
  </w:style>
  <w:style w:type="paragraph" w:customStyle="1" w:styleId="1628">
    <w:name w:val="xl168"/>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29">
    <w:name w:val="xl169"/>
    <w:basedOn w:val="1"/>
    <w:qFormat/>
    <w:uiPriority w:val="0"/>
    <w:pPr>
      <w:widowControl/>
      <w:pBdr>
        <w:bottom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30">
    <w:name w:val="样式 目录 1 + 左侧:  0 厘米 悬挂缩进: 7.53 字符2"/>
    <w:basedOn w:val="60"/>
    <w:qFormat/>
    <w:uiPriority w:val="0"/>
    <w:pPr>
      <w:tabs>
        <w:tab w:val="left" w:pos="720"/>
        <w:tab w:val="right" w:leader="dot" w:pos="8302"/>
        <w:tab w:val="right" w:leader="dot" w:pos="8820"/>
        <w:tab w:val="clear" w:pos="1120"/>
        <w:tab w:val="clear" w:pos="8767"/>
      </w:tabs>
      <w:adjustRightInd w:val="0"/>
      <w:snapToGrid w:val="0"/>
      <w:spacing w:line="360" w:lineRule="auto"/>
      <w:ind w:hanging="525"/>
      <w:jc w:val="both"/>
    </w:pPr>
    <w:rPr>
      <w:rFonts w:ascii="Calibri" w:hAnsi="Calibri"/>
      <w:b w:val="0"/>
      <w:sz w:val="28"/>
      <w:szCs w:val="28"/>
    </w:rPr>
  </w:style>
  <w:style w:type="paragraph" w:customStyle="1" w:styleId="1631">
    <w:name w:val="xl171"/>
    <w:basedOn w:val="1"/>
    <w:qFormat/>
    <w:uiPriority w:val="0"/>
    <w:pPr>
      <w:widowControl/>
      <w:pBdr>
        <w:left w:val="single" w:color="auto" w:sz="4" w:space="0"/>
        <w:bottom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32">
    <w:name w:val="正文文字－退1"/>
    <w:basedOn w:val="34"/>
    <w:qFormat/>
    <w:uiPriority w:val="0"/>
    <w:pPr>
      <w:spacing w:beforeLines="50" w:after="0" w:afterLines="50" w:line="300" w:lineRule="auto"/>
      <w:ind w:firstLine="600" w:firstLineChars="600"/>
      <w:jc w:val="left"/>
    </w:pPr>
    <w:rPr>
      <w:rFonts w:eastAsia="宋体"/>
      <w:sz w:val="24"/>
      <w:szCs w:val="24"/>
    </w:rPr>
  </w:style>
  <w:style w:type="paragraph" w:customStyle="1" w:styleId="1633">
    <w:name w:val="Indent"/>
    <w:basedOn w:val="1"/>
    <w:qFormat/>
    <w:uiPriority w:val="0"/>
    <w:pPr>
      <w:widowControl/>
      <w:spacing w:after="240"/>
      <w:ind w:left="1440"/>
      <w:jc w:val="left"/>
    </w:pPr>
    <w:rPr>
      <w:rFonts w:ascii="Arial" w:hAnsi="Arial" w:eastAsia="宋体"/>
      <w:kern w:val="0"/>
      <w:sz w:val="24"/>
      <w:lang w:val="en-GB" w:eastAsia="en-US"/>
    </w:rPr>
  </w:style>
  <w:style w:type="paragraph" w:customStyle="1" w:styleId="1634">
    <w:name w:val="表内5号居中"/>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1635">
    <w:name w:val="样式 标题 3 + 段前: 1 行"/>
    <w:basedOn w:val="6"/>
    <w:qFormat/>
    <w:uiPriority w:val="0"/>
    <w:pPr>
      <w:tabs>
        <w:tab w:val="left" w:pos="1134"/>
        <w:tab w:val="left" w:pos="1830"/>
      </w:tabs>
      <w:spacing w:before="312" w:beforeLines="100" w:after="0" w:line="0" w:lineRule="atLeast"/>
      <w:ind w:left="1134" w:hanging="1134"/>
    </w:pPr>
    <w:rPr>
      <w:rFonts w:ascii="Arial" w:hAnsi="Arial" w:eastAsia="宋体"/>
      <w:b w:val="0"/>
      <w:bCs w:val="0"/>
      <w:caps/>
      <w:sz w:val="22"/>
    </w:rPr>
  </w:style>
  <w:style w:type="paragraph" w:customStyle="1" w:styleId="1636">
    <w:name w:val="正文32"/>
    <w:qFormat/>
    <w:uiPriority w:val="0"/>
    <w:pPr>
      <w:widowControl w:val="0"/>
      <w:adjustRightInd w:val="0"/>
      <w:spacing w:line="360" w:lineRule="atLeast"/>
    </w:pPr>
    <w:rPr>
      <w:rFonts w:hint="eastAsia" w:ascii="宋体" w:hAnsi="Times New Roman" w:eastAsia="宋体" w:cs="Times New Roman"/>
      <w:sz w:val="34"/>
      <w:lang w:val="en-US" w:eastAsia="zh-CN" w:bidi="ar-SA"/>
    </w:rPr>
  </w:style>
  <w:style w:type="paragraph" w:customStyle="1" w:styleId="1637">
    <w:name w:val="样式 目录 1 + 左侧:  0 厘米 悬挂缩进: 7.53 字符4"/>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38">
    <w:name w:val="列项"/>
    <w:basedOn w:val="1"/>
    <w:qFormat/>
    <w:uiPriority w:val="0"/>
    <w:pPr>
      <w:keepNext/>
      <w:keepLines/>
      <w:tabs>
        <w:tab w:val="left" w:pos="1588"/>
      </w:tabs>
      <w:spacing w:beforeLines="100" w:line="0" w:lineRule="atLeast"/>
      <w:ind w:left="1588" w:hanging="454"/>
    </w:pPr>
    <w:rPr>
      <w:rFonts w:ascii="Arial" w:hAnsi="Arial" w:eastAsia="宋体"/>
      <w:sz w:val="22"/>
      <w:szCs w:val="24"/>
    </w:rPr>
  </w:style>
  <w:style w:type="paragraph" w:customStyle="1" w:styleId="1639">
    <w:name w:val="样式 正文 + 首行缩进:  2 字符"/>
    <w:basedOn w:val="327"/>
    <w:qFormat/>
    <w:uiPriority w:val="0"/>
    <w:pPr>
      <w:autoSpaceDE w:val="0"/>
      <w:autoSpaceDN w:val="0"/>
      <w:snapToGrid/>
      <w:spacing w:after="0" w:line="360" w:lineRule="auto"/>
      <w:ind w:firstLine="480" w:firstLineChars="200"/>
    </w:pPr>
    <w:rPr>
      <w:rFonts w:cs="宋体"/>
      <w:color w:val="000000"/>
      <w:spacing w:val="0"/>
    </w:rPr>
  </w:style>
  <w:style w:type="paragraph" w:customStyle="1" w:styleId="1640">
    <w:name w:val="目次"/>
    <w:next w:val="1"/>
    <w:qFormat/>
    <w:uiPriority w:val="0"/>
    <w:pPr>
      <w:jc w:val="center"/>
    </w:pPr>
    <w:rPr>
      <w:rFonts w:ascii="宋体" w:hAnsi="Times New Roman" w:eastAsia="黑体" w:cs="Times New Roman"/>
      <w:kern w:val="2"/>
      <w:sz w:val="32"/>
      <w:lang w:val="en-US" w:eastAsia="zh-CN" w:bidi="ar-SA"/>
    </w:rPr>
  </w:style>
  <w:style w:type="paragraph" w:customStyle="1" w:styleId="1641">
    <w:name w:val="CM29"/>
    <w:basedOn w:val="762"/>
    <w:next w:val="762"/>
    <w:qFormat/>
    <w:uiPriority w:val="0"/>
    <w:pPr>
      <w:spacing w:line="468" w:lineRule="atLeast"/>
    </w:pPr>
    <w:rPr>
      <w:rFonts w:cs="宋体"/>
      <w:sz w:val="24"/>
      <w:szCs w:val="24"/>
    </w:rPr>
  </w:style>
  <w:style w:type="paragraph" w:customStyle="1" w:styleId="1642">
    <w:name w:val="样式 标题 3 + 左侧:  1.48 厘米"/>
    <w:basedOn w:val="6"/>
    <w:qFormat/>
    <w:uiPriority w:val="0"/>
    <w:pPr>
      <w:keepNext w:val="0"/>
      <w:keepLines w:val="0"/>
      <w:spacing w:before="0" w:after="0" w:line="360" w:lineRule="auto"/>
      <w:ind w:left="0" w:firstLine="0"/>
    </w:pPr>
    <w:rPr>
      <w:rFonts w:ascii="黑体" w:eastAsia="宋体" w:cs="宋体"/>
      <w:b w:val="0"/>
      <w:bCs w:val="0"/>
      <w:kern w:val="0"/>
    </w:rPr>
  </w:style>
  <w:style w:type="paragraph" w:customStyle="1" w:styleId="1643">
    <w:name w:val="样式 小四 黑色 首行缩进:  0.36 厘米 行距: 1.5 倍行距"/>
    <w:basedOn w:val="1"/>
    <w:qFormat/>
    <w:uiPriority w:val="0"/>
    <w:pPr>
      <w:spacing w:line="360" w:lineRule="auto"/>
    </w:pPr>
    <w:rPr>
      <w:rFonts w:eastAsia="宋体"/>
      <w:color w:val="000000"/>
      <w:sz w:val="24"/>
    </w:rPr>
  </w:style>
  <w:style w:type="paragraph" w:customStyle="1" w:styleId="1644">
    <w:name w:val="纯文本2"/>
    <w:basedOn w:val="1"/>
    <w:link w:val="2172"/>
    <w:qFormat/>
    <w:uiPriority w:val="0"/>
    <w:pPr>
      <w:adjustRightInd w:val="0"/>
      <w:spacing w:line="360" w:lineRule="auto"/>
      <w:jc w:val="left"/>
      <w:textAlignment w:val="baseline"/>
    </w:pPr>
    <w:rPr>
      <w:rFonts w:ascii="宋体" w:hAnsi="Courier New" w:eastAsia="宋体"/>
      <w:sz w:val="24"/>
    </w:rPr>
  </w:style>
  <w:style w:type="paragraph" w:customStyle="1" w:styleId="1645">
    <w:name w:val="b条1"/>
    <w:basedOn w:val="216"/>
    <w:next w:val="1"/>
    <w:qFormat/>
    <w:uiPriority w:val="0"/>
    <w:pPr>
      <w:outlineLvl w:val="1"/>
    </w:pPr>
  </w:style>
  <w:style w:type="paragraph" w:customStyle="1" w:styleId="1646">
    <w:name w:val="样式 标题 1 + 黑体 小四 非加粗 段前: 0 磅 段后: 0 磅 行距: 1.5 倍行距"/>
    <w:basedOn w:val="3"/>
    <w:qFormat/>
    <w:uiPriority w:val="0"/>
    <w:pPr>
      <w:keepNext w:val="0"/>
      <w:keepLines w:val="0"/>
      <w:pageBreakBefore w:val="0"/>
      <w:autoSpaceDE w:val="0"/>
      <w:autoSpaceDN w:val="0"/>
      <w:snapToGrid w:val="0"/>
      <w:spacing w:before="0" w:after="0" w:line="360" w:lineRule="auto"/>
      <w:ind w:left="0" w:firstLine="480" w:firstLineChars="200"/>
      <w:jc w:val="left"/>
    </w:pPr>
    <w:rPr>
      <w:rFonts w:ascii="黑体" w:hAnsi="宋体" w:eastAsia="黑体"/>
      <w:sz w:val="24"/>
    </w:rPr>
  </w:style>
  <w:style w:type="paragraph" w:customStyle="1" w:styleId="1647">
    <w:name w:val="正文页"/>
    <w:basedOn w:val="1"/>
    <w:qFormat/>
    <w:uiPriority w:val="0"/>
    <w:pPr>
      <w:spacing w:line="300" w:lineRule="auto"/>
      <w:ind w:firstLine="200" w:firstLineChars="200"/>
    </w:pPr>
    <w:rPr>
      <w:rFonts w:eastAsia="宋体"/>
      <w:sz w:val="24"/>
      <w:szCs w:val="24"/>
    </w:rPr>
  </w:style>
  <w:style w:type="paragraph" w:customStyle="1" w:styleId="1648">
    <w:name w:val="样式 宋体 小四 行距: 1.5 倍行距"/>
    <w:basedOn w:val="1"/>
    <w:qFormat/>
    <w:uiPriority w:val="0"/>
    <w:pPr>
      <w:spacing w:line="360" w:lineRule="auto"/>
    </w:pPr>
    <w:rPr>
      <w:rFonts w:ascii="宋体" w:hAnsi="宋体" w:eastAsia="宋体" w:cs="宋体"/>
      <w:kern w:val="0"/>
      <w:sz w:val="24"/>
      <w:szCs w:val="24"/>
    </w:rPr>
  </w:style>
  <w:style w:type="paragraph" w:customStyle="1" w:styleId="1649">
    <w:name w:val="Ordinary paragraph"/>
    <w:basedOn w:val="1"/>
    <w:qFormat/>
    <w:uiPriority w:val="0"/>
    <w:pPr>
      <w:adjustRightInd w:val="0"/>
      <w:snapToGrid w:val="0"/>
      <w:spacing w:beforeLines="50" w:line="360" w:lineRule="auto"/>
      <w:ind w:firstLine="420" w:firstLineChars="200"/>
    </w:pPr>
    <w:rPr>
      <w:rFonts w:ascii="黑体" w:hAnsi="宋体" w:eastAsia="黑体" w:cs="Calibri"/>
      <w:sz w:val="21"/>
      <w:szCs w:val="21"/>
    </w:rPr>
  </w:style>
  <w:style w:type="paragraph" w:customStyle="1" w:styleId="1650">
    <w:name w:val="样式 目录 1 + 左侧:  0 厘米 悬挂缩进: 7.53 字符3"/>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51">
    <w:name w:val="pl标题"/>
    <w:basedOn w:val="6"/>
    <w:qFormat/>
    <w:uiPriority w:val="0"/>
    <w:pPr>
      <w:keepNext w:val="0"/>
      <w:keepLines w:val="0"/>
      <w:adjustRightInd w:val="0"/>
      <w:snapToGrid w:val="0"/>
      <w:spacing w:before="0" w:after="0" w:line="360" w:lineRule="auto"/>
      <w:ind w:left="0" w:firstLine="480" w:firstLineChars="200"/>
      <w:outlineLvl w:val="9"/>
    </w:pPr>
    <w:rPr>
      <w:rFonts w:ascii="宋体" w:hAnsi="宋体" w:eastAsia="宋体"/>
      <w:b w:val="0"/>
      <w:bCs w:val="0"/>
      <w:color w:val="000000"/>
      <w:kern w:val="0"/>
      <w:sz w:val="30"/>
      <w:szCs w:val="30"/>
    </w:rPr>
  </w:style>
  <w:style w:type="paragraph" w:customStyle="1" w:styleId="1652">
    <w:name w:val="标题6"/>
    <w:basedOn w:val="1"/>
    <w:next w:val="41"/>
    <w:qFormat/>
    <w:uiPriority w:val="0"/>
    <w:pPr>
      <w:keepNext/>
      <w:spacing w:line="360" w:lineRule="auto"/>
      <w:ind w:firstLine="567"/>
      <w:jc w:val="left"/>
      <w:outlineLvl w:val="5"/>
    </w:pPr>
    <w:rPr>
      <w:rFonts w:eastAsia="宋体"/>
      <w:szCs w:val="21"/>
    </w:rPr>
  </w:style>
  <w:style w:type="paragraph" w:customStyle="1" w:styleId="1653">
    <w:name w:val="zxl行距: 1.5 倍行距 首行缩进:  2 字符"/>
    <w:basedOn w:val="1"/>
    <w:next w:val="1"/>
    <w:qFormat/>
    <w:uiPriority w:val="0"/>
    <w:pPr>
      <w:spacing w:line="360" w:lineRule="auto"/>
      <w:ind w:firstLine="560" w:firstLineChars="200"/>
      <w:jc w:val="left"/>
    </w:pPr>
    <w:rPr>
      <w:rFonts w:eastAsia="宋体"/>
      <w:color w:val="000000"/>
      <w:szCs w:val="28"/>
    </w:rPr>
  </w:style>
  <w:style w:type="paragraph" w:customStyle="1" w:styleId="1654">
    <w:name w:val="项目名称"/>
    <w:basedOn w:val="1"/>
    <w:qFormat/>
    <w:uiPriority w:val="0"/>
    <w:pPr>
      <w:adjustRightInd w:val="0"/>
      <w:snapToGrid w:val="0"/>
      <w:spacing w:line="360" w:lineRule="auto"/>
      <w:jc w:val="center"/>
    </w:pPr>
    <w:rPr>
      <w:rFonts w:ascii="文鼎大标宋简" w:eastAsia="文鼎大标宋简"/>
      <w:sz w:val="56"/>
    </w:rPr>
  </w:style>
  <w:style w:type="paragraph" w:customStyle="1" w:styleId="1655">
    <w:name w:val="Normal New New New New New New New"/>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656">
    <w:name w:val="pl正文"/>
    <w:basedOn w:val="1"/>
    <w:qFormat/>
    <w:uiPriority w:val="0"/>
    <w:pPr>
      <w:snapToGrid w:val="0"/>
      <w:spacing w:line="360" w:lineRule="auto"/>
      <w:ind w:firstLine="492"/>
    </w:pPr>
    <w:rPr>
      <w:rFonts w:ascii="宋体" w:hAnsi="宋体" w:eastAsia="宋体"/>
      <w:color w:val="000000"/>
      <w:spacing w:val="6"/>
      <w:szCs w:val="24"/>
    </w:rPr>
  </w:style>
  <w:style w:type="paragraph" w:customStyle="1" w:styleId="1657">
    <w:name w:val="样式 表格文字居中 + 五号"/>
    <w:basedOn w:val="283"/>
    <w:qFormat/>
    <w:uiPriority w:val="0"/>
    <w:pPr>
      <w:tabs>
        <w:tab w:val="clear" w:pos="628"/>
        <w:tab w:val="clear" w:pos="1727"/>
        <w:tab w:val="clear" w:pos="1884"/>
      </w:tabs>
      <w:adjustRightInd w:val="0"/>
      <w:ind w:right="210" w:firstLineChars="0"/>
    </w:pPr>
    <w:rPr>
      <w:bCs w:val="0"/>
      <w:spacing w:val="-6"/>
      <w:kern w:val="0"/>
      <w:sz w:val="21"/>
      <w:szCs w:val="21"/>
    </w:rPr>
  </w:style>
  <w:style w:type="paragraph" w:customStyle="1" w:styleId="1658">
    <w:name w:val="正文首行缩进 +"/>
    <w:basedOn w:val="1"/>
    <w:qFormat/>
    <w:uiPriority w:val="0"/>
    <w:pPr>
      <w:tabs>
        <w:tab w:val="left" w:pos="7371"/>
      </w:tabs>
      <w:spacing w:line="360" w:lineRule="auto"/>
      <w:ind w:firstLine="480" w:firstLineChars="200"/>
    </w:pPr>
    <w:rPr>
      <w:rFonts w:ascii="宋体" w:hAnsi="宋体" w:eastAsia="宋体" w:cs="宋体"/>
      <w:kern w:val="0"/>
      <w:sz w:val="24"/>
      <w:szCs w:val="24"/>
    </w:rPr>
  </w:style>
  <w:style w:type="paragraph" w:customStyle="1" w:styleId="1659">
    <w:name w:val="示例"/>
    <w:basedOn w:val="1"/>
    <w:qFormat/>
    <w:uiPriority w:val="0"/>
    <w:pPr>
      <w:keepNext/>
      <w:keepLines/>
      <w:spacing w:beforeLines="100" w:line="0" w:lineRule="atLeast"/>
      <w:ind w:left="1000" w:leftChars="500" w:hanging="500" w:hangingChars="500"/>
    </w:pPr>
    <w:rPr>
      <w:rFonts w:ascii="Arial" w:hAnsi="Arial" w:eastAsia="宋体"/>
      <w:sz w:val="21"/>
      <w:szCs w:val="24"/>
    </w:rPr>
  </w:style>
  <w:style w:type="paragraph" w:customStyle="1" w:styleId="1660">
    <w:name w:val="样式 目录 1 + 左侧:  0 厘米 悬挂缩进: 7.53 字符"/>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61">
    <w:name w:val="样式 (中文) 楷体_GB2312 四号"/>
    <w:basedOn w:val="1"/>
    <w:qFormat/>
    <w:uiPriority w:val="0"/>
    <w:pPr>
      <w:widowControl/>
      <w:ind w:firstLine="560" w:firstLineChars="200"/>
      <w:jc w:val="left"/>
    </w:pPr>
    <w:rPr>
      <w:rFonts w:ascii="宋体" w:hAnsi="宋体" w:eastAsia="楷体_GB2312" w:cs="宋体"/>
      <w:kern w:val="0"/>
      <w:szCs w:val="28"/>
    </w:rPr>
  </w:style>
  <w:style w:type="paragraph" w:customStyle="1" w:styleId="1662">
    <w:name w:val="样式 样式 标题 7段无级项标题 7 表无节条表格标题1 Char表格标题1无节条 Char Char标7可研-标题... + ..."/>
    <w:basedOn w:val="1"/>
    <w:qFormat/>
    <w:uiPriority w:val="0"/>
    <w:pPr>
      <w:adjustRightInd w:val="0"/>
      <w:snapToGrid w:val="0"/>
      <w:spacing w:line="360" w:lineRule="auto"/>
      <w:ind w:firstLine="560" w:firstLineChars="200"/>
    </w:pPr>
    <w:rPr>
      <w:rFonts w:ascii="宋体" w:hAnsi="宋体" w:eastAsia="宋体"/>
      <w:color w:val="000000"/>
      <w:szCs w:val="28"/>
    </w:rPr>
  </w:style>
  <w:style w:type="paragraph" w:customStyle="1" w:styleId="1663">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1664">
    <w:name w:val="样式 示例 + 段前: 1 行"/>
    <w:basedOn w:val="1659"/>
    <w:qFormat/>
    <w:uiPriority w:val="0"/>
    <w:pPr>
      <w:spacing w:beforeLines="0"/>
      <w:ind w:left="826" w:leftChars="344" w:firstLine="307" w:firstLineChars="0"/>
    </w:pPr>
    <w:rPr>
      <w:sz w:val="20"/>
      <w:szCs w:val="20"/>
    </w:rPr>
  </w:style>
  <w:style w:type="paragraph" w:customStyle="1" w:styleId="1665">
    <w:name w:val="样式 黑体 小四 居中 行距: 1.5 倍行距"/>
    <w:basedOn w:val="1"/>
    <w:qFormat/>
    <w:uiPriority w:val="0"/>
    <w:pPr>
      <w:spacing w:line="360" w:lineRule="auto"/>
      <w:jc w:val="center"/>
    </w:pPr>
    <w:rPr>
      <w:rFonts w:ascii="黑体" w:hAnsi="黑体" w:eastAsia="黑体" w:cs="宋体"/>
      <w:sz w:val="21"/>
    </w:rPr>
  </w:style>
  <w:style w:type="paragraph" w:customStyle="1" w:styleId="1666">
    <w:name w:val="样式 宋体 小四 居中 行距: 1.5 倍行距"/>
    <w:basedOn w:val="1"/>
    <w:qFormat/>
    <w:uiPriority w:val="0"/>
    <w:pPr>
      <w:spacing w:line="360" w:lineRule="auto"/>
      <w:jc w:val="center"/>
    </w:pPr>
    <w:rPr>
      <w:rFonts w:ascii="宋体" w:hAnsi="宋体" w:eastAsia="宋体" w:cs="宋体"/>
      <w:sz w:val="21"/>
    </w:rPr>
  </w:style>
  <w:style w:type="paragraph" w:customStyle="1" w:styleId="1667">
    <w:name w:val="样式 宋体 小四 居中 段前: 3 磅 段后: 3 磅"/>
    <w:basedOn w:val="1"/>
    <w:qFormat/>
    <w:uiPriority w:val="0"/>
    <w:pPr>
      <w:pBdr>
        <w:top w:val="single" w:color="auto" w:sz="8" w:space="1"/>
        <w:left w:val="single" w:color="auto" w:sz="8" w:space="4"/>
        <w:bottom w:val="single" w:color="auto" w:sz="8" w:space="1"/>
        <w:right w:val="single" w:color="auto" w:sz="8" w:space="4"/>
        <w:between w:val="single" w:color="auto" w:sz="8" w:space="1"/>
      </w:pBdr>
      <w:spacing w:before="60" w:after="60"/>
      <w:jc w:val="center"/>
    </w:pPr>
    <w:rPr>
      <w:rFonts w:ascii="宋体" w:hAnsi="宋体" w:eastAsia="宋体" w:cs="宋体"/>
      <w:kern w:val="0"/>
      <w:sz w:val="24"/>
    </w:rPr>
  </w:style>
  <w:style w:type="paragraph" w:customStyle="1" w:styleId="1668">
    <w:name w:val="编制人员情况"/>
    <w:basedOn w:val="1"/>
    <w:qFormat/>
    <w:uiPriority w:val="0"/>
    <w:pPr>
      <w:tabs>
        <w:tab w:val="left" w:pos="600"/>
        <w:tab w:val="left" w:pos="3700"/>
        <w:tab w:val="left" w:pos="6900"/>
      </w:tabs>
      <w:adjustRightInd w:val="0"/>
      <w:snapToGrid w:val="0"/>
      <w:spacing w:after="120" w:line="360" w:lineRule="auto"/>
      <w:ind w:left="420" w:firstLine="180"/>
    </w:pPr>
    <w:rPr>
      <w:rFonts w:ascii="宋体" w:eastAsia="宋体" w:cs="宋体"/>
      <w:sz w:val="32"/>
    </w:rPr>
  </w:style>
  <w:style w:type="paragraph" w:customStyle="1" w:styleId="1669">
    <w:name w:val="样式 标题 4 + 段前: 1 行"/>
    <w:basedOn w:val="7"/>
    <w:qFormat/>
    <w:uiPriority w:val="0"/>
    <w:pPr>
      <w:keepNext w:val="0"/>
      <w:keepLines w:val="0"/>
      <w:snapToGrid w:val="0"/>
      <w:spacing w:before="280" w:beforeLines="100" w:line="0" w:lineRule="atLeast"/>
      <w:ind w:left="0" w:firstLine="0"/>
      <w:jc w:val="both"/>
    </w:pPr>
    <w:rPr>
      <w:rFonts w:eastAsia="宋体"/>
      <w:b w:val="0"/>
      <w:color w:val="auto"/>
      <w:sz w:val="22"/>
    </w:rPr>
  </w:style>
  <w:style w:type="paragraph" w:customStyle="1" w:styleId="1670">
    <w:name w:val="默认段落字体 Para Char Char Char Char Char Char Char Char Char Char Char Char Char"/>
    <w:basedOn w:val="1"/>
    <w:qFormat/>
    <w:uiPriority w:val="0"/>
    <w:rPr>
      <w:rFonts w:eastAsia="宋体"/>
      <w:sz w:val="21"/>
      <w:szCs w:val="24"/>
    </w:rPr>
  </w:style>
  <w:style w:type="paragraph" w:customStyle="1" w:styleId="1671">
    <w:name w:val="首行缩进 Char Char"/>
    <w:basedOn w:val="1"/>
    <w:qFormat/>
    <w:uiPriority w:val="0"/>
    <w:pPr>
      <w:snapToGrid w:val="0"/>
      <w:spacing w:line="360" w:lineRule="auto"/>
      <w:ind w:firstLine="499"/>
    </w:pPr>
    <w:rPr>
      <w:rFonts w:ascii="宋体" w:eastAsia="宋体"/>
      <w:sz w:val="24"/>
    </w:rPr>
  </w:style>
  <w:style w:type="paragraph" w:customStyle="1" w:styleId="1672">
    <w:name w:val="样式 燕山正文 + 首行缩进:  3.5 字符"/>
    <w:basedOn w:val="1"/>
    <w:qFormat/>
    <w:uiPriority w:val="0"/>
    <w:pPr>
      <w:tabs>
        <w:tab w:val="left" w:pos="4680"/>
      </w:tabs>
      <w:adjustRightInd w:val="0"/>
      <w:snapToGrid w:val="0"/>
      <w:spacing w:line="360" w:lineRule="auto"/>
      <w:ind w:firstLine="480" w:firstLineChars="200"/>
    </w:pPr>
    <w:rPr>
      <w:rFonts w:hAnsi="宋体" w:eastAsia="宋体"/>
      <w:color w:val="000000"/>
      <w:sz w:val="24"/>
      <w:szCs w:val="24"/>
    </w:rPr>
  </w:style>
  <w:style w:type="paragraph" w:customStyle="1" w:styleId="1673">
    <w:name w:val="小于节标题"/>
    <w:basedOn w:val="1347"/>
    <w:qFormat/>
    <w:uiPriority w:val="0"/>
    <w:pPr>
      <w:ind w:firstLine="0" w:firstLineChars="0"/>
    </w:pPr>
  </w:style>
  <w:style w:type="paragraph" w:customStyle="1" w:styleId="1674">
    <w:name w:val="reader-word-layer reader-word-s1-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75">
    <w:name w:val="标题 21"/>
    <w:basedOn w:val="1655"/>
    <w:next w:val="1655"/>
    <w:qFormat/>
    <w:uiPriority w:val="0"/>
    <w:pPr>
      <w:keepNext/>
      <w:keepLines/>
      <w:spacing w:before="260" w:after="260" w:line="416" w:lineRule="auto"/>
      <w:outlineLvl w:val="1"/>
    </w:pPr>
    <w:rPr>
      <w:rFonts w:ascii="Arial" w:hAnsi="Arial" w:eastAsia="黑体"/>
      <w:b/>
      <w:sz w:val="32"/>
    </w:rPr>
  </w:style>
  <w:style w:type="paragraph" w:customStyle="1" w:styleId="1676">
    <w:name w:val="正文文本1"/>
    <w:basedOn w:val="1655"/>
    <w:qFormat/>
    <w:uiPriority w:val="0"/>
    <w:pPr>
      <w:spacing w:after="120"/>
    </w:pPr>
    <w:rPr>
      <w:rFonts w:hint="default"/>
      <w:sz w:val="24"/>
    </w:rPr>
  </w:style>
  <w:style w:type="paragraph" w:customStyle="1" w:styleId="1677">
    <w:name w:val="样式 标题 1 + 宋体 四号"/>
    <w:basedOn w:val="3"/>
    <w:qFormat/>
    <w:uiPriority w:val="0"/>
    <w:pPr>
      <w:keepLines w:val="0"/>
      <w:pageBreakBefore w:val="0"/>
      <w:widowControl/>
      <w:tabs>
        <w:tab w:val="clear" w:pos="1080"/>
      </w:tabs>
      <w:spacing w:before="0" w:after="0" w:line="700" w:lineRule="exact"/>
      <w:ind w:left="0" w:firstLine="0"/>
    </w:pPr>
    <w:rPr>
      <w:rFonts w:ascii="宋体" w:hAnsi="华文中宋" w:eastAsia="华文中宋" w:cs="华文中宋"/>
      <w:bCs/>
      <w:color w:val="000000"/>
      <w:kern w:val="2"/>
      <w:sz w:val="28"/>
      <w:szCs w:val="32"/>
    </w:rPr>
  </w:style>
  <w:style w:type="paragraph" w:customStyle="1" w:styleId="1678">
    <w:name w:val="1级标题"/>
    <w:basedOn w:val="1"/>
    <w:qFormat/>
    <w:uiPriority w:val="0"/>
    <w:pPr>
      <w:spacing w:before="60" w:line="460" w:lineRule="exact"/>
      <w:outlineLvl w:val="0"/>
    </w:pPr>
    <w:rPr>
      <w:rFonts w:ascii="Arial" w:hAnsi="Arial" w:eastAsia="宋体"/>
      <w:b/>
      <w:sz w:val="32"/>
      <w:szCs w:val="24"/>
    </w:rPr>
  </w:style>
  <w:style w:type="paragraph" w:customStyle="1" w:styleId="1679">
    <w:name w:val="样式 样式 表头 + 段前: 0.5 行 段后: 0.5 行 + 段前: 0.5 行 段后: 0.5 行"/>
    <w:basedOn w:val="1"/>
    <w:qFormat/>
    <w:uiPriority w:val="0"/>
    <w:pPr>
      <w:spacing w:beforeLines="50" w:afterLines="50" w:line="300" w:lineRule="auto"/>
      <w:jc w:val="center"/>
      <w:outlineLvl w:val="3"/>
    </w:pPr>
    <w:rPr>
      <w:rFonts w:ascii="华文细黑" w:hAnsi="华文细黑" w:eastAsia="宋体" w:cs="宋体"/>
      <w:b/>
      <w:bCs/>
      <w:sz w:val="21"/>
    </w:rPr>
  </w:style>
  <w:style w:type="paragraph" w:customStyle="1" w:styleId="1680">
    <w:name w:val="11标题 3"/>
    <w:basedOn w:val="6"/>
    <w:qFormat/>
    <w:uiPriority w:val="0"/>
    <w:pPr>
      <w:widowControl/>
      <w:tabs>
        <w:tab w:val="clear" w:pos="1789"/>
      </w:tabs>
      <w:spacing w:before="260" w:after="260" w:line="416" w:lineRule="auto"/>
      <w:ind w:left="0" w:firstLine="0"/>
      <w:jc w:val="left"/>
    </w:pPr>
    <w:rPr>
      <w:rFonts w:ascii="宋体" w:hAnsi="宋体" w:eastAsia="楷体_GB2312" w:cs="宋体"/>
      <w:kern w:val="0"/>
      <w:sz w:val="28"/>
      <w:szCs w:val="28"/>
    </w:rPr>
  </w:style>
  <w:style w:type="paragraph" w:customStyle="1" w:styleId="1681">
    <w:name w:val="正文缩进2"/>
    <w:basedOn w:val="1"/>
    <w:qFormat/>
    <w:uiPriority w:val="0"/>
    <w:pPr>
      <w:spacing w:line="460" w:lineRule="exact"/>
      <w:ind w:firstLine="420"/>
    </w:pPr>
    <w:rPr>
      <w:rFonts w:eastAsia="宋体"/>
      <w:sz w:val="24"/>
    </w:rPr>
  </w:style>
  <w:style w:type="paragraph" w:customStyle="1" w:styleId="1682">
    <w:name w:val="纪任山图表标题5"/>
    <w:basedOn w:val="1"/>
    <w:qFormat/>
    <w:uiPriority w:val="0"/>
    <w:pPr>
      <w:widowControl/>
      <w:adjustRightInd w:val="0"/>
      <w:snapToGrid w:val="0"/>
      <w:spacing w:after="120" w:line="480" w:lineRule="exact"/>
      <w:jc w:val="center"/>
    </w:pPr>
    <w:rPr>
      <w:rFonts w:ascii="宋体" w:hAnsi="宋体" w:eastAsia="宋体" w:cs="宋体"/>
      <w:b/>
      <w:color w:val="000000"/>
      <w:spacing w:val="6"/>
      <w:kern w:val="0"/>
      <w:sz w:val="24"/>
    </w:rPr>
  </w:style>
  <w:style w:type="paragraph" w:customStyle="1" w:styleId="1683">
    <w:name w:val="样式2－表格"/>
    <w:basedOn w:val="1"/>
    <w:qFormat/>
    <w:uiPriority w:val="0"/>
    <w:pPr>
      <w:widowControl/>
      <w:autoSpaceDE w:val="0"/>
      <w:autoSpaceDN w:val="0"/>
      <w:adjustRightInd w:val="0"/>
      <w:snapToGrid w:val="0"/>
      <w:spacing w:line="300" w:lineRule="auto"/>
      <w:jc w:val="left"/>
      <w:textAlignment w:val="baseline"/>
    </w:pPr>
    <w:rPr>
      <w:rFonts w:ascii="宋体" w:hAnsi="宋体" w:eastAsia="宋体" w:cs="宋体"/>
      <w:color w:val="000000"/>
      <w:kern w:val="0"/>
      <w:sz w:val="24"/>
    </w:rPr>
  </w:style>
  <w:style w:type="paragraph" w:customStyle="1" w:styleId="1684">
    <w:name w:val="x.x(1)"/>
    <w:basedOn w:val="1"/>
    <w:qFormat/>
    <w:uiPriority w:val="0"/>
    <w:pPr>
      <w:widowControl/>
      <w:autoSpaceDE w:val="0"/>
      <w:autoSpaceDN w:val="0"/>
      <w:adjustRightInd w:val="0"/>
      <w:snapToGrid w:val="0"/>
      <w:spacing w:line="300" w:lineRule="auto"/>
      <w:ind w:left="1134" w:hanging="567"/>
      <w:jc w:val="left"/>
    </w:pPr>
    <w:rPr>
      <w:rFonts w:ascii="Arial" w:hAnsi="Arial" w:eastAsia="MS PGothic" w:cs="宋体"/>
      <w:kern w:val="0"/>
      <w:sz w:val="22"/>
      <w:lang w:eastAsia="ja-JP"/>
    </w:rPr>
  </w:style>
  <w:style w:type="paragraph" w:customStyle="1" w:styleId="1685">
    <w:name w:val="表内5号两端对齐"/>
    <w:qFormat/>
    <w:uiPriority w:val="0"/>
    <w:pPr>
      <w:adjustRightInd w:val="0"/>
      <w:snapToGrid w:val="0"/>
      <w:jc w:val="both"/>
    </w:pPr>
    <w:rPr>
      <w:rFonts w:ascii="Times New Roman" w:hAnsi="Times New Roman" w:eastAsia="宋体" w:cs="Times New Roman"/>
      <w:sz w:val="21"/>
      <w:lang w:val="en-US" w:eastAsia="zh-CN" w:bidi="ar-SA"/>
    </w:rPr>
  </w:style>
  <w:style w:type="paragraph" w:customStyle="1" w:styleId="1686">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687">
    <w:name w:val="样式3wf"/>
    <w:basedOn w:val="1"/>
    <w:qFormat/>
    <w:uiPriority w:val="0"/>
    <w:pPr>
      <w:widowControl/>
      <w:autoSpaceDE w:val="0"/>
      <w:autoSpaceDN w:val="0"/>
      <w:adjustRightInd w:val="0"/>
      <w:snapToGrid w:val="0"/>
      <w:jc w:val="left"/>
      <w:textAlignment w:val="baseline"/>
    </w:pPr>
    <w:rPr>
      <w:rFonts w:ascii="宋体" w:hAnsi="宋体" w:eastAsia="宋体" w:cs="宋体"/>
      <w:kern w:val="0"/>
      <w:sz w:val="24"/>
    </w:rPr>
  </w:style>
  <w:style w:type="paragraph" w:customStyle="1" w:styleId="1688">
    <w:name w:val="日期2"/>
    <w:basedOn w:val="1"/>
    <w:next w:val="1"/>
    <w:qFormat/>
    <w:uiPriority w:val="0"/>
    <w:pPr>
      <w:widowControl/>
      <w:autoSpaceDE w:val="0"/>
      <w:autoSpaceDN w:val="0"/>
      <w:adjustRightInd w:val="0"/>
      <w:jc w:val="left"/>
      <w:textAlignment w:val="baseline"/>
    </w:pPr>
    <w:rPr>
      <w:rFonts w:ascii="宋体" w:hAnsi="宋体" w:eastAsia="宋体" w:cs="宋体"/>
      <w:spacing w:val="5"/>
      <w:kern w:val="0"/>
      <w:sz w:val="24"/>
    </w:rPr>
  </w:style>
  <w:style w:type="paragraph" w:customStyle="1" w:styleId="1689">
    <w:name w:val="表 头"/>
    <w:basedOn w:val="1"/>
    <w:qFormat/>
    <w:uiPriority w:val="0"/>
    <w:pPr>
      <w:widowControl/>
      <w:adjustRightInd w:val="0"/>
      <w:jc w:val="center"/>
    </w:pPr>
    <w:rPr>
      <w:rFonts w:ascii="宋体" w:hAnsi="宋体" w:eastAsia="黑体" w:cs="宋体"/>
      <w:kern w:val="0"/>
      <w:sz w:val="24"/>
      <w:szCs w:val="24"/>
    </w:rPr>
  </w:style>
  <w:style w:type="paragraph" w:customStyle="1" w:styleId="1690">
    <w:name w:val="1 Char Char Char Char"/>
    <w:basedOn w:val="1"/>
    <w:qFormat/>
    <w:uiPriority w:val="0"/>
    <w:pPr>
      <w:widowControl/>
      <w:spacing w:line="360" w:lineRule="auto"/>
      <w:ind w:firstLine="200" w:firstLineChars="200"/>
      <w:jc w:val="left"/>
    </w:pPr>
    <w:rPr>
      <w:rFonts w:ascii="宋体" w:hAnsi="宋体" w:eastAsia="宋体" w:cs="宋体"/>
      <w:kern w:val="0"/>
      <w:sz w:val="24"/>
      <w:szCs w:val="24"/>
    </w:rPr>
  </w:style>
  <w:style w:type="paragraph" w:customStyle="1" w:styleId="1691">
    <w:name w:val="表头名称"/>
    <w:basedOn w:val="5"/>
    <w:qFormat/>
    <w:uiPriority w:val="0"/>
    <w:pPr>
      <w:widowControl/>
      <w:autoSpaceDE w:val="0"/>
      <w:autoSpaceDN w:val="0"/>
      <w:adjustRightInd w:val="0"/>
      <w:spacing w:line="360" w:lineRule="auto"/>
      <w:ind w:firstLine="0"/>
      <w:jc w:val="center"/>
    </w:pPr>
    <w:rPr>
      <w:rFonts w:ascii="宋体" w:hAnsi="宋体" w:eastAsia="黑体" w:cs="宋体"/>
      <w:spacing w:val="0"/>
      <w:kern w:val="0"/>
      <w:sz w:val="21"/>
      <w:szCs w:val="21"/>
    </w:rPr>
  </w:style>
  <w:style w:type="paragraph" w:customStyle="1" w:styleId="1692">
    <w:name w:val="正文(首行缩进2字）"/>
    <w:basedOn w:val="1"/>
    <w:link w:val="2728"/>
    <w:qFormat/>
    <w:uiPriority w:val="0"/>
    <w:pPr>
      <w:widowControl/>
      <w:spacing w:line="480" w:lineRule="exact"/>
      <w:ind w:firstLine="200" w:firstLineChars="200"/>
      <w:jc w:val="left"/>
    </w:pPr>
    <w:rPr>
      <w:rFonts w:ascii="Arial" w:hAnsi="Arial" w:eastAsia="宋体" w:cs="Arial"/>
      <w:kern w:val="0"/>
      <w:sz w:val="24"/>
      <w:szCs w:val="24"/>
    </w:rPr>
  </w:style>
  <w:style w:type="paragraph" w:customStyle="1" w:styleId="1693">
    <w:name w:val="样式 标题 1 + 华文中宋 两端对齐 左侧:  0 厘米"/>
    <w:basedOn w:val="3"/>
    <w:qFormat/>
    <w:uiPriority w:val="0"/>
    <w:pPr>
      <w:pageBreakBefore w:val="0"/>
      <w:widowControl/>
      <w:tabs>
        <w:tab w:val="left" w:pos="720"/>
        <w:tab w:val="clear" w:pos="1080"/>
      </w:tabs>
      <w:spacing w:before="340" w:after="330" w:line="240" w:lineRule="auto"/>
      <w:ind w:left="720" w:hanging="720"/>
      <w:jc w:val="left"/>
    </w:pPr>
    <w:rPr>
      <w:rFonts w:ascii="华文中宋" w:hAnsi="华文中宋" w:eastAsia="华文中宋" w:cs="宋体"/>
      <w:bCs/>
      <w:sz w:val="44"/>
      <w:szCs w:val="44"/>
    </w:rPr>
  </w:style>
  <w:style w:type="paragraph" w:customStyle="1" w:styleId="1694">
    <w:name w:val="1-正文"/>
    <w:basedOn w:val="1"/>
    <w:link w:val="2720"/>
    <w:qFormat/>
    <w:uiPriority w:val="0"/>
    <w:pPr>
      <w:widowControl/>
      <w:spacing w:line="360" w:lineRule="auto"/>
      <w:ind w:firstLine="480" w:firstLineChars="200"/>
      <w:jc w:val="left"/>
    </w:pPr>
    <w:rPr>
      <w:rFonts w:ascii="宋体" w:hAnsi="宋体" w:eastAsia="宋体" w:cs="宋体"/>
      <w:kern w:val="0"/>
      <w:sz w:val="24"/>
      <w:szCs w:val="24"/>
    </w:rPr>
  </w:style>
  <w:style w:type="paragraph" w:customStyle="1" w:styleId="1695">
    <w:name w:val="Char Char2 Char Char Char2 Char Char Char Char Char Char Char Char Char Char Char Char Char"/>
    <w:basedOn w:val="1"/>
    <w:qFormat/>
    <w:uiPriority w:val="0"/>
    <w:pPr>
      <w:widowControl/>
      <w:spacing w:after="160" w:line="240" w:lineRule="exact"/>
      <w:jc w:val="left"/>
    </w:pPr>
    <w:rPr>
      <w:rFonts w:ascii="宋体" w:hAnsi="宋体" w:eastAsia="宋体" w:cs="宋体"/>
      <w:kern w:val="0"/>
      <w:sz w:val="24"/>
    </w:rPr>
  </w:style>
  <w:style w:type="paragraph" w:customStyle="1" w:styleId="1696">
    <w:name w:val="biaoge 表1"/>
    <w:basedOn w:val="1"/>
    <w:qFormat/>
    <w:uiPriority w:val="0"/>
    <w:pPr>
      <w:widowControl/>
      <w:jc w:val="center"/>
    </w:pPr>
    <w:rPr>
      <w:rFonts w:ascii="宋体" w:hAnsi="宋体" w:eastAsia="宋体" w:cs="宋体"/>
      <w:kern w:val="0"/>
      <w:sz w:val="24"/>
      <w:szCs w:val="21"/>
    </w:rPr>
  </w:style>
  <w:style w:type="paragraph" w:customStyle="1" w:styleId="1697">
    <w:name w:val="正文楷体"/>
    <w:basedOn w:val="1"/>
    <w:qFormat/>
    <w:uiPriority w:val="0"/>
    <w:pPr>
      <w:widowControl/>
      <w:adjustRightInd w:val="0"/>
      <w:snapToGrid w:val="0"/>
      <w:spacing w:line="360" w:lineRule="auto"/>
      <w:ind w:firstLine="200" w:firstLineChars="200"/>
      <w:jc w:val="left"/>
    </w:pPr>
    <w:rPr>
      <w:rFonts w:ascii="宋体" w:hAnsi="宋体" w:eastAsia="楷体_GB2312" w:cs="宋体"/>
      <w:kern w:val="0"/>
      <w:sz w:val="24"/>
    </w:rPr>
  </w:style>
  <w:style w:type="paragraph" w:customStyle="1" w:styleId="1698">
    <w:name w:val="标题3，中板"/>
    <w:basedOn w:val="6"/>
    <w:qFormat/>
    <w:uiPriority w:val="0"/>
    <w:pPr>
      <w:widowControl/>
      <w:tabs>
        <w:tab w:val="clear" w:pos="1789"/>
      </w:tabs>
      <w:spacing w:before="260" w:after="260" w:line="413" w:lineRule="auto"/>
      <w:ind w:left="0" w:firstLine="0"/>
      <w:jc w:val="left"/>
    </w:pPr>
    <w:rPr>
      <w:rFonts w:ascii="Times New Roman" w:eastAsia="宋体" w:cs="宋体"/>
      <w:kern w:val="44"/>
      <w:sz w:val="28"/>
      <w:szCs w:val="24"/>
    </w:rPr>
  </w:style>
  <w:style w:type="paragraph" w:customStyle="1" w:styleId="1699">
    <w:name w:val="Char4 Char Char Char Char Char Char"/>
    <w:basedOn w:val="1"/>
    <w:qFormat/>
    <w:uiPriority w:val="0"/>
    <w:pPr>
      <w:spacing w:line="360" w:lineRule="auto"/>
      <w:ind w:firstLine="200" w:firstLineChars="200"/>
    </w:pPr>
    <w:rPr>
      <w:rFonts w:eastAsia="宋体"/>
      <w:sz w:val="21"/>
    </w:rPr>
  </w:style>
  <w:style w:type="paragraph" w:customStyle="1" w:styleId="1700">
    <w:name w:val="Char Char1 Char Char Char Char Char Char"/>
    <w:basedOn w:val="1"/>
    <w:qFormat/>
    <w:uiPriority w:val="0"/>
    <w:pPr>
      <w:widowControl/>
      <w:spacing w:after="160" w:line="240" w:lineRule="exact"/>
      <w:jc w:val="left"/>
    </w:pPr>
    <w:rPr>
      <w:rFonts w:eastAsia="宋体"/>
      <w:sz w:val="21"/>
    </w:rPr>
  </w:style>
  <w:style w:type="paragraph" w:customStyle="1" w:styleId="1701">
    <w:name w:val="reader-word-layer reader-word-s1-5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2">
    <w:name w:val="reader-word-layer reader-word-s1-5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3">
    <w:name w:val="reader-word-layer reader-word-s1-6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4">
    <w:name w:val="reader-word-layer reader-word-s1-7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5">
    <w:name w:val="reader-word-layer reader-word-s1-7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6">
    <w:name w:val="reader-word-layer reader-word-s1-7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7">
    <w:name w:val="reader-word-layer reader-word-s1-2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8">
    <w:name w:val="reader-word-layer reader-word-s1-3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9">
    <w:name w:val="reader-word-layer reader-word-s2-4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10">
    <w:name w:val="样式 正文缩进首行缩进两字标题4正文不缩进s4正文（首行缩进两字） Char Char Char Char Char ...1"/>
    <w:basedOn w:val="5"/>
    <w:qFormat/>
    <w:uiPriority w:val="0"/>
    <w:pPr>
      <w:adjustRightInd w:val="0"/>
      <w:snapToGrid w:val="0"/>
      <w:spacing w:line="360" w:lineRule="auto"/>
      <w:ind w:left="-108" w:firstLine="200" w:firstLineChars="200"/>
    </w:pPr>
    <w:rPr>
      <w:rFonts w:cs="宋体"/>
      <w:kern w:val="0"/>
    </w:rPr>
  </w:style>
  <w:style w:type="paragraph" w:customStyle="1" w:styleId="1711">
    <w:name w:val="表目"/>
    <w:basedOn w:val="1"/>
    <w:qFormat/>
    <w:uiPriority w:val="0"/>
    <w:pPr>
      <w:shd w:val="pct5" w:color="auto" w:fill="FFFFFF"/>
      <w:adjustRightInd w:val="0"/>
      <w:snapToGrid w:val="0"/>
      <w:spacing w:line="360" w:lineRule="auto"/>
      <w:ind w:firstLine="567" w:firstLineChars="11"/>
      <w:jc w:val="center"/>
      <w:textAlignment w:val="center"/>
    </w:pPr>
    <w:rPr>
      <w:rFonts w:ascii="宋体" w:hAnsi="宋体" w:eastAsia="宋体"/>
      <w:b/>
      <w:sz w:val="24"/>
    </w:rPr>
  </w:style>
  <w:style w:type="table" w:customStyle="1" w:styleId="1712">
    <w:name w:val="网格型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13">
    <w:name w:val="AAA"/>
    <w:basedOn w:val="89"/>
    <w:qFormat/>
    <w:uiPriority w:val="0"/>
    <w:pPr>
      <w:spacing w:line="300" w:lineRule="exact"/>
      <w:jc w:val="center"/>
    </w:pPr>
    <w:rPr>
      <w:rFonts w:eastAsia="楷体_GB2312"/>
      <w:sz w:val="21"/>
      <w:szCs w:val="21"/>
    </w:rPr>
    <w:tblPr>
      <w:jc w:val="center"/>
      <w:tblBorders>
        <w:top w:val="single" w:color="auto" w:sz="12" w:space="0"/>
        <w:bottom w:val="single" w:color="auto" w:sz="12" w:space="0"/>
      </w:tblBorders>
      <w:tblLayout w:type="fixed"/>
      <w:tblCellMar>
        <w:top w:w="0" w:type="dxa"/>
        <w:left w:w="108" w:type="dxa"/>
        <w:bottom w:w="0" w:type="dxa"/>
        <w:right w:w="108" w:type="dxa"/>
      </w:tblCellMar>
    </w:tblPr>
    <w:trPr>
      <w:jc w:val="center"/>
    </w:trPr>
    <w:tcPr>
      <w:vAlign w:val="center"/>
    </w:tcPr>
  </w:style>
  <w:style w:type="table" w:customStyle="1" w:styleId="1714">
    <w:name w:val="网格型9"/>
    <w:basedOn w:val="88"/>
    <w:qFormat/>
    <w:uiPriority w:val="0"/>
    <w:pPr>
      <w:widowControl w:val="0"/>
      <w:adjustRightInd w:val="0"/>
      <w:snapToGrid w:val="0"/>
      <w:spacing w:line="480" w:lineRule="atLeas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15">
    <w:name w:val="网格型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16">
    <w:name w:val="网格型 61"/>
    <w:basedOn w:val="88"/>
    <w:qFormat/>
    <w:uiPriority w:val="0"/>
    <w:pPr>
      <w:widowControl w:val="0"/>
      <w:jc w:val="both"/>
    </w:pPr>
    <w:rPr>
      <w:rFonts w:ascii="Plotter" w:hAnsi="Plotter" w:cs="Plotter"/>
    </w:r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17">
    <w:name w:val="网格型3"/>
    <w:basedOn w:val="88"/>
    <w:qFormat/>
    <w:uiPriority w:val="0"/>
    <w:pPr>
      <w:jc w:val="center"/>
    </w:pPr>
    <w:rPr>
      <w:rFonts w:ascii="Calibri" w:hAnsi="Calibri"/>
    </w:rPr>
    <w:tblPr>
      <w:tblBorders>
        <w:top w:val="single" w:color="000000" w:sz="12" w:space="0"/>
        <w:bottom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cPr>
      <w:vAlign w:val="center"/>
    </w:tcPr>
  </w:style>
  <w:style w:type="table" w:customStyle="1" w:styleId="1718">
    <w:name w:val="网格型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19">
    <w:name w:val="表格样式1"/>
    <w:basedOn w:val="88"/>
    <w:qFormat/>
    <w:uiPriority w:val="0"/>
    <w:pPr>
      <w:jc w:val="center"/>
    </w:pPr>
    <w:rPr>
      <w:sz w:val="21"/>
      <w:szCs w:val="21"/>
    </w:rPr>
    <w:tblPr>
      <w:jc w:val="center"/>
      <w:tblBorders>
        <w:top w:val="single" w:color="auto" w:sz="18" w:space="0"/>
        <w:bottom w:val="single" w:color="auto" w:sz="18" w:space="0"/>
        <w:insideH w:val="single" w:color="auto" w:sz="4" w:space="0"/>
        <w:insideV w:val="single" w:color="auto" w:sz="4" w:space="0"/>
      </w:tblBorders>
      <w:tblLayout w:type="fixed"/>
      <w:tblCellMar>
        <w:top w:w="0" w:type="dxa"/>
        <w:left w:w="108" w:type="dxa"/>
        <w:bottom w:w="0" w:type="dxa"/>
        <w:right w:w="108" w:type="dxa"/>
      </w:tblCellMar>
    </w:tblPr>
    <w:trPr>
      <w:jc w:val="center"/>
    </w:trPr>
    <w:tcPr>
      <w:vAlign w:val="center"/>
    </w:tcPr>
  </w:style>
  <w:style w:type="table" w:customStyle="1" w:styleId="1720">
    <w:name w:val="AAA1"/>
    <w:basedOn w:val="121"/>
    <w:qFormat/>
    <w:uiPriority w:val="0"/>
    <w:pPr>
      <w:adjustRightInd/>
      <w:jc w:val="both"/>
      <w:textAlignment w:val="auto"/>
    </w:pPr>
    <w:tblPr>
      <w:tblBorders>
        <w:top w:val="single" w:color="auto" w:sz="12" w:space="0"/>
        <w:bottom w:val="single" w:color="auto" w:sz="12" w:space="0"/>
      </w:tblBorders>
      <w:tblLayout w:type="fixed"/>
      <w:tblCellMar>
        <w:top w:w="0" w:type="dxa"/>
        <w:left w:w="108" w:type="dxa"/>
        <w:bottom w:w="0" w:type="dxa"/>
        <w:right w:w="108" w:type="dxa"/>
      </w:tblCellMar>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21">
    <w:name w:val="网格型2"/>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table" w:customStyle="1" w:styleId="1722">
    <w:name w:val="网格型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23">
    <w:name w:val="网格型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1724">
    <w:name w:val="网格型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725">
    <w:name w:val="Char Char3 Char Char Char Char"/>
    <w:basedOn w:val="1"/>
    <w:qFormat/>
    <w:uiPriority w:val="0"/>
    <w:pPr>
      <w:widowControl/>
      <w:adjustRightInd w:val="0"/>
      <w:jc w:val="center"/>
    </w:pPr>
    <w:rPr>
      <w:rFonts w:eastAsia="宋体"/>
      <w:sz w:val="21"/>
    </w:rPr>
  </w:style>
  <w:style w:type="character" w:customStyle="1" w:styleId="1726">
    <w:name w:val="标题 13 Char Char"/>
    <w:qFormat/>
    <w:uiPriority w:val="0"/>
    <w:rPr>
      <w:rFonts w:eastAsia="黑体"/>
      <w:b/>
      <w:w w:val="80"/>
      <w:kern w:val="2"/>
      <w:sz w:val="32"/>
      <w:lang w:val="en-US" w:eastAsia="zh-CN" w:bidi="ar-SA"/>
    </w:rPr>
  </w:style>
  <w:style w:type="character" w:customStyle="1" w:styleId="1727">
    <w:name w:val="f241"/>
    <w:qFormat/>
    <w:uiPriority w:val="0"/>
    <w:rPr>
      <w:sz w:val="36"/>
      <w:szCs w:val="36"/>
    </w:rPr>
  </w:style>
  <w:style w:type="paragraph" w:customStyle="1" w:styleId="1728">
    <w:name w:val="报告表正文"/>
    <w:basedOn w:val="1"/>
    <w:qFormat/>
    <w:uiPriority w:val="0"/>
    <w:pPr>
      <w:adjustRightInd w:val="0"/>
      <w:spacing w:line="300" w:lineRule="auto"/>
      <w:ind w:left="113" w:right="113"/>
      <w:textAlignment w:val="baseline"/>
    </w:pPr>
    <w:rPr>
      <w:rFonts w:ascii="宋体" w:hAnsi="宋体" w:eastAsia="宋体"/>
      <w:kern w:val="0"/>
      <w:sz w:val="24"/>
    </w:rPr>
  </w:style>
  <w:style w:type="character" w:customStyle="1" w:styleId="1729">
    <w:name w:val="表格 Char Char Char"/>
    <w:qFormat/>
    <w:uiPriority w:val="0"/>
    <w:rPr>
      <w:rFonts w:eastAsia="宋体" w:cs="宋体"/>
      <w:kern w:val="2"/>
      <w:sz w:val="24"/>
      <w:lang w:val="en-US" w:eastAsia="zh-CN" w:bidi="ar-SA"/>
    </w:rPr>
  </w:style>
  <w:style w:type="character" w:customStyle="1" w:styleId="1730">
    <w:name w:val="公文正文 Char Char"/>
    <w:link w:val="1731"/>
    <w:qFormat/>
    <w:uiPriority w:val="0"/>
    <w:rPr>
      <w:rFonts w:eastAsia="方正仿宋_GBK"/>
      <w:kern w:val="2"/>
      <w:sz w:val="32"/>
      <w:szCs w:val="24"/>
      <w:lang w:val="en-US" w:eastAsia="zh-CN" w:bidi="ar-SA"/>
    </w:rPr>
  </w:style>
  <w:style w:type="paragraph" w:customStyle="1" w:styleId="1731">
    <w:name w:val="公文正文"/>
    <w:basedOn w:val="1"/>
    <w:link w:val="1730"/>
    <w:qFormat/>
    <w:uiPriority w:val="0"/>
    <w:pPr>
      <w:spacing w:line="600" w:lineRule="exact"/>
      <w:ind w:firstLine="200" w:firstLineChars="200"/>
    </w:pPr>
    <w:rPr>
      <w:rFonts w:eastAsia="方正仿宋_GBK"/>
      <w:sz w:val="32"/>
      <w:szCs w:val="24"/>
    </w:rPr>
  </w:style>
  <w:style w:type="character" w:customStyle="1" w:styleId="1732">
    <w:name w:val="Char Char20"/>
    <w:qFormat/>
    <w:locked/>
    <w:uiPriority w:val="0"/>
    <w:rPr>
      <w:rFonts w:ascii="仿宋_GB2312" w:eastAsia="仿宋_GB2312"/>
      <w:kern w:val="2"/>
      <w:sz w:val="28"/>
      <w:lang w:val="en-US" w:eastAsia="zh-CN" w:bidi="ar-SA"/>
    </w:rPr>
  </w:style>
  <w:style w:type="character" w:customStyle="1" w:styleId="1733">
    <w:name w:val="Char Char"/>
    <w:qFormat/>
    <w:locked/>
    <w:uiPriority w:val="0"/>
    <w:rPr>
      <w:rFonts w:ascii="宋体" w:hAnsi="Courier New" w:eastAsia="宋体"/>
      <w:kern w:val="2"/>
      <w:sz w:val="21"/>
      <w:lang w:val="en-US" w:eastAsia="zh-CN" w:bidi="ar-SA"/>
    </w:rPr>
  </w:style>
  <w:style w:type="character" w:customStyle="1" w:styleId="1734">
    <w:name w:val="正文wwwww Char"/>
    <w:link w:val="1735"/>
    <w:qFormat/>
    <w:locked/>
    <w:uiPriority w:val="0"/>
    <w:rPr>
      <w:rFonts w:ascii="Arial" w:hAnsi="Arial" w:eastAsia="宋体" w:cs="宋体"/>
      <w:sz w:val="24"/>
      <w:szCs w:val="24"/>
      <w:lang w:val="zh-CN" w:eastAsia="zh-CN" w:bidi="ar-SA"/>
    </w:rPr>
  </w:style>
  <w:style w:type="paragraph" w:customStyle="1" w:styleId="1735">
    <w:name w:val="正文wwwww"/>
    <w:basedOn w:val="1"/>
    <w:next w:val="1"/>
    <w:link w:val="1734"/>
    <w:qFormat/>
    <w:uiPriority w:val="0"/>
    <w:pPr>
      <w:widowControl/>
      <w:snapToGrid w:val="0"/>
      <w:spacing w:line="360" w:lineRule="auto"/>
      <w:ind w:firstLine="482"/>
      <w:jc w:val="left"/>
    </w:pPr>
    <w:rPr>
      <w:rFonts w:ascii="Arial" w:hAnsi="Arial" w:eastAsia="宋体" w:cs="宋体"/>
      <w:kern w:val="0"/>
      <w:sz w:val="24"/>
      <w:szCs w:val="24"/>
      <w:lang w:val="zh-CN"/>
    </w:rPr>
  </w:style>
  <w:style w:type="character" w:customStyle="1" w:styleId="1736">
    <w:name w:val="正文文本的样式 Char"/>
    <w:link w:val="1737"/>
    <w:qFormat/>
    <w:locked/>
    <w:uiPriority w:val="0"/>
    <w:rPr>
      <w:rFonts w:ascii="Arial" w:hAnsi="Arial" w:eastAsia="宋体" w:cs="Arial"/>
      <w:sz w:val="24"/>
      <w:szCs w:val="24"/>
      <w:lang w:val="en-US" w:eastAsia="zh-CN" w:bidi="en-US"/>
    </w:rPr>
  </w:style>
  <w:style w:type="paragraph" w:customStyle="1" w:styleId="1737">
    <w:name w:val="正文文本的样式"/>
    <w:basedOn w:val="1"/>
    <w:link w:val="1736"/>
    <w:qFormat/>
    <w:uiPriority w:val="0"/>
    <w:pPr>
      <w:widowControl/>
      <w:spacing w:line="360" w:lineRule="auto"/>
      <w:ind w:firstLine="200" w:firstLineChars="200"/>
      <w:jc w:val="left"/>
    </w:pPr>
    <w:rPr>
      <w:rFonts w:ascii="Arial" w:hAnsi="Arial" w:eastAsia="宋体" w:cs="Arial"/>
      <w:kern w:val="0"/>
      <w:sz w:val="24"/>
      <w:szCs w:val="24"/>
      <w:lang w:bidi="en-US"/>
    </w:rPr>
  </w:style>
  <w:style w:type="character" w:customStyle="1" w:styleId="1738">
    <w:name w:val="首行缩进两字 Char12"/>
    <w:qFormat/>
    <w:locked/>
    <w:uiPriority w:val="0"/>
    <w:rPr>
      <w:rFonts w:ascii="Arial" w:hAnsi="Arial" w:eastAsia="宋体" w:cs="Arial"/>
      <w:spacing w:val="10"/>
      <w:kern w:val="2"/>
      <w:sz w:val="24"/>
      <w:lang w:val="en-US" w:eastAsia="zh-CN" w:bidi="ar-SA"/>
    </w:rPr>
  </w:style>
  <w:style w:type="character" w:customStyle="1" w:styleId="1739">
    <w:name w:val="表格头 Char"/>
    <w:link w:val="1740"/>
    <w:qFormat/>
    <w:locked/>
    <w:uiPriority w:val="0"/>
    <w:rPr>
      <w:rFonts w:ascii="仿宋_GB2312" w:hAnsi="仿宋" w:eastAsia="仿宋_GB2312"/>
      <w:b/>
      <w:snapToGrid/>
      <w:color w:val="000000"/>
      <w:spacing w:val="-4"/>
      <w:kern w:val="28"/>
      <w:sz w:val="24"/>
      <w:lang w:val="en-US" w:eastAsia="zh-CN" w:bidi="ar-SA"/>
    </w:rPr>
  </w:style>
  <w:style w:type="paragraph" w:customStyle="1" w:styleId="1740">
    <w:name w:val="表格头"/>
    <w:link w:val="1739"/>
    <w:qFormat/>
    <w:uiPriority w:val="0"/>
    <w:pPr>
      <w:tabs>
        <w:tab w:val="left" w:pos="13892"/>
      </w:tabs>
      <w:adjustRightInd w:val="0"/>
      <w:snapToGrid w:val="0"/>
      <w:jc w:val="center"/>
    </w:pPr>
    <w:rPr>
      <w:rFonts w:ascii="仿宋_GB2312" w:hAnsi="仿宋" w:eastAsia="仿宋_GB2312" w:cs="Times New Roman"/>
      <w:b/>
      <w:snapToGrid w:val="0"/>
      <w:color w:val="000000"/>
      <w:spacing w:val="-4"/>
      <w:kern w:val="28"/>
      <w:sz w:val="24"/>
      <w:lang w:val="en-US" w:eastAsia="zh-CN" w:bidi="ar-SA"/>
    </w:rPr>
  </w:style>
  <w:style w:type="paragraph" w:customStyle="1" w:styleId="1741">
    <w:name w:val="正文（首行缩进2字）"/>
    <w:basedOn w:val="1"/>
    <w:qFormat/>
    <w:uiPriority w:val="0"/>
    <w:pPr>
      <w:adjustRightInd w:val="0"/>
      <w:snapToGrid w:val="0"/>
      <w:spacing w:line="440" w:lineRule="exact"/>
      <w:ind w:firstLine="521" w:firstLineChars="200"/>
    </w:pPr>
    <w:rPr>
      <w:rFonts w:eastAsia="宋体"/>
      <w:b/>
      <w:bCs/>
      <w:sz w:val="24"/>
      <w:szCs w:val="24"/>
    </w:rPr>
  </w:style>
  <w:style w:type="character" w:customStyle="1" w:styleId="1742">
    <w:name w:val="font41"/>
    <w:qFormat/>
    <w:uiPriority w:val="0"/>
    <w:rPr>
      <w:rFonts w:hint="default" w:ascii="Times New Roman" w:hAnsi="Times New Roman" w:cs="Times New Roman"/>
      <w:color w:val="000000"/>
      <w:sz w:val="22"/>
      <w:szCs w:val="22"/>
      <w:u w:val="none"/>
    </w:rPr>
  </w:style>
  <w:style w:type="character" w:customStyle="1" w:styleId="1743">
    <w:name w:val="Char Char33"/>
    <w:qFormat/>
    <w:locked/>
    <w:uiPriority w:val="0"/>
    <w:rPr>
      <w:rFonts w:ascii="仿宋_GB2312" w:eastAsia="仿宋_GB2312"/>
      <w:kern w:val="2"/>
      <w:sz w:val="28"/>
      <w:lang w:val="en-US" w:eastAsia="zh-CN" w:bidi="ar-SA"/>
    </w:rPr>
  </w:style>
  <w:style w:type="character" w:customStyle="1" w:styleId="1744">
    <w:name w:val="正文缩进 字符"/>
    <w:qFormat/>
    <w:uiPriority w:val="0"/>
    <w:rPr>
      <w:rFonts w:eastAsia="宋体"/>
      <w:sz w:val="28"/>
      <w:szCs w:val="28"/>
      <w:lang w:val="en-US" w:eastAsia="zh-CN" w:bidi="ar-SA"/>
    </w:rPr>
  </w:style>
  <w:style w:type="character" w:customStyle="1" w:styleId="1745">
    <w:name w:val="标题 4 字符"/>
    <w:qFormat/>
    <w:uiPriority w:val="0"/>
    <w:rPr>
      <w:rFonts w:ascii="Arial" w:hAnsi="Arial" w:eastAsia="仿宋_GB2312"/>
      <w:b/>
      <w:color w:val="000000"/>
      <w:kern w:val="2"/>
      <w:sz w:val="24"/>
      <w:lang w:val="zh-CN" w:eastAsia="zh-CN" w:bidi="ar-SA"/>
    </w:rPr>
  </w:style>
  <w:style w:type="paragraph" w:customStyle="1" w:styleId="1746">
    <w:name w:val="报告表格"/>
    <w:basedOn w:val="1"/>
    <w:next w:val="1"/>
    <w:qFormat/>
    <w:uiPriority w:val="0"/>
    <w:pPr>
      <w:autoSpaceDE w:val="0"/>
      <w:autoSpaceDN w:val="0"/>
      <w:adjustRightInd w:val="0"/>
      <w:jc w:val="center"/>
      <w:textAlignment w:val="bottom"/>
    </w:pPr>
    <w:rPr>
      <w:rFonts w:eastAsia="宋体"/>
      <w:kern w:val="0"/>
      <w:sz w:val="21"/>
    </w:rPr>
  </w:style>
  <w:style w:type="paragraph" w:customStyle="1" w:styleId="1747">
    <w:name w:val="样式 样式 自动设置 段前: 2 磅 段后: 2 磅 行距: 固定值 15 磅 + 首行缩进:  2 字符"/>
    <w:basedOn w:val="1748"/>
    <w:qFormat/>
    <w:uiPriority w:val="0"/>
  </w:style>
  <w:style w:type="paragraph" w:customStyle="1" w:styleId="1748">
    <w:name w:val="样式 自动设置 段前: 2 磅 段后: 2 磅 行距: 固定值 15 磅"/>
    <w:basedOn w:val="1"/>
    <w:qFormat/>
    <w:uiPriority w:val="0"/>
    <w:pPr>
      <w:widowControl/>
      <w:spacing w:line="300" w:lineRule="exact"/>
      <w:ind w:firstLine="200" w:firstLineChars="200"/>
      <w:jc w:val="left"/>
    </w:pPr>
    <w:rPr>
      <w:rFonts w:ascii="Calibri" w:hAnsi="Calibri" w:eastAsia="宋体" w:cs="宋体"/>
      <w:kern w:val="0"/>
      <w:sz w:val="24"/>
    </w:rPr>
  </w:style>
  <w:style w:type="character" w:customStyle="1" w:styleId="1749">
    <w:name w:val="标题 1 字符"/>
    <w:qFormat/>
    <w:uiPriority w:val="0"/>
    <w:rPr>
      <w:rFonts w:ascii="Times New Roman" w:hAnsi="Times New Roman" w:eastAsia="宋体"/>
      <w:b/>
      <w:bCs/>
      <w:kern w:val="44"/>
      <w:sz w:val="44"/>
      <w:szCs w:val="44"/>
    </w:rPr>
  </w:style>
  <w:style w:type="character" w:customStyle="1" w:styleId="1750">
    <w:name w:val="标题 2 字符"/>
    <w:qFormat/>
    <w:uiPriority w:val="0"/>
    <w:rPr>
      <w:rFonts w:ascii="等线 Light" w:hAnsi="等线 Light" w:eastAsia="等线 Light" w:cs="Times New Roman"/>
      <w:b/>
      <w:bCs/>
      <w:sz w:val="32"/>
      <w:szCs w:val="32"/>
    </w:rPr>
  </w:style>
  <w:style w:type="character" w:customStyle="1" w:styleId="1751">
    <w:name w:val="标题 3 字符"/>
    <w:qFormat/>
    <w:uiPriority w:val="0"/>
    <w:rPr>
      <w:rFonts w:ascii="Times New Roman" w:hAnsi="Times New Roman" w:eastAsia="宋体"/>
      <w:b/>
      <w:bCs/>
      <w:sz w:val="32"/>
      <w:szCs w:val="32"/>
    </w:rPr>
  </w:style>
  <w:style w:type="character" w:customStyle="1" w:styleId="1752">
    <w:name w:val="标题 5 字符"/>
    <w:qFormat/>
    <w:uiPriority w:val="0"/>
    <w:rPr>
      <w:rFonts w:ascii="Times New Roman" w:hAnsi="Times New Roman" w:eastAsia="宋体"/>
      <w:b/>
      <w:bCs/>
      <w:sz w:val="28"/>
      <w:szCs w:val="28"/>
    </w:rPr>
  </w:style>
  <w:style w:type="character" w:customStyle="1" w:styleId="1753">
    <w:name w:val="标题 6 字符"/>
    <w:qFormat/>
    <w:uiPriority w:val="0"/>
    <w:rPr>
      <w:rFonts w:ascii="等线 Light" w:hAnsi="等线 Light" w:eastAsia="等线 Light" w:cs="Times New Roman"/>
      <w:b/>
      <w:bCs/>
      <w:sz w:val="24"/>
      <w:szCs w:val="24"/>
    </w:rPr>
  </w:style>
  <w:style w:type="character" w:customStyle="1" w:styleId="1754">
    <w:name w:val="标题 7 字符"/>
    <w:qFormat/>
    <w:uiPriority w:val="0"/>
    <w:rPr>
      <w:rFonts w:ascii="Times New Roman" w:hAnsi="Times New Roman" w:eastAsia="宋体"/>
      <w:b/>
      <w:bCs/>
      <w:sz w:val="24"/>
      <w:szCs w:val="24"/>
    </w:rPr>
  </w:style>
  <w:style w:type="character" w:customStyle="1" w:styleId="1755">
    <w:name w:val="标题 8 字符"/>
    <w:qFormat/>
    <w:uiPriority w:val="0"/>
    <w:rPr>
      <w:rFonts w:ascii="等线 Light" w:hAnsi="等线 Light" w:eastAsia="等线 Light" w:cs="Times New Roman"/>
      <w:sz w:val="24"/>
      <w:szCs w:val="24"/>
    </w:rPr>
  </w:style>
  <w:style w:type="character" w:customStyle="1" w:styleId="1756">
    <w:name w:val="标题 9 字符"/>
    <w:qFormat/>
    <w:uiPriority w:val="0"/>
    <w:rPr>
      <w:rFonts w:ascii="等线 Light" w:hAnsi="等线 Light" w:eastAsia="等线 Light" w:cs="Times New Roman"/>
      <w:sz w:val="21"/>
      <w:szCs w:val="21"/>
    </w:rPr>
  </w:style>
  <w:style w:type="character" w:customStyle="1" w:styleId="1757">
    <w:name w:val="正文文本 字符"/>
    <w:qFormat/>
    <w:uiPriority w:val="0"/>
    <w:rPr>
      <w:rFonts w:ascii="Times New Roman" w:hAnsi="Times New Roman" w:eastAsia="宋体"/>
      <w:sz w:val="24"/>
      <w:szCs w:val="22"/>
    </w:rPr>
  </w:style>
  <w:style w:type="paragraph" w:customStyle="1" w:styleId="1758">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1759">
    <w:name w:val="表格右"/>
    <w:qFormat/>
    <w:uiPriority w:val="0"/>
    <w:rPr>
      <w:rFonts w:hint="eastAsia" w:ascii="宋体" w:hAnsi="宋体" w:eastAsia="宋体" w:cs="宋体"/>
      <w:color w:val="000080"/>
      <w:kern w:val="2"/>
      <w:sz w:val="18"/>
      <w:szCs w:val="24"/>
      <w:lang w:val="en-US" w:eastAsia="zh-CN" w:bidi="ar"/>
    </w:rPr>
  </w:style>
  <w:style w:type="character" w:customStyle="1" w:styleId="1760">
    <w:name w:val="文本块 Char Char"/>
    <w:qFormat/>
    <w:uiPriority w:val="0"/>
    <w:rPr>
      <w:rFonts w:hint="eastAsia" w:ascii="宋体" w:hAnsi="宋体" w:eastAsia="宋体" w:cs="宋体"/>
      <w:kern w:val="2"/>
      <w:sz w:val="21"/>
      <w:szCs w:val="24"/>
      <w:lang w:val="en-US" w:eastAsia="zh-CN" w:bidi="ar-SA"/>
    </w:rPr>
  </w:style>
  <w:style w:type="character" w:customStyle="1" w:styleId="1761">
    <w:name w:val="页眉 字符1"/>
    <w:qFormat/>
    <w:uiPriority w:val="0"/>
    <w:rPr>
      <w:rFonts w:hint="eastAsia" w:ascii="宋体" w:hAnsi="宋体" w:eastAsia="宋体"/>
      <w:kern w:val="2"/>
      <w:sz w:val="18"/>
      <w:szCs w:val="18"/>
      <w:lang w:val="en-US" w:eastAsia="zh-CN" w:bidi="ar-SA"/>
    </w:rPr>
  </w:style>
  <w:style w:type="character" w:customStyle="1" w:styleId="1762">
    <w:name w:val="样式 标题 2 + 红色 Char Char"/>
    <w:qFormat/>
    <w:uiPriority w:val="0"/>
    <w:rPr>
      <w:rFonts w:hint="default" w:ascii="Arial" w:hAnsi="Arial" w:eastAsia="黑体" w:cs="Arial"/>
      <w:b/>
      <w:bCs/>
      <w:color w:val="FF0000"/>
      <w:spacing w:val="-8"/>
      <w:kern w:val="2"/>
      <w:sz w:val="28"/>
      <w:szCs w:val="32"/>
      <w:lang w:val="en-US" w:eastAsia="zh-CN" w:bidi="ar-SA"/>
    </w:rPr>
  </w:style>
  <w:style w:type="character" w:customStyle="1" w:styleId="1763">
    <w:name w:val="样式 (符号) 宋体 黑色 Char Char"/>
    <w:link w:val="1764"/>
    <w:qFormat/>
    <w:locked/>
    <w:uiPriority w:val="0"/>
    <w:rPr>
      <w:rFonts w:ascii="宋体" w:hAnsi="宋体" w:cs="宋体"/>
      <w:b/>
      <w:bCs/>
      <w:sz w:val="30"/>
      <w:szCs w:val="24"/>
    </w:rPr>
  </w:style>
  <w:style w:type="paragraph" w:customStyle="1" w:styleId="1764">
    <w:name w:val="样式 (符号) 宋体 黑色"/>
    <w:basedOn w:val="1"/>
    <w:link w:val="1763"/>
    <w:qFormat/>
    <w:uiPriority w:val="0"/>
    <w:pPr>
      <w:spacing w:line="360" w:lineRule="auto"/>
      <w:jc w:val="center"/>
      <w:outlineLvl w:val="0"/>
    </w:pPr>
    <w:rPr>
      <w:rFonts w:ascii="宋体" w:hAnsi="宋体" w:eastAsia="宋体" w:cs="宋体"/>
      <w:b/>
      <w:bCs/>
      <w:kern w:val="0"/>
      <w:sz w:val="30"/>
      <w:szCs w:val="24"/>
    </w:rPr>
  </w:style>
  <w:style w:type="character" w:customStyle="1" w:styleId="1765">
    <w:name w:val="环评正文 Char1"/>
    <w:link w:val="899"/>
    <w:qFormat/>
    <w:locked/>
    <w:uiPriority w:val="0"/>
    <w:rPr>
      <w:rFonts w:ascii="仿宋_GB2312" w:eastAsia="仿宋_GB2312"/>
      <w:kern w:val="2"/>
      <w:sz w:val="28"/>
    </w:rPr>
  </w:style>
  <w:style w:type="character" w:customStyle="1" w:styleId="1766">
    <w:name w:val="标题 字符1"/>
    <w:qFormat/>
    <w:uiPriority w:val="0"/>
    <w:rPr>
      <w:rFonts w:hint="default" w:ascii="Cambria" w:hAnsi="Cambria" w:eastAsia="宋体"/>
      <w:b/>
      <w:bCs/>
      <w:kern w:val="2"/>
      <w:sz w:val="32"/>
      <w:szCs w:val="32"/>
      <w:lang w:val="en-US" w:eastAsia="zh-CN" w:bidi="ar-SA"/>
    </w:rPr>
  </w:style>
  <w:style w:type="character" w:customStyle="1" w:styleId="1767">
    <w:name w:val="Normal Indent Char"/>
    <w:qFormat/>
    <w:locked/>
    <w:uiPriority w:val="0"/>
    <w:rPr>
      <w:rFonts w:ascii="Arial" w:hAnsi="Arial"/>
      <w:spacing w:val="10"/>
      <w:kern w:val="2"/>
      <w:sz w:val="24"/>
    </w:rPr>
  </w:style>
  <w:style w:type="character" w:customStyle="1" w:styleId="1768">
    <w:name w:val="fh1"/>
    <w:qFormat/>
    <w:uiPriority w:val="0"/>
    <w:rPr>
      <w:rFonts w:hint="eastAsia" w:ascii="宋体" w:hAnsi="宋体" w:eastAsia="宋体" w:cs="宋体"/>
      <w:color w:val="000000"/>
      <w:kern w:val="2"/>
      <w:sz w:val="24"/>
      <w:szCs w:val="24"/>
      <w:u w:val="none"/>
      <w:lang w:val="en-US" w:eastAsia="zh-CN" w:bidi="ar"/>
    </w:rPr>
  </w:style>
  <w:style w:type="character" w:customStyle="1" w:styleId="1769">
    <w:name w:val="脚注文本 字符"/>
    <w:qFormat/>
    <w:uiPriority w:val="0"/>
    <w:rPr>
      <w:color w:val="000000"/>
      <w:sz w:val="24"/>
      <w:szCs w:val="24"/>
      <w:lang w:bidi="ar-SA"/>
    </w:rPr>
  </w:style>
  <w:style w:type="character" w:customStyle="1" w:styleId="1770">
    <w:name w:val="B3 Char Char"/>
    <w:link w:val="1771"/>
    <w:qFormat/>
    <w:locked/>
    <w:uiPriority w:val="0"/>
    <w:rPr>
      <w:rFonts w:ascii="宋体" w:hAnsi="宋体"/>
      <w:spacing w:val="-2"/>
      <w:sz w:val="28"/>
    </w:rPr>
  </w:style>
  <w:style w:type="paragraph" w:customStyle="1" w:styleId="1771">
    <w:name w:val="B3"/>
    <w:basedOn w:val="1"/>
    <w:link w:val="1770"/>
    <w:qFormat/>
    <w:uiPriority w:val="0"/>
    <w:rPr>
      <w:rFonts w:ascii="宋体" w:hAnsi="宋体" w:eastAsia="宋体"/>
      <w:spacing w:val="-2"/>
      <w:kern w:val="0"/>
    </w:rPr>
  </w:style>
  <w:style w:type="character" w:customStyle="1" w:styleId="1772">
    <w:name w:val="正文～! Char Char"/>
    <w:link w:val="1773"/>
    <w:qFormat/>
    <w:locked/>
    <w:uiPriority w:val="0"/>
    <w:rPr>
      <w:rFonts w:ascii="宋体" w:hAnsi="宋体" w:eastAsia="仿宋_GB2312" w:cs="宋体"/>
      <w:sz w:val="28"/>
      <w:szCs w:val="24"/>
    </w:rPr>
  </w:style>
  <w:style w:type="paragraph" w:customStyle="1" w:styleId="1773">
    <w:name w:val="正文～!"/>
    <w:basedOn w:val="1"/>
    <w:link w:val="1772"/>
    <w:qFormat/>
    <w:uiPriority w:val="0"/>
    <w:pPr>
      <w:adjustRightInd w:val="0"/>
      <w:snapToGrid w:val="0"/>
      <w:spacing w:line="360" w:lineRule="auto"/>
      <w:ind w:right="-27" w:rightChars="-27" w:firstLine="560" w:firstLineChars="200"/>
    </w:pPr>
    <w:rPr>
      <w:rFonts w:ascii="宋体" w:hAnsi="宋体" w:cs="宋体"/>
      <w:kern w:val="0"/>
      <w:szCs w:val="24"/>
    </w:rPr>
  </w:style>
  <w:style w:type="character" w:customStyle="1" w:styleId="1774">
    <w:name w:val="报告书正文 Char Char Char Char Char Char Char Char Char Char Char Char Char Char Char"/>
    <w:link w:val="1775"/>
    <w:qFormat/>
    <w:locked/>
    <w:uiPriority w:val="0"/>
    <w:rPr>
      <w:rFonts w:ascii="宋体" w:hAnsi="宋体" w:cs="宋体"/>
      <w:color w:val="000000"/>
      <w:sz w:val="24"/>
      <w:szCs w:val="24"/>
    </w:rPr>
  </w:style>
  <w:style w:type="paragraph" w:customStyle="1" w:styleId="1775">
    <w:name w:val="报告书正文 Char Char Char Char Char Char Char Char Char Char Char Char Char"/>
    <w:basedOn w:val="1"/>
    <w:link w:val="1774"/>
    <w:qFormat/>
    <w:uiPriority w:val="0"/>
    <w:pPr>
      <w:spacing w:line="300" w:lineRule="auto"/>
      <w:ind w:firstLine="480" w:firstLineChars="200"/>
    </w:pPr>
    <w:rPr>
      <w:rFonts w:ascii="宋体" w:hAnsi="宋体" w:eastAsia="宋体" w:cs="宋体"/>
      <w:color w:val="000000"/>
      <w:kern w:val="0"/>
      <w:sz w:val="24"/>
      <w:szCs w:val="24"/>
    </w:rPr>
  </w:style>
  <w:style w:type="character" w:customStyle="1" w:styleId="1776">
    <w:name w:val="hj"/>
    <w:qFormat/>
    <w:uiPriority w:val="0"/>
    <w:rPr>
      <w:rFonts w:hint="eastAsia" w:ascii="宋体" w:hAnsi="宋体" w:eastAsia="宋体" w:cs="宋体"/>
      <w:kern w:val="2"/>
      <w:sz w:val="28"/>
      <w:szCs w:val="24"/>
      <w:lang w:val="en-US" w:eastAsia="zh-CN" w:bidi="ar"/>
    </w:rPr>
  </w:style>
  <w:style w:type="character" w:customStyle="1" w:styleId="1777">
    <w:name w:val="正文首行缩进 Char4"/>
    <w:qFormat/>
    <w:uiPriority w:val="0"/>
    <w:rPr>
      <w:rFonts w:hint="eastAsia" w:ascii="宋体" w:hAnsi="宋体" w:eastAsia="宋体" w:cs="宋体"/>
      <w:kern w:val="2"/>
      <w:sz w:val="28"/>
      <w:szCs w:val="24"/>
      <w:lang w:val="en-US" w:eastAsia="zh-CN" w:bidi="ar"/>
    </w:rPr>
  </w:style>
  <w:style w:type="character" w:customStyle="1" w:styleId="1778">
    <w:name w:val="标题 3YHY Char Char"/>
    <w:link w:val="1779"/>
    <w:qFormat/>
    <w:locked/>
    <w:uiPriority w:val="0"/>
    <w:rPr>
      <w:rFonts w:ascii="宋体" w:hAnsi="宋体"/>
      <w:b/>
      <w:bCs/>
      <w:color w:val="000000"/>
      <w:sz w:val="24"/>
      <w:szCs w:val="24"/>
    </w:rPr>
  </w:style>
  <w:style w:type="paragraph" w:customStyle="1" w:styleId="1779">
    <w:name w:val="标题 3YHY"/>
    <w:basedOn w:val="6"/>
    <w:next w:val="519"/>
    <w:link w:val="1778"/>
    <w:qFormat/>
    <w:uiPriority w:val="0"/>
    <w:pPr>
      <w:keepNext w:val="0"/>
      <w:keepLines w:val="0"/>
      <w:widowControl/>
      <w:tabs>
        <w:tab w:val="left" w:pos="1080"/>
        <w:tab w:val="left" w:pos="1260"/>
        <w:tab w:val="left" w:pos="1740"/>
        <w:tab w:val="clear" w:pos="1789"/>
      </w:tabs>
      <w:spacing w:before="0" w:after="0" w:line="360" w:lineRule="auto"/>
      <w:ind w:left="1740" w:hanging="420"/>
      <w:jc w:val="left"/>
    </w:pPr>
    <w:rPr>
      <w:rFonts w:ascii="宋体" w:hAnsi="宋体" w:eastAsia="宋体"/>
      <w:color w:val="000000"/>
      <w:kern w:val="0"/>
      <w:szCs w:val="24"/>
    </w:rPr>
  </w:style>
  <w:style w:type="character" w:customStyle="1" w:styleId="1780">
    <w:name w:val="Char Char172"/>
    <w:qFormat/>
    <w:uiPriority w:val="0"/>
    <w:rPr>
      <w:b/>
      <w:bCs/>
      <w:kern w:val="2"/>
      <w:sz w:val="24"/>
      <w:szCs w:val="24"/>
    </w:rPr>
  </w:style>
  <w:style w:type="character" w:customStyle="1" w:styleId="1781">
    <w:name w:val="批注主题 字符1"/>
    <w:qFormat/>
    <w:uiPriority w:val="0"/>
    <w:rPr>
      <w:rFonts w:hint="eastAsia" w:ascii="宋体" w:hAnsi="宋体" w:eastAsia="宋体"/>
      <w:b/>
      <w:bCs/>
      <w:kern w:val="2"/>
      <w:sz w:val="21"/>
      <w:szCs w:val="24"/>
      <w:lang w:val="en-US" w:eastAsia="zh-CN" w:bidi="ar-SA"/>
    </w:rPr>
  </w:style>
  <w:style w:type="character" w:customStyle="1" w:styleId="1782">
    <w:name w:val="样式 样式 标题 2 + 段后: 12 行 + Times New Roman Char Char"/>
    <w:link w:val="1783"/>
    <w:qFormat/>
    <w:locked/>
    <w:uiPriority w:val="0"/>
    <w:rPr>
      <w:rFonts w:ascii="宋体" w:hAnsi="宋体" w:eastAsia="华文中宋" w:cs="宋体"/>
      <w:b/>
      <w:bCs/>
      <w:sz w:val="32"/>
      <w:szCs w:val="24"/>
    </w:rPr>
  </w:style>
  <w:style w:type="paragraph" w:customStyle="1" w:styleId="1783">
    <w:name w:val="样式 样式 标题 2 + 段后: 12 行 + Times New Roman"/>
    <w:basedOn w:val="1"/>
    <w:link w:val="1782"/>
    <w:qFormat/>
    <w:uiPriority w:val="0"/>
    <w:pPr>
      <w:keepNext/>
      <w:keepLines/>
      <w:spacing w:before="240" w:after="240"/>
      <w:outlineLvl w:val="1"/>
    </w:pPr>
    <w:rPr>
      <w:rFonts w:ascii="宋体" w:hAnsi="宋体" w:eastAsia="华文中宋" w:cs="宋体"/>
      <w:b/>
      <w:bCs/>
      <w:kern w:val="0"/>
      <w:sz w:val="32"/>
      <w:szCs w:val="24"/>
    </w:rPr>
  </w:style>
  <w:style w:type="character" w:customStyle="1" w:styleId="1784">
    <w:name w:val="Char Char94"/>
    <w:qFormat/>
    <w:uiPriority w:val="0"/>
    <w:rPr>
      <w:rFonts w:ascii="宋体" w:hAnsi="宋体" w:eastAsia="仿宋_GB2312" w:cs="宋体"/>
      <w:kern w:val="2"/>
      <w:sz w:val="18"/>
      <w:szCs w:val="24"/>
      <w:lang w:val="en-US" w:eastAsia="zh-CN" w:bidi="ar-SA"/>
    </w:rPr>
  </w:style>
  <w:style w:type="character" w:customStyle="1" w:styleId="1785">
    <w:name w:val="Comment Subject Char1"/>
    <w:semiHidden/>
    <w:qFormat/>
    <w:uiPriority w:val="99"/>
    <w:rPr>
      <w:rFonts w:eastAsia="仿宋_GB2312"/>
      <w:b/>
      <w:bCs/>
      <w:kern w:val="28"/>
      <w:sz w:val="32"/>
      <w:szCs w:val="32"/>
      <w:lang w:val="en-US" w:eastAsia="zh-CN" w:bidi="ar-SA"/>
    </w:rPr>
  </w:style>
  <w:style w:type="character" w:customStyle="1" w:styleId="1786">
    <w:name w:val="批注主题 Char2"/>
    <w:qFormat/>
    <w:uiPriority w:val="0"/>
    <w:rPr>
      <w:rFonts w:hint="default" w:ascii="Times New Roman" w:hAnsi="Times New Roman" w:eastAsia="宋体" w:cs="Times New Roman"/>
      <w:b/>
      <w:bCs/>
      <w:kern w:val="0"/>
      <w:sz w:val="28"/>
      <w:szCs w:val="24"/>
      <w:lang w:val="en-US" w:eastAsia="zh-CN" w:bidi="ar-SA"/>
    </w:rPr>
  </w:style>
  <w:style w:type="character" w:customStyle="1" w:styleId="1787">
    <w:name w:val="样式 样式 首行缩进:  2 字符 行距: 1.5 倍行距 + 首行缩进:  2 字符1 Char Char"/>
    <w:qFormat/>
    <w:uiPriority w:val="0"/>
    <w:rPr>
      <w:rFonts w:hint="eastAsia" w:ascii="宋体" w:hAnsi="宋体" w:eastAsia="宋体" w:cs="宋体"/>
      <w:spacing w:val="6"/>
      <w:kern w:val="2"/>
      <w:sz w:val="24"/>
      <w:szCs w:val="24"/>
      <w:lang w:val="en-US" w:eastAsia="zh-CN" w:bidi="ar-SA"/>
    </w:rPr>
  </w:style>
  <w:style w:type="character" w:customStyle="1" w:styleId="1788">
    <w:name w:val="正文(首行缩进)宋旭峰 Char Char"/>
    <w:link w:val="1789"/>
    <w:qFormat/>
    <w:uiPriority w:val="0"/>
    <w:rPr>
      <w:rFonts w:ascii="宋体" w:hAnsi="宋体" w:cs="宋体"/>
      <w:snapToGrid/>
      <w:color w:val="000000"/>
      <w:sz w:val="24"/>
      <w:szCs w:val="24"/>
    </w:rPr>
  </w:style>
  <w:style w:type="paragraph" w:customStyle="1" w:styleId="1789">
    <w:name w:val="正文(首行缩进)宋旭峰"/>
    <w:basedOn w:val="5"/>
    <w:link w:val="1788"/>
    <w:qFormat/>
    <w:uiPriority w:val="0"/>
    <w:pPr>
      <w:spacing w:line="360" w:lineRule="auto"/>
      <w:ind w:firstLine="480" w:firstLineChars="200"/>
      <w:contextualSpacing/>
      <w:jc w:val="center"/>
    </w:pPr>
    <w:rPr>
      <w:rFonts w:ascii="宋体" w:hAnsi="宋体" w:cs="宋体"/>
      <w:color w:val="000000"/>
      <w:spacing w:val="0"/>
      <w:kern w:val="0"/>
      <w:szCs w:val="24"/>
    </w:rPr>
  </w:style>
  <w:style w:type="character" w:customStyle="1" w:styleId="1790">
    <w:name w:val="正文部分 Char Char"/>
    <w:link w:val="1791"/>
    <w:qFormat/>
    <w:locked/>
    <w:uiPriority w:val="0"/>
    <w:rPr>
      <w:rFonts w:ascii="宋体" w:hAnsi="宋体" w:cs="宋体"/>
      <w:bCs/>
      <w:sz w:val="28"/>
      <w:szCs w:val="32"/>
    </w:rPr>
  </w:style>
  <w:style w:type="paragraph" w:customStyle="1" w:styleId="1791">
    <w:name w:val="正文部分"/>
    <w:basedOn w:val="1"/>
    <w:link w:val="1790"/>
    <w:qFormat/>
    <w:uiPriority w:val="0"/>
    <w:pPr>
      <w:spacing w:line="500" w:lineRule="exact"/>
      <w:ind w:firstLine="200" w:firstLineChars="200"/>
      <w:jc w:val="left"/>
    </w:pPr>
    <w:rPr>
      <w:rFonts w:ascii="宋体" w:hAnsi="宋体" w:eastAsia="宋体" w:cs="宋体"/>
      <w:bCs/>
      <w:kern w:val="0"/>
      <w:szCs w:val="32"/>
    </w:rPr>
  </w:style>
  <w:style w:type="character" w:customStyle="1" w:styleId="1792">
    <w:name w:val="Char Char57"/>
    <w:qFormat/>
    <w:uiPriority w:val="0"/>
    <w:rPr>
      <w:rFonts w:hint="default" w:ascii="Arial" w:hAnsi="Arial" w:eastAsia="黑体" w:cs="Times New Roman"/>
      <w:kern w:val="2"/>
      <w:sz w:val="28"/>
      <w:szCs w:val="24"/>
      <w:lang w:val="en-US" w:eastAsia="zh-CN" w:bidi="ar"/>
    </w:rPr>
  </w:style>
  <w:style w:type="character" w:customStyle="1" w:styleId="1793">
    <w:name w:val="中文报告书 Char Char"/>
    <w:link w:val="1794"/>
    <w:qFormat/>
    <w:locked/>
    <w:uiPriority w:val="0"/>
    <w:rPr>
      <w:rFonts w:ascii="宋体" w:hAnsi="宋体" w:cs="宋体"/>
      <w:sz w:val="24"/>
      <w:szCs w:val="24"/>
    </w:rPr>
  </w:style>
  <w:style w:type="paragraph" w:customStyle="1" w:styleId="1794">
    <w:name w:val="中文报告书"/>
    <w:basedOn w:val="1"/>
    <w:link w:val="1793"/>
    <w:qFormat/>
    <w:uiPriority w:val="0"/>
    <w:pPr>
      <w:adjustRightInd w:val="0"/>
      <w:spacing w:after="80" w:line="420" w:lineRule="atLeast"/>
      <w:jc w:val="left"/>
    </w:pPr>
    <w:rPr>
      <w:rFonts w:ascii="宋体" w:hAnsi="宋体" w:eastAsia="宋体" w:cs="宋体"/>
      <w:kern w:val="0"/>
      <w:sz w:val="24"/>
      <w:szCs w:val="24"/>
    </w:rPr>
  </w:style>
  <w:style w:type="character" w:customStyle="1" w:styleId="1795">
    <w:name w:val="f14b1"/>
    <w:qFormat/>
    <w:uiPriority w:val="0"/>
    <w:rPr>
      <w:rFonts w:hint="eastAsia" w:ascii="宋体" w:hAnsi="宋体" w:eastAsia="宋体" w:cs="宋体"/>
      <w:b/>
      <w:bCs/>
      <w:kern w:val="2"/>
      <w:sz w:val="21"/>
      <w:szCs w:val="21"/>
      <w:lang w:val="en-US" w:eastAsia="zh-CN" w:bidi="ar"/>
    </w:rPr>
  </w:style>
  <w:style w:type="character" w:customStyle="1" w:styleId="1796">
    <w:name w:val="称呼 Char1"/>
    <w:qFormat/>
    <w:uiPriority w:val="0"/>
    <w:rPr>
      <w:rFonts w:hint="eastAsia" w:ascii="宋体" w:hAnsi="宋体" w:eastAsia="宋体" w:cs="宋体"/>
      <w:kern w:val="2"/>
      <w:sz w:val="24"/>
      <w:szCs w:val="24"/>
      <w:lang w:val="en-US" w:eastAsia="zh-CN" w:bidi="ar"/>
    </w:rPr>
  </w:style>
  <w:style w:type="character" w:customStyle="1" w:styleId="1797">
    <w:name w:val="xl24 Char Char"/>
    <w:link w:val="766"/>
    <w:qFormat/>
    <w:locked/>
    <w:uiPriority w:val="0"/>
    <w:rPr>
      <w:rFonts w:eastAsia="Arial Unicode MS"/>
      <w:sz w:val="24"/>
      <w:szCs w:val="24"/>
    </w:rPr>
  </w:style>
  <w:style w:type="character" w:customStyle="1" w:styleId="1798">
    <w:name w:val="样式 宋体 小四 黑色 首行缩进:  1.11 厘米 行距: 固定值 24 磅 Char Char"/>
    <w:link w:val="1799"/>
    <w:qFormat/>
    <w:locked/>
    <w:uiPriority w:val="0"/>
    <w:rPr>
      <w:rFonts w:ascii="宋体" w:hAnsi="宋体" w:cs="宋体"/>
      <w:sz w:val="24"/>
      <w:szCs w:val="24"/>
    </w:rPr>
  </w:style>
  <w:style w:type="paragraph" w:customStyle="1" w:styleId="1799">
    <w:name w:val="样式 宋体 小四 黑色 首行缩进:  1.11 厘米 行距: 固定值 24 磅"/>
    <w:basedOn w:val="1"/>
    <w:link w:val="1798"/>
    <w:qFormat/>
    <w:uiPriority w:val="0"/>
    <w:pPr>
      <w:adjustRightInd w:val="0"/>
      <w:snapToGrid w:val="0"/>
      <w:spacing w:line="360" w:lineRule="auto"/>
      <w:ind w:firstLine="454" w:firstLineChars="200"/>
    </w:pPr>
    <w:rPr>
      <w:rFonts w:ascii="宋体" w:hAnsi="宋体" w:eastAsia="宋体" w:cs="宋体"/>
      <w:kern w:val="0"/>
      <w:sz w:val="24"/>
      <w:szCs w:val="24"/>
    </w:rPr>
  </w:style>
  <w:style w:type="character" w:customStyle="1" w:styleId="1800">
    <w:name w:val="txtcontent11"/>
    <w:qFormat/>
    <w:uiPriority w:val="0"/>
    <w:rPr>
      <w:rFonts w:hint="default" w:ascii="ˎ̥" w:hAnsi="ˎ̥" w:eastAsia="宋体" w:cs="宋体"/>
      <w:color w:val="000000"/>
      <w:kern w:val="2"/>
      <w:sz w:val="21"/>
      <w:szCs w:val="21"/>
      <w:lang w:val="en-US" w:eastAsia="zh-CN" w:bidi="ar"/>
    </w:rPr>
  </w:style>
  <w:style w:type="character" w:customStyle="1" w:styleId="1801">
    <w:name w:val="样式 宋体 13 磅 首行缩进:  0.99 厘米 Char Char"/>
    <w:link w:val="1802"/>
    <w:qFormat/>
    <w:locked/>
    <w:uiPriority w:val="0"/>
    <w:rPr>
      <w:rFonts w:ascii="宋体" w:hAnsi="宋体" w:cs="宋体"/>
      <w:sz w:val="27"/>
      <w:szCs w:val="27"/>
    </w:rPr>
  </w:style>
  <w:style w:type="paragraph" w:customStyle="1" w:styleId="1802">
    <w:name w:val="样式 宋体 13 磅 首行缩进:  0.99 厘米"/>
    <w:basedOn w:val="1"/>
    <w:link w:val="1801"/>
    <w:qFormat/>
    <w:uiPriority w:val="0"/>
    <w:pPr>
      <w:ind w:firstLine="560"/>
    </w:pPr>
    <w:rPr>
      <w:rFonts w:ascii="宋体" w:hAnsi="宋体" w:eastAsia="宋体" w:cs="宋体"/>
      <w:kern w:val="0"/>
      <w:sz w:val="27"/>
      <w:szCs w:val="27"/>
    </w:rPr>
  </w:style>
  <w:style w:type="character" w:customStyle="1" w:styleId="1803">
    <w:name w:val="Style 12 pt"/>
    <w:qFormat/>
    <w:uiPriority w:val="0"/>
    <w:rPr>
      <w:rFonts w:hint="default" w:ascii="Arial" w:hAnsi="Arial" w:eastAsia="仿宋" w:cs="宋体"/>
      <w:kern w:val="2"/>
      <w:sz w:val="30"/>
      <w:szCs w:val="24"/>
      <w:lang w:val="en-US" w:eastAsia="zh-CN" w:bidi="ar"/>
    </w:rPr>
  </w:style>
  <w:style w:type="character" w:customStyle="1" w:styleId="1804">
    <w:name w:val="正文无缩进 Char Char"/>
    <w:qFormat/>
    <w:uiPriority w:val="0"/>
    <w:rPr>
      <w:rFonts w:hint="eastAsia" w:ascii="宋体" w:hAnsi="宋体" w:eastAsia="宋体" w:cs="宋体"/>
      <w:kern w:val="2"/>
      <w:sz w:val="24"/>
      <w:szCs w:val="24"/>
      <w:lang w:val="en-US" w:eastAsia="zh-CN" w:bidi="ar-SA"/>
    </w:rPr>
  </w:style>
  <w:style w:type="character" w:customStyle="1" w:styleId="1805">
    <w:name w:val="ssy3 Char Char Char"/>
    <w:link w:val="1806"/>
    <w:qFormat/>
    <w:locked/>
    <w:uiPriority w:val="0"/>
    <w:rPr>
      <w:rFonts w:ascii="宋体" w:hAnsi="宋体" w:cs="宋体"/>
      <w:b/>
      <w:bCs/>
      <w:sz w:val="24"/>
      <w:szCs w:val="28"/>
    </w:rPr>
  </w:style>
  <w:style w:type="paragraph" w:customStyle="1" w:styleId="1806">
    <w:name w:val="ssy3 Char"/>
    <w:basedOn w:val="6"/>
    <w:link w:val="1805"/>
    <w:qFormat/>
    <w:uiPriority w:val="0"/>
    <w:pPr>
      <w:tabs>
        <w:tab w:val="left" w:pos="1080"/>
        <w:tab w:val="clear" w:pos="1789"/>
      </w:tabs>
      <w:spacing w:before="0" w:after="0" w:line="520" w:lineRule="exact"/>
      <w:ind w:left="0" w:firstLine="555"/>
    </w:pPr>
    <w:rPr>
      <w:rFonts w:ascii="宋体" w:hAnsi="宋体" w:eastAsia="宋体" w:cs="宋体"/>
      <w:kern w:val="0"/>
      <w:szCs w:val="28"/>
    </w:rPr>
  </w:style>
  <w:style w:type="character" w:customStyle="1" w:styleId="1807">
    <w:name w:val="德胜表格内容 Char Char"/>
    <w:link w:val="1808"/>
    <w:qFormat/>
    <w:locked/>
    <w:uiPriority w:val="0"/>
    <w:rPr>
      <w:rFonts w:ascii="宋体" w:hAnsi="宋体" w:cs="宋体"/>
      <w:snapToGrid/>
      <w:color w:val="0000FF"/>
      <w:szCs w:val="21"/>
    </w:rPr>
  </w:style>
  <w:style w:type="paragraph" w:customStyle="1" w:styleId="1808">
    <w:name w:val="德胜表格内容"/>
    <w:basedOn w:val="1"/>
    <w:link w:val="1807"/>
    <w:qFormat/>
    <w:uiPriority w:val="0"/>
    <w:pPr>
      <w:adjustRightInd w:val="0"/>
      <w:snapToGrid w:val="0"/>
      <w:jc w:val="center"/>
    </w:pPr>
    <w:rPr>
      <w:rFonts w:ascii="宋体" w:hAnsi="宋体" w:eastAsia="宋体" w:cs="宋体"/>
      <w:color w:val="0000FF"/>
      <w:kern w:val="0"/>
      <w:sz w:val="20"/>
      <w:szCs w:val="21"/>
    </w:rPr>
  </w:style>
  <w:style w:type="character" w:customStyle="1" w:styleId="1809">
    <w:name w:val="tx105pt1"/>
    <w:qFormat/>
    <w:uiPriority w:val="0"/>
    <w:rPr>
      <w:rFonts w:hint="eastAsia" w:ascii="宋体" w:hAnsi="宋体" w:eastAsia="宋体" w:cs="宋体"/>
      <w:color w:val="000000"/>
      <w:kern w:val="2"/>
      <w:sz w:val="18"/>
      <w:szCs w:val="18"/>
      <w:u w:val="none"/>
      <w:lang w:val="en-US" w:eastAsia="zh-CN" w:bidi="ar"/>
    </w:rPr>
  </w:style>
  <w:style w:type="character" w:customStyle="1" w:styleId="1810">
    <w:name w:val="表格数字 Char Char"/>
    <w:link w:val="1811"/>
    <w:qFormat/>
    <w:locked/>
    <w:uiPriority w:val="0"/>
    <w:rPr>
      <w:rFonts w:ascii="Arial" w:hAnsi="Arial" w:cs="宋体"/>
      <w:szCs w:val="24"/>
    </w:rPr>
  </w:style>
  <w:style w:type="paragraph" w:customStyle="1" w:styleId="1811">
    <w:name w:val="表格数字"/>
    <w:basedOn w:val="1"/>
    <w:link w:val="1810"/>
    <w:qFormat/>
    <w:uiPriority w:val="0"/>
    <w:pPr>
      <w:spacing w:line="360" w:lineRule="exact"/>
      <w:jc w:val="center"/>
    </w:pPr>
    <w:rPr>
      <w:rFonts w:ascii="Arial" w:hAnsi="Arial" w:eastAsia="宋体" w:cs="宋体"/>
      <w:kern w:val="0"/>
      <w:sz w:val="20"/>
      <w:szCs w:val="24"/>
    </w:rPr>
  </w:style>
  <w:style w:type="character" w:customStyle="1" w:styleId="1812">
    <w:name w:val="页脚 字符"/>
    <w:qFormat/>
    <w:uiPriority w:val="99"/>
    <w:rPr>
      <w:rFonts w:hint="eastAsia" w:ascii="宋体" w:hAnsi="宋体" w:eastAsia="宋体" w:cs="宋体"/>
      <w:kern w:val="2"/>
      <w:sz w:val="18"/>
      <w:szCs w:val="18"/>
      <w:lang w:val="en-US" w:eastAsia="zh-CN" w:bidi="ar"/>
    </w:rPr>
  </w:style>
  <w:style w:type="character" w:customStyle="1" w:styleId="1813">
    <w:name w:val="标题二 Char Char"/>
    <w:link w:val="1814"/>
    <w:qFormat/>
    <w:locked/>
    <w:uiPriority w:val="0"/>
    <w:rPr>
      <w:rFonts w:ascii="宋体" w:hAnsi="宋体" w:eastAsia="黑体" w:cs="宋体"/>
      <w:b/>
      <w:sz w:val="28"/>
      <w:szCs w:val="28"/>
    </w:rPr>
  </w:style>
  <w:style w:type="paragraph" w:customStyle="1" w:styleId="1814">
    <w:name w:val="标题二"/>
    <w:basedOn w:val="1"/>
    <w:link w:val="1813"/>
    <w:qFormat/>
    <w:uiPriority w:val="0"/>
    <w:pPr>
      <w:spacing w:beforeLines="50" w:line="460" w:lineRule="exact"/>
      <w:outlineLvl w:val="1"/>
    </w:pPr>
    <w:rPr>
      <w:rFonts w:ascii="宋体" w:hAnsi="宋体" w:eastAsia="黑体" w:cs="宋体"/>
      <w:b/>
      <w:kern w:val="0"/>
      <w:szCs w:val="28"/>
    </w:rPr>
  </w:style>
  <w:style w:type="character" w:customStyle="1" w:styleId="1815">
    <w:name w:val="表头1 Char Char"/>
    <w:link w:val="1816"/>
    <w:qFormat/>
    <w:locked/>
    <w:uiPriority w:val="0"/>
    <w:rPr>
      <w:rFonts w:ascii="宋体" w:hAnsi="宋体" w:eastAsia="黑体" w:cs="宋体"/>
      <w:szCs w:val="28"/>
    </w:rPr>
  </w:style>
  <w:style w:type="paragraph" w:customStyle="1" w:styleId="1816">
    <w:name w:val="表头1"/>
    <w:basedOn w:val="1"/>
    <w:next w:val="1"/>
    <w:link w:val="1815"/>
    <w:qFormat/>
    <w:uiPriority w:val="0"/>
    <w:pPr>
      <w:tabs>
        <w:tab w:val="left" w:pos="605"/>
      </w:tabs>
      <w:adjustRightInd w:val="0"/>
      <w:snapToGrid w:val="0"/>
      <w:jc w:val="center"/>
    </w:pPr>
    <w:rPr>
      <w:rFonts w:ascii="宋体" w:hAnsi="宋体" w:eastAsia="黑体" w:cs="宋体"/>
      <w:kern w:val="0"/>
      <w:sz w:val="20"/>
      <w:szCs w:val="28"/>
    </w:rPr>
  </w:style>
  <w:style w:type="character" w:customStyle="1" w:styleId="1817">
    <w:name w:val="Char Char Char Char Char Char Char Char Char Char Char Char Char Char"/>
    <w:link w:val="1156"/>
    <w:qFormat/>
    <w:locked/>
    <w:uiPriority w:val="0"/>
    <w:rPr>
      <w:rFonts w:ascii="Verdana" w:hAnsi="Verdana" w:eastAsia="仿宋_GB2312"/>
      <w:sz w:val="21"/>
      <w:lang w:eastAsia="en-US"/>
    </w:rPr>
  </w:style>
  <w:style w:type="character" w:customStyle="1" w:styleId="1818">
    <w:name w:val="(一) Char"/>
    <w:qFormat/>
    <w:uiPriority w:val="0"/>
    <w:rPr>
      <w:rFonts w:hint="default" w:ascii="Arial" w:hAnsi="Arial" w:eastAsia="黑体" w:cs="宋体"/>
      <w:b/>
      <w:bCs/>
      <w:kern w:val="2"/>
      <w:sz w:val="28"/>
      <w:szCs w:val="28"/>
      <w:lang w:val="en-US" w:eastAsia="zh-CN" w:bidi="ar"/>
    </w:rPr>
  </w:style>
  <w:style w:type="character" w:customStyle="1" w:styleId="1819">
    <w:name w:val="马面的正文 Char Char"/>
    <w:link w:val="1820"/>
    <w:qFormat/>
    <w:locked/>
    <w:uiPriority w:val="0"/>
    <w:rPr>
      <w:rFonts w:ascii="宋体" w:hAnsi="宋体" w:cs="宋体"/>
      <w:sz w:val="28"/>
      <w:szCs w:val="24"/>
    </w:rPr>
  </w:style>
  <w:style w:type="paragraph" w:customStyle="1" w:styleId="1820">
    <w:name w:val="马面的正文"/>
    <w:basedOn w:val="1"/>
    <w:link w:val="1819"/>
    <w:qFormat/>
    <w:uiPriority w:val="0"/>
    <w:pPr>
      <w:spacing w:line="480" w:lineRule="exact"/>
      <w:ind w:firstLine="560" w:firstLineChars="200"/>
    </w:pPr>
    <w:rPr>
      <w:rFonts w:ascii="宋体" w:hAnsi="宋体" w:eastAsia="宋体" w:cs="宋体"/>
      <w:kern w:val="0"/>
      <w:szCs w:val="24"/>
    </w:rPr>
  </w:style>
  <w:style w:type="character" w:customStyle="1" w:styleId="1821">
    <w:name w:val="文章 Char Char"/>
    <w:link w:val="1822"/>
    <w:qFormat/>
    <w:locked/>
    <w:uiPriority w:val="0"/>
    <w:rPr>
      <w:rFonts w:ascii="宋体" w:hAnsi="宋体" w:cs="宋体"/>
      <w:sz w:val="24"/>
      <w:szCs w:val="24"/>
    </w:rPr>
  </w:style>
  <w:style w:type="paragraph" w:customStyle="1" w:styleId="1822">
    <w:name w:val="文章"/>
    <w:basedOn w:val="35"/>
    <w:link w:val="1821"/>
    <w:qFormat/>
    <w:uiPriority w:val="0"/>
    <w:pPr>
      <w:spacing w:beforeLines="50" w:line="360" w:lineRule="auto"/>
      <w:ind w:firstLine="480" w:firstLineChars="200"/>
    </w:pPr>
    <w:rPr>
      <w:rFonts w:ascii="宋体" w:hAnsi="宋体" w:cs="宋体"/>
      <w:kern w:val="0"/>
      <w:sz w:val="24"/>
      <w:szCs w:val="24"/>
    </w:rPr>
  </w:style>
  <w:style w:type="character" w:customStyle="1" w:styleId="1823">
    <w:name w:val="脚注文本 Char"/>
    <w:link w:val="68"/>
    <w:qFormat/>
    <w:locked/>
    <w:uiPriority w:val="0"/>
    <w:rPr>
      <w:rFonts w:eastAsia="仿宋_GB2312"/>
      <w:kern w:val="2"/>
      <w:sz w:val="18"/>
    </w:rPr>
  </w:style>
  <w:style w:type="character" w:customStyle="1" w:styleId="1824">
    <w:name w:val="报告书正文 Char Char Char"/>
    <w:qFormat/>
    <w:locked/>
    <w:uiPriority w:val="0"/>
    <w:rPr>
      <w:rFonts w:ascii="宋体" w:hAnsi="宋体" w:eastAsia="宋体" w:cs="宋体"/>
      <w:kern w:val="2"/>
      <w:sz w:val="24"/>
      <w:szCs w:val="24"/>
      <w:lang w:val="en-US" w:eastAsia="zh-CN" w:bidi="ar-SA"/>
    </w:rPr>
  </w:style>
  <w:style w:type="character" w:customStyle="1" w:styleId="1825">
    <w:name w:val="正文 + 首行缩进:  2 字符 Char Char"/>
    <w:qFormat/>
    <w:uiPriority w:val="0"/>
    <w:rPr>
      <w:rFonts w:hint="eastAsia" w:ascii="宋体" w:hAnsi="宋体" w:eastAsia="宋体" w:cs="宋体"/>
      <w:kern w:val="2"/>
      <w:sz w:val="24"/>
      <w:szCs w:val="24"/>
      <w:lang w:val="en-US" w:eastAsia="zh-CN" w:bidi="ar-SA"/>
    </w:rPr>
  </w:style>
  <w:style w:type="character" w:customStyle="1" w:styleId="1826">
    <w:name w:val="样式56 Char Char"/>
    <w:link w:val="1827"/>
    <w:qFormat/>
    <w:locked/>
    <w:uiPriority w:val="0"/>
    <w:rPr>
      <w:rFonts w:ascii="宋体" w:hAnsi="宋体"/>
      <w:spacing w:val="-2"/>
      <w:sz w:val="28"/>
    </w:rPr>
  </w:style>
  <w:style w:type="paragraph" w:customStyle="1" w:styleId="1827">
    <w:name w:val="样式56"/>
    <w:basedOn w:val="1"/>
    <w:link w:val="1826"/>
    <w:qFormat/>
    <w:uiPriority w:val="0"/>
    <w:rPr>
      <w:rFonts w:ascii="宋体" w:hAnsi="宋体" w:eastAsia="宋体"/>
      <w:spacing w:val="-2"/>
      <w:kern w:val="0"/>
    </w:rPr>
  </w:style>
  <w:style w:type="character" w:customStyle="1" w:styleId="1828">
    <w:name w:val="03 Char Char Char"/>
    <w:link w:val="1829"/>
    <w:qFormat/>
    <w:locked/>
    <w:uiPriority w:val="0"/>
    <w:rPr>
      <w:rFonts w:ascii="宋体" w:hAnsi="宋体" w:cs="宋体"/>
      <w:sz w:val="24"/>
      <w:szCs w:val="24"/>
    </w:rPr>
  </w:style>
  <w:style w:type="paragraph" w:customStyle="1" w:styleId="1829">
    <w:name w:val="03 Char"/>
    <w:basedOn w:val="1"/>
    <w:link w:val="1828"/>
    <w:qFormat/>
    <w:uiPriority w:val="0"/>
    <w:pPr>
      <w:spacing w:line="360" w:lineRule="auto"/>
      <w:ind w:firstLine="397"/>
    </w:pPr>
    <w:rPr>
      <w:rFonts w:ascii="宋体" w:hAnsi="宋体" w:eastAsia="宋体" w:cs="宋体"/>
      <w:kern w:val="0"/>
      <w:sz w:val="24"/>
      <w:szCs w:val="24"/>
    </w:rPr>
  </w:style>
  <w:style w:type="character" w:customStyle="1" w:styleId="1830">
    <w:name w:val="样式33 Char Char"/>
    <w:link w:val="1831"/>
    <w:qFormat/>
    <w:locked/>
    <w:uiPriority w:val="0"/>
    <w:rPr>
      <w:rFonts w:ascii="宋体" w:hAnsi="宋体" w:cs="Arial Unicode MS"/>
      <w:b/>
      <w:color w:val="000000"/>
      <w:sz w:val="24"/>
      <w:szCs w:val="24"/>
    </w:rPr>
  </w:style>
  <w:style w:type="paragraph" w:customStyle="1" w:styleId="1831">
    <w:name w:val="样式33"/>
    <w:basedOn w:val="1"/>
    <w:link w:val="1830"/>
    <w:qFormat/>
    <w:uiPriority w:val="0"/>
    <w:pPr>
      <w:keepNext/>
      <w:keepLines/>
      <w:tabs>
        <w:tab w:val="left" w:pos="1820"/>
      </w:tabs>
      <w:spacing w:before="50" w:after="50" w:line="360" w:lineRule="auto"/>
      <w:ind w:left="1820" w:hanging="420"/>
      <w:outlineLvl w:val="2"/>
    </w:pPr>
    <w:rPr>
      <w:rFonts w:ascii="宋体" w:hAnsi="宋体" w:eastAsia="宋体" w:cs="Arial Unicode MS"/>
      <w:b/>
      <w:color w:val="000000"/>
      <w:kern w:val="0"/>
      <w:sz w:val="24"/>
      <w:szCs w:val="24"/>
    </w:rPr>
  </w:style>
  <w:style w:type="character" w:customStyle="1" w:styleId="1832">
    <w:name w:val="标3 Char Char"/>
    <w:link w:val="1833"/>
    <w:qFormat/>
    <w:locked/>
    <w:uiPriority w:val="0"/>
    <w:rPr>
      <w:rFonts w:ascii="宋体" w:hAnsi="宋体" w:eastAsia="楷体_GB2312" w:cs="宋体"/>
      <w:b/>
      <w:sz w:val="30"/>
      <w:szCs w:val="30"/>
    </w:rPr>
  </w:style>
  <w:style w:type="paragraph" w:customStyle="1" w:styleId="1833">
    <w:name w:val="标3"/>
    <w:basedOn w:val="1"/>
    <w:link w:val="1832"/>
    <w:qFormat/>
    <w:uiPriority w:val="0"/>
    <w:pPr>
      <w:keepNext/>
      <w:autoSpaceDE w:val="0"/>
      <w:autoSpaceDN w:val="0"/>
      <w:adjustRightInd w:val="0"/>
      <w:snapToGrid w:val="0"/>
      <w:spacing w:beforeLines="100" w:line="360" w:lineRule="auto"/>
      <w:outlineLvl w:val="2"/>
    </w:pPr>
    <w:rPr>
      <w:rFonts w:ascii="宋体" w:hAnsi="宋体" w:eastAsia="楷体_GB2312" w:cs="宋体"/>
      <w:b/>
      <w:kern w:val="0"/>
      <w:sz w:val="30"/>
      <w:szCs w:val="30"/>
    </w:rPr>
  </w:style>
  <w:style w:type="character" w:customStyle="1" w:styleId="1834">
    <w:name w:val="表文 Char Char"/>
    <w:link w:val="994"/>
    <w:qFormat/>
    <w:locked/>
    <w:uiPriority w:val="0"/>
    <w:rPr>
      <w:sz w:val="24"/>
      <w:lang w:val="en-US" w:eastAsia="zh-CN"/>
    </w:rPr>
  </w:style>
  <w:style w:type="character" w:customStyle="1" w:styleId="1835">
    <w:name w:val="晓丹 Char Char"/>
    <w:link w:val="1836"/>
    <w:qFormat/>
    <w:locked/>
    <w:uiPriority w:val="0"/>
    <w:rPr>
      <w:rFonts w:ascii="宋体" w:hAnsi="宋体" w:cs="宋体"/>
      <w:color w:val="000000"/>
      <w:spacing w:val="6"/>
      <w:sz w:val="24"/>
      <w:szCs w:val="24"/>
    </w:rPr>
  </w:style>
  <w:style w:type="paragraph" w:customStyle="1" w:styleId="1836">
    <w:name w:val="晓丹"/>
    <w:basedOn w:val="41"/>
    <w:link w:val="1835"/>
    <w:qFormat/>
    <w:uiPriority w:val="0"/>
    <w:pPr>
      <w:adjustRightInd w:val="0"/>
      <w:snapToGrid w:val="0"/>
      <w:spacing w:after="0" w:line="360" w:lineRule="auto"/>
      <w:ind w:firstLine="200" w:firstLineChars="200"/>
    </w:pPr>
    <w:rPr>
      <w:rFonts w:ascii="宋体" w:hAnsi="宋体" w:eastAsia="宋体" w:cs="宋体"/>
      <w:color w:val="000000"/>
      <w:spacing w:val="6"/>
      <w:kern w:val="0"/>
      <w:sz w:val="24"/>
      <w:szCs w:val="24"/>
    </w:rPr>
  </w:style>
  <w:style w:type="character" w:customStyle="1" w:styleId="1837">
    <w:name w:val="图表格式 Char Char"/>
    <w:link w:val="1838"/>
    <w:qFormat/>
    <w:locked/>
    <w:uiPriority w:val="0"/>
    <w:rPr>
      <w:rFonts w:ascii="宋体" w:hAnsi="宋体" w:cs="宋体"/>
      <w:szCs w:val="21"/>
    </w:rPr>
  </w:style>
  <w:style w:type="paragraph" w:customStyle="1" w:styleId="1838">
    <w:name w:val="图表格式"/>
    <w:basedOn w:val="67"/>
    <w:link w:val="1837"/>
    <w:qFormat/>
    <w:uiPriority w:val="0"/>
    <w:pPr>
      <w:autoSpaceDE/>
      <w:autoSpaceDN/>
      <w:adjustRightInd/>
      <w:snapToGrid w:val="0"/>
      <w:spacing w:line="240" w:lineRule="auto"/>
      <w:ind w:left="0" w:firstLine="0" w:firstLineChars="0"/>
      <w:jc w:val="center"/>
      <w:textAlignment w:val="auto"/>
    </w:pPr>
    <w:rPr>
      <w:rFonts w:hAnsi="宋体" w:cs="宋体"/>
      <w:sz w:val="20"/>
      <w:szCs w:val="21"/>
    </w:rPr>
  </w:style>
  <w:style w:type="character" w:customStyle="1" w:styleId="1839">
    <w:name w:val="全部文体 Char Char"/>
    <w:link w:val="1840"/>
    <w:qFormat/>
    <w:locked/>
    <w:uiPriority w:val="0"/>
    <w:rPr>
      <w:rFonts w:ascii="宋体" w:hAnsi="宋体" w:cs="宋体"/>
      <w:color w:val="000000"/>
      <w:sz w:val="24"/>
      <w:szCs w:val="24"/>
    </w:rPr>
  </w:style>
  <w:style w:type="paragraph" w:customStyle="1" w:styleId="1840">
    <w:name w:val="全部文体"/>
    <w:basedOn w:val="1"/>
    <w:link w:val="1839"/>
    <w:qFormat/>
    <w:uiPriority w:val="0"/>
    <w:pPr>
      <w:autoSpaceDE w:val="0"/>
      <w:autoSpaceDN w:val="0"/>
      <w:adjustRightInd w:val="0"/>
      <w:spacing w:beforeLines="50" w:line="360" w:lineRule="auto"/>
      <w:ind w:firstLine="480" w:firstLineChars="200"/>
    </w:pPr>
    <w:rPr>
      <w:rFonts w:ascii="宋体" w:hAnsi="宋体" w:eastAsia="宋体" w:cs="宋体"/>
      <w:color w:val="000000"/>
      <w:kern w:val="0"/>
      <w:sz w:val="24"/>
      <w:szCs w:val="24"/>
    </w:rPr>
  </w:style>
  <w:style w:type="character" w:customStyle="1" w:styleId="1841">
    <w:name w:val="表体 Char Char"/>
    <w:qFormat/>
    <w:locked/>
    <w:uiPriority w:val="0"/>
    <w:rPr>
      <w:rFonts w:ascii="宋体" w:hAnsi="宋体" w:eastAsia="仿宋_GB2312" w:cs="宋体"/>
      <w:sz w:val="24"/>
      <w:szCs w:val="24"/>
    </w:rPr>
  </w:style>
  <w:style w:type="character" w:customStyle="1" w:styleId="1842">
    <w:name w:val="Char Char261"/>
    <w:qFormat/>
    <w:locked/>
    <w:uiPriority w:val="0"/>
    <w:rPr>
      <w:rFonts w:ascii="宋体" w:hAnsi="宋体" w:eastAsia="宋体" w:cs="宋体"/>
      <w:kern w:val="2"/>
      <w:sz w:val="18"/>
      <w:szCs w:val="24"/>
      <w:lang w:val="en-US" w:eastAsia="zh-CN" w:bidi="ar-SA"/>
    </w:rPr>
  </w:style>
  <w:style w:type="character" w:customStyle="1" w:styleId="1843">
    <w:name w:val="表名 Char Char"/>
    <w:link w:val="1098"/>
    <w:qFormat/>
    <w:locked/>
    <w:uiPriority w:val="0"/>
    <w:rPr>
      <w:rFonts w:ascii="黑体" w:hAnsi="宋体" w:eastAsia="黑体"/>
      <w:kern w:val="2"/>
      <w:sz w:val="18"/>
    </w:rPr>
  </w:style>
  <w:style w:type="character" w:customStyle="1" w:styleId="1844">
    <w:name w:val="样式 正文缩进 + 首行缩进:  2 字符 Char Char"/>
    <w:link w:val="1845"/>
    <w:qFormat/>
    <w:locked/>
    <w:uiPriority w:val="0"/>
    <w:rPr>
      <w:rFonts w:ascii="宋体" w:hAnsi="宋体" w:cs="宋体"/>
      <w:sz w:val="24"/>
      <w:szCs w:val="24"/>
    </w:rPr>
  </w:style>
  <w:style w:type="paragraph" w:customStyle="1" w:styleId="1845">
    <w:name w:val="样式 正文缩进 + 首行缩进:  2 字符"/>
    <w:basedOn w:val="5"/>
    <w:link w:val="1844"/>
    <w:qFormat/>
    <w:uiPriority w:val="0"/>
    <w:pPr>
      <w:overflowPunct w:val="0"/>
      <w:autoSpaceDE w:val="0"/>
      <w:autoSpaceDN w:val="0"/>
      <w:spacing w:line="360" w:lineRule="auto"/>
      <w:ind w:left="56" w:firstLine="475" w:firstLineChars="198"/>
    </w:pPr>
    <w:rPr>
      <w:rFonts w:ascii="宋体" w:hAnsi="宋体" w:cs="宋体"/>
      <w:spacing w:val="0"/>
      <w:kern w:val="0"/>
      <w:szCs w:val="24"/>
    </w:rPr>
  </w:style>
  <w:style w:type="character" w:customStyle="1" w:styleId="1846">
    <w:name w:val="标题 1文章 Char Char"/>
    <w:qFormat/>
    <w:uiPriority w:val="0"/>
    <w:rPr>
      <w:rFonts w:hint="eastAsia" w:ascii="黑体" w:hAnsi="宋体" w:eastAsia="黑体" w:cs="宋体"/>
      <w:bCs/>
      <w:kern w:val="2"/>
      <w:sz w:val="36"/>
      <w:szCs w:val="36"/>
      <w:lang w:val="en-US" w:eastAsia="zh-CN" w:bidi="ar-SA"/>
    </w:rPr>
  </w:style>
  <w:style w:type="character" w:customStyle="1" w:styleId="1847">
    <w:name w:val="标准正文 Char Char"/>
    <w:qFormat/>
    <w:locked/>
    <w:uiPriority w:val="0"/>
    <w:rPr>
      <w:rFonts w:ascii="宋体" w:hAnsi="宋体" w:eastAsia="宋体" w:cs="宋体"/>
      <w:bCs/>
      <w:sz w:val="24"/>
      <w:szCs w:val="21"/>
    </w:rPr>
  </w:style>
  <w:style w:type="character" w:customStyle="1" w:styleId="1848">
    <w:name w:val="首页要点 Char Char"/>
    <w:link w:val="1849"/>
    <w:qFormat/>
    <w:locked/>
    <w:uiPriority w:val="0"/>
    <w:rPr>
      <w:rFonts w:ascii="Arial" w:hAnsi="Arial" w:eastAsia="楷体_GB2312" w:cs="宋体"/>
      <w:szCs w:val="21"/>
    </w:rPr>
  </w:style>
  <w:style w:type="paragraph" w:customStyle="1" w:styleId="1849">
    <w:name w:val="首页要点"/>
    <w:basedOn w:val="1"/>
    <w:link w:val="1848"/>
    <w:qFormat/>
    <w:uiPriority w:val="0"/>
    <w:pPr>
      <w:tabs>
        <w:tab w:val="left" w:pos="607"/>
      </w:tabs>
      <w:spacing w:beforeLines="50"/>
      <w:ind w:left="607" w:hanging="420"/>
    </w:pPr>
    <w:rPr>
      <w:rFonts w:ascii="Arial" w:hAnsi="Arial" w:eastAsia="楷体_GB2312" w:cs="宋体"/>
      <w:kern w:val="0"/>
      <w:sz w:val="20"/>
      <w:szCs w:val="21"/>
    </w:rPr>
  </w:style>
  <w:style w:type="character" w:customStyle="1" w:styleId="1850">
    <w:name w:val="正文2缩进主要格式 Char Char Char"/>
    <w:link w:val="1851"/>
    <w:qFormat/>
    <w:locked/>
    <w:uiPriority w:val="0"/>
    <w:rPr>
      <w:rFonts w:ascii="宋体" w:hAnsi="宋体" w:cs="宋体"/>
      <w:sz w:val="24"/>
      <w:szCs w:val="24"/>
    </w:rPr>
  </w:style>
  <w:style w:type="paragraph" w:customStyle="1" w:styleId="1851">
    <w:name w:val="正文2缩进主要格式 Char"/>
    <w:basedOn w:val="1"/>
    <w:link w:val="1850"/>
    <w:qFormat/>
    <w:uiPriority w:val="0"/>
    <w:pPr>
      <w:spacing w:line="360" w:lineRule="auto"/>
      <w:ind w:firstLine="480" w:firstLineChars="200"/>
    </w:pPr>
    <w:rPr>
      <w:rFonts w:ascii="宋体" w:hAnsi="宋体" w:eastAsia="宋体" w:cs="宋体"/>
      <w:kern w:val="0"/>
      <w:sz w:val="24"/>
      <w:szCs w:val="24"/>
    </w:rPr>
  </w:style>
  <w:style w:type="character" w:customStyle="1" w:styleId="1852">
    <w:name w:val="Char Char171"/>
    <w:qFormat/>
    <w:locked/>
    <w:uiPriority w:val="0"/>
    <w:rPr>
      <w:rFonts w:ascii="宋体" w:hAnsi="宋体" w:eastAsia="宋体"/>
      <w:kern w:val="2"/>
      <w:sz w:val="16"/>
      <w:szCs w:val="16"/>
      <w:lang w:val="en-US" w:eastAsia="zh-CN" w:bidi="ar-SA"/>
    </w:rPr>
  </w:style>
  <w:style w:type="character" w:customStyle="1" w:styleId="1853">
    <w:name w:val="报告标题2 Char Char"/>
    <w:qFormat/>
    <w:locked/>
    <w:uiPriority w:val="0"/>
    <w:rPr>
      <w:rFonts w:ascii="Arial" w:hAnsi="Arial" w:eastAsia="宋体" w:cs="Arial"/>
      <w:b/>
      <w:color w:val="000000"/>
      <w:sz w:val="28"/>
      <w:szCs w:val="32"/>
    </w:rPr>
  </w:style>
  <w:style w:type="character" w:customStyle="1" w:styleId="1854">
    <w:name w:val="n标题 3 Char Char Char"/>
    <w:qFormat/>
    <w:uiPriority w:val="0"/>
    <w:rPr>
      <w:rFonts w:hint="default" w:ascii="Arial" w:hAnsi="Arial" w:eastAsia="宋体" w:cs="宋体"/>
      <w:b/>
      <w:bCs/>
      <w:kern w:val="2"/>
      <w:sz w:val="24"/>
      <w:szCs w:val="24"/>
      <w:lang w:val="en-US" w:eastAsia="zh-CN" w:bidi="ar-SA"/>
    </w:rPr>
  </w:style>
  <w:style w:type="character" w:customStyle="1" w:styleId="1855">
    <w:name w:val="aaa Char Char"/>
    <w:link w:val="1856"/>
    <w:qFormat/>
    <w:locked/>
    <w:uiPriority w:val="0"/>
    <w:rPr>
      <w:rFonts w:ascii="Calibri" w:hAnsi="Calibri"/>
      <w:color w:val="000000"/>
      <w:sz w:val="24"/>
    </w:rPr>
  </w:style>
  <w:style w:type="paragraph" w:customStyle="1" w:styleId="1856">
    <w:name w:val="aaa"/>
    <w:basedOn w:val="1"/>
    <w:link w:val="1855"/>
    <w:qFormat/>
    <w:uiPriority w:val="0"/>
    <w:pPr>
      <w:spacing w:beforeLines="50" w:afterLines="50" w:line="360" w:lineRule="auto"/>
      <w:ind w:firstLine="480" w:firstLineChars="200"/>
    </w:pPr>
    <w:rPr>
      <w:rFonts w:ascii="Calibri" w:hAnsi="Calibri" w:eastAsia="宋体"/>
      <w:color w:val="000000"/>
      <w:kern w:val="0"/>
      <w:sz w:val="24"/>
    </w:rPr>
  </w:style>
  <w:style w:type="character" w:customStyle="1" w:styleId="1857">
    <w:name w:val="HTML 预设格式 字符1"/>
    <w:qFormat/>
    <w:uiPriority w:val="0"/>
    <w:rPr>
      <w:rFonts w:hint="default" w:ascii="Courier New" w:hAnsi="Courier New" w:eastAsia="宋体" w:cs="Courier New"/>
      <w:lang w:val="en-US" w:eastAsia="zh-CN" w:bidi="ar-SA"/>
    </w:rPr>
  </w:style>
  <w:style w:type="character" w:customStyle="1" w:styleId="1858">
    <w:name w:val="Char Char5"/>
    <w:qFormat/>
    <w:locked/>
    <w:uiPriority w:val="0"/>
    <w:rPr>
      <w:rFonts w:ascii="宋体" w:hAnsi="宋体" w:eastAsia="宋体" w:cs="宋体"/>
      <w:kern w:val="2"/>
      <w:sz w:val="18"/>
      <w:szCs w:val="18"/>
      <w:lang w:val="en-US" w:eastAsia="zh-CN" w:bidi="ar-SA"/>
    </w:rPr>
  </w:style>
  <w:style w:type="character" w:customStyle="1" w:styleId="1859">
    <w:name w:val="批注文字 Char3"/>
    <w:qFormat/>
    <w:uiPriority w:val="0"/>
    <w:rPr>
      <w:rFonts w:hint="default" w:ascii="Times New Roman" w:hAnsi="Times New Roman" w:eastAsia="宋体" w:cs="Times New Roman"/>
      <w:kern w:val="0"/>
      <w:sz w:val="28"/>
      <w:szCs w:val="21"/>
      <w:lang w:val="en-US" w:eastAsia="zh-CN" w:bidi="ar-SA"/>
    </w:rPr>
  </w:style>
  <w:style w:type="character" w:customStyle="1" w:styleId="1860">
    <w:name w:val="正文(首行缩进2字) Char Char"/>
    <w:link w:val="821"/>
    <w:qFormat/>
    <w:locked/>
    <w:uiPriority w:val="0"/>
    <w:rPr>
      <w:rFonts w:ascii="宋体" w:hAnsi="宋体" w:cs="宋体"/>
      <w:color w:val="000000"/>
      <w:sz w:val="28"/>
    </w:rPr>
  </w:style>
  <w:style w:type="character" w:customStyle="1" w:styleId="1861">
    <w:name w:val="正文缩进2 Char Char Char Char"/>
    <w:link w:val="1862"/>
    <w:qFormat/>
    <w:locked/>
    <w:uiPriority w:val="0"/>
    <w:rPr>
      <w:rFonts w:ascii="宋体" w:hAnsi="宋体" w:cs="宋体"/>
      <w:sz w:val="24"/>
      <w:szCs w:val="24"/>
    </w:rPr>
  </w:style>
  <w:style w:type="paragraph" w:customStyle="1" w:styleId="1862">
    <w:name w:val="正文缩进2 Char Char"/>
    <w:basedOn w:val="1"/>
    <w:link w:val="1861"/>
    <w:qFormat/>
    <w:uiPriority w:val="0"/>
    <w:pPr>
      <w:spacing w:before="60" w:line="460" w:lineRule="atLeast"/>
      <w:ind w:firstLine="480" w:firstLineChars="200"/>
    </w:pPr>
    <w:rPr>
      <w:rFonts w:ascii="宋体" w:hAnsi="宋体" w:eastAsia="宋体" w:cs="宋体"/>
      <w:kern w:val="0"/>
      <w:sz w:val="24"/>
      <w:szCs w:val="24"/>
    </w:rPr>
  </w:style>
  <w:style w:type="character" w:customStyle="1" w:styleId="1863">
    <w:name w:val="样式 样式 首行缩进:  1.01 厘米 + Times New Roman Char Char"/>
    <w:link w:val="1864"/>
    <w:qFormat/>
    <w:locked/>
    <w:uiPriority w:val="0"/>
    <w:rPr>
      <w:rFonts w:ascii="宋体" w:hAnsi="宋体"/>
      <w:spacing w:val="-2"/>
      <w:sz w:val="28"/>
    </w:rPr>
  </w:style>
  <w:style w:type="paragraph" w:customStyle="1" w:styleId="1864">
    <w:name w:val="样式 样式 首行缩进:  1.01 厘米 + Times New Roman"/>
    <w:basedOn w:val="1"/>
    <w:link w:val="1863"/>
    <w:qFormat/>
    <w:uiPriority w:val="0"/>
    <w:rPr>
      <w:rFonts w:ascii="宋体" w:hAnsi="宋体" w:eastAsia="宋体"/>
      <w:spacing w:val="-2"/>
      <w:kern w:val="0"/>
    </w:rPr>
  </w:style>
  <w:style w:type="character" w:customStyle="1" w:styleId="1865">
    <w:name w:val="正文文本 3 Char"/>
    <w:link w:val="31"/>
    <w:qFormat/>
    <w:locked/>
    <w:uiPriority w:val="0"/>
    <w:rPr>
      <w:kern w:val="2"/>
      <w:sz w:val="16"/>
      <w:szCs w:val="16"/>
    </w:rPr>
  </w:style>
  <w:style w:type="character" w:customStyle="1" w:styleId="1866">
    <w:name w:val="样式 标题 3标题 3 Char Char Char标题 3 Char Char Char Char Char Char标... Char Char Char"/>
    <w:qFormat/>
    <w:uiPriority w:val="0"/>
    <w:rPr>
      <w:rFonts w:hint="default" w:ascii="Plotter" w:hAnsi="Plotter" w:eastAsia="宋体" w:cs="宋体"/>
      <w:b/>
      <w:kern w:val="2"/>
      <w:sz w:val="24"/>
      <w:szCs w:val="24"/>
      <w:lang w:val="en-US" w:eastAsia="zh-CN" w:bidi="ar-SA"/>
    </w:rPr>
  </w:style>
  <w:style w:type="character" w:customStyle="1" w:styleId="1867">
    <w:name w:val="Char Char Char Char Char Char Char Char Char Char Char Char Char Char Char Char Char"/>
    <w:qFormat/>
    <w:uiPriority w:val="0"/>
    <w:rPr>
      <w:rFonts w:hint="eastAsia" w:ascii="宋体" w:hAnsi="宋体" w:eastAsia="宋体" w:cs="宋体"/>
      <w:b/>
      <w:kern w:val="2"/>
      <w:sz w:val="18"/>
      <w:szCs w:val="18"/>
      <w:lang w:val="en-US" w:eastAsia="zh-CN" w:bidi="ar-SA"/>
    </w:rPr>
  </w:style>
  <w:style w:type="character" w:customStyle="1" w:styleId="1868">
    <w:name w:val="样式 宋体 四号 行距: 1.5 倍行距 Char Char"/>
    <w:link w:val="1869"/>
    <w:qFormat/>
    <w:locked/>
    <w:uiPriority w:val="0"/>
    <w:rPr>
      <w:rFonts w:ascii="宋体" w:hAnsi="宋体" w:cs="宋体"/>
      <w:sz w:val="28"/>
      <w:szCs w:val="24"/>
    </w:rPr>
  </w:style>
  <w:style w:type="paragraph" w:customStyle="1" w:styleId="1869">
    <w:name w:val="样式 宋体 四号 行距: 1.5 倍行距"/>
    <w:basedOn w:val="1"/>
    <w:link w:val="1868"/>
    <w:qFormat/>
    <w:uiPriority w:val="0"/>
    <w:pPr>
      <w:spacing w:line="360" w:lineRule="auto"/>
      <w:ind w:firstLine="560" w:firstLineChars="200"/>
    </w:pPr>
    <w:rPr>
      <w:rFonts w:ascii="宋体" w:hAnsi="宋体" w:eastAsia="宋体" w:cs="宋体"/>
      <w:kern w:val="0"/>
      <w:szCs w:val="24"/>
    </w:rPr>
  </w:style>
  <w:style w:type="character" w:customStyle="1" w:styleId="1870">
    <w:name w:val="样式53 Char Char"/>
    <w:link w:val="1871"/>
    <w:qFormat/>
    <w:locked/>
    <w:uiPriority w:val="0"/>
    <w:rPr>
      <w:rFonts w:ascii="宋体" w:hAnsi="宋体"/>
      <w:spacing w:val="-2"/>
      <w:sz w:val="28"/>
    </w:rPr>
  </w:style>
  <w:style w:type="paragraph" w:customStyle="1" w:styleId="1871">
    <w:name w:val="样式53"/>
    <w:basedOn w:val="1"/>
    <w:link w:val="1870"/>
    <w:qFormat/>
    <w:uiPriority w:val="0"/>
    <w:rPr>
      <w:rFonts w:ascii="宋体" w:hAnsi="宋体" w:eastAsia="宋体"/>
      <w:spacing w:val="-2"/>
      <w:kern w:val="0"/>
    </w:rPr>
  </w:style>
  <w:style w:type="character" w:customStyle="1" w:styleId="1872">
    <w:name w:val="日期 字符"/>
    <w:qFormat/>
    <w:uiPriority w:val="0"/>
    <w:rPr>
      <w:rFonts w:hint="eastAsia" w:ascii="宋体" w:hAnsi="宋体" w:eastAsia="宋体"/>
      <w:kern w:val="2"/>
      <w:sz w:val="21"/>
      <w:szCs w:val="24"/>
      <w:lang w:val="en-US" w:eastAsia="zh-CN" w:bidi="ar-SA"/>
    </w:rPr>
  </w:style>
  <w:style w:type="character" w:customStyle="1" w:styleId="1873">
    <w:name w:val="样式 标3 + 黑色 Char Char"/>
    <w:link w:val="1874"/>
    <w:qFormat/>
    <w:locked/>
    <w:uiPriority w:val="0"/>
    <w:rPr>
      <w:rFonts w:ascii="宋体" w:hAnsi="宋体" w:eastAsia="楷体_GB2312" w:cs="宋体"/>
      <w:b/>
      <w:bCs/>
      <w:color w:val="000000"/>
      <w:sz w:val="30"/>
      <w:szCs w:val="30"/>
    </w:rPr>
  </w:style>
  <w:style w:type="paragraph" w:customStyle="1" w:styleId="1874">
    <w:name w:val="样式 标3 + 黑色"/>
    <w:basedOn w:val="1833"/>
    <w:link w:val="1873"/>
    <w:qFormat/>
    <w:uiPriority w:val="0"/>
    <w:pPr>
      <w:spacing w:beforeLines="0"/>
    </w:pPr>
    <w:rPr>
      <w:bCs/>
      <w:color w:val="000000"/>
    </w:rPr>
  </w:style>
  <w:style w:type="character" w:customStyle="1" w:styleId="1875">
    <w:name w:val="信息标题 Char1"/>
    <w:qFormat/>
    <w:uiPriority w:val="0"/>
    <w:rPr>
      <w:rFonts w:hint="default" w:ascii="Cambria" w:hAnsi="Cambria" w:eastAsia="宋体" w:cs="Times New Roman"/>
      <w:kern w:val="2"/>
      <w:sz w:val="24"/>
      <w:szCs w:val="24"/>
      <w:shd w:val="pct20" w:color="auto" w:fill="auto"/>
      <w:lang w:val="en-US" w:eastAsia="zh-CN" w:bidi="ar-SA"/>
    </w:rPr>
  </w:style>
  <w:style w:type="character" w:customStyle="1" w:styleId="1876">
    <w:name w:val="正文文本 3 Char5"/>
    <w:qFormat/>
    <w:uiPriority w:val="0"/>
    <w:rPr>
      <w:rFonts w:hint="eastAsia" w:ascii="宋体" w:hAnsi="宋体" w:eastAsia="宋体" w:cs="宋体"/>
      <w:kern w:val="2"/>
      <w:sz w:val="16"/>
      <w:szCs w:val="16"/>
      <w:lang w:val="en-US" w:eastAsia="zh-CN" w:bidi="ar"/>
    </w:rPr>
  </w:style>
  <w:style w:type="character" w:customStyle="1" w:styleId="1877">
    <w:name w:val="自动表头 Char Char Char"/>
    <w:link w:val="1878"/>
    <w:qFormat/>
    <w:locked/>
    <w:uiPriority w:val="0"/>
    <w:rPr>
      <w:rFonts w:ascii="黑体" w:hAnsi="宋体" w:eastAsia="黑体" w:cs="宋体"/>
      <w:b/>
      <w:color w:val="000000"/>
      <w:szCs w:val="24"/>
    </w:rPr>
  </w:style>
  <w:style w:type="paragraph" w:customStyle="1" w:styleId="1878">
    <w:name w:val="自动表头"/>
    <w:basedOn w:val="1"/>
    <w:link w:val="1877"/>
    <w:qFormat/>
    <w:uiPriority w:val="0"/>
    <w:pPr>
      <w:autoSpaceDE w:val="0"/>
      <w:autoSpaceDN w:val="0"/>
      <w:adjustRightInd w:val="0"/>
      <w:spacing w:line="360" w:lineRule="auto"/>
      <w:jc w:val="center"/>
    </w:pPr>
    <w:rPr>
      <w:rFonts w:ascii="黑体" w:hAnsi="宋体" w:eastAsia="黑体" w:cs="宋体"/>
      <w:b/>
      <w:color w:val="000000"/>
      <w:kern w:val="0"/>
      <w:sz w:val="20"/>
      <w:szCs w:val="24"/>
    </w:rPr>
  </w:style>
  <w:style w:type="character" w:customStyle="1" w:styleId="1879">
    <w:name w:val="表格文字 Char1"/>
    <w:qFormat/>
    <w:uiPriority w:val="0"/>
    <w:rPr>
      <w:rFonts w:ascii="宋体" w:hAnsi="宋体" w:eastAsia="宋体"/>
      <w:color w:val="000000"/>
      <w:kern w:val="2"/>
      <w:sz w:val="24"/>
      <w:lang w:val="en-US" w:eastAsia="zh-CN"/>
    </w:rPr>
  </w:style>
  <w:style w:type="character" w:customStyle="1" w:styleId="1880">
    <w:name w:val="正文文字 2 Char Char2"/>
    <w:qFormat/>
    <w:uiPriority w:val="0"/>
    <w:rPr>
      <w:rFonts w:hint="eastAsia" w:ascii="宋体" w:hAnsi="宋体" w:eastAsia="宋体" w:cs="宋体"/>
      <w:spacing w:val="-10"/>
      <w:kern w:val="2"/>
      <w:sz w:val="21"/>
      <w:szCs w:val="24"/>
      <w:lang w:val="en-US" w:eastAsia="zh-CN" w:bidi="ar-SA"/>
    </w:rPr>
  </w:style>
  <w:style w:type="character" w:customStyle="1" w:styleId="1881">
    <w:name w:val="样式15 Char Char"/>
    <w:link w:val="1882"/>
    <w:qFormat/>
    <w:locked/>
    <w:uiPriority w:val="0"/>
    <w:rPr>
      <w:rFonts w:ascii="宋体" w:hAnsi="宋体"/>
      <w:spacing w:val="-2"/>
      <w:sz w:val="28"/>
    </w:rPr>
  </w:style>
  <w:style w:type="paragraph" w:customStyle="1" w:styleId="1882">
    <w:name w:val="样式15"/>
    <w:basedOn w:val="1"/>
    <w:link w:val="1881"/>
    <w:qFormat/>
    <w:uiPriority w:val="0"/>
    <w:rPr>
      <w:rFonts w:ascii="宋体" w:hAnsi="宋体" w:eastAsia="宋体"/>
      <w:spacing w:val="-2"/>
      <w:kern w:val="0"/>
    </w:rPr>
  </w:style>
  <w:style w:type="character" w:customStyle="1" w:styleId="1883">
    <w:name w:val="样式45 Char Char"/>
    <w:link w:val="1884"/>
    <w:qFormat/>
    <w:locked/>
    <w:uiPriority w:val="0"/>
    <w:rPr>
      <w:rFonts w:ascii="宋体" w:hAnsi="宋体"/>
      <w:spacing w:val="-2"/>
      <w:sz w:val="28"/>
    </w:rPr>
  </w:style>
  <w:style w:type="paragraph" w:customStyle="1" w:styleId="1884">
    <w:name w:val="样式45"/>
    <w:basedOn w:val="1"/>
    <w:link w:val="1883"/>
    <w:qFormat/>
    <w:uiPriority w:val="0"/>
    <w:rPr>
      <w:rFonts w:ascii="宋体" w:hAnsi="宋体" w:eastAsia="宋体"/>
      <w:spacing w:val="-2"/>
      <w:kern w:val="0"/>
    </w:rPr>
  </w:style>
  <w:style w:type="character" w:customStyle="1" w:styleId="1885">
    <w:name w:val="cucd-TB-Head Char Char"/>
    <w:link w:val="1886"/>
    <w:qFormat/>
    <w:locked/>
    <w:uiPriority w:val="0"/>
    <w:rPr>
      <w:rFonts w:ascii="宋体" w:hAnsi="宋体" w:eastAsia="黑体" w:cs="宋体"/>
      <w:sz w:val="24"/>
      <w:szCs w:val="24"/>
    </w:rPr>
  </w:style>
  <w:style w:type="paragraph" w:customStyle="1" w:styleId="1886">
    <w:name w:val="cucd-TB-Head"/>
    <w:basedOn w:val="1"/>
    <w:next w:val="1887"/>
    <w:link w:val="1885"/>
    <w:qFormat/>
    <w:uiPriority w:val="0"/>
    <w:pPr>
      <w:spacing w:beforeLines="50" w:line="360" w:lineRule="auto"/>
      <w:jc w:val="center"/>
    </w:pPr>
    <w:rPr>
      <w:rFonts w:ascii="宋体" w:hAnsi="宋体" w:eastAsia="黑体" w:cs="宋体"/>
      <w:kern w:val="0"/>
      <w:sz w:val="24"/>
      <w:szCs w:val="24"/>
    </w:rPr>
  </w:style>
  <w:style w:type="paragraph" w:customStyle="1" w:styleId="1887">
    <w:name w:val="cucd-0"/>
    <w:link w:val="1937"/>
    <w:qFormat/>
    <w:uiPriority w:val="0"/>
    <w:pPr>
      <w:spacing w:line="360" w:lineRule="auto"/>
      <w:ind w:firstLine="480" w:firstLineChars="200"/>
    </w:pPr>
    <w:rPr>
      <w:rFonts w:ascii="宋体" w:hAnsi="宋体" w:eastAsia="宋体" w:cs="宋体"/>
      <w:sz w:val="24"/>
      <w:szCs w:val="24"/>
      <w:lang w:val="en-US" w:eastAsia="zh-CN" w:bidi="ar-SA"/>
    </w:rPr>
  </w:style>
  <w:style w:type="character" w:customStyle="1" w:styleId="1888">
    <w:name w:val="样式 标题 3a标题 3标题 13标题 3 Char1 Char Char Char标题 31ReHead 3 WS...1 Char Char"/>
    <w:link w:val="1889"/>
    <w:qFormat/>
    <w:locked/>
    <w:uiPriority w:val="0"/>
    <w:rPr>
      <w:rFonts w:ascii="宋体" w:hAnsi="宋体"/>
      <w:bCs/>
      <w:sz w:val="24"/>
      <w:szCs w:val="32"/>
    </w:rPr>
  </w:style>
  <w:style w:type="paragraph" w:customStyle="1" w:styleId="1889">
    <w:name w:val="样式 标题 3a标题 3标题 13标题 3 Char1 Char Char Char标题 31ReHead 3 WS...1"/>
    <w:basedOn w:val="6"/>
    <w:link w:val="1888"/>
    <w:qFormat/>
    <w:uiPriority w:val="0"/>
    <w:pPr>
      <w:tabs>
        <w:tab w:val="left" w:pos="720"/>
        <w:tab w:val="left" w:pos="1080"/>
        <w:tab w:val="clear" w:pos="1789"/>
      </w:tabs>
      <w:spacing w:before="0" w:after="0" w:line="360" w:lineRule="auto"/>
      <w:ind w:left="720" w:hanging="720"/>
      <w:jc w:val="left"/>
    </w:pPr>
    <w:rPr>
      <w:rFonts w:ascii="宋体" w:hAnsi="宋体" w:eastAsia="宋体"/>
      <w:b w:val="0"/>
      <w:kern w:val="0"/>
      <w:szCs w:val="32"/>
    </w:rPr>
  </w:style>
  <w:style w:type="character" w:customStyle="1" w:styleId="1890">
    <w:name w:val="cucd-2 Char Char"/>
    <w:link w:val="1891"/>
    <w:qFormat/>
    <w:locked/>
    <w:uiPriority w:val="0"/>
    <w:rPr>
      <w:rFonts w:ascii="宋体" w:hAnsi="宋体" w:eastAsia="黑体" w:cs="宋体"/>
      <w:b/>
      <w:sz w:val="30"/>
      <w:szCs w:val="24"/>
    </w:rPr>
  </w:style>
  <w:style w:type="paragraph" w:customStyle="1" w:styleId="1891">
    <w:name w:val="cucd-2"/>
    <w:next w:val="1892"/>
    <w:link w:val="1890"/>
    <w:qFormat/>
    <w:uiPriority w:val="0"/>
    <w:pPr>
      <w:tabs>
        <w:tab w:val="left" w:pos="567"/>
      </w:tabs>
      <w:spacing w:line="360" w:lineRule="auto"/>
      <w:ind w:left="567" w:hanging="567"/>
      <w:outlineLvl w:val="1"/>
    </w:pPr>
    <w:rPr>
      <w:rFonts w:ascii="宋体" w:hAnsi="宋体" w:eastAsia="黑体" w:cs="宋体"/>
      <w:b/>
      <w:sz w:val="30"/>
      <w:szCs w:val="24"/>
      <w:lang w:val="en-US" w:eastAsia="zh-CN" w:bidi="ar-SA"/>
    </w:rPr>
  </w:style>
  <w:style w:type="paragraph" w:customStyle="1" w:styleId="1892">
    <w:name w:val="cucd-3"/>
    <w:next w:val="1893"/>
    <w:link w:val="2668"/>
    <w:qFormat/>
    <w:uiPriority w:val="0"/>
    <w:pPr>
      <w:tabs>
        <w:tab w:val="left" w:pos="709"/>
      </w:tabs>
      <w:spacing w:line="360" w:lineRule="auto"/>
      <w:ind w:left="709" w:hanging="709"/>
      <w:outlineLvl w:val="2"/>
    </w:pPr>
    <w:rPr>
      <w:rFonts w:ascii="宋体" w:hAnsi="宋体" w:eastAsia="宋体" w:cs="宋体"/>
      <w:b/>
      <w:sz w:val="28"/>
      <w:szCs w:val="24"/>
      <w:lang w:val="en-US" w:eastAsia="zh-CN" w:bidi="ar-SA"/>
    </w:rPr>
  </w:style>
  <w:style w:type="paragraph" w:customStyle="1" w:styleId="1893">
    <w:name w:val="cucd-4"/>
    <w:next w:val="1887"/>
    <w:link w:val="1896"/>
    <w:qFormat/>
    <w:uiPriority w:val="0"/>
    <w:pPr>
      <w:tabs>
        <w:tab w:val="left" w:pos="851"/>
      </w:tabs>
      <w:spacing w:line="360" w:lineRule="auto"/>
      <w:ind w:left="851" w:hanging="851"/>
      <w:outlineLvl w:val="3"/>
    </w:pPr>
    <w:rPr>
      <w:rFonts w:ascii="宋体" w:hAnsi="宋体" w:eastAsia="宋体" w:cs="宋体"/>
      <w:b/>
      <w:sz w:val="24"/>
      <w:szCs w:val="24"/>
      <w:lang w:val="en-US" w:eastAsia="zh-CN" w:bidi="ar-SA"/>
    </w:rPr>
  </w:style>
  <w:style w:type="character" w:customStyle="1" w:styleId="1894">
    <w:name w:val="样式 样式 样式 仿宋_GB2312 黑色 行距: 固定值 30 磅 + 首行缩进:  2 字符 + 首行缩进:  2 字符 Char Char"/>
    <w:link w:val="1895"/>
    <w:qFormat/>
    <w:locked/>
    <w:uiPriority w:val="0"/>
    <w:rPr>
      <w:rFonts w:ascii="宋体" w:hAnsi="宋体" w:eastAsia="仿宋_GB2312" w:cs="宋体"/>
      <w:sz w:val="28"/>
      <w:szCs w:val="24"/>
    </w:rPr>
  </w:style>
  <w:style w:type="paragraph" w:customStyle="1" w:styleId="1895">
    <w:name w:val="样式 样式 样式 仿宋_GB2312 黑色 行距: 固定值 30 磅 + 首行缩进:  2 字符 + 首行缩进:  2 字符"/>
    <w:basedOn w:val="1"/>
    <w:link w:val="1894"/>
    <w:qFormat/>
    <w:uiPriority w:val="0"/>
    <w:pPr>
      <w:spacing w:line="600" w:lineRule="exact"/>
      <w:ind w:firstLine="600" w:firstLineChars="200"/>
    </w:pPr>
    <w:rPr>
      <w:rFonts w:ascii="宋体" w:hAnsi="宋体" w:cs="宋体"/>
      <w:kern w:val="0"/>
      <w:szCs w:val="24"/>
    </w:rPr>
  </w:style>
  <w:style w:type="character" w:customStyle="1" w:styleId="1896">
    <w:name w:val="cucd-4 Char Char"/>
    <w:link w:val="1893"/>
    <w:qFormat/>
    <w:locked/>
    <w:uiPriority w:val="0"/>
    <w:rPr>
      <w:rFonts w:ascii="宋体" w:hAnsi="宋体" w:cs="宋体"/>
      <w:b/>
      <w:sz w:val="24"/>
      <w:szCs w:val="24"/>
    </w:rPr>
  </w:style>
  <w:style w:type="character" w:customStyle="1" w:styleId="1897">
    <w:name w:val="表中文字---------------- Char Char"/>
    <w:link w:val="1898"/>
    <w:qFormat/>
    <w:locked/>
    <w:uiPriority w:val="0"/>
    <w:rPr>
      <w:rFonts w:ascii="宋体" w:hAnsi="宋体" w:cs="宋体"/>
      <w:szCs w:val="24"/>
    </w:rPr>
  </w:style>
  <w:style w:type="paragraph" w:customStyle="1" w:styleId="1898">
    <w:name w:val="表中文字----------------"/>
    <w:basedOn w:val="1"/>
    <w:link w:val="1897"/>
    <w:qFormat/>
    <w:uiPriority w:val="0"/>
    <w:pPr>
      <w:jc w:val="center"/>
    </w:pPr>
    <w:rPr>
      <w:rFonts w:ascii="宋体" w:hAnsi="宋体" w:eastAsia="宋体" w:cs="宋体"/>
      <w:kern w:val="0"/>
      <w:sz w:val="20"/>
      <w:szCs w:val="24"/>
    </w:rPr>
  </w:style>
  <w:style w:type="character" w:customStyle="1" w:styleId="1899">
    <w:name w:val="样式 样式 标题 4 + (西文) Times New Roman (中文) 宋体 小四 非加粗 + Char Char"/>
    <w:link w:val="1900"/>
    <w:qFormat/>
    <w:locked/>
    <w:uiPriority w:val="0"/>
    <w:rPr>
      <w:rFonts w:ascii="宋体" w:hAnsi="宋体" w:cs="宋体"/>
      <w:sz w:val="28"/>
      <w:szCs w:val="24"/>
    </w:rPr>
  </w:style>
  <w:style w:type="paragraph" w:customStyle="1" w:styleId="1900">
    <w:name w:val="样式 样式 标题 4 + (西文) Times New Roman (中文) 宋体 小四 非加粗 +"/>
    <w:basedOn w:val="1901"/>
    <w:link w:val="1899"/>
    <w:qFormat/>
    <w:uiPriority w:val="0"/>
    <w:pPr>
      <w:tabs>
        <w:tab w:val="left" w:pos="1381"/>
        <w:tab w:val="left" w:pos="2153"/>
      </w:tabs>
    </w:pPr>
    <w:rPr>
      <w:rFonts w:ascii="宋体" w:hAnsi="宋体" w:eastAsia="宋体"/>
      <w:b w:val="0"/>
      <w:sz w:val="28"/>
      <w:szCs w:val="24"/>
    </w:rPr>
  </w:style>
  <w:style w:type="paragraph" w:customStyle="1" w:styleId="1901">
    <w:name w:val="样式 标题 4 + (西文) Times New Roman (中文) 宋体 小四 非加粗"/>
    <w:basedOn w:val="7"/>
    <w:link w:val="2404"/>
    <w:qFormat/>
    <w:uiPriority w:val="0"/>
    <w:pPr>
      <w:tabs>
        <w:tab w:val="left" w:pos="1381"/>
        <w:tab w:val="left" w:pos="2153"/>
        <w:tab w:val="clear" w:pos="4008"/>
      </w:tabs>
      <w:ind w:left="0" w:firstLine="0"/>
      <w:jc w:val="both"/>
    </w:pPr>
    <w:rPr>
      <w:rFonts w:eastAsia="黑体" w:cs="宋体"/>
      <w:color w:val="auto"/>
      <w:kern w:val="0"/>
      <w:szCs w:val="28"/>
    </w:rPr>
  </w:style>
  <w:style w:type="character" w:customStyle="1" w:styleId="1902">
    <w:name w:val="样式 标题 2 + 小四 段前: 0.5 行 段后: 0.5 行 行距: 单倍行距 Char Char"/>
    <w:link w:val="1903"/>
    <w:qFormat/>
    <w:locked/>
    <w:uiPriority w:val="0"/>
    <w:rPr>
      <w:rFonts w:ascii="Arial" w:hAnsi="Arial" w:eastAsia="新宋体" w:cs="宋体"/>
      <w:b/>
      <w:bCs/>
      <w:color w:val="000000"/>
      <w:sz w:val="24"/>
      <w:szCs w:val="24"/>
    </w:rPr>
  </w:style>
  <w:style w:type="paragraph" w:customStyle="1" w:styleId="1903">
    <w:name w:val="样式 标题 2 + 小四 段前: 0.5 行 段后: 0.5 行 行距: 单倍行距"/>
    <w:basedOn w:val="4"/>
    <w:link w:val="1902"/>
    <w:qFormat/>
    <w:uiPriority w:val="0"/>
    <w:pPr>
      <w:keepLines w:val="0"/>
      <w:tabs>
        <w:tab w:val="left" w:pos="284"/>
        <w:tab w:val="left" w:pos="576"/>
        <w:tab w:val="left" w:pos="1140"/>
        <w:tab w:val="left" w:pos="1476"/>
        <w:tab w:val="clear" w:pos="567"/>
      </w:tabs>
      <w:wordWrap w:val="0"/>
      <w:topLinePunct/>
      <w:snapToGrid w:val="0"/>
      <w:spacing w:before="0" w:beforeLines="50" w:after="0" w:line="360" w:lineRule="auto"/>
      <w:ind w:left="576" w:hanging="576"/>
    </w:pPr>
    <w:rPr>
      <w:rFonts w:ascii="Arial" w:eastAsia="新宋体" w:cs="宋体"/>
      <w:b/>
      <w:bCs/>
      <w:color w:val="000000"/>
      <w:kern w:val="0"/>
      <w:sz w:val="24"/>
      <w:szCs w:val="24"/>
    </w:rPr>
  </w:style>
  <w:style w:type="character" w:customStyle="1" w:styleId="1904">
    <w:name w:val="表格文字1 Char"/>
    <w:qFormat/>
    <w:uiPriority w:val="0"/>
    <w:rPr>
      <w:rFonts w:hint="eastAsia" w:ascii="宋体" w:hAnsi="Courier New" w:eastAsia="宋体" w:cs="宋体"/>
      <w:kern w:val="2"/>
      <w:sz w:val="28"/>
      <w:szCs w:val="24"/>
      <w:lang w:val="en-US" w:eastAsia="zh-CN" w:bidi="ar-SA"/>
    </w:rPr>
  </w:style>
  <w:style w:type="character" w:customStyle="1" w:styleId="1905">
    <w:name w:val="图下题注 Char Char"/>
    <w:link w:val="1906"/>
    <w:qFormat/>
    <w:locked/>
    <w:uiPriority w:val="0"/>
    <w:rPr>
      <w:rFonts w:ascii="宋体" w:hAnsi="宋体" w:cs="黑体"/>
      <w:spacing w:val="-2"/>
      <w:sz w:val="28"/>
      <w:szCs w:val="21"/>
    </w:rPr>
  </w:style>
  <w:style w:type="paragraph" w:customStyle="1" w:styleId="1906">
    <w:name w:val="图下题注"/>
    <w:basedOn w:val="1"/>
    <w:link w:val="1905"/>
    <w:qFormat/>
    <w:uiPriority w:val="0"/>
    <w:rPr>
      <w:rFonts w:ascii="宋体" w:hAnsi="宋体" w:eastAsia="宋体" w:cs="黑体"/>
      <w:spacing w:val="-2"/>
      <w:kern w:val="0"/>
      <w:szCs w:val="21"/>
    </w:rPr>
  </w:style>
  <w:style w:type="character" w:customStyle="1" w:styleId="1907">
    <w:name w:val="fontstyle01"/>
    <w:qFormat/>
    <w:uiPriority w:val="0"/>
    <w:rPr>
      <w:rFonts w:hint="eastAsia" w:ascii="宋体" w:hAnsi="宋体" w:eastAsia="宋体" w:cs="宋体"/>
      <w:color w:val="000000"/>
      <w:kern w:val="2"/>
      <w:sz w:val="24"/>
      <w:szCs w:val="24"/>
      <w:lang w:val="en-US" w:eastAsia="zh-CN" w:bidi="ar-SA"/>
    </w:rPr>
  </w:style>
  <w:style w:type="character" w:customStyle="1" w:styleId="1908">
    <w:name w:val="表格文字2 Char Char"/>
    <w:link w:val="764"/>
    <w:qFormat/>
    <w:locked/>
    <w:uiPriority w:val="0"/>
    <w:rPr>
      <w:rFonts w:ascii="宋体"/>
      <w:kern w:val="2"/>
      <w:sz w:val="21"/>
      <w:szCs w:val="24"/>
    </w:rPr>
  </w:style>
  <w:style w:type="character" w:customStyle="1" w:styleId="1909">
    <w:name w:val="showheadtitleleft1"/>
    <w:qFormat/>
    <w:uiPriority w:val="0"/>
    <w:rPr>
      <w:rFonts w:hint="eastAsia" w:ascii="宋体" w:hAnsi="宋体" w:eastAsia="宋体" w:cs="宋体"/>
      <w:color w:val="000000"/>
      <w:kern w:val="2"/>
      <w:sz w:val="21"/>
      <w:szCs w:val="21"/>
      <w:u w:val="none"/>
      <w:lang w:val="en-US" w:eastAsia="zh-CN" w:bidi="ar"/>
    </w:rPr>
  </w:style>
  <w:style w:type="character" w:customStyle="1" w:styleId="1910">
    <w:name w:val="正文小4黑体左 Char Char Char"/>
    <w:qFormat/>
    <w:uiPriority w:val="0"/>
    <w:rPr>
      <w:rFonts w:hint="eastAsia" w:ascii="宋体" w:hAnsi="宋体" w:eastAsia="宋体" w:cs="宋体"/>
      <w:b/>
      <w:kern w:val="2"/>
      <w:sz w:val="24"/>
      <w:szCs w:val="24"/>
      <w:lang w:val="en-US" w:eastAsia="zh-CN" w:bidi="ar-SA"/>
    </w:rPr>
  </w:style>
  <w:style w:type="character" w:customStyle="1" w:styleId="1911">
    <w:name w:val="页码1"/>
    <w:qFormat/>
    <w:uiPriority w:val="0"/>
    <w:rPr>
      <w:rFonts w:hint="eastAsia" w:ascii="宋体" w:hAnsi="宋体" w:eastAsia="宋体" w:cs="宋体"/>
      <w:kern w:val="2"/>
      <w:sz w:val="24"/>
      <w:szCs w:val="20"/>
      <w:lang w:val="en-US" w:eastAsia="zh-CN" w:bidi="ar"/>
    </w:rPr>
  </w:style>
  <w:style w:type="character" w:customStyle="1" w:styleId="1912">
    <w:name w:val="引用 Char2"/>
    <w:qFormat/>
    <w:uiPriority w:val="0"/>
    <w:rPr>
      <w:rFonts w:hint="eastAsia" w:ascii="宋体" w:hAnsi="宋体" w:eastAsia="宋体" w:cs="宋体"/>
      <w:i/>
      <w:iCs/>
      <w:color w:val="000000"/>
      <w:kern w:val="2"/>
      <w:sz w:val="21"/>
      <w:szCs w:val="21"/>
      <w:lang w:val="en-US" w:eastAsia="zh-CN" w:bidi="ar"/>
    </w:rPr>
  </w:style>
  <w:style w:type="character" w:customStyle="1" w:styleId="1913">
    <w:name w:val="样式 表头YHY + 自动设置 Char Char"/>
    <w:link w:val="1914"/>
    <w:qFormat/>
    <w:locked/>
    <w:uiPriority w:val="0"/>
    <w:rPr>
      <w:rFonts w:ascii="Calibri" w:hAnsi="Calibri" w:cs="黑体"/>
    </w:rPr>
  </w:style>
  <w:style w:type="paragraph" w:customStyle="1" w:styleId="1914">
    <w:name w:val="样式 表头YHY + 自动设置"/>
    <w:basedOn w:val="1"/>
    <w:link w:val="1913"/>
    <w:qFormat/>
    <w:uiPriority w:val="0"/>
    <w:rPr>
      <w:rFonts w:ascii="Calibri" w:hAnsi="Calibri" w:eastAsia="宋体" w:cs="黑体"/>
      <w:kern w:val="0"/>
      <w:sz w:val="20"/>
    </w:rPr>
  </w:style>
  <w:style w:type="character" w:customStyle="1" w:styleId="1915">
    <w:name w:val="unnamed31"/>
    <w:qFormat/>
    <w:uiPriority w:val="0"/>
    <w:rPr>
      <w:rFonts w:hint="eastAsia" w:ascii="宋体" w:hAnsi="宋体" w:eastAsia="宋体" w:cs="宋体"/>
      <w:color w:val="000000"/>
      <w:kern w:val="2"/>
      <w:sz w:val="20"/>
      <w:szCs w:val="20"/>
      <w:u w:val="none"/>
      <w:lang w:val="en-US" w:eastAsia="zh-CN" w:bidi="ar"/>
    </w:rPr>
  </w:style>
  <w:style w:type="character" w:customStyle="1" w:styleId="1916">
    <w:name w:val="1正文段落 Char Char"/>
    <w:qFormat/>
    <w:locked/>
    <w:uiPriority w:val="0"/>
    <w:rPr>
      <w:rFonts w:ascii="宋体" w:hAnsi="宋体" w:eastAsia="宋体" w:cs="宋体"/>
      <w:kern w:val="2"/>
      <w:sz w:val="24"/>
      <w:szCs w:val="24"/>
      <w:lang w:val="en-US" w:eastAsia="zh-CN" w:bidi="ar-SA"/>
    </w:rPr>
  </w:style>
  <w:style w:type="character" w:customStyle="1" w:styleId="1917">
    <w:name w:val="061209正文样式 Char Char"/>
    <w:link w:val="1918"/>
    <w:qFormat/>
    <w:locked/>
    <w:uiPriority w:val="0"/>
    <w:rPr>
      <w:rFonts w:ascii="宋体" w:hAnsi="宋体" w:cs="宋体"/>
      <w:bCs/>
      <w:sz w:val="28"/>
      <w:szCs w:val="28"/>
    </w:rPr>
  </w:style>
  <w:style w:type="paragraph" w:customStyle="1" w:styleId="1918">
    <w:name w:val="061209正文样式"/>
    <w:basedOn w:val="5"/>
    <w:link w:val="1917"/>
    <w:qFormat/>
    <w:uiPriority w:val="0"/>
    <w:pPr>
      <w:adjustRightInd w:val="0"/>
      <w:snapToGrid w:val="0"/>
      <w:spacing w:line="360" w:lineRule="auto"/>
      <w:ind w:firstLine="560" w:firstLineChars="200"/>
      <w:jc w:val="left"/>
    </w:pPr>
    <w:rPr>
      <w:rFonts w:ascii="宋体" w:hAnsi="宋体" w:cs="宋体"/>
      <w:bCs/>
      <w:spacing w:val="0"/>
      <w:kern w:val="0"/>
      <w:sz w:val="28"/>
      <w:szCs w:val="28"/>
    </w:rPr>
  </w:style>
  <w:style w:type="character" w:customStyle="1" w:styleId="1919">
    <w:name w:val="文档结构图 Char6"/>
    <w:qFormat/>
    <w:uiPriority w:val="0"/>
    <w:rPr>
      <w:rFonts w:hint="eastAsia" w:ascii="宋体" w:hAnsi="宋体" w:eastAsia="宋体" w:cs="宋体"/>
      <w:kern w:val="2"/>
      <w:sz w:val="18"/>
      <w:szCs w:val="18"/>
      <w:lang w:val="en-US" w:eastAsia="zh-CN" w:bidi="ar"/>
    </w:rPr>
  </w:style>
  <w:style w:type="character" w:customStyle="1" w:styleId="1920">
    <w:name w:val="123 Char Char"/>
    <w:qFormat/>
    <w:uiPriority w:val="0"/>
    <w:rPr>
      <w:rFonts w:hint="eastAsia" w:ascii="宋体" w:hAnsi="宋体" w:eastAsia="宋体" w:cs="宋体"/>
      <w:color w:val="000000"/>
      <w:kern w:val="2"/>
      <w:sz w:val="24"/>
      <w:szCs w:val="24"/>
      <w:lang w:val="en-US" w:eastAsia="zh-CN" w:bidi="ar-SA"/>
    </w:rPr>
  </w:style>
  <w:style w:type="character" w:customStyle="1" w:styleId="1921">
    <w:name w:val="H9 Char3"/>
    <w:qFormat/>
    <w:uiPriority w:val="0"/>
    <w:rPr>
      <w:rFonts w:hint="default" w:ascii="Arial" w:hAnsi="Arial" w:eastAsia="黑体" w:cs="宋体"/>
      <w:kern w:val="2"/>
      <w:sz w:val="21"/>
      <w:szCs w:val="21"/>
      <w:lang w:val="en-US" w:eastAsia="zh-CN" w:bidi="ar-SA"/>
    </w:rPr>
  </w:style>
  <w:style w:type="character" w:customStyle="1" w:styleId="1922">
    <w:name w:val="Char Char252"/>
    <w:qFormat/>
    <w:uiPriority w:val="0"/>
    <w:rPr>
      <w:rFonts w:ascii="Arial" w:hAnsi="Arial" w:eastAsia="黑体"/>
      <w:kern w:val="2"/>
      <w:sz w:val="21"/>
      <w:szCs w:val="21"/>
      <w:lang w:val="en-US" w:eastAsia="zh-CN" w:bidi="ar-SA"/>
    </w:rPr>
  </w:style>
  <w:style w:type="character" w:customStyle="1" w:styleId="1923">
    <w:name w:val="文本框 Char Char"/>
    <w:link w:val="1924"/>
    <w:qFormat/>
    <w:locked/>
    <w:uiPriority w:val="0"/>
    <w:rPr>
      <w:rFonts w:ascii="宋体" w:hAnsi="宋体" w:cs="宋体"/>
      <w:szCs w:val="21"/>
    </w:rPr>
  </w:style>
  <w:style w:type="paragraph" w:customStyle="1" w:styleId="1924">
    <w:name w:val="文本框"/>
    <w:basedOn w:val="1"/>
    <w:link w:val="1923"/>
    <w:qFormat/>
    <w:uiPriority w:val="0"/>
    <w:pPr>
      <w:spacing w:line="360" w:lineRule="atLeast"/>
      <w:jc w:val="center"/>
    </w:pPr>
    <w:rPr>
      <w:rFonts w:ascii="宋体" w:hAnsi="宋体" w:eastAsia="宋体" w:cs="宋体"/>
      <w:kern w:val="0"/>
      <w:sz w:val="20"/>
      <w:szCs w:val="21"/>
    </w:rPr>
  </w:style>
  <w:style w:type="character" w:customStyle="1" w:styleId="1925">
    <w:name w:val="正文2 Char"/>
    <w:link w:val="1102"/>
    <w:qFormat/>
    <w:locked/>
    <w:uiPriority w:val="0"/>
    <w:rPr>
      <w:kern w:val="2"/>
      <w:sz w:val="24"/>
    </w:rPr>
  </w:style>
  <w:style w:type="character" w:customStyle="1" w:styleId="1926">
    <w:name w:val="正文文字 2 Char Char3"/>
    <w:qFormat/>
    <w:uiPriority w:val="0"/>
    <w:rPr>
      <w:rFonts w:hint="eastAsia" w:ascii="宋体" w:hAnsi="宋体" w:eastAsia="宋体" w:cs="宋体"/>
      <w:spacing w:val="-10"/>
      <w:kern w:val="2"/>
      <w:sz w:val="21"/>
      <w:szCs w:val="24"/>
      <w:lang w:val="en-US" w:eastAsia="zh-CN" w:bidi="ar-SA"/>
    </w:rPr>
  </w:style>
  <w:style w:type="character" w:customStyle="1" w:styleId="1927">
    <w:name w:val="样式 标题 1标题 11一、 + 黑体 小三 Char Char"/>
    <w:link w:val="1928"/>
    <w:qFormat/>
    <w:locked/>
    <w:uiPriority w:val="0"/>
    <w:rPr>
      <w:rFonts w:ascii="黑体" w:hAnsi="黑体" w:eastAsia="黑体" w:cs="Arial"/>
      <w:b/>
      <w:kern w:val="44"/>
      <w:sz w:val="30"/>
      <w:szCs w:val="30"/>
    </w:rPr>
  </w:style>
  <w:style w:type="paragraph" w:customStyle="1" w:styleId="1928">
    <w:name w:val="样式 标题 1标题 11一、 + 黑体 小三"/>
    <w:basedOn w:val="3"/>
    <w:link w:val="1927"/>
    <w:qFormat/>
    <w:uiPriority w:val="0"/>
    <w:pPr>
      <w:pageBreakBefore w:val="0"/>
      <w:tabs>
        <w:tab w:val="clear" w:pos="1080"/>
      </w:tabs>
      <w:spacing w:before="0" w:beforeLines="50" w:after="50" w:line="360" w:lineRule="auto"/>
      <w:ind w:left="0" w:firstLine="0"/>
    </w:pPr>
    <w:rPr>
      <w:rFonts w:ascii="黑体" w:hAnsi="黑体" w:eastAsia="黑体" w:cs="Arial"/>
      <w:sz w:val="30"/>
      <w:szCs w:val="30"/>
    </w:rPr>
  </w:style>
  <w:style w:type="character" w:customStyle="1" w:styleId="1929">
    <w:name w:val="style221"/>
    <w:qFormat/>
    <w:uiPriority w:val="0"/>
    <w:rPr>
      <w:rFonts w:hint="eastAsia" w:ascii="宋体" w:hAnsi="宋体" w:eastAsia="宋体" w:cs="宋体"/>
      <w:kern w:val="2"/>
      <w:sz w:val="36"/>
      <w:szCs w:val="24"/>
      <w:lang w:val="en-US" w:eastAsia="zh-CN" w:bidi="ar"/>
    </w:rPr>
  </w:style>
  <w:style w:type="character" w:customStyle="1" w:styleId="1930">
    <w:name w:val="正文（首行缩近两字） Char Char"/>
    <w:link w:val="1931"/>
    <w:qFormat/>
    <w:locked/>
    <w:uiPriority w:val="0"/>
    <w:rPr>
      <w:rFonts w:ascii="宋体" w:hAnsi="宋体" w:cs="宋体"/>
      <w:szCs w:val="24"/>
    </w:rPr>
  </w:style>
  <w:style w:type="paragraph" w:customStyle="1" w:styleId="1931">
    <w:name w:val="正文（首行缩近两字）"/>
    <w:basedOn w:val="1"/>
    <w:next w:val="1"/>
    <w:link w:val="1930"/>
    <w:qFormat/>
    <w:uiPriority w:val="0"/>
    <w:pPr>
      <w:ind w:firstLine="420" w:firstLineChars="200"/>
    </w:pPr>
    <w:rPr>
      <w:rFonts w:ascii="宋体" w:hAnsi="宋体" w:eastAsia="宋体" w:cs="宋体"/>
      <w:kern w:val="0"/>
      <w:sz w:val="20"/>
      <w:szCs w:val="24"/>
    </w:rPr>
  </w:style>
  <w:style w:type="character" w:customStyle="1" w:styleId="1932">
    <w:name w:val="表格new Char Char"/>
    <w:link w:val="1933"/>
    <w:qFormat/>
    <w:locked/>
    <w:uiPriority w:val="0"/>
    <w:rPr>
      <w:rFonts w:ascii="宋体" w:hAnsi="宋体" w:cs="宋体"/>
      <w:szCs w:val="21"/>
    </w:rPr>
  </w:style>
  <w:style w:type="paragraph" w:customStyle="1" w:styleId="1933">
    <w:name w:val="表格new"/>
    <w:basedOn w:val="1"/>
    <w:next w:val="1"/>
    <w:link w:val="1932"/>
    <w:qFormat/>
    <w:uiPriority w:val="0"/>
    <w:pPr>
      <w:jc w:val="center"/>
    </w:pPr>
    <w:rPr>
      <w:rFonts w:ascii="宋体" w:hAnsi="宋体" w:eastAsia="宋体" w:cs="宋体"/>
      <w:kern w:val="0"/>
      <w:sz w:val="20"/>
      <w:szCs w:val="21"/>
    </w:rPr>
  </w:style>
  <w:style w:type="character" w:customStyle="1" w:styleId="1934">
    <w:name w:val="Normal Char Char"/>
    <w:qFormat/>
    <w:locked/>
    <w:uiPriority w:val="0"/>
    <w:rPr>
      <w:rFonts w:ascii="宋体" w:hAnsi="宋体" w:eastAsia="宋体"/>
      <w:kern w:val="2"/>
      <w:sz w:val="34"/>
      <w:szCs w:val="24"/>
      <w:lang w:val="en-US" w:eastAsia="zh-CN" w:bidi="ar-SA"/>
    </w:rPr>
  </w:style>
  <w:style w:type="character" w:customStyle="1" w:styleId="1935">
    <w:name w:val="dxj标题2 Char"/>
    <w:link w:val="1936"/>
    <w:qFormat/>
    <w:uiPriority w:val="0"/>
    <w:rPr>
      <w:rFonts w:ascii="宋体" w:hAnsi="宋体" w:eastAsia="黑体" w:cs="宋体"/>
      <w:bCs/>
      <w:sz w:val="28"/>
      <w:szCs w:val="32"/>
    </w:rPr>
  </w:style>
  <w:style w:type="paragraph" w:customStyle="1" w:styleId="1936">
    <w:name w:val="dxj标题2"/>
    <w:basedOn w:val="4"/>
    <w:link w:val="1935"/>
    <w:qFormat/>
    <w:uiPriority w:val="0"/>
    <w:pPr>
      <w:spacing w:before="0" w:after="0" w:line="360" w:lineRule="auto"/>
      <w:ind w:left="0" w:firstLine="0"/>
      <w:jc w:val="left"/>
    </w:pPr>
    <w:rPr>
      <w:rFonts w:ascii="宋体" w:hAnsi="宋体" w:cs="宋体"/>
      <w:bCs/>
      <w:kern w:val="0"/>
      <w:szCs w:val="32"/>
    </w:rPr>
  </w:style>
  <w:style w:type="character" w:customStyle="1" w:styleId="1937">
    <w:name w:val="cucd-0 Char Char"/>
    <w:link w:val="1887"/>
    <w:qFormat/>
    <w:locked/>
    <w:uiPriority w:val="0"/>
    <w:rPr>
      <w:rFonts w:ascii="宋体" w:hAnsi="宋体" w:cs="宋体"/>
      <w:sz w:val="24"/>
      <w:szCs w:val="24"/>
    </w:rPr>
  </w:style>
  <w:style w:type="character" w:customStyle="1" w:styleId="1938">
    <w:name w:val="【标题4】 Char Char"/>
    <w:link w:val="1939"/>
    <w:qFormat/>
    <w:locked/>
    <w:uiPriority w:val="0"/>
    <w:rPr>
      <w:rFonts w:ascii="宋体" w:hAnsi="宋体" w:cs="宋体"/>
      <w:b/>
      <w:bCs/>
      <w:sz w:val="24"/>
      <w:szCs w:val="24"/>
    </w:rPr>
  </w:style>
  <w:style w:type="paragraph" w:customStyle="1" w:styleId="1939">
    <w:name w:val="【标题4】"/>
    <w:basedOn w:val="1"/>
    <w:link w:val="1938"/>
    <w:qFormat/>
    <w:uiPriority w:val="0"/>
    <w:pPr>
      <w:keepLines/>
      <w:spacing w:before="120" w:after="120"/>
      <w:jc w:val="left"/>
      <w:outlineLvl w:val="3"/>
    </w:pPr>
    <w:rPr>
      <w:rFonts w:ascii="宋体" w:hAnsi="宋体" w:eastAsia="宋体" w:cs="宋体"/>
      <w:b/>
      <w:bCs/>
      <w:kern w:val="0"/>
      <w:sz w:val="24"/>
      <w:szCs w:val="24"/>
    </w:rPr>
  </w:style>
  <w:style w:type="character" w:customStyle="1" w:styleId="1940">
    <w:name w:val="正文小四 Char Char Char"/>
    <w:qFormat/>
    <w:uiPriority w:val="0"/>
    <w:rPr>
      <w:rFonts w:hint="eastAsia" w:ascii="宋体" w:hAnsi="宋体" w:eastAsia="宋体" w:cs="宋体"/>
      <w:kern w:val="2"/>
      <w:sz w:val="24"/>
      <w:szCs w:val="24"/>
      <w:lang w:val="en-US" w:eastAsia="zh-CN" w:bidi="ar-SA"/>
    </w:rPr>
  </w:style>
  <w:style w:type="character" w:customStyle="1" w:styleId="1941">
    <w:name w:val="Char Char15"/>
    <w:link w:val="1942"/>
    <w:qFormat/>
    <w:locked/>
    <w:uiPriority w:val="0"/>
    <w:rPr>
      <w:rFonts w:ascii="宋体" w:hAnsi="宋体" w:cs="宋体"/>
      <w:b/>
      <w:i/>
      <w:kern w:val="28"/>
      <w:sz w:val="18"/>
      <w:szCs w:val="24"/>
    </w:rPr>
  </w:style>
  <w:style w:type="paragraph" w:customStyle="1" w:styleId="1942">
    <w:name w:val="正文文本11"/>
    <w:basedOn w:val="1"/>
    <w:link w:val="1941"/>
    <w:qFormat/>
    <w:uiPriority w:val="0"/>
    <w:pPr>
      <w:spacing w:line="240" w:lineRule="atLeast"/>
      <w:jc w:val="center"/>
    </w:pPr>
    <w:rPr>
      <w:rFonts w:ascii="宋体" w:hAnsi="宋体" w:eastAsia="宋体" w:cs="宋体"/>
      <w:b/>
      <w:i/>
      <w:kern w:val="28"/>
      <w:sz w:val="18"/>
      <w:szCs w:val="24"/>
    </w:rPr>
  </w:style>
  <w:style w:type="character" w:customStyle="1" w:styleId="1943">
    <w:name w:val="样式 标题 3标题 13 + (中文) 宋体 小四 行距: 1.5 倍行距 Char Char"/>
    <w:qFormat/>
    <w:uiPriority w:val="0"/>
    <w:rPr>
      <w:rFonts w:hint="eastAsia" w:ascii="宋体" w:hAnsi="宋体" w:eastAsia="宋体" w:cs="宋体"/>
      <w:b/>
      <w:bCs/>
      <w:kern w:val="2"/>
      <w:sz w:val="24"/>
      <w:szCs w:val="32"/>
      <w:lang w:val="en-US" w:eastAsia="zh-CN" w:bidi="ar-SA"/>
    </w:rPr>
  </w:style>
  <w:style w:type="character" w:customStyle="1" w:styleId="1944">
    <w:name w:val="Char Char191"/>
    <w:qFormat/>
    <w:locked/>
    <w:uiPriority w:val="0"/>
    <w:rPr>
      <w:rFonts w:ascii="宋体" w:hAnsi="宋体" w:eastAsia="宋体" w:cs="宋体"/>
      <w:b/>
      <w:bCs/>
      <w:kern w:val="2"/>
      <w:sz w:val="21"/>
      <w:szCs w:val="24"/>
      <w:lang w:val="en-US" w:eastAsia="zh-CN" w:bidi="ar-SA"/>
    </w:rPr>
  </w:style>
  <w:style w:type="character" w:customStyle="1" w:styleId="1945">
    <w:name w:val="副标题 Char1"/>
    <w:qFormat/>
    <w:uiPriority w:val="0"/>
    <w:rPr>
      <w:rFonts w:hint="default" w:ascii="Cambria" w:hAnsi="Cambria" w:eastAsia="宋体" w:cs="Times New Roman"/>
      <w:b/>
      <w:bCs/>
      <w:kern w:val="28"/>
      <w:sz w:val="32"/>
      <w:szCs w:val="32"/>
      <w:lang w:val="en-US" w:eastAsia="zh-CN" w:bidi="ar"/>
    </w:rPr>
  </w:style>
  <w:style w:type="character" w:customStyle="1" w:styleId="1946">
    <w:name w:val="Char Char114"/>
    <w:qFormat/>
    <w:locked/>
    <w:uiPriority w:val="0"/>
    <w:rPr>
      <w:rFonts w:ascii="Arial" w:hAnsi="Arial" w:eastAsia="宋体" w:cs="Arial"/>
      <w:vanish/>
      <w:kern w:val="2"/>
      <w:sz w:val="16"/>
      <w:szCs w:val="16"/>
      <w:lang w:val="en-US" w:eastAsia="zh-CN" w:bidi="ar-SA"/>
    </w:rPr>
  </w:style>
  <w:style w:type="character" w:customStyle="1" w:styleId="1947">
    <w:name w:val="HTML 地址 字符"/>
    <w:qFormat/>
    <w:uiPriority w:val="0"/>
    <w:rPr>
      <w:i/>
      <w:iCs/>
      <w:color w:val="000000"/>
      <w:sz w:val="24"/>
      <w:szCs w:val="24"/>
      <w:lang w:bidi="ar-SA"/>
    </w:rPr>
  </w:style>
  <w:style w:type="character" w:customStyle="1" w:styleId="1948">
    <w:name w:val="正文首行缩进 2 Char2"/>
    <w:qFormat/>
    <w:uiPriority w:val="0"/>
    <w:rPr>
      <w:rFonts w:hint="eastAsia" w:ascii="宋体" w:hAnsi="宋体" w:eastAsia="宋体" w:cs="宋体"/>
      <w:kern w:val="2"/>
      <w:sz w:val="21"/>
      <w:szCs w:val="24"/>
      <w:lang w:val="en-US" w:eastAsia="zh-CN" w:bidi="ar"/>
    </w:rPr>
  </w:style>
  <w:style w:type="character" w:customStyle="1" w:styleId="1949">
    <w:name w:val="标题 8 字符1"/>
    <w:qFormat/>
    <w:uiPriority w:val="0"/>
    <w:rPr>
      <w:rFonts w:hint="eastAsia" w:ascii="宋体" w:hAnsi="宋体" w:eastAsia="宋体"/>
      <w:b/>
      <w:i/>
      <w:spacing w:val="-2"/>
      <w:kern w:val="28"/>
      <w:sz w:val="18"/>
      <w:lang w:val="en-US" w:eastAsia="zh-CN" w:bidi="ar-SA"/>
    </w:rPr>
  </w:style>
  <w:style w:type="character" w:customStyle="1" w:styleId="1950">
    <w:name w:val="表 Char Char Char"/>
    <w:qFormat/>
    <w:uiPriority w:val="0"/>
    <w:rPr>
      <w:rFonts w:hint="eastAsia" w:ascii="宋体" w:hAnsi="宋体" w:eastAsia="宋体"/>
      <w:spacing w:val="2"/>
      <w:kern w:val="2"/>
      <w:sz w:val="21"/>
      <w:lang w:val="en-US" w:eastAsia="zh-CN" w:bidi="ar-SA"/>
    </w:rPr>
  </w:style>
  <w:style w:type="character" w:customStyle="1" w:styleId="1951">
    <w:name w:val="副标题 Char"/>
    <w:link w:val="65"/>
    <w:qFormat/>
    <w:uiPriority w:val="0"/>
    <w:rPr>
      <w:rFonts w:ascii="Cambria" w:hAnsi="Cambria" w:eastAsia="黑体"/>
      <w:bCs/>
      <w:kern w:val="28"/>
      <w:sz w:val="24"/>
      <w:szCs w:val="32"/>
    </w:rPr>
  </w:style>
  <w:style w:type="character" w:customStyle="1" w:styleId="1952">
    <w:name w:val="注释标题 字符1"/>
    <w:qFormat/>
    <w:uiPriority w:val="99"/>
    <w:rPr>
      <w:rFonts w:hint="eastAsia" w:ascii="宋体" w:hAnsi="宋体" w:eastAsia="宋体"/>
      <w:kern w:val="2"/>
      <w:sz w:val="21"/>
      <w:lang w:bidi="ar-SA"/>
    </w:rPr>
  </w:style>
  <w:style w:type="character" w:customStyle="1" w:styleId="1953">
    <w:name w:val="HTML 地址 Char1"/>
    <w:qFormat/>
    <w:uiPriority w:val="0"/>
    <w:rPr>
      <w:rFonts w:hint="eastAsia" w:ascii="宋体" w:hAnsi="宋体" w:eastAsia="宋体" w:cs="宋体"/>
      <w:i/>
      <w:iCs/>
      <w:kern w:val="2"/>
      <w:sz w:val="28"/>
      <w:szCs w:val="24"/>
      <w:lang w:val="en-US" w:eastAsia="zh-CN" w:bidi="ar"/>
    </w:rPr>
  </w:style>
  <w:style w:type="character" w:customStyle="1" w:styleId="1954">
    <w:name w:val="text_edit editable-title"/>
    <w:qFormat/>
    <w:uiPriority w:val="0"/>
    <w:rPr>
      <w:rFonts w:hint="eastAsia" w:ascii="宋体" w:hAnsi="宋体" w:eastAsia="宋体" w:cs="宋体"/>
      <w:kern w:val="2"/>
      <w:sz w:val="24"/>
      <w:szCs w:val="20"/>
      <w:lang w:val="en-US" w:eastAsia="zh-CN" w:bidi="ar"/>
    </w:rPr>
  </w:style>
  <w:style w:type="character" w:customStyle="1" w:styleId="1955">
    <w:name w:val="目录 3 字符"/>
    <w:qFormat/>
    <w:uiPriority w:val="0"/>
    <w:rPr>
      <w:i/>
      <w:iCs/>
      <w:kern w:val="2"/>
      <w:lang w:bidi="ar-SA"/>
    </w:rPr>
  </w:style>
  <w:style w:type="character" w:customStyle="1" w:styleId="1956">
    <w:name w:val="dxj表头 Char Char"/>
    <w:qFormat/>
    <w:locked/>
    <w:uiPriority w:val="0"/>
    <w:rPr>
      <w:rFonts w:ascii="宋体" w:hAnsi="宋体" w:eastAsia="黑体" w:cs="宋体"/>
      <w:kern w:val="2"/>
      <w:sz w:val="21"/>
      <w:szCs w:val="21"/>
      <w:lang w:val="en-US" w:eastAsia="zh-CN" w:bidi="ar-SA"/>
    </w:rPr>
  </w:style>
  <w:style w:type="character" w:customStyle="1" w:styleId="1957">
    <w:name w:val="info3"/>
    <w:qFormat/>
    <w:uiPriority w:val="0"/>
    <w:rPr>
      <w:rFonts w:hint="eastAsia" w:ascii="宋体" w:hAnsi="宋体" w:eastAsia="宋体" w:cs="宋体"/>
      <w:kern w:val="2"/>
      <w:sz w:val="28"/>
      <w:szCs w:val="24"/>
      <w:lang w:val="en-US" w:eastAsia="zh-CN" w:bidi="ar"/>
    </w:rPr>
  </w:style>
  <w:style w:type="character" w:customStyle="1" w:styleId="1958">
    <w:name w:val="正文-1 Char Char Char"/>
    <w:qFormat/>
    <w:uiPriority w:val="0"/>
    <w:rPr>
      <w:rFonts w:hint="eastAsia" w:ascii="宋体" w:hAnsi="宋体" w:eastAsia="宋体" w:cs="宋体"/>
      <w:spacing w:val="4"/>
      <w:kern w:val="18"/>
      <w:sz w:val="24"/>
      <w:szCs w:val="30"/>
      <w:lang w:val="en-US" w:eastAsia="zh-CN" w:bidi="ar-SA"/>
    </w:rPr>
  </w:style>
  <w:style w:type="character" w:customStyle="1" w:styleId="1959">
    <w:name w:val="样式8 Char"/>
    <w:qFormat/>
    <w:locked/>
    <w:uiPriority w:val="0"/>
    <w:rPr>
      <w:rFonts w:hint="eastAsia" w:ascii="黑体" w:hAnsi="Arial" w:eastAsia="黑体"/>
      <w:b/>
      <w:color w:val="000000"/>
      <w:kern w:val="2"/>
      <w:sz w:val="28"/>
      <w:lang w:val="en-US" w:eastAsia="zh-CN" w:bidi="ar-SA"/>
    </w:rPr>
  </w:style>
  <w:style w:type="character" w:customStyle="1" w:styleId="1960">
    <w:name w:val="首行缩进2字符 Char Char"/>
    <w:link w:val="1961"/>
    <w:qFormat/>
    <w:locked/>
    <w:uiPriority w:val="0"/>
    <w:rPr>
      <w:rFonts w:ascii="宋体" w:hAnsi="宋体" w:cs="宋体"/>
      <w:sz w:val="24"/>
      <w:szCs w:val="24"/>
    </w:rPr>
  </w:style>
  <w:style w:type="paragraph" w:customStyle="1" w:styleId="1961">
    <w:name w:val="首行缩进2字符"/>
    <w:basedOn w:val="1"/>
    <w:link w:val="1960"/>
    <w:qFormat/>
    <w:uiPriority w:val="0"/>
    <w:pPr>
      <w:widowControl/>
      <w:ind w:firstLine="200" w:firstLineChars="200"/>
      <w:jc w:val="left"/>
    </w:pPr>
    <w:rPr>
      <w:rFonts w:ascii="宋体" w:hAnsi="宋体" w:eastAsia="宋体" w:cs="宋体"/>
      <w:kern w:val="0"/>
      <w:sz w:val="24"/>
      <w:szCs w:val="24"/>
    </w:rPr>
  </w:style>
  <w:style w:type="character" w:customStyle="1" w:styleId="1962">
    <w:name w:val="表格下方正文 Char Char"/>
    <w:link w:val="1315"/>
    <w:qFormat/>
    <w:locked/>
    <w:uiPriority w:val="0"/>
    <w:rPr>
      <w:kern w:val="2"/>
      <w:sz w:val="24"/>
      <w:szCs w:val="24"/>
    </w:rPr>
  </w:style>
  <w:style w:type="character" w:customStyle="1" w:styleId="1963">
    <w:name w:val="样式44 Char Char"/>
    <w:link w:val="1964"/>
    <w:qFormat/>
    <w:locked/>
    <w:uiPriority w:val="0"/>
    <w:rPr>
      <w:rFonts w:ascii="黑体" w:hAnsi="宋体" w:eastAsia="黑体" w:cs="宋体"/>
      <w:b/>
      <w:bCs/>
      <w:sz w:val="28"/>
      <w:szCs w:val="28"/>
    </w:rPr>
  </w:style>
  <w:style w:type="paragraph" w:customStyle="1" w:styleId="1964">
    <w:name w:val="样式44"/>
    <w:basedOn w:val="1"/>
    <w:link w:val="1963"/>
    <w:qFormat/>
    <w:uiPriority w:val="0"/>
    <w:pPr>
      <w:keepNext/>
      <w:keepLines/>
      <w:spacing w:beforeLines="50" w:line="360" w:lineRule="auto"/>
      <w:outlineLvl w:val="1"/>
    </w:pPr>
    <w:rPr>
      <w:rFonts w:ascii="黑体" w:hAnsi="宋体" w:eastAsia="黑体" w:cs="宋体"/>
      <w:b/>
      <w:bCs/>
      <w:kern w:val="0"/>
      <w:szCs w:val="28"/>
    </w:rPr>
  </w:style>
  <w:style w:type="character" w:customStyle="1" w:styleId="1965">
    <w:name w:val="4正文 Char Char"/>
    <w:link w:val="1966"/>
    <w:qFormat/>
    <w:locked/>
    <w:uiPriority w:val="0"/>
    <w:rPr>
      <w:rFonts w:ascii="宋体" w:hAnsi="宋体" w:cs="宋体"/>
      <w:sz w:val="28"/>
      <w:szCs w:val="24"/>
      <w:lang w:val="zh-CN"/>
    </w:rPr>
  </w:style>
  <w:style w:type="paragraph" w:customStyle="1" w:styleId="1966">
    <w:name w:val="4正文"/>
    <w:basedOn w:val="1"/>
    <w:link w:val="1965"/>
    <w:qFormat/>
    <w:uiPriority w:val="0"/>
    <w:pPr>
      <w:spacing w:beforeLines="50" w:line="360" w:lineRule="auto"/>
      <w:ind w:firstLine="560" w:firstLineChars="200"/>
    </w:pPr>
    <w:rPr>
      <w:rFonts w:ascii="宋体" w:hAnsi="宋体" w:eastAsia="宋体" w:cs="宋体"/>
      <w:kern w:val="0"/>
      <w:szCs w:val="24"/>
      <w:lang w:val="zh-CN"/>
    </w:rPr>
  </w:style>
  <w:style w:type="character" w:customStyle="1" w:styleId="1967">
    <w:name w:val="标题 6 字符1"/>
    <w:qFormat/>
    <w:uiPriority w:val="0"/>
    <w:rPr>
      <w:rFonts w:hint="default" w:ascii="Arial" w:hAnsi="Arial" w:eastAsia="宋体" w:cs="Arial"/>
      <w:b/>
      <w:i/>
      <w:spacing w:val="-2"/>
      <w:kern w:val="28"/>
      <w:sz w:val="18"/>
      <w:lang w:val="en-US" w:eastAsia="zh-CN" w:bidi="ar-SA"/>
    </w:rPr>
  </w:style>
  <w:style w:type="character" w:customStyle="1" w:styleId="1968">
    <w:name w:val="1-正文 Char Char Char"/>
    <w:qFormat/>
    <w:uiPriority w:val="0"/>
    <w:rPr>
      <w:rFonts w:hint="eastAsia" w:ascii="宋体" w:hAnsi="宋体" w:eastAsia="宋体" w:cs="宋体"/>
      <w:kern w:val="2"/>
      <w:sz w:val="24"/>
      <w:szCs w:val="24"/>
      <w:lang w:val="en-US" w:eastAsia="zh-CN" w:bidi="ar-SA"/>
    </w:rPr>
  </w:style>
  <w:style w:type="character" w:customStyle="1" w:styleId="1969">
    <w:name w:val="日期 Char1"/>
    <w:qFormat/>
    <w:uiPriority w:val="0"/>
    <w:rPr>
      <w:rFonts w:ascii="宋体" w:hAnsi="宋体" w:eastAsia="Arial" w:cs="宋体"/>
      <w:kern w:val="28"/>
      <w:sz w:val="32"/>
      <w:szCs w:val="32"/>
      <w:lang w:val="en-US" w:eastAsia="zh-CN" w:bidi="ar-SA"/>
    </w:rPr>
  </w:style>
  <w:style w:type="character" w:customStyle="1" w:styleId="1970">
    <w:name w:val="标题 字符"/>
    <w:qFormat/>
    <w:uiPriority w:val="0"/>
    <w:rPr>
      <w:rFonts w:hint="default" w:ascii="Arial" w:hAnsi="Arial" w:eastAsia="宋体" w:cs="宋体"/>
      <w:b/>
      <w:kern w:val="2"/>
      <w:sz w:val="32"/>
      <w:szCs w:val="24"/>
      <w:lang w:val="en-US" w:eastAsia="zh-CN" w:bidi="ar"/>
    </w:rPr>
  </w:style>
  <w:style w:type="character" w:customStyle="1" w:styleId="1971">
    <w:name w:val="正文 + 首行缩进:  2 字符 Char Char Char"/>
    <w:qFormat/>
    <w:locked/>
    <w:uiPriority w:val="0"/>
    <w:rPr>
      <w:rFonts w:ascii="宋体" w:hAnsi="宋体" w:eastAsia="宋体" w:cs="宋体"/>
      <w:spacing w:val="12"/>
      <w:sz w:val="24"/>
      <w:szCs w:val="24"/>
    </w:rPr>
  </w:style>
  <w:style w:type="character" w:customStyle="1" w:styleId="1972">
    <w:name w:val="Char Char201"/>
    <w:qFormat/>
    <w:uiPriority w:val="0"/>
    <w:rPr>
      <w:rFonts w:hint="eastAsia" w:ascii="仿宋" w:hAnsi="仿宋" w:eastAsia="宋体" w:cs="宋体"/>
      <w:bCs/>
      <w:kern w:val="2"/>
      <w:sz w:val="28"/>
      <w:szCs w:val="28"/>
      <w:lang w:val="zh-CN" w:eastAsia="zh-CN" w:bidi="ar-SA"/>
    </w:rPr>
  </w:style>
  <w:style w:type="character" w:customStyle="1" w:styleId="1973">
    <w:name w:val="正文文字 2 Char3"/>
    <w:qFormat/>
    <w:uiPriority w:val="0"/>
    <w:rPr>
      <w:rFonts w:ascii="Arial" w:hAnsi="Arial" w:eastAsia="宋体" w:cs="Arial"/>
      <w:kern w:val="2"/>
      <w:sz w:val="21"/>
      <w:lang w:val="en-US" w:eastAsia="zh-CN" w:bidi="ar-SA"/>
    </w:rPr>
  </w:style>
  <w:style w:type="character" w:customStyle="1" w:styleId="1974">
    <w:name w:val="样式40 Char Char Char"/>
    <w:qFormat/>
    <w:uiPriority w:val="0"/>
    <w:rPr>
      <w:rFonts w:hint="eastAsia" w:ascii="宋体" w:hAnsi="宋体" w:eastAsia="宋体" w:cs="宋体"/>
      <w:color w:val="000000"/>
      <w:kern w:val="2"/>
      <w:sz w:val="24"/>
      <w:szCs w:val="24"/>
      <w:lang w:val="en-US" w:eastAsia="zh-CN" w:bidi="ar-SA"/>
    </w:rPr>
  </w:style>
  <w:style w:type="character" w:customStyle="1" w:styleId="1975">
    <w:name w:val="样式 题注 Char + 黑体 小四"/>
    <w:qFormat/>
    <w:uiPriority w:val="0"/>
    <w:rPr>
      <w:rFonts w:hint="eastAsia" w:ascii="黑体" w:hAnsi="宋体" w:eastAsia="黑体" w:cs="Arial"/>
      <w:kern w:val="2"/>
      <w:sz w:val="24"/>
      <w:szCs w:val="24"/>
      <w:lang w:val="en-US" w:eastAsia="zh-CN" w:bidi="ar-SA"/>
    </w:rPr>
  </w:style>
  <w:style w:type="character" w:customStyle="1" w:styleId="1976">
    <w:name w:val="标题55 Char Char"/>
    <w:qFormat/>
    <w:uiPriority w:val="0"/>
    <w:rPr>
      <w:rFonts w:hint="eastAsia" w:ascii="宋体" w:hAnsi="宋体" w:eastAsia="宋体" w:cs="宋体"/>
      <w:b/>
      <w:bCs/>
      <w:kern w:val="2"/>
      <w:sz w:val="28"/>
      <w:szCs w:val="28"/>
      <w:lang w:val="en-US" w:eastAsia="zh-CN" w:bidi="ar"/>
    </w:rPr>
  </w:style>
  <w:style w:type="character" w:customStyle="1" w:styleId="1977">
    <w:name w:val="自动3 Char Char"/>
    <w:link w:val="1978"/>
    <w:qFormat/>
    <w:locked/>
    <w:uiPriority w:val="0"/>
    <w:rPr>
      <w:rFonts w:ascii="宋体" w:hAnsi="宋体" w:cs="宋体"/>
      <w:b/>
      <w:color w:val="000000"/>
      <w:sz w:val="24"/>
      <w:szCs w:val="24"/>
    </w:rPr>
  </w:style>
  <w:style w:type="paragraph" w:customStyle="1" w:styleId="1978">
    <w:name w:val="自动3"/>
    <w:basedOn w:val="1"/>
    <w:link w:val="1977"/>
    <w:qFormat/>
    <w:uiPriority w:val="0"/>
    <w:pPr>
      <w:keepNext/>
      <w:keepLines/>
      <w:tabs>
        <w:tab w:val="left" w:pos="1080"/>
        <w:tab w:val="left" w:pos="1260"/>
      </w:tabs>
      <w:spacing w:beforeLines="50" w:line="360" w:lineRule="auto"/>
      <w:ind w:left="709" w:hanging="709"/>
      <w:outlineLvl w:val="2"/>
    </w:pPr>
    <w:rPr>
      <w:rFonts w:ascii="宋体" w:hAnsi="宋体" w:eastAsia="宋体" w:cs="宋体"/>
      <w:b/>
      <w:color w:val="000000"/>
      <w:kern w:val="0"/>
      <w:sz w:val="24"/>
      <w:szCs w:val="24"/>
    </w:rPr>
  </w:style>
  <w:style w:type="character" w:customStyle="1" w:styleId="1979">
    <w:name w:val="信息标题 Char2"/>
    <w:qFormat/>
    <w:uiPriority w:val="0"/>
    <w:rPr>
      <w:rFonts w:hint="default" w:ascii="Cambria" w:hAnsi="Cambria" w:eastAsia="宋体" w:cs="黑体"/>
      <w:kern w:val="2"/>
      <w:sz w:val="24"/>
      <w:szCs w:val="24"/>
      <w:shd w:val="pct20" w:color="auto" w:fill="auto"/>
      <w:lang w:val="en-US" w:eastAsia="zh-CN" w:bidi="ar-SA"/>
    </w:rPr>
  </w:style>
  <w:style w:type="character" w:customStyle="1" w:styleId="1980">
    <w:name w:val="232321"/>
    <w:qFormat/>
    <w:uiPriority w:val="0"/>
    <w:rPr>
      <w:rFonts w:hint="eastAsia" w:ascii="宋体" w:hAnsi="宋体" w:eastAsia="宋体" w:cs="宋体"/>
      <w:kern w:val="2"/>
      <w:sz w:val="28"/>
      <w:szCs w:val="24"/>
      <w:lang w:val="en-US" w:eastAsia="zh-CN" w:bidi="ar"/>
    </w:rPr>
  </w:style>
  <w:style w:type="character" w:customStyle="1" w:styleId="1981">
    <w:name w:val="样式 三江正文 + 左侧:  2 字符 Char Char"/>
    <w:link w:val="1982"/>
    <w:qFormat/>
    <w:locked/>
    <w:uiPriority w:val="0"/>
    <w:rPr>
      <w:rFonts w:ascii="宋体" w:hAnsi="宋体" w:cs="宋体"/>
      <w:sz w:val="24"/>
      <w:szCs w:val="24"/>
    </w:rPr>
  </w:style>
  <w:style w:type="paragraph" w:customStyle="1" w:styleId="1982">
    <w:name w:val="样式 三江正文 + 左侧:  2 字符"/>
    <w:basedOn w:val="1"/>
    <w:link w:val="1981"/>
    <w:qFormat/>
    <w:uiPriority w:val="0"/>
    <w:pPr>
      <w:spacing w:line="360" w:lineRule="auto"/>
      <w:ind w:firstLine="200" w:firstLineChars="200"/>
      <w:jc w:val="left"/>
    </w:pPr>
    <w:rPr>
      <w:rFonts w:ascii="宋体" w:hAnsi="宋体" w:eastAsia="宋体" w:cs="宋体"/>
      <w:kern w:val="0"/>
      <w:sz w:val="24"/>
      <w:szCs w:val="24"/>
    </w:rPr>
  </w:style>
  <w:style w:type="character" w:customStyle="1" w:styleId="1983">
    <w:name w:val="Char Char Char Char Char1"/>
    <w:qFormat/>
    <w:uiPriority w:val="0"/>
    <w:rPr>
      <w:rFonts w:hint="default" w:ascii="Arial" w:hAnsi="Arial" w:eastAsia="黑体" w:cs="Arial"/>
      <w:kern w:val="2"/>
      <w:sz w:val="28"/>
      <w:szCs w:val="24"/>
      <w:lang w:val="en-US" w:eastAsia="zh-CN" w:bidi="ar-SA"/>
    </w:rPr>
  </w:style>
  <w:style w:type="character" w:customStyle="1" w:styleId="1984">
    <w:name w:val="text_l1"/>
    <w:qFormat/>
    <w:uiPriority w:val="0"/>
    <w:rPr>
      <w:rFonts w:hint="eastAsia" w:ascii="宋体" w:hAnsi="宋体" w:eastAsia="宋体" w:cs="宋体"/>
      <w:color w:val="000066"/>
      <w:kern w:val="2"/>
      <w:sz w:val="18"/>
      <w:szCs w:val="18"/>
      <w:lang w:val="en-US" w:eastAsia="zh-CN" w:bidi="ar"/>
    </w:rPr>
  </w:style>
  <w:style w:type="character" w:customStyle="1" w:styleId="1985">
    <w:name w:val="报告书表格 Char Char"/>
    <w:link w:val="920"/>
    <w:qFormat/>
    <w:locked/>
    <w:uiPriority w:val="0"/>
    <w:rPr>
      <w:sz w:val="24"/>
      <w:lang w:val="en-US" w:eastAsia="zh-CN"/>
    </w:rPr>
  </w:style>
  <w:style w:type="character" w:customStyle="1" w:styleId="1986">
    <w:name w:val="样式5 Char Char Char Char Char"/>
    <w:qFormat/>
    <w:uiPriority w:val="0"/>
    <w:rPr>
      <w:rFonts w:hint="eastAsia" w:ascii="宋体" w:hAnsi="宋体" w:eastAsia="宋体" w:cs="宋体"/>
      <w:kern w:val="2"/>
      <w:sz w:val="24"/>
      <w:szCs w:val="24"/>
      <w:lang w:val="en-US" w:eastAsia="zh-CN" w:bidi="ar-SA"/>
    </w:rPr>
  </w:style>
  <w:style w:type="character" w:customStyle="1" w:styleId="1987">
    <w:name w:val="标题五 Char Char"/>
    <w:link w:val="1988"/>
    <w:qFormat/>
    <w:locked/>
    <w:uiPriority w:val="0"/>
    <w:rPr>
      <w:rFonts w:ascii="Arial" w:hAnsi="Arial" w:cs="宋体"/>
      <w:snapToGrid/>
      <w:sz w:val="24"/>
      <w:szCs w:val="24"/>
    </w:rPr>
  </w:style>
  <w:style w:type="paragraph" w:customStyle="1" w:styleId="1988">
    <w:name w:val="标题五"/>
    <w:basedOn w:val="8"/>
    <w:link w:val="1987"/>
    <w:qFormat/>
    <w:uiPriority w:val="0"/>
    <w:pPr>
      <w:tabs>
        <w:tab w:val="left" w:pos="567"/>
        <w:tab w:val="left" w:pos="700"/>
        <w:tab w:val="clear" w:pos="1008"/>
      </w:tabs>
      <w:autoSpaceDE w:val="0"/>
      <w:autoSpaceDN w:val="0"/>
      <w:adjustRightInd w:val="0"/>
      <w:snapToGrid w:val="0"/>
      <w:spacing w:before="0" w:after="0" w:line="440" w:lineRule="exact"/>
      <w:ind w:left="0" w:firstLine="0"/>
      <w:jc w:val="center"/>
    </w:pPr>
    <w:rPr>
      <w:rFonts w:ascii="Arial" w:hAnsi="Arial" w:eastAsia="宋体" w:cs="宋体"/>
      <w:b w:val="0"/>
      <w:bCs w:val="0"/>
      <w:kern w:val="0"/>
      <w:sz w:val="24"/>
      <w:szCs w:val="24"/>
    </w:rPr>
  </w:style>
  <w:style w:type="character" w:customStyle="1" w:styleId="1989">
    <w:name w:val="宁波至温州正文 Char Char"/>
    <w:qFormat/>
    <w:uiPriority w:val="0"/>
    <w:rPr>
      <w:rFonts w:hint="eastAsia" w:ascii="宋体" w:hAnsi="宋体" w:eastAsia="宋体" w:cs="宋体"/>
      <w:kern w:val="2"/>
      <w:sz w:val="26"/>
      <w:szCs w:val="24"/>
      <w:lang w:val="en-US" w:eastAsia="zh-CN" w:bidi="ar-SA"/>
    </w:rPr>
  </w:style>
  <w:style w:type="character" w:customStyle="1" w:styleId="1990">
    <w:name w:val="样式52 Char Char Char"/>
    <w:link w:val="1991"/>
    <w:qFormat/>
    <w:locked/>
    <w:uiPriority w:val="0"/>
    <w:rPr>
      <w:rFonts w:ascii="宋体" w:hAnsi="宋体" w:cs="宋体"/>
      <w:b/>
      <w:sz w:val="24"/>
      <w:szCs w:val="24"/>
    </w:rPr>
  </w:style>
  <w:style w:type="paragraph" w:customStyle="1" w:styleId="1991">
    <w:name w:val="样式52"/>
    <w:basedOn w:val="1"/>
    <w:link w:val="1990"/>
    <w:qFormat/>
    <w:uiPriority w:val="0"/>
    <w:pPr>
      <w:keepNext/>
      <w:keepLines/>
      <w:tabs>
        <w:tab w:val="left" w:pos="540"/>
      </w:tabs>
      <w:adjustRightInd w:val="0"/>
      <w:snapToGrid w:val="0"/>
      <w:spacing w:line="360" w:lineRule="auto"/>
      <w:outlineLvl w:val="2"/>
    </w:pPr>
    <w:rPr>
      <w:rFonts w:ascii="宋体" w:hAnsi="宋体" w:eastAsia="宋体" w:cs="宋体"/>
      <w:b/>
      <w:kern w:val="0"/>
      <w:sz w:val="24"/>
      <w:szCs w:val="24"/>
    </w:rPr>
  </w:style>
  <w:style w:type="character" w:customStyle="1" w:styleId="1992">
    <w:name w:val="中文报告书样式 Char Char"/>
    <w:link w:val="1993"/>
    <w:qFormat/>
    <w:locked/>
    <w:uiPriority w:val="0"/>
    <w:rPr>
      <w:rFonts w:ascii="Calibri" w:hAnsi="Calibri"/>
      <w:kern w:val="24"/>
      <w:sz w:val="24"/>
    </w:rPr>
  </w:style>
  <w:style w:type="paragraph" w:customStyle="1" w:styleId="1993">
    <w:name w:val="中文报告书样式"/>
    <w:basedOn w:val="1"/>
    <w:link w:val="1992"/>
    <w:qFormat/>
    <w:uiPriority w:val="0"/>
    <w:pPr>
      <w:adjustRightInd w:val="0"/>
      <w:snapToGrid w:val="0"/>
      <w:spacing w:line="360" w:lineRule="auto"/>
      <w:ind w:firstLine="480" w:firstLineChars="200"/>
    </w:pPr>
    <w:rPr>
      <w:rFonts w:ascii="Calibri" w:hAnsi="Calibri" w:eastAsia="宋体"/>
      <w:kern w:val="24"/>
      <w:sz w:val="24"/>
    </w:rPr>
  </w:style>
  <w:style w:type="character" w:customStyle="1" w:styleId="1994">
    <w:name w:val="ggwenhao"/>
    <w:qFormat/>
    <w:uiPriority w:val="0"/>
    <w:rPr>
      <w:rFonts w:hint="eastAsia" w:ascii="宋体" w:hAnsi="宋体" w:eastAsia="宋体" w:cs="宋体"/>
      <w:kern w:val="2"/>
      <w:sz w:val="28"/>
      <w:szCs w:val="24"/>
      <w:lang w:val="en-US" w:eastAsia="zh-CN" w:bidi="ar"/>
    </w:rPr>
  </w:style>
  <w:style w:type="character" w:customStyle="1" w:styleId="1995">
    <w:name w:val="纯文本 字符"/>
    <w:qFormat/>
    <w:uiPriority w:val="0"/>
    <w:rPr>
      <w:rFonts w:hint="eastAsia" w:ascii="宋体" w:hAnsi="Courier New" w:eastAsia="宋体" w:cs="Courier New"/>
      <w:kern w:val="2"/>
      <w:sz w:val="21"/>
      <w:szCs w:val="21"/>
      <w:lang w:val="en-US" w:eastAsia="zh-CN" w:bidi="ar"/>
    </w:rPr>
  </w:style>
  <w:style w:type="character" w:customStyle="1" w:styleId="1996">
    <w:name w:val="a141"/>
    <w:qFormat/>
    <w:uiPriority w:val="0"/>
    <w:rPr>
      <w:rFonts w:hint="eastAsia" w:ascii="宋体" w:hAnsi="宋体" w:eastAsia="宋体" w:cs="宋体"/>
      <w:kern w:val="2"/>
      <w:sz w:val="21"/>
      <w:szCs w:val="21"/>
      <w:lang w:val="en-US" w:eastAsia="zh-CN" w:bidi="ar"/>
    </w:rPr>
  </w:style>
  <w:style w:type="character" w:customStyle="1" w:styleId="1997">
    <w:name w:val="样式9 Char Char"/>
    <w:qFormat/>
    <w:uiPriority w:val="0"/>
    <w:rPr>
      <w:rFonts w:hint="eastAsia" w:ascii="宋体" w:hAnsi="宋体" w:eastAsia="宋体" w:cs="宋体"/>
      <w:b/>
      <w:color w:val="000000"/>
      <w:kern w:val="2"/>
      <w:sz w:val="24"/>
      <w:szCs w:val="24"/>
      <w:lang w:val="en-US" w:eastAsia="zh-CN" w:bidi="ar"/>
    </w:rPr>
  </w:style>
  <w:style w:type="character" w:customStyle="1" w:styleId="1998">
    <w:name w:val="首行缩进（正文） Char Char"/>
    <w:link w:val="1999"/>
    <w:qFormat/>
    <w:locked/>
    <w:uiPriority w:val="0"/>
    <w:rPr>
      <w:rFonts w:ascii="宋体" w:hAnsi="宋体" w:cs="宋体"/>
      <w:sz w:val="24"/>
      <w:szCs w:val="24"/>
    </w:rPr>
  </w:style>
  <w:style w:type="paragraph" w:customStyle="1" w:styleId="1999">
    <w:name w:val="首行缩进（正文）"/>
    <w:basedOn w:val="1"/>
    <w:link w:val="1998"/>
    <w:qFormat/>
    <w:uiPriority w:val="0"/>
    <w:pPr>
      <w:spacing w:line="300" w:lineRule="auto"/>
      <w:ind w:firstLine="410" w:firstLineChars="171"/>
    </w:pPr>
    <w:rPr>
      <w:rFonts w:ascii="宋体" w:hAnsi="宋体" w:eastAsia="宋体" w:cs="宋体"/>
      <w:kern w:val="0"/>
      <w:sz w:val="24"/>
      <w:szCs w:val="24"/>
    </w:rPr>
  </w:style>
  <w:style w:type="character" w:customStyle="1" w:styleId="2000">
    <w:name w:val="Char Char2101"/>
    <w:qFormat/>
    <w:uiPriority w:val="0"/>
    <w:rPr>
      <w:kern w:val="2"/>
      <w:sz w:val="18"/>
      <w:szCs w:val="18"/>
    </w:rPr>
  </w:style>
  <w:style w:type="character" w:customStyle="1" w:styleId="2001">
    <w:name w:val="9p"/>
    <w:qFormat/>
    <w:uiPriority w:val="0"/>
    <w:rPr>
      <w:rFonts w:hint="eastAsia" w:ascii="宋体" w:hAnsi="宋体" w:eastAsia="宋体" w:cs="宋体"/>
      <w:kern w:val="2"/>
      <w:sz w:val="24"/>
      <w:szCs w:val="20"/>
      <w:lang w:val="en-US" w:eastAsia="zh-CN" w:bidi="ar"/>
    </w:rPr>
  </w:style>
  <w:style w:type="character" w:customStyle="1" w:styleId="2002">
    <w:name w:val="er1"/>
    <w:qFormat/>
    <w:uiPriority w:val="0"/>
    <w:rPr>
      <w:rFonts w:hint="default" w:eastAsia="宋体" w:cs="宋体"/>
      <w:color w:val="000000"/>
      <w:kern w:val="2"/>
      <w:sz w:val="22"/>
      <w:szCs w:val="22"/>
      <w:lang w:val="en-US" w:eastAsia="zh-CN" w:bidi="ar"/>
    </w:rPr>
  </w:style>
  <w:style w:type="character" w:customStyle="1" w:styleId="2003">
    <w:name w:val="neiwen1"/>
    <w:qFormat/>
    <w:uiPriority w:val="0"/>
    <w:rPr>
      <w:rFonts w:hint="eastAsia" w:ascii="宋体" w:hAnsi="宋体" w:eastAsia="宋体" w:cs="宋体"/>
      <w:color w:val="000000"/>
      <w:kern w:val="2"/>
      <w:sz w:val="20"/>
      <w:szCs w:val="20"/>
      <w:lang w:val="en-US" w:eastAsia="zh-CN" w:bidi="ar"/>
    </w:rPr>
  </w:style>
  <w:style w:type="character" w:customStyle="1" w:styleId="2004">
    <w:name w:val="正文 + 黑体 Char1"/>
    <w:qFormat/>
    <w:uiPriority w:val="0"/>
    <w:rPr>
      <w:rFonts w:hint="default" w:ascii="Arial" w:hAnsi="Arial" w:eastAsia="黑体" w:cs="宋体"/>
      <w:kern w:val="2"/>
      <w:sz w:val="36"/>
      <w:szCs w:val="24"/>
      <w:lang w:val="en-US" w:eastAsia="zh-CN" w:bidi="ar-SA"/>
    </w:rPr>
  </w:style>
  <w:style w:type="character" w:customStyle="1" w:styleId="2005">
    <w:name w:val="Char Char68"/>
    <w:qFormat/>
    <w:locked/>
    <w:uiPriority w:val="0"/>
    <w:rPr>
      <w:rFonts w:hint="eastAsia" w:ascii="宋体" w:hAnsi="宋体" w:eastAsia="宋体" w:cs="宋体"/>
      <w:b/>
      <w:bCs/>
      <w:spacing w:val="-2"/>
      <w:kern w:val="2"/>
      <w:sz w:val="32"/>
      <w:szCs w:val="32"/>
      <w:lang w:val="en-US" w:eastAsia="zh-CN" w:bidi="ar-SA"/>
    </w:rPr>
  </w:style>
  <w:style w:type="character" w:customStyle="1" w:styleId="2006">
    <w:name w:val="样式 宋体 四号 加粗"/>
    <w:qFormat/>
    <w:uiPriority w:val="0"/>
    <w:rPr>
      <w:rFonts w:hint="eastAsia" w:ascii="宋体" w:hAnsi="宋体" w:eastAsia="宋体" w:cs="宋体"/>
      <w:bCs/>
      <w:kern w:val="2"/>
      <w:sz w:val="28"/>
      <w:szCs w:val="24"/>
      <w:lang w:val="en-US" w:eastAsia="zh-CN" w:bidi="ar"/>
    </w:rPr>
  </w:style>
  <w:style w:type="character" w:customStyle="1" w:styleId="2007">
    <w:name w:val="样式 沥青表 + 宋体 小四 Char"/>
    <w:qFormat/>
    <w:uiPriority w:val="0"/>
    <w:rPr>
      <w:rFonts w:hint="eastAsia" w:ascii="宋体" w:hAnsi="宋体" w:eastAsia="宋体" w:cs="宋体"/>
      <w:spacing w:val="10"/>
      <w:kern w:val="2"/>
      <w:sz w:val="24"/>
      <w:szCs w:val="24"/>
      <w:lang w:val="en-US" w:eastAsia="zh-CN" w:bidi="ar"/>
    </w:rPr>
  </w:style>
  <w:style w:type="character" w:customStyle="1" w:styleId="2008">
    <w:name w:val="标题 9 Char Char"/>
    <w:qFormat/>
    <w:uiPriority w:val="0"/>
    <w:rPr>
      <w:rFonts w:hint="default" w:ascii="Cambria" w:hAnsi="Cambria" w:eastAsia="宋体" w:cs="Times New Roman"/>
      <w:kern w:val="2"/>
      <w:sz w:val="21"/>
      <w:szCs w:val="21"/>
      <w:lang w:val="en-US" w:eastAsia="zh-CN" w:bidi="ar"/>
    </w:rPr>
  </w:style>
  <w:style w:type="character" w:customStyle="1" w:styleId="2009">
    <w:name w:val="样式 标题 2标题 2 Char + 自动设置 首行缩进:  1.13 厘米 Char Char Char"/>
    <w:qFormat/>
    <w:uiPriority w:val="0"/>
    <w:rPr>
      <w:rFonts w:hint="default" w:ascii="t" w:hAnsi="t" w:eastAsia="黑体" w:cs="宋体"/>
      <w:bCs/>
      <w:kern w:val="2"/>
      <w:sz w:val="28"/>
      <w:szCs w:val="21"/>
      <w:lang w:val="en-US" w:eastAsia="zh-CN" w:bidi="ar-SA"/>
    </w:rPr>
  </w:style>
  <w:style w:type="character" w:customStyle="1" w:styleId="2010">
    <w:name w:val="样式4 Char Char"/>
    <w:qFormat/>
    <w:uiPriority w:val="0"/>
    <w:rPr>
      <w:rFonts w:hint="eastAsia" w:ascii="宋体" w:hAnsi="宋体" w:eastAsia="黑体" w:cs="宋体"/>
      <w:b/>
      <w:kern w:val="2"/>
      <w:sz w:val="24"/>
      <w:szCs w:val="24"/>
      <w:lang w:val="en-US" w:eastAsia="zh-CN" w:bidi="ar"/>
    </w:rPr>
  </w:style>
  <w:style w:type="character" w:customStyle="1" w:styleId="2011">
    <w:name w:val="Char Char81"/>
    <w:qFormat/>
    <w:uiPriority w:val="0"/>
    <w:rPr>
      <w:rFonts w:hint="default" w:ascii="Arial" w:hAnsi="Arial" w:eastAsia="宋体" w:cs="Arial"/>
      <w:b/>
      <w:bCs/>
      <w:color w:val="000000"/>
      <w:kern w:val="28"/>
      <w:sz w:val="32"/>
      <w:szCs w:val="32"/>
      <w:lang w:val="en-US" w:eastAsia="zh-CN" w:bidi="ar-SA"/>
    </w:rPr>
  </w:style>
  <w:style w:type="character" w:customStyle="1" w:styleId="2012">
    <w:name w:val="文 Char Char"/>
    <w:qFormat/>
    <w:uiPriority w:val="0"/>
    <w:rPr>
      <w:rFonts w:ascii="宋体" w:hAnsi="宋体" w:eastAsia="Arial" w:cs="宋体"/>
      <w:kern w:val="2"/>
      <w:sz w:val="24"/>
      <w:szCs w:val="24"/>
      <w:lang w:val="en-US" w:eastAsia="zh-CN" w:bidi="ar-SA"/>
    </w:rPr>
  </w:style>
  <w:style w:type="character" w:customStyle="1" w:styleId="2013">
    <w:name w:val="font241"/>
    <w:qFormat/>
    <w:uiPriority w:val="0"/>
    <w:rPr>
      <w:rFonts w:hint="eastAsia" w:ascii="宋体" w:hAnsi="宋体" w:eastAsia="宋体" w:cs="宋体"/>
      <w:spacing w:val="360"/>
      <w:kern w:val="2"/>
      <w:sz w:val="21"/>
      <w:szCs w:val="21"/>
      <w:lang w:val="en-US" w:eastAsia="zh-CN" w:bidi="ar"/>
    </w:rPr>
  </w:style>
  <w:style w:type="character" w:customStyle="1" w:styleId="2014">
    <w:name w:val="正文4号 Char Char"/>
    <w:qFormat/>
    <w:uiPriority w:val="0"/>
    <w:rPr>
      <w:rFonts w:hint="default" w:ascii="Times New Roman" w:hAnsi="Times New Roman" w:eastAsia="宋体" w:cs="Times New Roman"/>
      <w:kern w:val="0"/>
      <w:sz w:val="28"/>
      <w:szCs w:val="21"/>
      <w:lang w:val="en-US" w:eastAsia="zh-CN" w:bidi="ar-SA"/>
    </w:rPr>
  </w:style>
  <w:style w:type="character" w:customStyle="1" w:styleId="2015">
    <w:name w:val="表头1 Char Char Char"/>
    <w:qFormat/>
    <w:uiPriority w:val="0"/>
    <w:rPr>
      <w:rFonts w:hint="eastAsia" w:ascii="宋体" w:hAnsi="宋体" w:eastAsia="黑体" w:cs="宋体"/>
      <w:kern w:val="2"/>
      <w:sz w:val="21"/>
      <w:szCs w:val="28"/>
      <w:lang w:val="en-US" w:eastAsia="zh-CN" w:bidi="ar-SA"/>
    </w:rPr>
  </w:style>
  <w:style w:type="character" w:customStyle="1" w:styleId="2016">
    <w:name w:val="Char Char121"/>
    <w:qFormat/>
    <w:uiPriority w:val="0"/>
    <w:rPr>
      <w:rFonts w:hint="eastAsia" w:ascii="宋体" w:hAnsi="宋体" w:eastAsia="宋体" w:cs="宋体"/>
      <w:kern w:val="2"/>
      <w:sz w:val="18"/>
      <w:szCs w:val="24"/>
      <w:lang w:val="en-US" w:eastAsia="zh-CN" w:bidi="ar-SA"/>
    </w:rPr>
  </w:style>
  <w:style w:type="character" w:customStyle="1" w:styleId="2017">
    <w:name w:val="插图标题 Char Char"/>
    <w:qFormat/>
    <w:uiPriority w:val="0"/>
    <w:rPr>
      <w:rFonts w:hint="eastAsia" w:ascii="宋体" w:hAnsi="宋体" w:eastAsia="黑体" w:cs="宋体"/>
      <w:b/>
      <w:snapToGrid/>
      <w:kern w:val="2"/>
      <w:sz w:val="24"/>
      <w:szCs w:val="24"/>
      <w:lang w:val="en-US" w:eastAsia="zh-CN" w:bidi="ar-SA"/>
    </w:rPr>
  </w:style>
  <w:style w:type="character" w:customStyle="1" w:styleId="2018">
    <w:name w:val="8.7正文格式 Char Char Char"/>
    <w:qFormat/>
    <w:uiPriority w:val="0"/>
    <w:rPr>
      <w:rFonts w:hint="eastAsia" w:ascii="宋体" w:hAnsi="宋体" w:eastAsia="宋体" w:cs="宋体"/>
      <w:kern w:val="2"/>
      <w:sz w:val="28"/>
      <w:szCs w:val="24"/>
      <w:lang w:val="en-US" w:eastAsia="zh-CN" w:bidi="ar-SA"/>
    </w:rPr>
  </w:style>
  <w:style w:type="character" w:customStyle="1" w:styleId="2019">
    <w:name w:val="图表注 Char1"/>
    <w:qFormat/>
    <w:locked/>
    <w:uiPriority w:val="0"/>
    <w:rPr>
      <w:rFonts w:hint="eastAsia" w:ascii="宋体" w:hAnsi="宋体" w:eastAsia="宋体" w:cs="Arial"/>
      <w:b/>
      <w:bCs/>
      <w:sz w:val="24"/>
      <w:lang w:val="en-US" w:eastAsia="zh-CN" w:bidi="ar-SA"/>
    </w:rPr>
  </w:style>
  <w:style w:type="character" w:customStyle="1" w:styleId="2020">
    <w:name w:val="链接"/>
    <w:qFormat/>
    <w:uiPriority w:val="0"/>
    <w:rPr>
      <w:rFonts w:hint="default" w:ascii="Times New Roman" w:hAnsi="宋体" w:eastAsia="宋体" w:cs="宋体"/>
      <w:color w:val="0000FF"/>
      <w:kern w:val="2"/>
      <w:sz w:val="21"/>
      <w:szCs w:val="24"/>
      <w:u w:val="single" w:color="0000FF"/>
      <w:vertAlign w:val="baseline"/>
      <w:lang w:val="en-US" w:eastAsia="zh-CN" w:bidi="ar"/>
    </w:rPr>
  </w:style>
  <w:style w:type="character" w:customStyle="1" w:styleId="2021">
    <w:name w:val="bt1"/>
    <w:qFormat/>
    <w:uiPriority w:val="0"/>
    <w:rPr>
      <w:rFonts w:hint="eastAsia" w:ascii="宋体" w:hAnsi="宋体" w:eastAsia="宋体" w:cs="宋体"/>
      <w:color w:val="000000"/>
      <w:kern w:val="2"/>
      <w:sz w:val="28"/>
      <w:szCs w:val="24"/>
      <w:lang w:val="en-US" w:eastAsia="zh-CN" w:bidi="ar"/>
    </w:rPr>
  </w:style>
  <w:style w:type="character" w:customStyle="1" w:styleId="2022">
    <w:name w:val="可研-节标题 Char Char Char Char"/>
    <w:qFormat/>
    <w:uiPriority w:val="0"/>
    <w:rPr>
      <w:rFonts w:hint="eastAsia" w:ascii="黑体" w:hAnsi="宋体" w:eastAsia="黑体" w:cs="宋体"/>
      <w:b/>
      <w:bCs/>
      <w:kern w:val="2"/>
      <w:sz w:val="28"/>
      <w:szCs w:val="28"/>
      <w:lang w:val="en-US" w:eastAsia="zh-CN" w:bidi="ar-SA"/>
    </w:rPr>
  </w:style>
  <w:style w:type="character" w:customStyle="1" w:styleId="2023">
    <w:name w:val="blog_tit_detail"/>
    <w:qFormat/>
    <w:uiPriority w:val="0"/>
    <w:rPr>
      <w:rFonts w:hint="eastAsia" w:ascii="宋体" w:hAnsi="宋体" w:eastAsia="宋体" w:cs="宋体"/>
      <w:kern w:val="2"/>
      <w:sz w:val="28"/>
      <w:szCs w:val="24"/>
      <w:lang w:val="en-US" w:eastAsia="zh-CN" w:bidi="ar"/>
    </w:rPr>
  </w:style>
  <w:style w:type="character" w:customStyle="1" w:styleId="2024">
    <w:name w:val="H7 Char4"/>
    <w:qFormat/>
    <w:uiPriority w:val="0"/>
    <w:rPr>
      <w:rFonts w:hint="eastAsia" w:ascii="宋体" w:hAnsi="宋体" w:eastAsia="宋体" w:cs="宋体"/>
      <w:b/>
      <w:bCs/>
      <w:kern w:val="2"/>
      <w:sz w:val="24"/>
      <w:szCs w:val="24"/>
      <w:lang w:val="en-US" w:eastAsia="zh-CN" w:bidi="ar-SA"/>
    </w:rPr>
  </w:style>
  <w:style w:type="character" w:customStyle="1" w:styleId="2025">
    <w:name w:val="样式 小四 首行缩进:  0.85 厘米 行距: 1.5 倍行距 Char Char"/>
    <w:qFormat/>
    <w:uiPriority w:val="0"/>
    <w:rPr>
      <w:rFonts w:hint="eastAsia" w:ascii="黑体" w:hAnsi="黑体" w:eastAsia="宋体" w:cs="宋体"/>
      <w:bCs/>
      <w:kern w:val="2"/>
      <w:sz w:val="24"/>
      <w:szCs w:val="24"/>
      <w:lang w:val="en-US" w:eastAsia="zh-CN" w:bidi="ar-SA"/>
    </w:rPr>
  </w:style>
  <w:style w:type="character" w:customStyle="1" w:styleId="2026">
    <w:name w:val="Char Char91"/>
    <w:qFormat/>
    <w:uiPriority w:val="0"/>
    <w:rPr>
      <w:rFonts w:hint="eastAsia" w:ascii="宋体" w:hAnsi="宋体" w:eastAsia="宋体" w:cs="宋体"/>
      <w:kern w:val="2"/>
      <w:sz w:val="18"/>
      <w:szCs w:val="18"/>
      <w:lang w:val="en-US" w:eastAsia="zh-CN" w:bidi="ar-SA"/>
    </w:rPr>
  </w:style>
  <w:style w:type="character" w:customStyle="1" w:styleId="2027">
    <w:name w:val="样式46 Char Char Char"/>
    <w:qFormat/>
    <w:uiPriority w:val="0"/>
    <w:rPr>
      <w:rFonts w:hint="eastAsia" w:ascii="宋体" w:hAnsi="宋体" w:eastAsia="宋体" w:cs="宋体"/>
      <w:kern w:val="2"/>
      <w:sz w:val="24"/>
      <w:szCs w:val="24"/>
      <w:lang w:val="en-US" w:eastAsia="zh-CN" w:bidi="ar-SA"/>
    </w:rPr>
  </w:style>
  <w:style w:type="character" w:customStyle="1" w:styleId="2028">
    <w:name w:val="p12grey"/>
    <w:qFormat/>
    <w:uiPriority w:val="0"/>
    <w:rPr>
      <w:rFonts w:hint="eastAsia" w:ascii="宋体" w:hAnsi="宋体" w:eastAsia="宋体" w:cs="宋体"/>
      <w:kern w:val="2"/>
      <w:sz w:val="28"/>
      <w:szCs w:val="24"/>
      <w:lang w:val="en-US" w:eastAsia="zh-CN" w:bidi="ar"/>
    </w:rPr>
  </w:style>
  <w:style w:type="character" w:customStyle="1" w:styleId="2029">
    <w:name w:val="表格YHY Char Char"/>
    <w:qFormat/>
    <w:uiPriority w:val="0"/>
    <w:rPr>
      <w:rFonts w:hint="eastAsia" w:ascii="宋体" w:hAnsi="宋体" w:eastAsia="宋体" w:cs="宋体"/>
      <w:bCs/>
      <w:kern w:val="2"/>
      <w:sz w:val="21"/>
      <w:szCs w:val="21"/>
      <w:lang w:val="en-US" w:eastAsia="zh-CN" w:bidi="ar"/>
    </w:rPr>
  </w:style>
  <w:style w:type="character" w:customStyle="1" w:styleId="2030">
    <w:name w:val="log11"/>
    <w:qFormat/>
    <w:uiPriority w:val="0"/>
    <w:rPr>
      <w:rFonts w:hint="eastAsia" w:ascii="宋体" w:hAnsi="宋体" w:eastAsia="宋体" w:cs="宋体"/>
      <w:kern w:val="2"/>
      <w:sz w:val="18"/>
      <w:szCs w:val="18"/>
      <w:u w:val="none"/>
      <w:lang w:val="en-US" w:eastAsia="zh-CN" w:bidi="ar"/>
    </w:rPr>
  </w:style>
  <w:style w:type="character" w:customStyle="1" w:styleId="2031">
    <w:name w:val="列表(L) Char Char"/>
    <w:qFormat/>
    <w:locked/>
    <w:uiPriority w:val="0"/>
    <w:rPr>
      <w:rFonts w:ascii="宋体" w:hAnsi="宋体" w:eastAsia="宋体" w:cs="宋体"/>
      <w:szCs w:val="24"/>
    </w:rPr>
  </w:style>
  <w:style w:type="character" w:customStyle="1" w:styleId="2032">
    <w:name w:val="标题 1环评 Char Char"/>
    <w:qFormat/>
    <w:uiPriority w:val="0"/>
    <w:rPr>
      <w:rFonts w:hint="eastAsia" w:ascii="宋体" w:hAnsi="宋体" w:eastAsia="仿宋_GB2312" w:cs="宋体"/>
      <w:b/>
      <w:bCs/>
      <w:kern w:val="44"/>
      <w:sz w:val="30"/>
      <w:szCs w:val="30"/>
      <w:lang w:val="en-US" w:eastAsia="zh-CN" w:bidi="ar-SA"/>
    </w:rPr>
  </w:style>
  <w:style w:type="character" w:customStyle="1" w:styleId="2033">
    <w:name w:val="图表正文 Char Char"/>
    <w:qFormat/>
    <w:uiPriority w:val="0"/>
    <w:rPr>
      <w:rFonts w:hint="eastAsia" w:ascii="宋体" w:hAnsi="宋体" w:eastAsia="宋体" w:cs="宋体"/>
      <w:kern w:val="2"/>
      <w:sz w:val="21"/>
      <w:szCs w:val="24"/>
      <w:lang w:val="en-US" w:eastAsia="zh-CN" w:bidi="ar"/>
    </w:rPr>
  </w:style>
  <w:style w:type="character" w:customStyle="1" w:styleId="2034">
    <w:name w:val="cnd"/>
    <w:qFormat/>
    <w:uiPriority w:val="0"/>
    <w:rPr>
      <w:rFonts w:hint="eastAsia" w:ascii="宋体" w:hAnsi="宋体" w:eastAsia="宋体" w:cs="宋体"/>
      <w:kern w:val="2"/>
      <w:sz w:val="24"/>
      <w:szCs w:val="20"/>
      <w:lang w:val="en-US" w:eastAsia="zh-CN" w:bidi="ar"/>
    </w:rPr>
  </w:style>
  <w:style w:type="character" w:customStyle="1" w:styleId="2035">
    <w:name w:val="样式54 Char Char"/>
    <w:link w:val="2036"/>
    <w:qFormat/>
    <w:locked/>
    <w:uiPriority w:val="0"/>
    <w:rPr>
      <w:rFonts w:ascii="宋体" w:hAnsi="宋体" w:cs="宋体"/>
      <w:b/>
      <w:sz w:val="24"/>
      <w:szCs w:val="24"/>
    </w:rPr>
  </w:style>
  <w:style w:type="paragraph" w:customStyle="1" w:styleId="2036">
    <w:name w:val="样式54"/>
    <w:basedOn w:val="1"/>
    <w:link w:val="2035"/>
    <w:qFormat/>
    <w:uiPriority w:val="0"/>
    <w:pPr>
      <w:keepNext/>
      <w:keepLines/>
      <w:spacing w:beforeLines="50" w:line="360" w:lineRule="auto"/>
      <w:outlineLvl w:val="2"/>
    </w:pPr>
    <w:rPr>
      <w:rFonts w:ascii="宋体" w:hAnsi="宋体" w:eastAsia="宋体" w:cs="宋体"/>
      <w:b/>
      <w:kern w:val="0"/>
      <w:sz w:val="24"/>
      <w:szCs w:val="24"/>
    </w:rPr>
  </w:style>
  <w:style w:type="character" w:customStyle="1" w:styleId="2037">
    <w:name w:val="占位符文本1"/>
    <w:qFormat/>
    <w:uiPriority w:val="0"/>
    <w:rPr>
      <w:rFonts w:hint="eastAsia" w:ascii="宋体" w:hAnsi="宋体" w:eastAsia="宋体" w:cs="宋体"/>
      <w:color w:val="808080"/>
      <w:kern w:val="2"/>
      <w:sz w:val="28"/>
      <w:szCs w:val="24"/>
      <w:lang w:val="en-US" w:eastAsia="zh-CN" w:bidi="ar"/>
    </w:rPr>
  </w:style>
  <w:style w:type="character" w:customStyle="1" w:styleId="2038">
    <w:name w:val="HTML 预设格式 Char1"/>
    <w:qFormat/>
    <w:uiPriority w:val="0"/>
    <w:rPr>
      <w:rFonts w:hint="default" w:ascii="Arial" w:hAnsi="Arial" w:eastAsia="宋体" w:cs="Arial"/>
      <w:kern w:val="0"/>
      <w:sz w:val="28"/>
      <w:szCs w:val="21"/>
      <w:lang w:val="en-US" w:eastAsia="zh-CN" w:bidi="ar-SA"/>
    </w:rPr>
  </w:style>
  <w:style w:type="character" w:customStyle="1" w:styleId="2039">
    <w:name w:val="标题 4 字符1"/>
    <w:qFormat/>
    <w:uiPriority w:val="0"/>
    <w:rPr>
      <w:rFonts w:hint="default" w:ascii="Arial" w:hAnsi="Arial" w:eastAsia="黑体" w:cs="Arial"/>
      <w:b/>
      <w:bCs/>
      <w:spacing w:val="-2"/>
      <w:sz w:val="28"/>
      <w:szCs w:val="28"/>
      <w:lang w:val="en-US" w:eastAsia="zh-CN" w:bidi="ar-SA"/>
    </w:rPr>
  </w:style>
  <w:style w:type="character" w:customStyle="1" w:styleId="2040">
    <w:name w:val="正文首行缩进 Char2"/>
    <w:qFormat/>
    <w:uiPriority w:val="0"/>
    <w:rPr>
      <w:rFonts w:hint="eastAsia" w:ascii="宋体" w:hAnsi="宋体" w:eastAsia="宋体" w:cs="宋体"/>
      <w:kern w:val="2"/>
      <w:sz w:val="28"/>
      <w:szCs w:val="24"/>
      <w:lang w:val="en-US" w:eastAsia="zh-CN" w:bidi="ar"/>
    </w:rPr>
  </w:style>
  <w:style w:type="character" w:customStyle="1" w:styleId="2041">
    <w:name w:val="注释标题 Char Char"/>
    <w:qFormat/>
    <w:uiPriority w:val="0"/>
    <w:rPr>
      <w:rFonts w:hint="eastAsia" w:ascii="宋体" w:hAnsi="宋体" w:eastAsia="宋体" w:cs="宋体"/>
      <w:kern w:val="2"/>
      <w:sz w:val="21"/>
      <w:szCs w:val="24"/>
      <w:lang w:val="en-US" w:eastAsia="zh-CN" w:bidi="ar"/>
    </w:rPr>
  </w:style>
  <w:style w:type="character" w:customStyle="1" w:styleId="2042">
    <w:name w:val="style131"/>
    <w:qFormat/>
    <w:uiPriority w:val="0"/>
    <w:rPr>
      <w:rFonts w:hint="eastAsia" w:ascii="宋体" w:hAnsi="宋体" w:eastAsia="宋体" w:cs="宋体"/>
      <w:kern w:val="2"/>
      <w:sz w:val="18"/>
      <w:szCs w:val="18"/>
      <w:lang w:val="en-US" w:eastAsia="zh-CN" w:bidi="ar"/>
    </w:rPr>
  </w:style>
  <w:style w:type="character" w:customStyle="1" w:styleId="2043">
    <w:name w:val="标题 9 字符1"/>
    <w:qFormat/>
    <w:uiPriority w:val="0"/>
    <w:rPr>
      <w:rFonts w:hint="eastAsia" w:ascii="宋体" w:hAnsi="宋体" w:eastAsia="宋体"/>
      <w:b/>
      <w:i/>
      <w:spacing w:val="-2"/>
      <w:kern w:val="28"/>
      <w:sz w:val="18"/>
      <w:lang w:val="en-US" w:eastAsia="zh-CN" w:bidi="ar-SA"/>
    </w:rPr>
  </w:style>
  <w:style w:type="character" w:customStyle="1" w:styleId="2044">
    <w:name w:val="正文首行缩进 2 Char4"/>
    <w:qFormat/>
    <w:uiPriority w:val="0"/>
    <w:rPr>
      <w:rFonts w:hint="eastAsia" w:ascii="宋体" w:hAnsi="宋体" w:eastAsia="宋体" w:cs="宋体"/>
      <w:kern w:val="2"/>
      <w:sz w:val="28"/>
      <w:szCs w:val="24"/>
      <w:lang w:val="en-US" w:eastAsia="zh-CN" w:bidi="ar"/>
    </w:rPr>
  </w:style>
  <w:style w:type="character" w:customStyle="1" w:styleId="2045">
    <w:name w:val="正文首行缩进 Char3"/>
    <w:qFormat/>
    <w:uiPriority w:val="0"/>
    <w:rPr>
      <w:rFonts w:hint="default" w:ascii="Times New Roman" w:hAnsi="Times New Roman" w:eastAsia="宋体" w:cs="Times New Roman"/>
      <w:kern w:val="0"/>
      <w:sz w:val="28"/>
      <w:szCs w:val="21"/>
      <w:lang w:val="en-US" w:eastAsia="zh-CN" w:bidi="ar-SA"/>
    </w:rPr>
  </w:style>
  <w:style w:type="character" w:customStyle="1" w:styleId="2046">
    <w:name w:val="标题 14 Char2"/>
    <w:qFormat/>
    <w:uiPriority w:val="0"/>
    <w:rPr>
      <w:rFonts w:hint="eastAsia" w:ascii="宋体" w:hAnsi="宋体" w:eastAsia="宋体" w:cs="宋体"/>
      <w:kern w:val="20"/>
      <w:sz w:val="28"/>
      <w:szCs w:val="24"/>
      <w:lang w:val="en-US" w:eastAsia="zh-CN" w:bidi="ar-SA"/>
    </w:rPr>
  </w:style>
  <w:style w:type="character" w:customStyle="1" w:styleId="2047">
    <w:name w:val="样式75 Char Char Char"/>
    <w:qFormat/>
    <w:uiPriority w:val="0"/>
    <w:rPr>
      <w:rFonts w:hint="eastAsia" w:ascii="宋体" w:hAnsi="宋体" w:eastAsia="宋体" w:cs="宋体"/>
      <w:kern w:val="2"/>
      <w:sz w:val="24"/>
      <w:szCs w:val="24"/>
      <w:lang w:val="en-US" w:eastAsia="zh-CN" w:bidi="ar-SA"/>
    </w:rPr>
  </w:style>
  <w:style w:type="character" w:customStyle="1" w:styleId="2048">
    <w:name w:val="段落样式 Char Char"/>
    <w:link w:val="1137"/>
    <w:qFormat/>
    <w:locked/>
    <w:uiPriority w:val="0"/>
    <w:rPr>
      <w:w w:val="90"/>
      <w:sz w:val="24"/>
      <w:szCs w:val="28"/>
    </w:rPr>
  </w:style>
  <w:style w:type="character" w:customStyle="1" w:styleId="2049">
    <w:name w:val="正文小4黑体 Char Char"/>
    <w:qFormat/>
    <w:locked/>
    <w:uiPriority w:val="0"/>
    <w:rPr>
      <w:rFonts w:ascii="Calibri" w:hAnsi="Calibri" w:eastAsia="宋体" w:cs="黑体"/>
    </w:rPr>
  </w:style>
  <w:style w:type="character" w:customStyle="1" w:styleId="2050">
    <w:name w:val="报告正文-连续目录 Char Char"/>
    <w:link w:val="2051"/>
    <w:qFormat/>
    <w:locked/>
    <w:uiPriority w:val="0"/>
    <w:rPr>
      <w:rFonts w:ascii="Arial" w:hAnsi="Arial" w:cs="宋体"/>
      <w:snapToGrid/>
      <w:sz w:val="24"/>
      <w:szCs w:val="24"/>
    </w:rPr>
  </w:style>
  <w:style w:type="paragraph" w:customStyle="1" w:styleId="2051">
    <w:name w:val="报告正文-连续目录"/>
    <w:basedOn w:val="1"/>
    <w:link w:val="2050"/>
    <w:qFormat/>
    <w:uiPriority w:val="0"/>
    <w:pPr>
      <w:snapToGrid w:val="0"/>
      <w:spacing w:line="440" w:lineRule="exact"/>
      <w:ind w:firstLine="200" w:firstLineChars="200"/>
    </w:pPr>
    <w:rPr>
      <w:rFonts w:ascii="Arial" w:hAnsi="Arial" w:eastAsia="宋体" w:cs="宋体"/>
      <w:kern w:val="0"/>
      <w:sz w:val="24"/>
      <w:szCs w:val="24"/>
    </w:rPr>
  </w:style>
  <w:style w:type="character" w:customStyle="1" w:styleId="2052">
    <w:name w:val="2级标题 + 黑体 Char"/>
    <w:qFormat/>
    <w:locked/>
    <w:uiPriority w:val="0"/>
    <w:rPr>
      <w:rFonts w:hint="eastAsia" w:ascii="黑体" w:hAnsi="黑体" w:eastAsia="黑体"/>
      <w:b/>
      <w:kern w:val="20"/>
      <w:sz w:val="28"/>
      <w:szCs w:val="28"/>
      <w:lang w:val="en-US" w:eastAsia="zh-CN" w:bidi="ar-SA"/>
    </w:rPr>
  </w:style>
  <w:style w:type="character" w:customStyle="1" w:styleId="2053">
    <w:name w:val="页脚 Char Char"/>
    <w:qFormat/>
    <w:uiPriority w:val="0"/>
    <w:rPr>
      <w:rFonts w:hint="eastAsia" w:ascii="宋体" w:hAnsi="宋体" w:eastAsia="宋体" w:cs="宋体"/>
      <w:kern w:val="2"/>
      <w:sz w:val="18"/>
      <w:szCs w:val="18"/>
      <w:lang w:val="en-US" w:eastAsia="zh-CN" w:bidi="ar-SA"/>
    </w:rPr>
  </w:style>
  <w:style w:type="character" w:customStyle="1" w:styleId="2054">
    <w:name w:val="Char Char46"/>
    <w:qFormat/>
    <w:uiPriority w:val="0"/>
    <w:rPr>
      <w:rFonts w:hint="eastAsia" w:ascii="宋体" w:hAnsi="宋体" w:eastAsia="宋体" w:cs="宋体"/>
      <w:kern w:val="2"/>
      <w:sz w:val="28"/>
      <w:szCs w:val="24"/>
      <w:shd w:val="clear" w:color="auto" w:fill="000080"/>
      <w:lang w:val="en-US" w:eastAsia="zh-CN" w:bidi="ar"/>
    </w:rPr>
  </w:style>
  <w:style w:type="character" w:customStyle="1" w:styleId="2055">
    <w:name w:val="lxco"/>
    <w:qFormat/>
    <w:uiPriority w:val="0"/>
    <w:rPr>
      <w:rFonts w:hint="eastAsia" w:ascii="宋体" w:hAnsi="宋体" w:eastAsia="宋体" w:cs="宋体"/>
      <w:kern w:val="2"/>
      <w:sz w:val="28"/>
      <w:szCs w:val="24"/>
      <w:lang w:val="en-US" w:eastAsia="zh-CN" w:bidi="ar"/>
    </w:rPr>
  </w:style>
  <w:style w:type="character" w:customStyle="1" w:styleId="2056">
    <w:name w:val="z-窗体顶端 Char2"/>
    <w:qFormat/>
    <w:uiPriority w:val="0"/>
    <w:rPr>
      <w:rFonts w:hint="default" w:ascii="Arial" w:hAnsi="Arial" w:eastAsia="宋体" w:cs="Arial"/>
      <w:vanish/>
      <w:kern w:val="2"/>
      <w:sz w:val="16"/>
      <w:szCs w:val="16"/>
      <w:lang w:val="en-US" w:eastAsia="zh-CN" w:bidi="ar-SA"/>
    </w:rPr>
  </w:style>
  <w:style w:type="character" w:customStyle="1" w:styleId="2057">
    <w:name w:val="Char Char101"/>
    <w:qFormat/>
    <w:uiPriority w:val="0"/>
    <w:rPr>
      <w:rFonts w:hint="eastAsia" w:ascii="宋体" w:hAnsi="宋体" w:eastAsia="宋体" w:cs="宋体"/>
      <w:kern w:val="2"/>
      <w:sz w:val="18"/>
      <w:szCs w:val="18"/>
      <w:lang w:val="en-US" w:eastAsia="zh-CN" w:bidi="ar-SA"/>
    </w:rPr>
  </w:style>
  <w:style w:type="character" w:customStyle="1" w:styleId="2058">
    <w:name w:val="14fz1"/>
    <w:qFormat/>
    <w:uiPriority w:val="0"/>
    <w:rPr>
      <w:rFonts w:hint="eastAsia" w:ascii="宋体" w:hAnsi="宋体" w:eastAsia="宋体" w:cs="宋体"/>
      <w:color w:val="000000"/>
      <w:kern w:val="2"/>
      <w:sz w:val="32"/>
      <w:szCs w:val="32"/>
      <w:lang w:val="en-US" w:eastAsia="zh-CN" w:bidi="ar"/>
    </w:rPr>
  </w:style>
  <w:style w:type="character" w:customStyle="1" w:styleId="2059">
    <w:name w:val="报告正文小四 Char Char Char"/>
    <w:qFormat/>
    <w:uiPriority w:val="0"/>
    <w:rPr>
      <w:rFonts w:hint="eastAsia" w:ascii="宋体" w:hAnsi="宋体" w:eastAsia="宋体" w:cs="宋体"/>
      <w:kern w:val="2"/>
      <w:sz w:val="24"/>
      <w:szCs w:val="24"/>
      <w:lang w:val="en-US" w:eastAsia="zh-CN" w:bidi="ar-SA"/>
    </w:rPr>
  </w:style>
  <w:style w:type="character" w:customStyle="1" w:styleId="2060">
    <w:name w:val="粤东核电报告正文 Char Char Char Char"/>
    <w:qFormat/>
    <w:uiPriority w:val="0"/>
    <w:rPr>
      <w:rFonts w:hint="eastAsia" w:ascii="宋体" w:hAnsi="宋体" w:eastAsia="宋体" w:cs="宋体"/>
      <w:b/>
      <w:kern w:val="2"/>
      <w:sz w:val="24"/>
      <w:szCs w:val="24"/>
      <w:lang w:val="en-US" w:eastAsia="zh-CN" w:bidi="ar-SA"/>
    </w:rPr>
  </w:style>
  <w:style w:type="character" w:customStyle="1" w:styleId="2061">
    <w:name w:val="占位符文本2"/>
    <w:qFormat/>
    <w:uiPriority w:val="0"/>
    <w:rPr>
      <w:rFonts w:hint="eastAsia" w:ascii="宋体" w:hAnsi="宋体" w:eastAsia="宋体" w:cs="宋体"/>
      <w:color w:val="808080"/>
      <w:kern w:val="2"/>
      <w:sz w:val="28"/>
      <w:szCs w:val="24"/>
      <w:lang w:val="en-US" w:eastAsia="zh-CN" w:bidi="ar"/>
    </w:rPr>
  </w:style>
  <w:style w:type="character" w:customStyle="1" w:styleId="2062">
    <w:name w:val="图名 Char Char Char"/>
    <w:qFormat/>
    <w:locked/>
    <w:uiPriority w:val="0"/>
    <w:rPr>
      <w:rFonts w:ascii="Calibri" w:hAnsi="Calibri" w:eastAsia="宋体"/>
      <w:b/>
    </w:rPr>
  </w:style>
  <w:style w:type="character" w:customStyle="1" w:styleId="2063">
    <w:name w:val="表格式 Char Char"/>
    <w:qFormat/>
    <w:uiPriority w:val="0"/>
    <w:rPr>
      <w:rFonts w:hint="eastAsia" w:ascii="宋体" w:hAnsi="宋体" w:eastAsia="宋体" w:cs="宋体"/>
      <w:kern w:val="2"/>
      <w:sz w:val="21"/>
      <w:szCs w:val="24"/>
      <w:lang w:val="en-US" w:eastAsia="zh-CN" w:bidi="ar-SA"/>
    </w:rPr>
  </w:style>
  <w:style w:type="character" w:customStyle="1" w:styleId="2064">
    <w:name w:val="Char3 Char Char1"/>
    <w:qFormat/>
    <w:uiPriority w:val="0"/>
    <w:rPr>
      <w:rFonts w:ascii="宋体" w:hAnsi="宋体" w:eastAsia="宋体" w:cs="宋体"/>
      <w:kern w:val="2"/>
      <w:sz w:val="21"/>
      <w:szCs w:val="24"/>
      <w:lang w:val="en-US" w:eastAsia="zh-CN" w:bidi="ar-SA"/>
    </w:rPr>
  </w:style>
  <w:style w:type="character" w:customStyle="1" w:styleId="2065">
    <w:name w:val="正文文本 2 字符1"/>
    <w:qFormat/>
    <w:uiPriority w:val="0"/>
    <w:rPr>
      <w:rFonts w:hint="eastAsia" w:ascii="宋体" w:hAnsi="宋体" w:eastAsia="宋体"/>
      <w:kern w:val="2"/>
      <w:sz w:val="21"/>
      <w:szCs w:val="24"/>
      <w:lang w:val="en-US" w:eastAsia="zh-CN" w:bidi="ar-SA"/>
    </w:rPr>
  </w:style>
  <w:style w:type="character" w:customStyle="1" w:styleId="2066">
    <w:name w:val="自定义正文 Char Char Char Char Char Char Char Char Char Char Char Char Char Char Char"/>
    <w:link w:val="2067"/>
    <w:qFormat/>
    <w:locked/>
    <w:uiPriority w:val="0"/>
    <w:rPr>
      <w:rFonts w:ascii="宋体" w:hAnsi="宋体" w:cs="宋体"/>
      <w:position w:val="-28"/>
      <w:sz w:val="28"/>
      <w:szCs w:val="24"/>
    </w:rPr>
  </w:style>
  <w:style w:type="paragraph" w:customStyle="1" w:styleId="2067">
    <w:name w:val="自定义正文 Char Char Char Char Char Char Char Char Char Char Char Char Char"/>
    <w:link w:val="2066"/>
    <w:qFormat/>
    <w:uiPriority w:val="0"/>
    <w:pPr>
      <w:widowControl w:val="0"/>
      <w:topLinePunct/>
      <w:adjustRightInd w:val="0"/>
      <w:snapToGrid w:val="0"/>
      <w:spacing w:line="360" w:lineRule="auto"/>
      <w:ind w:firstLine="510"/>
      <w:jc w:val="both"/>
    </w:pPr>
    <w:rPr>
      <w:rFonts w:ascii="宋体" w:hAnsi="宋体" w:eastAsia="宋体" w:cs="宋体"/>
      <w:position w:val="-28"/>
      <w:sz w:val="28"/>
      <w:szCs w:val="24"/>
      <w:lang w:val="en-US" w:eastAsia="zh-CN" w:bidi="ar-SA"/>
    </w:rPr>
  </w:style>
  <w:style w:type="character" w:customStyle="1" w:styleId="2068">
    <w:name w:val="正文文本缩进 3 Char5"/>
    <w:qFormat/>
    <w:uiPriority w:val="0"/>
    <w:rPr>
      <w:rFonts w:hint="eastAsia" w:ascii="宋体" w:hAnsi="宋体" w:eastAsia="宋体" w:cs="宋体"/>
      <w:kern w:val="2"/>
      <w:sz w:val="16"/>
      <w:szCs w:val="16"/>
      <w:lang w:val="en-US" w:eastAsia="zh-CN" w:bidi="ar"/>
    </w:rPr>
  </w:style>
  <w:style w:type="character" w:customStyle="1" w:styleId="2069">
    <w:name w:val="hx1"/>
    <w:qFormat/>
    <w:uiPriority w:val="0"/>
    <w:rPr>
      <w:rFonts w:hint="eastAsia" w:ascii="宋体" w:hAnsi="宋体" w:eastAsia="宋体" w:cs="宋体"/>
      <w:kern w:val="2"/>
      <w:sz w:val="28"/>
      <w:szCs w:val="24"/>
      <w:lang w:val="en-US" w:eastAsia="zh-CN" w:bidi="ar"/>
    </w:rPr>
  </w:style>
  <w:style w:type="character" w:customStyle="1" w:styleId="2070">
    <w:name w:val="1.3行 Char Char"/>
    <w:link w:val="2071"/>
    <w:qFormat/>
    <w:locked/>
    <w:uiPriority w:val="0"/>
    <w:rPr>
      <w:rFonts w:ascii="宋体" w:hAnsi="宋体" w:cs="宋体"/>
      <w:color w:val="000000"/>
      <w:sz w:val="28"/>
      <w:szCs w:val="24"/>
    </w:rPr>
  </w:style>
  <w:style w:type="paragraph" w:customStyle="1" w:styleId="2071">
    <w:name w:val="1.3行"/>
    <w:basedOn w:val="1"/>
    <w:link w:val="2070"/>
    <w:qFormat/>
    <w:uiPriority w:val="0"/>
    <w:pPr>
      <w:adjustRightInd w:val="0"/>
      <w:snapToGrid w:val="0"/>
      <w:spacing w:line="312" w:lineRule="auto"/>
      <w:ind w:firstLine="200" w:firstLineChars="200"/>
    </w:pPr>
    <w:rPr>
      <w:rFonts w:ascii="宋体" w:hAnsi="宋体" w:eastAsia="宋体" w:cs="宋体"/>
      <w:color w:val="000000"/>
      <w:kern w:val="0"/>
      <w:szCs w:val="24"/>
    </w:rPr>
  </w:style>
  <w:style w:type="character" w:customStyle="1" w:styleId="2072">
    <w:name w:val="报告表标题 Char Char"/>
    <w:link w:val="2073"/>
    <w:qFormat/>
    <w:locked/>
    <w:uiPriority w:val="0"/>
    <w:rPr>
      <w:rFonts w:ascii="宋体" w:hAnsi="宋体" w:cs="宋体"/>
      <w:sz w:val="24"/>
      <w:szCs w:val="24"/>
    </w:rPr>
  </w:style>
  <w:style w:type="paragraph" w:customStyle="1" w:styleId="2073">
    <w:name w:val="报告表标题"/>
    <w:basedOn w:val="1"/>
    <w:link w:val="2072"/>
    <w:qFormat/>
    <w:uiPriority w:val="0"/>
    <w:pPr>
      <w:widowControl/>
      <w:tabs>
        <w:tab w:val="left" w:pos="632"/>
        <w:tab w:val="left" w:pos="1080"/>
      </w:tabs>
      <w:ind w:left="425" w:hanging="425"/>
      <w:jc w:val="left"/>
    </w:pPr>
    <w:rPr>
      <w:rFonts w:ascii="宋体" w:hAnsi="宋体" w:eastAsia="宋体" w:cs="宋体"/>
      <w:kern w:val="0"/>
      <w:sz w:val="24"/>
      <w:szCs w:val="24"/>
    </w:rPr>
  </w:style>
  <w:style w:type="character" w:customStyle="1" w:styleId="2074">
    <w:name w:val="H9 Char Char"/>
    <w:qFormat/>
    <w:uiPriority w:val="0"/>
    <w:rPr>
      <w:rFonts w:hint="default" w:ascii="Cambria" w:hAnsi="Cambria" w:eastAsia="宋体" w:cs="宋体"/>
      <w:kern w:val="2"/>
      <w:sz w:val="21"/>
      <w:szCs w:val="24"/>
      <w:lang w:val="en-US" w:eastAsia="zh-CN" w:bidi="ar-SA"/>
    </w:rPr>
  </w:style>
  <w:style w:type="character" w:customStyle="1" w:styleId="2075">
    <w:name w:val="表格名称 Char Char"/>
    <w:qFormat/>
    <w:uiPriority w:val="0"/>
    <w:rPr>
      <w:rFonts w:hint="default" w:ascii="Times New Roman" w:hAnsi="Times New Roman" w:eastAsia="宋体" w:cs="Times New Roman"/>
      <w:bCs/>
      <w:kern w:val="2"/>
      <w:sz w:val="24"/>
      <w:szCs w:val="20"/>
      <w:lang w:val="en-US" w:eastAsia="zh-CN" w:bidi="ar-SA"/>
    </w:rPr>
  </w:style>
  <w:style w:type="character" w:customStyle="1" w:styleId="2076">
    <w:name w:val="style1 style2"/>
    <w:qFormat/>
    <w:uiPriority w:val="0"/>
    <w:rPr>
      <w:rFonts w:hint="eastAsia" w:ascii="宋体" w:hAnsi="宋体" w:eastAsia="宋体" w:cs="宋体"/>
      <w:kern w:val="2"/>
      <w:sz w:val="28"/>
      <w:szCs w:val="24"/>
      <w:lang w:val="en-US" w:eastAsia="zh-CN" w:bidi="ar"/>
    </w:rPr>
  </w:style>
  <w:style w:type="character" w:customStyle="1" w:styleId="2077">
    <w:name w:val="沥青正文 Char"/>
    <w:qFormat/>
    <w:uiPriority w:val="0"/>
    <w:rPr>
      <w:rFonts w:hint="eastAsia" w:ascii="宋体" w:hAnsi="宋体" w:eastAsia="宋体" w:cs="宋体"/>
      <w:kern w:val="2"/>
      <w:sz w:val="24"/>
      <w:szCs w:val="24"/>
      <w:lang w:val="en-US" w:eastAsia="zh-CN" w:bidi="ar"/>
    </w:rPr>
  </w:style>
  <w:style w:type="character" w:customStyle="1" w:styleId="2078">
    <w:name w:val="图标标题 Char Char Char"/>
    <w:qFormat/>
    <w:uiPriority w:val="0"/>
    <w:rPr>
      <w:rFonts w:hint="eastAsia" w:ascii="宋体" w:hAnsi="宋体" w:eastAsia="黑体" w:cs="宋体"/>
      <w:kern w:val="2"/>
      <w:sz w:val="24"/>
      <w:szCs w:val="24"/>
      <w:lang w:val="en-US" w:eastAsia="zh-CN" w:bidi="ar-SA"/>
    </w:rPr>
  </w:style>
  <w:style w:type="character" w:customStyle="1" w:styleId="2079">
    <w:name w:val="3zw"/>
    <w:qFormat/>
    <w:uiPriority w:val="0"/>
    <w:rPr>
      <w:rFonts w:hint="eastAsia" w:ascii="宋体" w:hAnsi="宋体" w:eastAsia="宋体" w:cs="宋体"/>
      <w:kern w:val="2"/>
      <w:sz w:val="24"/>
      <w:szCs w:val="20"/>
      <w:lang w:val="en-US" w:eastAsia="zh-CN" w:bidi="ar"/>
    </w:rPr>
  </w:style>
  <w:style w:type="character" w:customStyle="1" w:styleId="2080">
    <w:name w:val="样式 标题 1标题 1 Char标题1章节H1h11headingHeader 1st Pageh1 chap..."/>
    <w:qFormat/>
    <w:uiPriority w:val="0"/>
    <w:rPr>
      <w:rFonts w:hint="default" w:ascii="Times New Roman" w:hAnsi="宋体" w:eastAsia="仿宋_GB2312" w:cs="宋体"/>
      <w:kern w:val="2"/>
      <w:sz w:val="28"/>
      <w:szCs w:val="24"/>
      <w:lang w:val="en-US" w:eastAsia="zh-CN" w:bidi="ar"/>
    </w:rPr>
  </w:style>
  <w:style w:type="character" w:customStyle="1" w:styleId="2081">
    <w:name w:val="7表格(治) Char Char Char"/>
    <w:qFormat/>
    <w:uiPriority w:val="0"/>
    <w:rPr>
      <w:rFonts w:hint="eastAsia" w:ascii="宋体" w:hAnsi="宋体" w:eastAsia="宋体"/>
      <w:color w:val="000000"/>
      <w:sz w:val="24"/>
      <w:szCs w:val="24"/>
      <w:lang w:bidi="ar-SA"/>
    </w:rPr>
  </w:style>
  <w:style w:type="character" w:customStyle="1" w:styleId="2082">
    <w:name w:val="Char Char61"/>
    <w:qFormat/>
    <w:uiPriority w:val="0"/>
    <w:rPr>
      <w:rFonts w:hint="eastAsia" w:ascii="宋体" w:hAnsi="宋体" w:eastAsia="宋体" w:cs="宋体"/>
      <w:snapToGrid w:val="0"/>
      <w:kern w:val="2"/>
      <w:sz w:val="24"/>
      <w:szCs w:val="26"/>
      <w:lang w:val="en-US" w:eastAsia="zh-CN" w:bidi="ar"/>
    </w:rPr>
  </w:style>
  <w:style w:type="character" w:customStyle="1" w:styleId="2083">
    <w:name w:val="页眉 Char1"/>
    <w:qFormat/>
    <w:uiPriority w:val="0"/>
    <w:rPr>
      <w:rFonts w:hint="eastAsia" w:ascii="宋体" w:hAnsi="宋体" w:eastAsia="宋体" w:cs="宋体"/>
      <w:kern w:val="2"/>
      <w:sz w:val="18"/>
      <w:szCs w:val="18"/>
      <w:lang w:val="en-US" w:eastAsia="zh-CN" w:bidi="ar"/>
    </w:rPr>
  </w:style>
  <w:style w:type="character" w:customStyle="1" w:styleId="2084">
    <w:name w:val="样式22 Char Char Char"/>
    <w:link w:val="2085"/>
    <w:qFormat/>
    <w:locked/>
    <w:uiPriority w:val="0"/>
    <w:rPr>
      <w:rFonts w:ascii="宋体" w:hAnsi="宋体" w:cs="宋体"/>
      <w:color w:val="000000"/>
      <w:szCs w:val="21"/>
    </w:rPr>
  </w:style>
  <w:style w:type="paragraph" w:customStyle="1" w:styleId="2085">
    <w:name w:val="样式22"/>
    <w:basedOn w:val="1"/>
    <w:link w:val="2084"/>
    <w:qFormat/>
    <w:uiPriority w:val="0"/>
    <w:pPr>
      <w:spacing w:line="300" w:lineRule="exact"/>
      <w:jc w:val="center"/>
    </w:pPr>
    <w:rPr>
      <w:rFonts w:ascii="宋体" w:hAnsi="宋体" w:eastAsia="宋体" w:cs="宋体"/>
      <w:color w:val="000000"/>
      <w:kern w:val="0"/>
      <w:sz w:val="20"/>
      <w:szCs w:val="21"/>
    </w:rPr>
  </w:style>
  <w:style w:type="character" w:customStyle="1" w:styleId="2086">
    <w:name w:val="style8"/>
    <w:qFormat/>
    <w:uiPriority w:val="0"/>
    <w:rPr>
      <w:rFonts w:hint="eastAsia" w:ascii="宋体" w:hAnsi="宋体" w:eastAsia="宋体" w:cs="宋体"/>
      <w:kern w:val="2"/>
      <w:sz w:val="28"/>
      <w:szCs w:val="24"/>
      <w:lang w:val="en-US" w:eastAsia="zh-CN" w:bidi="ar"/>
    </w:rPr>
  </w:style>
  <w:style w:type="character" w:customStyle="1" w:styleId="2087">
    <w:name w:val="a11"/>
    <w:qFormat/>
    <w:uiPriority w:val="0"/>
    <w:rPr>
      <w:rFonts w:hint="eastAsia" w:ascii="宋体" w:hAnsi="宋体" w:eastAsia="宋体" w:cs="宋体"/>
      <w:spacing w:val="330"/>
      <w:kern w:val="2"/>
      <w:sz w:val="20"/>
      <w:szCs w:val="20"/>
      <w:lang w:val="en-US" w:eastAsia="zh-CN" w:bidi="ar"/>
    </w:rPr>
  </w:style>
  <w:style w:type="character" w:customStyle="1" w:styleId="2088">
    <w:name w:val="样式 三江正文 + 左侧:  2 字符 Char Char Char"/>
    <w:qFormat/>
    <w:uiPriority w:val="0"/>
    <w:rPr>
      <w:rFonts w:hint="eastAsia" w:ascii="宋体" w:hAnsi="宋体" w:eastAsia="宋体" w:cs="宋体"/>
      <w:kern w:val="2"/>
      <w:sz w:val="24"/>
      <w:szCs w:val="24"/>
      <w:lang w:val="en-US" w:eastAsia="zh-CN" w:bidi="ar-SA"/>
    </w:rPr>
  </w:style>
  <w:style w:type="character" w:customStyle="1" w:styleId="2089">
    <w:name w:val="info"/>
    <w:qFormat/>
    <w:uiPriority w:val="0"/>
    <w:rPr>
      <w:rFonts w:hint="eastAsia" w:ascii="宋体" w:hAnsi="宋体" w:eastAsia="宋体" w:cs="宋体"/>
      <w:kern w:val="2"/>
      <w:sz w:val="28"/>
      <w:szCs w:val="24"/>
      <w:lang w:val="en-US" w:eastAsia="zh-CN" w:bidi="ar"/>
    </w:rPr>
  </w:style>
  <w:style w:type="character" w:customStyle="1" w:styleId="2090">
    <w:name w:val="实德题注 Char1"/>
    <w:qFormat/>
    <w:uiPriority w:val="0"/>
    <w:rPr>
      <w:rFonts w:hint="eastAsia" w:ascii="宋体" w:hAnsi="宋体" w:eastAsia="宋体" w:cs="宋体"/>
      <w:b/>
      <w:color w:val="000000"/>
      <w:kern w:val="2"/>
      <w:sz w:val="24"/>
      <w:szCs w:val="24"/>
      <w:lang w:val="en-US" w:eastAsia="zh-CN" w:bidi="ar-SA"/>
    </w:rPr>
  </w:style>
  <w:style w:type="character" w:customStyle="1" w:styleId="2091">
    <w:name w:val="样式 标题 3 + 小四 Char Char Char"/>
    <w:qFormat/>
    <w:uiPriority w:val="0"/>
    <w:rPr>
      <w:rFonts w:hint="eastAsia" w:ascii="宋体" w:hAnsi="宋体" w:eastAsia="宋体" w:cs="宋体"/>
      <w:b/>
      <w:bCs/>
      <w:kern w:val="2"/>
      <w:sz w:val="24"/>
      <w:szCs w:val="24"/>
      <w:lang w:val="en-US" w:eastAsia="zh-CN" w:bidi="ar-SA"/>
    </w:rPr>
  </w:style>
  <w:style w:type="character" w:customStyle="1" w:styleId="2092">
    <w:name w:val="headline-content3"/>
    <w:qFormat/>
    <w:uiPriority w:val="0"/>
    <w:rPr>
      <w:rFonts w:hint="eastAsia" w:ascii="宋体" w:hAnsi="宋体" w:eastAsia="宋体" w:cs="宋体"/>
      <w:kern w:val="2"/>
      <w:sz w:val="28"/>
      <w:szCs w:val="24"/>
      <w:lang w:val="en-US" w:eastAsia="zh-CN" w:bidi="ar"/>
    </w:rPr>
  </w:style>
  <w:style w:type="character" w:customStyle="1" w:styleId="2093">
    <w:name w:val="全部文体 Char Char Char"/>
    <w:qFormat/>
    <w:uiPriority w:val="0"/>
    <w:rPr>
      <w:rFonts w:hint="eastAsia" w:ascii="宋体" w:hAnsi="宋体" w:eastAsia="宋体" w:cs="宋体"/>
      <w:color w:val="000000"/>
      <w:kern w:val="2"/>
      <w:sz w:val="24"/>
      <w:szCs w:val="24"/>
      <w:lang w:val="en-US" w:eastAsia="zh-CN" w:bidi="ar-SA"/>
    </w:rPr>
  </w:style>
  <w:style w:type="character" w:customStyle="1" w:styleId="2094">
    <w:name w:val="content_11"/>
    <w:qFormat/>
    <w:uiPriority w:val="0"/>
    <w:rPr>
      <w:rFonts w:hint="eastAsia" w:ascii="宋体" w:hAnsi="宋体" w:eastAsia="宋体" w:cs="宋体"/>
      <w:color w:val="333333"/>
      <w:kern w:val="2"/>
      <w:sz w:val="18"/>
      <w:szCs w:val="18"/>
      <w:lang w:val="en-US" w:eastAsia="zh-CN" w:bidi="ar"/>
    </w:rPr>
  </w:style>
  <w:style w:type="character" w:customStyle="1" w:styleId="2095">
    <w:name w:val="样式 11.5 磅2"/>
    <w:qFormat/>
    <w:uiPriority w:val="0"/>
    <w:rPr>
      <w:rFonts w:hint="eastAsia" w:ascii="宋体" w:hAnsi="宋体" w:eastAsia="宋体" w:cs="宋体"/>
      <w:kern w:val="2"/>
      <w:sz w:val="24"/>
      <w:szCs w:val="24"/>
      <w:lang w:val="en-US" w:eastAsia="zh-CN" w:bidi="ar"/>
    </w:rPr>
  </w:style>
  <w:style w:type="character" w:customStyle="1" w:styleId="2096">
    <w:name w:val="自正文1 Char Char1"/>
    <w:qFormat/>
    <w:uiPriority w:val="0"/>
    <w:rPr>
      <w:rFonts w:hint="eastAsia" w:ascii="宋体" w:hAnsi="宋体" w:eastAsia="宋体" w:cs="宋体"/>
      <w:kern w:val="24"/>
      <w:sz w:val="24"/>
      <w:szCs w:val="24"/>
      <w:lang w:val="en-US" w:eastAsia="zh-CN" w:bidi="ar"/>
    </w:rPr>
  </w:style>
  <w:style w:type="character" w:customStyle="1" w:styleId="2097">
    <w:name w:val="4正文 Char Char Char"/>
    <w:qFormat/>
    <w:uiPriority w:val="0"/>
    <w:rPr>
      <w:rFonts w:hint="eastAsia" w:ascii="宋体" w:hAnsi="宋体" w:eastAsia="宋体"/>
      <w:kern w:val="2"/>
      <w:sz w:val="28"/>
      <w:lang w:val="zh-CN" w:bidi="ar-SA"/>
    </w:rPr>
  </w:style>
  <w:style w:type="character" w:customStyle="1" w:styleId="2098">
    <w:name w:val="上标 Char Char"/>
    <w:link w:val="2099"/>
    <w:qFormat/>
    <w:locked/>
    <w:uiPriority w:val="0"/>
    <w:rPr>
      <w:rFonts w:ascii="宋体" w:hAnsi="宋体" w:cs="宋体"/>
      <w:sz w:val="24"/>
      <w:szCs w:val="24"/>
      <w:vertAlign w:val="superscript"/>
    </w:rPr>
  </w:style>
  <w:style w:type="paragraph" w:customStyle="1" w:styleId="2099">
    <w:name w:val="上标"/>
    <w:next w:val="1"/>
    <w:link w:val="2098"/>
    <w:qFormat/>
    <w:uiPriority w:val="0"/>
    <w:pPr>
      <w:ind w:firstLine="480"/>
    </w:pPr>
    <w:rPr>
      <w:rFonts w:ascii="宋体" w:hAnsi="宋体" w:eastAsia="宋体" w:cs="宋体"/>
      <w:sz w:val="24"/>
      <w:szCs w:val="24"/>
      <w:vertAlign w:val="superscript"/>
      <w:lang w:val="en-US" w:eastAsia="zh-CN" w:bidi="ar-SA"/>
    </w:rPr>
  </w:style>
  <w:style w:type="character" w:customStyle="1" w:styleId="2100">
    <w:name w:val="报告书 Char Char"/>
    <w:link w:val="2101"/>
    <w:qFormat/>
    <w:locked/>
    <w:uiPriority w:val="0"/>
    <w:rPr>
      <w:rFonts w:ascii="Times" w:hAnsi="Times" w:eastAsia="黑体" w:cs="宋体"/>
      <w:spacing w:val="16"/>
      <w:sz w:val="72"/>
      <w:szCs w:val="24"/>
    </w:rPr>
  </w:style>
  <w:style w:type="paragraph" w:customStyle="1" w:styleId="2101">
    <w:name w:val="报告书"/>
    <w:basedOn w:val="1"/>
    <w:link w:val="2100"/>
    <w:qFormat/>
    <w:uiPriority w:val="0"/>
    <w:pPr>
      <w:adjustRightInd w:val="0"/>
      <w:snapToGrid w:val="0"/>
      <w:spacing w:beforeLines="50" w:line="312" w:lineRule="auto"/>
      <w:jc w:val="center"/>
    </w:pPr>
    <w:rPr>
      <w:rFonts w:ascii="Times" w:hAnsi="Times" w:eastAsia="黑体" w:cs="宋体"/>
      <w:spacing w:val="16"/>
      <w:kern w:val="0"/>
      <w:sz w:val="72"/>
      <w:szCs w:val="24"/>
    </w:rPr>
  </w:style>
  <w:style w:type="character" w:customStyle="1" w:styleId="2102">
    <w:name w:val="样式 样式 方正宋三简体 14 磅 行距: 1.5 倍行距1 + 首行缩进:  2 字符 Char Char"/>
    <w:link w:val="2103"/>
    <w:qFormat/>
    <w:locked/>
    <w:uiPriority w:val="0"/>
    <w:rPr>
      <w:rFonts w:ascii="宋体" w:hAnsi="方正宋三简体" w:cs="宋体"/>
      <w:sz w:val="27"/>
      <w:szCs w:val="27"/>
    </w:rPr>
  </w:style>
  <w:style w:type="paragraph" w:customStyle="1" w:styleId="2103">
    <w:name w:val="样式 样式 方正宋三简体 14 磅 行距: 1.5 倍行距1 + 首行缩进:  2 字符"/>
    <w:basedOn w:val="1"/>
    <w:link w:val="2102"/>
    <w:qFormat/>
    <w:uiPriority w:val="0"/>
    <w:pPr>
      <w:ind w:firstLine="200" w:firstLineChars="200"/>
    </w:pPr>
    <w:rPr>
      <w:rFonts w:ascii="宋体" w:hAnsi="方正宋三简体" w:eastAsia="宋体" w:cs="宋体"/>
      <w:kern w:val="0"/>
      <w:sz w:val="27"/>
      <w:szCs w:val="27"/>
    </w:rPr>
  </w:style>
  <w:style w:type="character" w:customStyle="1" w:styleId="2104">
    <w:name w:val="H6 Char2"/>
    <w:qFormat/>
    <w:uiPriority w:val="0"/>
    <w:rPr>
      <w:rFonts w:hint="default" w:ascii="Arial" w:hAnsi="Arial" w:eastAsia="黑体" w:cs="宋体"/>
      <w:b/>
      <w:bCs/>
      <w:kern w:val="2"/>
      <w:sz w:val="24"/>
      <w:szCs w:val="24"/>
      <w:lang w:val="en-US" w:eastAsia="zh-CN" w:bidi="ar"/>
    </w:rPr>
  </w:style>
  <w:style w:type="character" w:customStyle="1" w:styleId="2105">
    <w:name w:val="标题 1 Char Char Char Char Char Char Char Char"/>
    <w:qFormat/>
    <w:uiPriority w:val="0"/>
    <w:rPr>
      <w:rFonts w:hint="eastAsia" w:ascii="宋体" w:hAnsi="宋体" w:eastAsia="宋体" w:cs="宋体"/>
      <w:kern w:val="2"/>
      <w:sz w:val="24"/>
      <w:szCs w:val="24"/>
      <w:lang w:val="en-US" w:eastAsia="zh-CN" w:bidi="ar"/>
    </w:rPr>
  </w:style>
  <w:style w:type="character" w:customStyle="1" w:styleId="2106">
    <w:name w:val="正文文字 2 Char Char1"/>
    <w:qFormat/>
    <w:uiPriority w:val="0"/>
    <w:rPr>
      <w:rFonts w:hint="default" w:ascii="Times New Roman" w:hAnsi="Times New Roman" w:eastAsia="宋体" w:cs="Times New Roman"/>
      <w:kern w:val="2"/>
      <w:sz w:val="28"/>
      <w:szCs w:val="20"/>
      <w:lang w:val="en-US" w:eastAsia="zh-CN" w:bidi="ar"/>
    </w:rPr>
  </w:style>
  <w:style w:type="character" w:customStyle="1" w:styleId="2107">
    <w:name w:val="5-正文 Char Char"/>
    <w:link w:val="2108"/>
    <w:qFormat/>
    <w:locked/>
    <w:uiPriority w:val="0"/>
    <w:rPr>
      <w:rFonts w:ascii="宋体" w:hAnsi="宋体" w:cs="宋体"/>
      <w:sz w:val="24"/>
      <w:szCs w:val="24"/>
    </w:rPr>
  </w:style>
  <w:style w:type="paragraph" w:customStyle="1" w:styleId="2108">
    <w:name w:val="5-正文"/>
    <w:basedOn w:val="1"/>
    <w:link w:val="2107"/>
    <w:qFormat/>
    <w:uiPriority w:val="0"/>
    <w:pPr>
      <w:snapToGrid w:val="0"/>
      <w:spacing w:line="360" w:lineRule="auto"/>
      <w:ind w:firstLine="480" w:firstLineChars="200"/>
    </w:pPr>
    <w:rPr>
      <w:rFonts w:ascii="宋体" w:hAnsi="宋体" w:eastAsia="宋体" w:cs="宋体"/>
      <w:kern w:val="0"/>
      <w:sz w:val="24"/>
      <w:szCs w:val="24"/>
    </w:rPr>
  </w:style>
  <w:style w:type="character" w:customStyle="1" w:styleId="2109">
    <w:name w:val="zhengwen1"/>
    <w:qFormat/>
    <w:uiPriority w:val="0"/>
    <w:rPr>
      <w:rFonts w:hint="default" w:ascii="ˎ̥" w:hAnsi="ˎ̥" w:eastAsia="宋体" w:cs="宋体"/>
      <w:color w:val="000000"/>
      <w:kern w:val="2"/>
      <w:sz w:val="18"/>
      <w:szCs w:val="18"/>
      <w:lang w:val="en-US" w:eastAsia="zh-CN" w:bidi="ar"/>
    </w:rPr>
  </w:style>
  <w:style w:type="character" w:customStyle="1" w:styleId="2110">
    <w:name w:val="白银正文 Char"/>
    <w:qFormat/>
    <w:locked/>
    <w:uiPriority w:val="0"/>
    <w:rPr>
      <w:rFonts w:hint="default" w:ascii="Calibri" w:hAnsi="Calibri" w:eastAsia="宋体" w:cs="宋体"/>
      <w:kern w:val="2"/>
      <w:sz w:val="24"/>
      <w:szCs w:val="22"/>
      <w:lang w:val="en-US" w:eastAsia="zh-CN" w:bidi="ar-SA"/>
    </w:rPr>
  </w:style>
  <w:style w:type="character" w:customStyle="1" w:styleId="2111">
    <w:name w:val="样式 小四 蓝色 首行缩进:  0.85 厘米 行距: 多倍行距 1.4 字行 Char Char"/>
    <w:link w:val="2112"/>
    <w:qFormat/>
    <w:locked/>
    <w:uiPriority w:val="0"/>
    <w:rPr>
      <w:rFonts w:ascii="宋体" w:hAnsi="宋体" w:cs="宋体"/>
      <w:color w:val="0000FF"/>
      <w:sz w:val="24"/>
      <w:szCs w:val="24"/>
    </w:rPr>
  </w:style>
  <w:style w:type="paragraph" w:customStyle="1" w:styleId="2112">
    <w:name w:val="样式 小四 蓝色 首行缩进:  0.85 厘米 行距: 多倍行距 1.4 字行"/>
    <w:basedOn w:val="1"/>
    <w:link w:val="2111"/>
    <w:qFormat/>
    <w:uiPriority w:val="0"/>
    <w:pPr>
      <w:spacing w:line="336" w:lineRule="auto"/>
      <w:ind w:firstLine="482"/>
    </w:pPr>
    <w:rPr>
      <w:rFonts w:ascii="宋体" w:hAnsi="宋体" w:eastAsia="宋体" w:cs="宋体"/>
      <w:color w:val="0000FF"/>
      <w:kern w:val="0"/>
      <w:sz w:val="24"/>
      <w:szCs w:val="24"/>
    </w:rPr>
  </w:style>
  <w:style w:type="character" w:customStyle="1" w:styleId="2113">
    <w:name w:val="可研-正文 Char Char"/>
    <w:link w:val="2114"/>
    <w:qFormat/>
    <w:locked/>
    <w:uiPriority w:val="0"/>
    <w:rPr>
      <w:rFonts w:ascii="宋体" w:hAnsi="宋体" w:cs="宋体"/>
      <w:sz w:val="28"/>
      <w:szCs w:val="24"/>
    </w:rPr>
  </w:style>
  <w:style w:type="paragraph" w:customStyle="1" w:styleId="2114">
    <w:name w:val="可研-正文"/>
    <w:basedOn w:val="1"/>
    <w:link w:val="2113"/>
    <w:qFormat/>
    <w:uiPriority w:val="0"/>
    <w:pPr>
      <w:ind w:firstLine="200" w:firstLineChars="200"/>
    </w:pPr>
    <w:rPr>
      <w:rFonts w:ascii="宋体" w:hAnsi="宋体" w:eastAsia="宋体" w:cs="宋体"/>
      <w:kern w:val="0"/>
      <w:szCs w:val="24"/>
    </w:rPr>
  </w:style>
  <w:style w:type="character" w:customStyle="1" w:styleId="2115">
    <w:name w:val="00 Char Char"/>
    <w:link w:val="2116"/>
    <w:qFormat/>
    <w:locked/>
    <w:uiPriority w:val="0"/>
    <w:rPr>
      <w:rFonts w:ascii="黑体" w:hAnsi="宋体" w:eastAsia="黑体" w:cs="宋体"/>
      <w:b/>
      <w:bCs/>
      <w:kern w:val="44"/>
      <w:sz w:val="30"/>
      <w:szCs w:val="24"/>
    </w:rPr>
  </w:style>
  <w:style w:type="paragraph" w:customStyle="1" w:styleId="2116">
    <w:name w:val="00"/>
    <w:basedOn w:val="3"/>
    <w:link w:val="2115"/>
    <w:qFormat/>
    <w:uiPriority w:val="0"/>
    <w:pPr>
      <w:pageBreakBefore w:val="0"/>
      <w:tabs>
        <w:tab w:val="clear" w:pos="1080"/>
      </w:tabs>
      <w:spacing w:before="0" w:after="340" w:line="360" w:lineRule="auto"/>
      <w:ind w:left="0" w:firstLine="0"/>
    </w:pPr>
    <w:rPr>
      <w:rFonts w:ascii="黑体" w:hAnsi="宋体" w:eastAsia="黑体" w:cs="宋体"/>
      <w:bCs/>
      <w:sz w:val="30"/>
      <w:szCs w:val="24"/>
    </w:rPr>
  </w:style>
  <w:style w:type="character" w:customStyle="1" w:styleId="2117">
    <w:name w:val="段落1 Char1"/>
    <w:link w:val="2118"/>
    <w:qFormat/>
    <w:locked/>
    <w:uiPriority w:val="0"/>
    <w:rPr>
      <w:rFonts w:ascii="宋体" w:hAnsi="宋体" w:cs="宋体"/>
      <w:bCs/>
      <w:spacing w:val="6"/>
      <w:sz w:val="24"/>
      <w:szCs w:val="24"/>
    </w:rPr>
  </w:style>
  <w:style w:type="paragraph" w:customStyle="1" w:styleId="2118">
    <w:name w:val="段落1"/>
    <w:basedOn w:val="1"/>
    <w:link w:val="2117"/>
    <w:qFormat/>
    <w:uiPriority w:val="0"/>
    <w:pPr>
      <w:adjustRightInd w:val="0"/>
      <w:spacing w:before="120" w:after="120" w:line="360" w:lineRule="auto"/>
      <w:ind w:firstLine="504" w:firstLineChars="200"/>
      <w:jc w:val="left"/>
    </w:pPr>
    <w:rPr>
      <w:rFonts w:ascii="宋体" w:hAnsi="宋体" w:eastAsia="宋体" w:cs="宋体"/>
      <w:bCs/>
      <w:spacing w:val="6"/>
      <w:kern w:val="0"/>
      <w:sz w:val="24"/>
      <w:szCs w:val="24"/>
    </w:rPr>
  </w:style>
  <w:style w:type="character" w:customStyle="1" w:styleId="2119">
    <w:name w:val="样式 样式 首行缩进:  1.01 厘米 + 首行缩进:  2 字符 Char Char"/>
    <w:qFormat/>
    <w:locked/>
    <w:uiPriority w:val="0"/>
    <w:rPr>
      <w:rFonts w:ascii="Calibri" w:hAnsi="Calibri" w:eastAsia="宋体" w:cs="黑体"/>
      <w:kern w:val="2"/>
      <w:sz w:val="21"/>
      <w:szCs w:val="22"/>
      <w:lang w:val="en-US" w:eastAsia="zh-CN" w:bidi="ar-SA"/>
    </w:rPr>
  </w:style>
  <w:style w:type="character" w:customStyle="1" w:styleId="2120">
    <w:name w:val="Char Char141"/>
    <w:qFormat/>
    <w:locked/>
    <w:uiPriority w:val="0"/>
    <w:rPr>
      <w:rFonts w:ascii="Calibri" w:hAnsi="Calibri" w:eastAsia="宋体" w:cs="黑体"/>
      <w:kern w:val="2"/>
      <w:sz w:val="21"/>
      <w:szCs w:val="22"/>
      <w:lang w:val="en-US" w:eastAsia="zh-CN" w:bidi="ar-SA"/>
    </w:rPr>
  </w:style>
  <w:style w:type="character" w:customStyle="1" w:styleId="2121">
    <w:name w:val="明显引用 Char"/>
    <w:link w:val="2122"/>
    <w:qFormat/>
    <w:locked/>
    <w:uiPriority w:val="0"/>
    <w:rPr>
      <w:rFonts w:ascii="宋体" w:hAnsi="宋体"/>
      <w:b/>
      <w:i/>
    </w:rPr>
  </w:style>
  <w:style w:type="paragraph" w:styleId="2122">
    <w:name w:val="Intense Quote"/>
    <w:basedOn w:val="1"/>
    <w:next w:val="1"/>
    <w:link w:val="2121"/>
    <w:qFormat/>
    <w:uiPriority w:val="0"/>
    <w:pPr>
      <w:ind w:left="720" w:right="720"/>
    </w:pPr>
    <w:rPr>
      <w:rFonts w:ascii="宋体" w:hAnsi="宋体" w:eastAsia="宋体"/>
      <w:b/>
      <w:i/>
      <w:kern w:val="0"/>
      <w:sz w:val="20"/>
    </w:rPr>
  </w:style>
  <w:style w:type="character" w:customStyle="1" w:styleId="2123">
    <w:name w:val="503定义表格内标题 Char Char"/>
    <w:link w:val="2124"/>
    <w:qFormat/>
    <w:locked/>
    <w:uiPriority w:val="0"/>
    <w:rPr>
      <w:rFonts w:ascii="宋体" w:hAnsi="宋体" w:cs="宋体"/>
      <w:b/>
      <w:bCs/>
      <w:color w:val="000000"/>
      <w:szCs w:val="21"/>
    </w:rPr>
  </w:style>
  <w:style w:type="paragraph" w:customStyle="1" w:styleId="2124">
    <w:name w:val="503定义表格内标题"/>
    <w:basedOn w:val="1"/>
    <w:link w:val="2123"/>
    <w:qFormat/>
    <w:uiPriority w:val="0"/>
    <w:pPr>
      <w:adjustRightInd w:val="0"/>
      <w:snapToGrid w:val="0"/>
      <w:jc w:val="center"/>
    </w:pPr>
    <w:rPr>
      <w:rFonts w:ascii="宋体" w:hAnsi="宋体" w:eastAsia="宋体" w:cs="宋体"/>
      <w:b/>
      <w:bCs/>
      <w:color w:val="000000"/>
      <w:kern w:val="0"/>
      <w:sz w:val="20"/>
      <w:szCs w:val="21"/>
    </w:rPr>
  </w:style>
  <w:style w:type="character" w:customStyle="1" w:styleId="2125">
    <w:name w:val="批注框文本 Char6"/>
    <w:qFormat/>
    <w:uiPriority w:val="0"/>
    <w:rPr>
      <w:rFonts w:hint="eastAsia" w:ascii="宋体" w:hAnsi="宋体" w:eastAsia="宋体" w:cs="宋体"/>
      <w:kern w:val="2"/>
      <w:sz w:val="18"/>
      <w:szCs w:val="18"/>
      <w:lang w:val="en-US" w:eastAsia="zh-CN" w:bidi="ar"/>
    </w:rPr>
  </w:style>
  <w:style w:type="character" w:customStyle="1" w:styleId="2126">
    <w:name w:val="H8 Char4"/>
    <w:qFormat/>
    <w:uiPriority w:val="0"/>
    <w:rPr>
      <w:rFonts w:hint="default" w:ascii="Arial" w:hAnsi="Arial" w:eastAsia="黑体" w:cs="宋体"/>
      <w:kern w:val="2"/>
      <w:sz w:val="24"/>
      <w:szCs w:val="24"/>
      <w:lang w:val="en-US" w:eastAsia="zh-CN" w:bidi="ar-SA"/>
    </w:rPr>
  </w:style>
  <w:style w:type="character" w:customStyle="1" w:styleId="2127">
    <w:name w:val="样式26 Char"/>
    <w:qFormat/>
    <w:uiPriority w:val="0"/>
    <w:rPr>
      <w:rFonts w:hint="eastAsia" w:ascii="宋体" w:hAnsi="宋体" w:eastAsia="宋体"/>
      <w:color w:val="000000"/>
      <w:kern w:val="2"/>
      <w:sz w:val="24"/>
      <w:szCs w:val="24"/>
      <w:lang w:val="en-US" w:eastAsia="zh-CN" w:bidi="ar-SA"/>
    </w:rPr>
  </w:style>
  <w:style w:type="character" w:customStyle="1" w:styleId="2128">
    <w:name w:val="自动2 Char Char"/>
    <w:link w:val="2129"/>
    <w:qFormat/>
    <w:locked/>
    <w:uiPriority w:val="0"/>
    <w:rPr>
      <w:rFonts w:ascii="黑体" w:hAnsi="Arial" w:eastAsia="黑体" w:cs="宋体"/>
      <w:b/>
      <w:color w:val="000000"/>
      <w:sz w:val="28"/>
      <w:szCs w:val="24"/>
    </w:rPr>
  </w:style>
  <w:style w:type="paragraph" w:customStyle="1" w:styleId="2129">
    <w:name w:val="自动2"/>
    <w:basedOn w:val="1"/>
    <w:link w:val="2128"/>
    <w:qFormat/>
    <w:uiPriority w:val="0"/>
    <w:pPr>
      <w:keepNext/>
      <w:keepLines/>
      <w:tabs>
        <w:tab w:val="left" w:pos="360"/>
      </w:tabs>
      <w:spacing w:before="50" w:after="50" w:line="360" w:lineRule="auto"/>
      <w:outlineLvl w:val="1"/>
    </w:pPr>
    <w:rPr>
      <w:rFonts w:ascii="黑体" w:hAnsi="Arial" w:eastAsia="黑体" w:cs="宋体"/>
      <w:b/>
      <w:color w:val="000000"/>
      <w:kern w:val="0"/>
      <w:szCs w:val="24"/>
    </w:rPr>
  </w:style>
  <w:style w:type="character" w:customStyle="1" w:styleId="2130">
    <w:name w:val="a页眉 Char Char"/>
    <w:qFormat/>
    <w:uiPriority w:val="0"/>
    <w:rPr>
      <w:rFonts w:hint="eastAsia" w:ascii="宋体" w:hAnsi="宋体" w:eastAsia="宋体" w:cs="宋体"/>
      <w:kern w:val="2"/>
      <w:sz w:val="18"/>
      <w:szCs w:val="18"/>
      <w:lang w:val="en-US" w:eastAsia="zh-CN" w:bidi="ar-SA"/>
    </w:rPr>
  </w:style>
  <w:style w:type="character" w:customStyle="1" w:styleId="2131">
    <w:name w:val="标题 7 Char2"/>
    <w:qFormat/>
    <w:uiPriority w:val="0"/>
    <w:rPr>
      <w:rFonts w:hint="default" w:ascii="Times New Roman" w:hAnsi="Times New Roman" w:eastAsia="宋体" w:cs="Times New Roman"/>
      <w:b/>
      <w:bCs/>
      <w:kern w:val="0"/>
      <w:sz w:val="24"/>
      <w:szCs w:val="21"/>
      <w:lang w:val="en-US" w:eastAsia="zh-CN" w:bidi="ar-SA"/>
    </w:rPr>
  </w:style>
  <w:style w:type="character" w:customStyle="1" w:styleId="2132">
    <w:name w:val="样式52 Char"/>
    <w:qFormat/>
    <w:locked/>
    <w:uiPriority w:val="0"/>
    <w:rPr>
      <w:rFonts w:hint="eastAsia" w:ascii="宋体" w:hAnsi="宋体" w:eastAsia="宋体"/>
      <w:b/>
      <w:kern w:val="2"/>
      <w:sz w:val="24"/>
      <w:szCs w:val="24"/>
      <w:lang w:val="en-US" w:eastAsia="zh-CN" w:bidi="ar-SA"/>
    </w:rPr>
  </w:style>
  <w:style w:type="character" w:customStyle="1" w:styleId="2133">
    <w:name w:val="尾注文本 Char2"/>
    <w:qFormat/>
    <w:uiPriority w:val="0"/>
    <w:rPr>
      <w:rFonts w:hint="eastAsia" w:ascii="宋体" w:hAnsi="宋体" w:eastAsia="宋体" w:cs="宋体"/>
      <w:kern w:val="2"/>
      <w:sz w:val="21"/>
      <w:szCs w:val="21"/>
      <w:lang w:val="en-US" w:eastAsia="zh-CN" w:bidi="ar"/>
    </w:rPr>
  </w:style>
  <w:style w:type="character" w:customStyle="1" w:styleId="2134">
    <w:name w:val="wagalt1"/>
    <w:qFormat/>
    <w:uiPriority w:val="0"/>
    <w:rPr>
      <w:rFonts w:hint="eastAsia" w:ascii="宋体" w:hAnsi="宋体" w:eastAsia="宋体" w:cs="宋体"/>
      <w:vanish/>
      <w:kern w:val="2"/>
      <w:sz w:val="28"/>
      <w:szCs w:val="24"/>
      <w:lang w:val="en-US" w:eastAsia="zh-CN" w:bidi="ar"/>
    </w:rPr>
  </w:style>
  <w:style w:type="character" w:customStyle="1" w:styleId="2135">
    <w:name w:val="H5 Char4"/>
    <w:qFormat/>
    <w:uiPriority w:val="0"/>
    <w:rPr>
      <w:rFonts w:hint="eastAsia" w:ascii="宋体" w:hAnsi="宋体" w:eastAsia="宋体" w:cs="宋体"/>
      <w:b/>
      <w:bCs/>
      <w:kern w:val="2"/>
      <w:sz w:val="28"/>
      <w:szCs w:val="28"/>
      <w:lang w:val="en-US" w:eastAsia="zh-CN" w:bidi="ar-SA"/>
    </w:rPr>
  </w:style>
  <w:style w:type="character" w:customStyle="1" w:styleId="2136">
    <w:name w:val="三级 Char Char"/>
    <w:link w:val="2137"/>
    <w:qFormat/>
    <w:locked/>
    <w:uiPriority w:val="0"/>
    <w:rPr>
      <w:rFonts w:ascii="宋体" w:hAnsi="宋体" w:cs="宋体"/>
      <w:b/>
      <w:sz w:val="28"/>
      <w:szCs w:val="28"/>
    </w:rPr>
  </w:style>
  <w:style w:type="paragraph" w:customStyle="1" w:styleId="2137">
    <w:name w:val="三级"/>
    <w:basedOn w:val="1"/>
    <w:link w:val="2136"/>
    <w:qFormat/>
    <w:uiPriority w:val="0"/>
    <w:pPr>
      <w:outlineLvl w:val="2"/>
    </w:pPr>
    <w:rPr>
      <w:rFonts w:ascii="宋体" w:hAnsi="宋体" w:eastAsia="宋体" w:cs="宋体"/>
      <w:b/>
      <w:kern w:val="0"/>
      <w:szCs w:val="28"/>
    </w:rPr>
  </w:style>
  <w:style w:type="character" w:customStyle="1" w:styleId="2138">
    <w:name w:val="dxj表头 Char"/>
    <w:link w:val="2139"/>
    <w:qFormat/>
    <w:uiPriority w:val="0"/>
    <w:rPr>
      <w:rFonts w:ascii="宋体" w:hAnsi="宋体" w:eastAsia="黑体" w:cs="宋体"/>
      <w:szCs w:val="21"/>
    </w:rPr>
  </w:style>
  <w:style w:type="paragraph" w:customStyle="1" w:styleId="2139">
    <w:name w:val="dxj表头"/>
    <w:basedOn w:val="1"/>
    <w:link w:val="2138"/>
    <w:qFormat/>
    <w:uiPriority w:val="0"/>
    <w:pPr>
      <w:spacing w:line="360" w:lineRule="auto"/>
      <w:jc w:val="center"/>
    </w:pPr>
    <w:rPr>
      <w:rFonts w:ascii="宋体" w:hAnsi="宋体" w:eastAsia="黑体" w:cs="宋体"/>
      <w:kern w:val="0"/>
      <w:sz w:val="20"/>
      <w:szCs w:val="21"/>
    </w:rPr>
  </w:style>
  <w:style w:type="character" w:customStyle="1" w:styleId="2140">
    <w:name w:val="可研-正文 Char1"/>
    <w:qFormat/>
    <w:uiPriority w:val="0"/>
    <w:rPr>
      <w:rFonts w:hint="eastAsia" w:ascii="宋体" w:hAnsi="宋体" w:eastAsia="宋体" w:cs="宋体"/>
      <w:kern w:val="2"/>
      <w:sz w:val="28"/>
      <w:szCs w:val="24"/>
      <w:lang w:val="en-US" w:eastAsia="zh-CN" w:bidi="ar-SA"/>
    </w:rPr>
  </w:style>
  <w:style w:type="character" w:customStyle="1" w:styleId="2141">
    <w:name w:val="样式18 Char Char"/>
    <w:link w:val="2142"/>
    <w:qFormat/>
    <w:locked/>
    <w:uiPriority w:val="0"/>
    <w:rPr>
      <w:rFonts w:ascii="黑体" w:hAnsi="宋体"/>
      <w:b/>
      <w:bCs/>
      <w:color w:val="000000"/>
      <w:szCs w:val="24"/>
    </w:rPr>
  </w:style>
  <w:style w:type="paragraph" w:customStyle="1" w:styleId="2142">
    <w:name w:val="样式18"/>
    <w:basedOn w:val="1"/>
    <w:link w:val="2141"/>
    <w:qFormat/>
    <w:uiPriority w:val="0"/>
    <w:pPr>
      <w:keepNext/>
      <w:keepLines/>
      <w:tabs>
        <w:tab w:val="left" w:pos="1320"/>
        <w:tab w:val="left" w:pos="1476"/>
      </w:tabs>
      <w:spacing w:before="50" w:after="50" w:line="360" w:lineRule="auto"/>
      <w:ind w:left="1320" w:hanging="420"/>
      <w:outlineLvl w:val="1"/>
    </w:pPr>
    <w:rPr>
      <w:rFonts w:ascii="黑体" w:hAnsi="宋体" w:eastAsia="宋体"/>
      <w:b/>
      <w:bCs/>
      <w:color w:val="000000"/>
      <w:kern w:val="0"/>
      <w:sz w:val="20"/>
      <w:szCs w:val="24"/>
    </w:rPr>
  </w:style>
  <w:style w:type="character" w:customStyle="1" w:styleId="2143">
    <w:name w:val="正文文字 2 Char Char4"/>
    <w:qFormat/>
    <w:locked/>
    <w:uiPriority w:val="0"/>
    <w:rPr>
      <w:rFonts w:hint="eastAsia" w:ascii="宋体" w:hAnsi="宋体" w:eastAsia="宋体" w:cs="宋体"/>
      <w:kern w:val="2"/>
      <w:sz w:val="21"/>
      <w:szCs w:val="24"/>
      <w:lang w:val="en-US" w:eastAsia="zh-CN" w:bidi="ar-SA"/>
    </w:rPr>
  </w:style>
  <w:style w:type="character" w:customStyle="1" w:styleId="2144">
    <w:name w:val="p15"/>
    <w:qFormat/>
    <w:uiPriority w:val="0"/>
    <w:rPr>
      <w:rFonts w:hint="eastAsia" w:ascii="宋体" w:hAnsi="宋体" w:eastAsia="宋体" w:cs="宋体"/>
      <w:kern w:val="2"/>
      <w:sz w:val="24"/>
      <w:szCs w:val="24"/>
      <w:lang w:val="en-US" w:eastAsia="zh-CN" w:bidi="ar-SA"/>
    </w:rPr>
  </w:style>
  <w:style w:type="character" w:customStyle="1" w:styleId="2145">
    <w:name w:val="表体 Char Char Char"/>
    <w:qFormat/>
    <w:uiPriority w:val="0"/>
    <w:rPr>
      <w:rFonts w:hint="eastAsia" w:ascii="宋体" w:hAnsi="宋体" w:eastAsia="宋体" w:cs="宋体"/>
      <w:kern w:val="2"/>
      <w:sz w:val="21"/>
      <w:szCs w:val="21"/>
      <w:lang w:val="en-US" w:eastAsia="zh-CN" w:bidi="ar-SA"/>
    </w:rPr>
  </w:style>
  <w:style w:type="character" w:customStyle="1" w:styleId="2146">
    <w:name w:val="aspmaker1"/>
    <w:qFormat/>
    <w:uiPriority w:val="0"/>
    <w:rPr>
      <w:rFonts w:hint="default" w:ascii="Verdana" w:hAnsi="Verdana" w:eastAsia="宋体" w:cs="宋体"/>
      <w:kern w:val="2"/>
      <w:sz w:val="20"/>
      <w:szCs w:val="20"/>
      <w:lang w:val="en-US" w:eastAsia="zh-CN" w:bidi="ar"/>
    </w:rPr>
  </w:style>
  <w:style w:type="character" w:customStyle="1" w:styleId="2147">
    <w:name w:val="正文文本 3 Char1"/>
    <w:qFormat/>
    <w:uiPriority w:val="0"/>
    <w:rPr>
      <w:rFonts w:hint="default" w:ascii="Times New Roman" w:hAnsi="Times New Roman" w:eastAsia="宋体" w:cs="Times New Roman"/>
      <w:kern w:val="2"/>
      <w:sz w:val="16"/>
      <w:szCs w:val="16"/>
      <w:lang w:val="en-US" w:eastAsia="zh-CN" w:bidi="ar-SA"/>
    </w:rPr>
  </w:style>
  <w:style w:type="character" w:customStyle="1" w:styleId="2148">
    <w:name w:val="正文文本 Char3"/>
    <w:qFormat/>
    <w:uiPriority w:val="0"/>
    <w:rPr>
      <w:rFonts w:hint="eastAsia" w:ascii="宋体" w:hAnsi="宋体" w:eastAsia="宋体" w:cs="宋体"/>
      <w:kern w:val="2"/>
      <w:sz w:val="24"/>
      <w:szCs w:val="24"/>
      <w:lang w:val="en-US" w:eastAsia="zh-CN" w:bidi="ar"/>
    </w:rPr>
  </w:style>
  <w:style w:type="character" w:customStyle="1" w:styleId="2149">
    <w:name w:val="title1"/>
    <w:qFormat/>
    <w:uiPriority w:val="0"/>
    <w:rPr>
      <w:rFonts w:hint="eastAsia" w:ascii="宋体" w:hAnsi="宋体" w:eastAsia="宋体" w:cs="宋体"/>
      <w:b/>
      <w:color w:val="FF9900"/>
      <w:kern w:val="2"/>
      <w:sz w:val="30"/>
      <w:szCs w:val="24"/>
      <w:u w:val="none"/>
      <w:lang w:val="en-US" w:eastAsia="zh-CN" w:bidi="ar"/>
    </w:rPr>
  </w:style>
  <w:style w:type="character" w:customStyle="1" w:styleId="2150">
    <w:name w:val="样式75 Char Char"/>
    <w:link w:val="2151"/>
    <w:qFormat/>
    <w:locked/>
    <w:uiPriority w:val="0"/>
    <w:rPr>
      <w:rFonts w:ascii="Calibri" w:hAnsi="Calibri" w:cs="黑体"/>
    </w:rPr>
  </w:style>
  <w:style w:type="paragraph" w:customStyle="1" w:styleId="2151">
    <w:name w:val="样式75"/>
    <w:basedOn w:val="1"/>
    <w:link w:val="2150"/>
    <w:qFormat/>
    <w:uiPriority w:val="0"/>
    <w:rPr>
      <w:rFonts w:ascii="Calibri" w:hAnsi="Calibri" w:eastAsia="宋体" w:cs="黑体"/>
      <w:kern w:val="0"/>
      <w:sz w:val="20"/>
    </w:rPr>
  </w:style>
  <w:style w:type="character" w:customStyle="1" w:styleId="2152">
    <w:name w:val="样式26 Char Char"/>
    <w:qFormat/>
    <w:uiPriority w:val="0"/>
    <w:rPr>
      <w:rFonts w:hint="eastAsia" w:ascii="宋体" w:hAnsi="宋体" w:eastAsia="黑体" w:cs="宋体"/>
      <w:kern w:val="44"/>
      <w:sz w:val="30"/>
      <w:szCs w:val="44"/>
      <w:lang w:val="en-US" w:eastAsia="zh-CN" w:bidi="ar-SA"/>
    </w:rPr>
  </w:style>
  <w:style w:type="character" w:customStyle="1" w:styleId="2153">
    <w:name w:val="a"/>
    <w:qFormat/>
    <w:uiPriority w:val="0"/>
    <w:rPr>
      <w:rFonts w:hint="eastAsia" w:ascii="宋体" w:hAnsi="宋体" w:eastAsia="宋体" w:cs="宋体"/>
      <w:kern w:val="2"/>
      <w:sz w:val="28"/>
      <w:szCs w:val="24"/>
      <w:lang w:val="en-US" w:eastAsia="zh-CN" w:bidi="ar"/>
    </w:rPr>
  </w:style>
  <w:style w:type="character" w:customStyle="1" w:styleId="2154">
    <w:name w:val="dxj正文 Char"/>
    <w:link w:val="2155"/>
    <w:qFormat/>
    <w:uiPriority w:val="0"/>
    <w:rPr>
      <w:rFonts w:ascii="宋体" w:hAnsi="宋体" w:cs="宋体"/>
      <w:sz w:val="24"/>
      <w:szCs w:val="24"/>
    </w:rPr>
  </w:style>
  <w:style w:type="paragraph" w:customStyle="1" w:styleId="2155">
    <w:name w:val="dxj正文"/>
    <w:basedOn w:val="1"/>
    <w:link w:val="2154"/>
    <w:qFormat/>
    <w:uiPriority w:val="0"/>
    <w:pPr>
      <w:spacing w:line="360" w:lineRule="auto"/>
      <w:ind w:firstLine="200" w:firstLineChars="200"/>
    </w:pPr>
    <w:rPr>
      <w:rFonts w:ascii="宋体" w:hAnsi="宋体" w:eastAsia="宋体" w:cs="宋体"/>
      <w:kern w:val="0"/>
      <w:sz w:val="24"/>
      <w:szCs w:val="24"/>
    </w:rPr>
  </w:style>
  <w:style w:type="character" w:customStyle="1" w:styleId="2156">
    <w:name w:val="text_black1"/>
    <w:qFormat/>
    <w:uiPriority w:val="0"/>
    <w:rPr>
      <w:rFonts w:hint="eastAsia" w:ascii="宋体" w:hAnsi="宋体" w:eastAsia="宋体" w:cs="宋体"/>
      <w:color w:val="000000"/>
      <w:kern w:val="2"/>
      <w:sz w:val="24"/>
      <w:szCs w:val="24"/>
      <w:lang w:val="en-US" w:eastAsia="zh-CN" w:bidi="ar"/>
    </w:rPr>
  </w:style>
  <w:style w:type="character" w:customStyle="1" w:styleId="2157">
    <w:name w:val="style211"/>
    <w:qFormat/>
    <w:uiPriority w:val="0"/>
    <w:rPr>
      <w:rFonts w:hint="eastAsia" w:ascii="宋体" w:hAnsi="宋体" w:eastAsia="宋体" w:cs="宋体"/>
      <w:b/>
      <w:bCs/>
      <w:color w:val="009900"/>
      <w:kern w:val="2"/>
      <w:sz w:val="45"/>
      <w:szCs w:val="45"/>
      <w:lang w:val="en-US" w:eastAsia="zh-CN" w:bidi="ar"/>
    </w:rPr>
  </w:style>
  <w:style w:type="character" w:customStyle="1" w:styleId="2158">
    <w:name w:val="表格1 Char Char"/>
    <w:qFormat/>
    <w:locked/>
    <w:uiPriority w:val="0"/>
    <w:rPr>
      <w:rFonts w:ascii="仿宋体" w:hAnsi="Calibri" w:eastAsia="宋体" w:cs="Arial Unicode MS"/>
      <w:color w:val="000000"/>
      <w:szCs w:val="21"/>
    </w:rPr>
  </w:style>
  <w:style w:type="character" w:customStyle="1" w:styleId="2159">
    <w:name w:val="批注主题 Char1"/>
    <w:qFormat/>
    <w:uiPriority w:val="0"/>
    <w:rPr>
      <w:rFonts w:ascii="宋体" w:hAnsi="宋体" w:eastAsia="Arial" w:cs="宋体"/>
      <w:b/>
      <w:bCs/>
      <w:kern w:val="28"/>
      <w:sz w:val="32"/>
      <w:szCs w:val="32"/>
      <w:lang w:val="en-US" w:eastAsia="zh-CN" w:bidi="ar-SA"/>
    </w:rPr>
  </w:style>
  <w:style w:type="character" w:customStyle="1" w:styleId="2160">
    <w:name w:val="Char Char93"/>
    <w:qFormat/>
    <w:locked/>
    <w:uiPriority w:val="0"/>
    <w:rPr>
      <w:rFonts w:ascii="宋体" w:hAnsi="宋体" w:eastAsia="宋体" w:cs="宋体"/>
      <w:kern w:val="2"/>
      <w:sz w:val="18"/>
      <w:szCs w:val="18"/>
      <w:lang w:val="en-US" w:eastAsia="zh-CN" w:bidi="ar-SA"/>
    </w:rPr>
  </w:style>
  <w:style w:type="character" w:customStyle="1" w:styleId="2161">
    <w:name w:val="f91"/>
    <w:qFormat/>
    <w:uiPriority w:val="0"/>
    <w:rPr>
      <w:rFonts w:hint="eastAsia" w:ascii="宋体" w:hAnsi="宋体" w:eastAsia="宋体" w:cs="宋体"/>
      <w:kern w:val="2"/>
      <w:sz w:val="18"/>
      <w:szCs w:val="18"/>
      <w:u w:val="none"/>
      <w:lang w:val="en-US" w:eastAsia="zh-CN" w:bidi="ar"/>
    </w:rPr>
  </w:style>
  <w:style w:type="character" w:customStyle="1" w:styleId="2162">
    <w:name w:val="z-窗体底端 Char"/>
    <w:link w:val="1443"/>
    <w:qFormat/>
    <w:uiPriority w:val="0"/>
    <w:rPr>
      <w:rFonts w:ascii="Arial" w:hAnsi="Arial" w:cs="Arial"/>
      <w:vanish/>
      <w:sz w:val="16"/>
      <w:szCs w:val="16"/>
    </w:rPr>
  </w:style>
  <w:style w:type="character" w:customStyle="1" w:styleId="2163">
    <w:name w:val="H2 Char Char"/>
    <w:qFormat/>
    <w:uiPriority w:val="0"/>
    <w:rPr>
      <w:rFonts w:hint="eastAsia" w:ascii="宋体" w:hAnsi="宋体" w:eastAsia="宋体" w:cs="宋体"/>
      <w:b/>
      <w:kern w:val="2"/>
      <w:sz w:val="30"/>
      <w:szCs w:val="24"/>
      <w:lang w:val="en-US" w:eastAsia="zh-CN" w:bidi="ar-SA"/>
    </w:rPr>
  </w:style>
  <w:style w:type="character" w:customStyle="1" w:styleId="2164">
    <w:name w:val="Char1 Char1"/>
    <w:qFormat/>
    <w:uiPriority w:val="0"/>
    <w:rPr>
      <w:rFonts w:ascii="宋体" w:hAnsi="Courier New" w:eastAsia="宋体" w:cs="宋体"/>
      <w:kern w:val="2"/>
      <w:sz w:val="21"/>
      <w:szCs w:val="24"/>
      <w:lang w:val="en-US" w:eastAsia="zh-CN" w:bidi="ar-SA"/>
    </w:rPr>
  </w:style>
  <w:style w:type="character" w:customStyle="1" w:styleId="2165">
    <w:name w:val="submenu1"/>
    <w:qFormat/>
    <w:uiPriority w:val="0"/>
    <w:rPr>
      <w:rFonts w:hint="eastAsia" w:ascii="宋体" w:hAnsi="宋体" w:eastAsia="宋体" w:cs="宋体"/>
      <w:vanish/>
      <w:kern w:val="2"/>
      <w:sz w:val="28"/>
      <w:szCs w:val="24"/>
      <w:lang w:val="en-US" w:eastAsia="zh-CN" w:bidi="ar"/>
    </w:rPr>
  </w:style>
  <w:style w:type="character" w:customStyle="1" w:styleId="2166">
    <w:name w:val="样式23 Char Char"/>
    <w:link w:val="1151"/>
    <w:qFormat/>
    <w:locked/>
    <w:uiPriority w:val="0"/>
    <w:rPr>
      <w:kern w:val="2"/>
      <w:sz w:val="24"/>
      <w:szCs w:val="24"/>
      <w:lang w:val="zh-CN"/>
    </w:rPr>
  </w:style>
  <w:style w:type="character" w:customStyle="1" w:styleId="2167">
    <w:name w:val="四级标题 Char Char"/>
    <w:link w:val="2168"/>
    <w:qFormat/>
    <w:locked/>
    <w:uiPriority w:val="0"/>
    <w:rPr>
      <w:rFonts w:ascii="宋体" w:hAnsi="宋体" w:eastAsia="黑体" w:cs="宋体"/>
      <w:color w:val="000000"/>
      <w:sz w:val="24"/>
      <w:szCs w:val="28"/>
    </w:rPr>
  </w:style>
  <w:style w:type="paragraph" w:customStyle="1" w:styleId="2168">
    <w:name w:val="四级标题"/>
    <w:basedOn w:val="1"/>
    <w:link w:val="2167"/>
    <w:qFormat/>
    <w:uiPriority w:val="0"/>
    <w:pPr>
      <w:spacing w:before="60" w:line="460" w:lineRule="exact"/>
    </w:pPr>
    <w:rPr>
      <w:rFonts w:ascii="宋体" w:hAnsi="宋体" w:eastAsia="黑体" w:cs="宋体"/>
      <w:color w:val="000000"/>
      <w:kern w:val="0"/>
      <w:sz w:val="24"/>
      <w:szCs w:val="28"/>
    </w:rPr>
  </w:style>
  <w:style w:type="character" w:customStyle="1" w:styleId="2169">
    <w:name w:val="Char Char52"/>
    <w:qFormat/>
    <w:uiPriority w:val="0"/>
    <w:rPr>
      <w:rFonts w:hint="eastAsia" w:ascii="宋体" w:hAnsi="宋体" w:eastAsia="宋体" w:cs="Arial"/>
      <w:b/>
      <w:bCs/>
      <w:kern w:val="2"/>
      <w:sz w:val="24"/>
      <w:szCs w:val="24"/>
      <w:lang w:val="en-US" w:eastAsia="zh-CN" w:bidi="ar"/>
    </w:rPr>
  </w:style>
  <w:style w:type="character" w:customStyle="1" w:styleId="2170">
    <w:name w:val="表格居左 Char1"/>
    <w:link w:val="2171"/>
    <w:qFormat/>
    <w:locked/>
    <w:uiPriority w:val="0"/>
    <w:rPr>
      <w:rFonts w:ascii="宋体" w:hAnsi="宋体" w:cs="宋体"/>
      <w:bCs/>
      <w:szCs w:val="21"/>
    </w:rPr>
  </w:style>
  <w:style w:type="paragraph" w:customStyle="1" w:styleId="2171">
    <w:name w:val="表格居左"/>
    <w:basedOn w:val="1"/>
    <w:link w:val="2170"/>
    <w:qFormat/>
    <w:uiPriority w:val="0"/>
    <w:pPr>
      <w:jc w:val="left"/>
    </w:pPr>
    <w:rPr>
      <w:rFonts w:ascii="宋体" w:hAnsi="宋体" w:eastAsia="宋体" w:cs="宋体"/>
      <w:bCs/>
      <w:kern w:val="0"/>
      <w:sz w:val="20"/>
      <w:szCs w:val="21"/>
    </w:rPr>
  </w:style>
  <w:style w:type="character" w:customStyle="1" w:styleId="2172">
    <w:name w:val="纯文本 Char Char1 Cha"/>
    <w:link w:val="1644"/>
    <w:qFormat/>
    <w:locked/>
    <w:uiPriority w:val="0"/>
    <w:rPr>
      <w:rFonts w:ascii="宋体" w:hAnsi="Courier New"/>
      <w:kern w:val="2"/>
      <w:sz w:val="24"/>
    </w:rPr>
  </w:style>
  <w:style w:type="character" w:customStyle="1" w:styleId="2173">
    <w:name w:val="样式3 Char Char Char"/>
    <w:qFormat/>
    <w:locked/>
    <w:uiPriority w:val="0"/>
    <w:rPr>
      <w:rFonts w:ascii="Arial" w:hAnsi="Arial" w:eastAsia="宋体" w:cs="Arial"/>
      <w:spacing w:val="10"/>
      <w:sz w:val="24"/>
      <w:szCs w:val="32"/>
    </w:rPr>
  </w:style>
  <w:style w:type="character" w:customStyle="1" w:styleId="2174">
    <w:name w:val="bold1"/>
    <w:qFormat/>
    <w:uiPriority w:val="0"/>
    <w:rPr>
      <w:rFonts w:hint="eastAsia" w:ascii="宋体" w:hAnsi="宋体" w:eastAsia="宋体" w:cs="宋体"/>
      <w:kern w:val="2"/>
      <w:sz w:val="28"/>
      <w:szCs w:val="24"/>
      <w:lang w:val="en-US" w:eastAsia="zh-CN" w:bidi="ar"/>
    </w:rPr>
  </w:style>
  <w:style w:type="character" w:customStyle="1" w:styleId="2175">
    <w:name w:val="正文文本 3 Char4"/>
    <w:qFormat/>
    <w:uiPriority w:val="0"/>
    <w:rPr>
      <w:rFonts w:hint="eastAsia" w:ascii="宋体" w:hAnsi="宋体" w:eastAsia="宋体" w:cs="宋体"/>
      <w:kern w:val="2"/>
      <w:sz w:val="16"/>
      <w:szCs w:val="16"/>
      <w:lang w:val="en-US" w:eastAsia="zh-CN" w:bidi="ar"/>
    </w:rPr>
  </w:style>
  <w:style w:type="character" w:customStyle="1" w:styleId="2176">
    <w:name w:val="p141"/>
    <w:qFormat/>
    <w:uiPriority w:val="0"/>
    <w:rPr>
      <w:rFonts w:hint="eastAsia" w:ascii="宋体" w:hAnsi="宋体" w:eastAsia="宋体" w:cs="宋体"/>
      <w:kern w:val="2"/>
      <w:sz w:val="21"/>
      <w:szCs w:val="21"/>
      <w:lang w:val="en-US" w:eastAsia="zh-CN" w:bidi="ar"/>
    </w:rPr>
  </w:style>
  <w:style w:type="character" w:customStyle="1" w:styleId="2177">
    <w:name w:val="Char Char30"/>
    <w:qFormat/>
    <w:locked/>
    <w:uiPriority w:val="0"/>
    <w:rPr>
      <w:rFonts w:ascii="宋体" w:hAnsi="Courier New" w:eastAsia="宋体" w:cs="Courier New"/>
      <w:kern w:val="2"/>
      <w:sz w:val="21"/>
      <w:szCs w:val="21"/>
      <w:lang w:val="en-US" w:eastAsia="zh-CN" w:bidi="ar-SA"/>
    </w:rPr>
  </w:style>
  <w:style w:type="character" w:customStyle="1" w:styleId="2178">
    <w:name w:val="spelle"/>
    <w:qFormat/>
    <w:uiPriority w:val="0"/>
    <w:rPr>
      <w:rFonts w:hint="eastAsia" w:ascii="宋体" w:hAnsi="宋体" w:eastAsia="宋体" w:cs="宋体"/>
      <w:kern w:val="2"/>
      <w:sz w:val="28"/>
      <w:szCs w:val="24"/>
      <w:lang w:val="en-US" w:eastAsia="zh-CN" w:bidi="ar"/>
    </w:rPr>
  </w:style>
  <w:style w:type="character" w:customStyle="1" w:styleId="2179">
    <w:name w:val="样式4 Char Char Char"/>
    <w:qFormat/>
    <w:locked/>
    <w:uiPriority w:val="0"/>
    <w:rPr>
      <w:rFonts w:eastAsia="宋体"/>
      <w:b/>
      <w:bCs/>
      <w:sz w:val="28"/>
      <w:szCs w:val="28"/>
    </w:rPr>
  </w:style>
  <w:style w:type="character" w:customStyle="1" w:styleId="2180">
    <w:name w:val="Char Char41"/>
    <w:qFormat/>
    <w:locked/>
    <w:uiPriority w:val="0"/>
    <w:rPr>
      <w:rFonts w:ascii="Calibri" w:hAnsi="Calibri" w:eastAsia="宋体" w:cs="宋体"/>
      <w:b/>
      <w:kern w:val="44"/>
      <w:sz w:val="44"/>
      <w:szCs w:val="44"/>
      <w:lang w:val="en-US" w:eastAsia="zh-CN" w:bidi="ar-SA"/>
    </w:rPr>
  </w:style>
  <w:style w:type="character" w:customStyle="1" w:styleId="2181">
    <w:name w:val="正文++++++++++ Char Char Char"/>
    <w:qFormat/>
    <w:uiPriority w:val="0"/>
    <w:rPr>
      <w:rFonts w:hint="eastAsia" w:ascii="宋体" w:hAnsi="宋体" w:eastAsia="宋体" w:cs="宋体"/>
      <w:kern w:val="2"/>
      <w:sz w:val="24"/>
      <w:lang w:val="en-US" w:eastAsia="zh-CN" w:bidi="ar-SA"/>
    </w:rPr>
  </w:style>
  <w:style w:type="character" w:customStyle="1" w:styleId="2182">
    <w:name w:val="ourfont2"/>
    <w:qFormat/>
    <w:uiPriority w:val="0"/>
    <w:rPr>
      <w:rFonts w:hint="eastAsia" w:ascii="宋体" w:hAnsi="宋体" w:eastAsia="宋体" w:cs="宋体"/>
      <w:kern w:val="2"/>
      <w:sz w:val="28"/>
      <w:szCs w:val="24"/>
      <w:lang w:val="en-US" w:eastAsia="zh-CN" w:bidi="ar"/>
    </w:rPr>
  </w:style>
  <w:style w:type="character" w:customStyle="1" w:styleId="2183">
    <w:name w:val="报告标题1 Char Char"/>
    <w:qFormat/>
    <w:locked/>
    <w:uiPriority w:val="0"/>
    <w:rPr>
      <w:rFonts w:ascii="黑体" w:hAnsi="宋体" w:eastAsia="黑体" w:cs="宋体"/>
      <w:snapToGrid/>
      <w:color w:val="000000"/>
      <w:sz w:val="30"/>
      <w:szCs w:val="24"/>
    </w:rPr>
  </w:style>
  <w:style w:type="character" w:customStyle="1" w:styleId="2184">
    <w:name w:val="结束语 Char1"/>
    <w:qFormat/>
    <w:uiPriority w:val="0"/>
    <w:rPr>
      <w:rFonts w:hint="eastAsia" w:ascii="宋体" w:hAnsi="宋体" w:eastAsia="宋体" w:cs="宋体"/>
      <w:kern w:val="2"/>
      <w:sz w:val="24"/>
      <w:szCs w:val="24"/>
      <w:lang w:val="en-US" w:eastAsia="zh-CN" w:bidi="ar"/>
    </w:rPr>
  </w:style>
  <w:style w:type="character" w:customStyle="1" w:styleId="2185">
    <w:name w:val="排，正文 Char Char"/>
    <w:link w:val="2186"/>
    <w:qFormat/>
    <w:locked/>
    <w:uiPriority w:val="0"/>
    <w:rPr>
      <w:rFonts w:ascii="宋体" w:hAnsi="宋体" w:cs="宋体"/>
      <w:color w:val="000000"/>
      <w:sz w:val="28"/>
      <w:szCs w:val="24"/>
    </w:rPr>
  </w:style>
  <w:style w:type="paragraph" w:customStyle="1" w:styleId="2186">
    <w:name w:val="排，正文"/>
    <w:basedOn w:val="1"/>
    <w:link w:val="2185"/>
    <w:qFormat/>
    <w:uiPriority w:val="0"/>
    <w:pPr>
      <w:adjustRightInd w:val="0"/>
      <w:spacing w:line="500" w:lineRule="exact"/>
      <w:ind w:firstLine="630" w:firstLineChars="225"/>
    </w:pPr>
    <w:rPr>
      <w:rFonts w:ascii="宋体" w:hAnsi="宋体" w:eastAsia="宋体" w:cs="宋体"/>
      <w:color w:val="000000"/>
      <w:kern w:val="0"/>
      <w:szCs w:val="24"/>
    </w:rPr>
  </w:style>
  <w:style w:type="character" w:customStyle="1" w:styleId="2187">
    <w:name w:val="德胜正文顶格小标题 Char Char"/>
    <w:link w:val="2188"/>
    <w:qFormat/>
    <w:locked/>
    <w:uiPriority w:val="0"/>
    <w:rPr>
      <w:rFonts w:ascii="宋体" w:hAnsi="宋体"/>
      <w:spacing w:val="-2"/>
      <w:sz w:val="28"/>
    </w:rPr>
  </w:style>
  <w:style w:type="paragraph" w:customStyle="1" w:styleId="2188">
    <w:name w:val="德胜正文顶格小标题"/>
    <w:basedOn w:val="1"/>
    <w:link w:val="2187"/>
    <w:qFormat/>
    <w:uiPriority w:val="0"/>
    <w:rPr>
      <w:rFonts w:ascii="宋体" w:hAnsi="宋体" w:eastAsia="宋体"/>
      <w:spacing w:val="-2"/>
      <w:kern w:val="0"/>
    </w:rPr>
  </w:style>
  <w:style w:type="character" w:customStyle="1" w:styleId="2189">
    <w:name w:val="批注框文本 Char2"/>
    <w:qFormat/>
    <w:uiPriority w:val="0"/>
    <w:rPr>
      <w:rFonts w:hint="eastAsia" w:ascii="宋体" w:hAnsi="宋体" w:eastAsia="宋体" w:cs="宋体"/>
      <w:kern w:val="2"/>
      <w:sz w:val="18"/>
      <w:szCs w:val="18"/>
      <w:lang w:val="en-US" w:eastAsia="zh-CN" w:bidi="ar"/>
    </w:rPr>
  </w:style>
  <w:style w:type="character" w:customStyle="1" w:styleId="2190">
    <w:name w:val="表头YHY Char"/>
    <w:qFormat/>
    <w:uiPriority w:val="0"/>
    <w:rPr>
      <w:rFonts w:hint="eastAsia" w:ascii="黑体" w:hAnsi="黑体" w:eastAsia="黑体"/>
      <w:kern w:val="2"/>
      <w:sz w:val="21"/>
      <w:lang w:val="en-US" w:eastAsia="zh-CN" w:bidi="ar-SA"/>
    </w:rPr>
  </w:style>
  <w:style w:type="character" w:customStyle="1" w:styleId="2191">
    <w:name w:val="正文（首行缩进） Char Char"/>
    <w:link w:val="2192"/>
    <w:qFormat/>
    <w:locked/>
    <w:uiPriority w:val="0"/>
    <w:rPr>
      <w:rFonts w:ascii="宋体" w:hAnsi="宋体" w:cs="宋体"/>
      <w:color w:val="000000"/>
      <w:sz w:val="24"/>
      <w:szCs w:val="24"/>
    </w:rPr>
  </w:style>
  <w:style w:type="paragraph" w:customStyle="1" w:styleId="2192">
    <w:name w:val="正文（首行缩进）"/>
    <w:basedOn w:val="1"/>
    <w:link w:val="2191"/>
    <w:qFormat/>
    <w:uiPriority w:val="0"/>
    <w:pPr>
      <w:adjustRightInd w:val="0"/>
      <w:snapToGrid w:val="0"/>
      <w:spacing w:line="360" w:lineRule="auto"/>
      <w:ind w:firstLine="200" w:firstLineChars="200"/>
      <w:jc w:val="left"/>
    </w:pPr>
    <w:rPr>
      <w:rFonts w:ascii="宋体" w:hAnsi="宋体" w:eastAsia="宋体" w:cs="宋体"/>
      <w:color w:val="000000"/>
      <w:kern w:val="0"/>
      <w:sz w:val="24"/>
      <w:szCs w:val="24"/>
    </w:rPr>
  </w:style>
  <w:style w:type="character" w:customStyle="1" w:styleId="2193">
    <w:name w:val="样式 样式 样式 样式2 + 首行缩进:  2 字符 + 首行缩进:  2 字符 + 首行缩进:  2 字符 Char Char"/>
    <w:link w:val="2194"/>
    <w:qFormat/>
    <w:locked/>
    <w:uiPriority w:val="0"/>
    <w:rPr>
      <w:rFonts w:ascii="宋体" w:hAnsi="宋体" w:cs="宋体"/>
      <w:sz w:val="24"/>
      <w:szCs w:val="24"/>
    </w:rPr>
  </w:style>
  <w:style w:type="paragraph" w:customStyle="1" w:styleId="2194">
    <w:name w:val="样式 样式 样式 样式2 + 首行缩进:  2 字符 + 首行缩进:  2 字符 + 首行缩进:  2 字符"/>
    <w:basedOn w:val="1"/>
    <w:link w:val="2193"/>
    <w:qFormat/>
    <w:uiPriority w:val="0"/>
    <w:pPr>
      <w:autoSpaceDE w:val="0"/>
      <w:autoSpaceDN w:val="0"/>
      <w:adjustRightInd w:val="0"/>
      <w:spacing w:line="420" w:lineRule="auto"/>
      <w:ind w:firstLine="480" w:firstLineChars="200"/>
    </w:pPr>
    <w:rPr>
      <w:rFonts w:ascii="宋体" w:hAnsi="宋体" w:eastAsia="宋体" w:cs="宋体"/>
      <w:kern w:val="0"/>
      <w:sz w:val="24"/>
      <w:szCs w:val="24"/>
    </w:rPr>
  </w:style>
  <w:style w:type="character" w:customStyle="1" w:styleId="2195">
    <w:name w:val="正 Char1"/>
    <w:link w:val="2196"/>
    <w:qFormat/>
    <w:locked/>
    <w:uiPriority w:val="0"/>
    <w:rPr>
      <w:rFonts w:ascii="宋体" w:hAnsi="宋体" w:cs="宋体"/>
      <w:sz w:val="24"/>
      <w:szCs w:val="24"/>
    </w:rPr>
  </w:style>
  <w:style w:type="paragraph" w:customStyle="1" w:styleId="2196">
    <w:name w:val="正"/>
    <w:basedOn w:val="1"/>
    <w:link w:val="2195"/>
    <w:qFormat/>
    <w:uiPriority w:val="0"/>
    <w:pPr>
      <w:spacing w:beforeLines="25" w:line="440" w:lineRule="exact"/>
      <w:ind w:firstLine="200" w:firstLineChars="200"/>
    </w:pPr>
    <w:rPr>
      <w:rFonts w:ascii="宋体" w:hAnsi="宋体" w:eastAsia="宋体" w:cs="宋体"/>
      <w:kern w:val="0"/>
      <w:sz w:val="24"/>
      <w:szCs w:val="24"/>
    </w:rPr>
  </w:style>
  <w:style w:type="character" w:customStyle="1" w:styleId="2197">
    <w:name w:val="图表标题 Char Char"/>
    <w:qFormat/>
    <w:locked/>
    <w:uiPriority w:val="0"/>
    <w:rPr>
      <w:rFonts w:ascii="宋体" w:hAnsi="宋体" w:eastAsia="宋体" w:cs="宋体"/>
      <w:b/>
      <w:snapToGrid/>
      <w:szCs w:val="24"/>
    </w:rPr>
  </w:style>
  <w:style w:type="character" w:customStyle="1" w:styleId="2198">
    <w:name w:val="样式 首行缩进:  1.01 厘米 Char Char"/>
    <w:qFormat/>
    <w:uiPriority w:val="0"/>
    <w:rPr>
      <w:rFonts w:hint="eastAsia" w:ascii="宋体" w:hAnsi="宋体" w:eastAsia="宋体" w:cs="宋体"/>
      <w:color w:val="000000"/>
      <w:kern w:val="2"/>
      <w:sz w:val="24"/>
      <w:szCs w:val="24"/>
      <w:lang w:val="en-US" w:eastAsia="zh-CN" w:bidi="ar"/>
    </w:rPr>
  </w:style>
  <w:style w:type="character" w:customStyle="1" w:styleId="2199">
    <w:name w:val="Draft Char"/>
    <w:qFormat/>
    <w:uiPriority w:val="0"/>
    <w:rPr>
      <w:rFonts w:hint="eastAsia" w:ascii="宋体" w:hAnsi="宋体" w:eastAsia="宋体" w:cs="宋体"/>
      <w:kern w:val="2"/>
      <w:sz w:val="18"/>
      <w:szCs w:val="18"/>
      <w:lang w:val="en-US" w:eastAsia="zh-CN" w:bidi="ar"/>
    </w:rPr>
  </w:style>
  <w:style w:type="character" w:customStyle="1" w:styleId="2200">
    <w:name w:val="样式 标题 2标题 21标题 121H2SeHead wsa2标题 1.1 + (西文) Times New Ro... Char Char"/>
    <w:link w:val="2201"/>
    <w:qFormat/>
    <w:locked/>
    <w:uiPriority w:val="0"/>
    <w:rPr>
      <w:rFonts w:ascii="宋体" w:hAnsi="宋体" w:eastAsia="黑体"/>
      <w:color w:val="000000"/>
      <w:spacing w:val="-2"/>
      <w:sz w:val="28"/>
      <w:szCs w:val="24"/>
    </w:rPr>
  </w:style>
  <w:style w:type="paragraph" w:customStyle="1" w:styleId="2201">
    <w:name w:val="样式 标题 2标题 21标题 121H2SeHead wsa2标题 1.1 + (西文) Times New Ro..."/>
    <w:basedOn w:val="4"/>
    <w:link w:val="2200"/>
    <w:qFormat/>
    <w:uiPriority w:val="0"/>
    <w:pPr>
      <w:keepNext w:val="0"/>
      <w:keepLines w:val="0"/>
      <w:widowControl/>
      <w:tabs>
        <w:tab w:val="left" w:pos="1476"/>
        <w:tab w:val="clear" w:pos="567"/>
      </w:tabs>
      <w:adjustRightInd w:val="0"/>
      <w:snapToGrid w:val="0"/>
      <w:spacing w:before="100" w:beforeAutospacing="1" w:after="100" w:afterAutospacing="1" w:line="460" w:lineRule="exact"/>
      <w:ind w:left="840" w:firstLine="200" w:firstLineChars="200"/>
    </w:pPr>
    <w:rPr>
      <w:rFonts w:ascii="宋体" w:hAnsi="宋体"/>
      <w:color w:val="000000"/>
      <w:spacing w:val="-2"/>
      <w:kern w:val="0"/>
      <w:szCs w:val="24"/>
    </w:rPr>
  </w:style>
  <w:style w:type="character" w:customStyle="1" w:styleId="2202">
    <w:name w:val="orange1"/>
    <w:qFormat/>
    <w:uiPriority w:val="0"/>
    <w:rPr>
      <w:rFonts w:hint="eastAsia" w:ascii="宋体" w:hAnsi="宋体" w:eastAsia="宋体" w:cs="宋体"/>
      <w:color w:val="FF6600"/>
      <w:kern w:val="2"/>
      <w:sz w:val="28"/>
      <w:szCs w:val="24"/>
      <w:lang w:val="en-US" w:eastAsia="zh-CN" w:bidi="ar"/>
    </w:rPr>
  </w:style>
  <w:style w:type="character" w:customStyle="1" w:styleId="2203">
    <w:name w:val="正文文本缩进 字符1"/>
    <w:qFormat/>
    <w:uiPriority w:val="0"/>
    <w:rPr>
      <w:rFonts w:hint="eastAsia" w:ascii="宋体" w:hAnsi="宋体" w:eastAsia="宋体"/>
      <w:spacing w:val="-2"/>
      <w:sz w:val="28"/>
      <w:lang w:val="en-US" w:eastAsia="zh-CN" w:bidi="ar-SA"/>
    </w:rPr>
  </w:style>
  <w:style w:type="character" w:customStyle="1" w:styleId="2204">
    <w:name w:val="样式 标题 2标题 2 Char + 自动设置 首行缩进:  1.13 厘米 Char Char"/>
    <w:link w:val="2205"/>
    <w:qFormat/>
    <w:locked/>
    <w:uiPriority w:val="0"/>
    <w:rPr>
      <w:rFonts w:ascii="t" w:hAnsi="t" w:eastAsia="黑体" w:cs="t"/>
      <w:bCs/>
      <w:spacing w:val="-2"/>
      <w:sz w:val="28"/>
      <w:szCs w:val="21"/>
    </w:rPr>
  </w:style>
  <w:style w:type="paragraph" w:customStyle="1" w:styleId="2205">
    <w:name w:val="样式 标题 2标题 2 Char + 自动设置 首行缩进:  1.13 厘米"/>
    <w:basedOn w:val="4"/>
    <w:link w:val="2204"/>
    <w:qFormat/>
    <w:uiPriority w:val="0"/>
    <w:pPr>
      <w:tabs>
        <w:tab w:val="left" w:pos="1476"/>
        <w:tab w:val="clear" w:pos="567"/>
      </w:tabs>
      <w:spacing w:before="0" w:after="0" w:line="500" w:lineRule="exact"/>
      <w:ind w:left="840" w:hanging="420"/>
      <w:jc w:val="left"/>
    </w:pPr>
    <w:rPr>
      <w:rFonts w:ascii="t" w:hAnsi="t" w:cs="t"/>
      <w:bCs/>
      <w:spacing w:val="-2"/>
      <w:kern w:val="0"/>
      <w:szCs w:val="21"/>
    </w:rPr>
  </w:style>
  <w:style w:type="character" w:customStyle="1" w:styleId="2206">
    <w:name w:val="样式 标题 3标题 13 + (中文) 宋体 小四 行距: 1.5 倍行距 Char Char Char"/>
    <w:link w:val="2207"/>
    <w:qFormat/>
    <w:locked/>
    <w:uiPriority w:val="0"/>
    <w:rPr>
      <w:rFonts w:ascii="宋体" w:hAnsi="宋体" w:cs="宋体"/>
      <w:b/>
      <w:sz w:val="24"/>
      <w:szCs w:val="24"/>
    </w:rPr>
  </w:style>
  <w:style w:type="paragraph" w:customStyle="1" w:styleId="2207">
    <w:name w:val="样式 标题 3标题 13 + (中文) 宋体 小四 行距: 1.5 倍行距"/>
    <w:basedOn w:val="6"/>
    <w:link w:val="2206"/>
    <w:qFormat/>
    <w:uiPriority w:val="0"/>
    <w:pPr>
      <w:keepLines w:val="0"/>
      <w:tabs>
        <w:tab w:val="left" w:pos="1080"/>
        <w:tab w:val="left" w:pos="1260"/>
        <w:tab w:val="clear" w:pos="1789"/>
      </w:tabs>
      <w:spacing w:before="0" w:after="0" w:line="360" w:lineRule="auto"/>
      <w:ind w:left="0" w:firstLine="0"/>
    </w:pPr>
    <w:rPr>
      <w:rFonts w:ascii="宋体" w:hAnsi="宋体" w:eastAsia="宋体" w:cs="宋体"/>
      <w:bCs w:val="0"/>
      <w:kern w:val="0"/>
      <w:szCs w:val="24"/>
    </w:rPr>
  </w:style>
  <w:style w:type="character" w:customStyle="1" w:styleId="2208">
    <w:name w:val="5文章(治) Char1"/>
    <w:qFormat/>
    <w:uiPriority w:val="0"/>
    <w:rPr>
      <w:rFonts w:ascii="宋体" w:hAnsi="宋体" w:eastAsia="宋体" w:cs="宋体"/>
      <w:kern w:val="2"/>
      <w:sz w:val="24"/>
      <w:szCs w:val="24"/>
      <w:lang w:val="en-US" w:eastAsia="zh-CN" w:bidi="ar-SA"/>
    </w:rPr>
  </w:style>
  <w:style w:type="character" w:customStyle="1" w:styleId="2209">
    <w:name w:val="8 Char Char"/>
    <w:qFormat/>
    <w:uiPriority w:val="0"/>
    <w:rPr>
      <w:rFonts w:hint="eastAsia" w:ascii="宋体" w:hAnsi="宋体" w:eastAsia="宋体" w:cs="宋体"/>
      <w:kern w:val="10"/>
      <w:sz w:val="24"/>
      <w:szCs w:val="24"/>
      <w:lang w:val="en-US" w:eastAsia="zh-CN" w:bidi="ar-SA"/>
    </w:rPr>
  </w:style>
  <w:style w:type="character" w:customStyle="1" w:styleId="2210">
    <w:name w:val="表格中 Char Char"/>
    <w:qFormat/>
    <w:locked/>
    <w:uiPriority w:val="0"/>
    <w:rPr>
      <w:rFonts w:ascii="宋体" w:hAnsi="宋体" w:eastAsia="宋体"/>
      <w:spacing w:val="-2"/>
      <w:sz w:val="28"/>
    </w:rPr>
  </w:style>
  <w:style w:type="character" w:customStyle="1" w:styleId="2211">
    <w:name w:val="正文文 Char Char"/>
    <w:link w:val="2212"/>
    <w:qFormat/>
    <w:locked/>
    <w:uiPriority w:val="0"/>
    <w:rPr>
      <w:rFonts w:ascii="宋体" w:hAnsi="宋体" w:cs="宋体"/>
      <w:sz w:val="24"/>
      <w:szCs w:val="24"/>
    </w:rPr>
  </w:style>
  <w:style w:type="paragraph" w:customStyle="1" w:styleId="2212">
    <w:name w:val="正文文"/>
    <w:basedOn w:val="1"/>
    <w:next w:val="1"/>
    <w:link w:val="2211"/>
    <w:qFormat/>
    <w:uiPriority w:val="0"/>
    <w:pPr>
      <w:spacing w:beforeLines="25" w:line="440" w:lineRule="exact"/>
      <w:ind w:firstLine="200" w:firstLineChars="200"/>
    </w:pPr>
    <w:rPr>
      <w:rFonts w:ascii="宋体" w:hAnsi="宋体" w:eastAsia="宋体" w:cs="宋体"/>
      <w:kern w:val="0"/>
      <w:sz w:val="24"/>
      <w:szCs w:val="24"/>
    </w:rPr>
  </w:style>
  <w:style w:type="character" w:customStyle="1" w:styleId="2213">
    <w:name w:val="样式 正文文本缩进 3 + 小四 段前: 6 磅 段后: 6 磅 行距: 1.5 倍行距 Char Char"/>
    <w:link w:val="2214"/>
    <w:qFormat/>
    <w:locked/>
    <w:uiPriority w:val="0"/>
    <w:rPr>
      <w:rFonts w:ascii="宋体" w:hAnsi="宋体" w:cs="宋体"/>
      <w:color w:val="FF0000"/>
      <w:sz w:val="24"/>
      <w:szCs w:val="24"/>
    </w:rPr>
  </w:style>
  <w:style w:type="paragraph" w:customStyle="1" w:styleId="2214">
    <w:name w:val="样式 正文文本缩进 3 + 小四 段前: 6 磅 段后: 6 磅 行距: 1.5 倍行距"/>
    <w:basedOn w:val="71"/>
    <w:link w:val="2213"/>
    <w:qFormat/>
    <w:uiPriority w:val="0"/>
    <w:pPr>
      <w:adjustRightInd w:val="0"/>
      <w:snapToGrid w:val="0"/>
      <w:spacing w:before="120" w:after="120" w:line="360" w:lineRule="auto"/>
      <w:ind w:firstLine="480"/>
    </w:pPr>
    <w:rPr>
      <w:rFonts w:cs="宋体"/>
      <w:color w:val="FF0000"/>
      <w:kern w:val="0"/>
      <w:szCs w:val="24"/>
    </w:rPr>
  </w:style>
  <w:style w:type="character" w:customStyle="1" w:styleId="2215">
    <w:name w:val="正文++++++++++ Char Char"/>
    <w:link w:val="2216"/>
    <w:qFormat/>
    <w:locked/>
    <w:uiPriority w:val="0"/>
    <w:rPr>
      <w:rFonts w:ascii="宋体" w:hAnsi="宋体" w:cs="宋体"/>
      <w:sz w:val="24"/>
      <w:szCs w:val="24"/>
    </w:rPr>
  </w:style>
  <w:style w:type="paragraph" w:customStyle="1" w:styleId="2216">
    <w:name w:val="正文++++++++++"/>
    <w:basedOn w:val="1"/>
    <w:link w:val="2215"/>
    <w:qFormat/>
    <w:uiPriority w:val="0"/>
    <w:pPr>
      <w:ind w:firstLine="534" w:firstLineChars="200"/>
    </w:pPr>
    <w:rPr>
      <w:rFonts w:ascii="宋体" w:hAnsi="宋体" w:eastAsia="宋体" w:cs="宋体"/>
      <w:kern w:val="0"/>
      <w:sz w:val="24"/>
      <w:szCs w:val="24"/>
    </w:rPr>
  </w:style>
  <w:style w:type="character" w:customStyle="1" w:styleId="2217">
    <w:name w:val="hb3 Char Char"/>
    <w:link w:val="2218"/>
    <w:qFormat/>
    <w:locked/>
    <w:uiPriority w:val="0"/>
    <w:rPr>
      <w:rFonts w:ascii="宋体" w:hAnsi="宋体" w:cs="宋体"/>
      <w:b/>
      <w:bCs/>
      <w:sz w:val="24"/>
      <w:szCs w:val="32"/>
    </w:rPr>
  </w:style>
  <w:style w:type="paragraph" w:customStyle="1" w:styleId="2218">
    <w:name w:val="hb3"/>
    <w:basedOn w:val="6"/>
    <w:link w:val="2217"/>
    <w:qFormat/>
    <w:uiPriority w:val="0"/>
    <w:pPr>
      <w:tabs>
        <w:tab w:val="left" w:pos="720"/>
        <w:tab w:val="left" w:pos="1022"/>
        <w:tab w:val="left" w:pos="1080"/>
        <w:tab w:val="left" w:pos="1560"/>
        <w:tab w:val="clear" w:pos="1789"/>
      </w:tabs>
      <w:adjustRightInd w:val="0"/>
      <w:spacing w:before="260" w:after="260"/>
      <w:ind w:left="720" w:hanging="720"/>
      <w:jc w:val="left"/>
    </w:pPr>
    <w:rPr>
      <w:rFonts w:ascii="宋体" w:hAnsi="宋体" w:eastAsia="宋体" w:cs="宋体"/>
      <w:kern w:val="0"/>
      <w:szCs w:val="32"/>
    </w:rPr>
  </w:style>
  <w:style w:type="character" w:customStyle="1" w:styleId="2219">
    <w:name w:val="常用正文 Char Char"/>
    <w:link w:val="2220"/>
    <w:qFormat/>
    <w:locked/>
    <w:uiPriority w:val="0"/>
    <w:rPr>
      <w:rFonts w:ascii="宋体" w:hAnsi="宋体" w:cs="宋体"/>
      <w:szCs w:val="21"/>
    </w:rPr>
  </w:style>
  <w:style w:type="paragraph" w:customStyle="1" w:styleId="2220">
    <w:name w:val="常用正文"/>
    <w:basedOn w:val="1"/>
    <w:link w:val="2219"/>
    <w:qFormat/>
    <w:uiPriority w:val="0"/>
    <w:rPr>
      <w:rFonts w:ascii="宋体" w:hAnsi="宋体" w:eastAsia="宋体" w:cs="宋体"/>
      <w:kern w:val="0"/>
      <w:sz w:val="20"/>
      <w:szCs w:val="21"/>
    </w:rPr>
  </w:style>
  <w:style w:type="character" w:customStyle="1" w:styleId="2221">
    <w:name w:val="hyl21"/>
    <w:qFormat/>
    <w:uiPriority w:val="0"/>
    <w:rPr>
      <w:rFonts w:hint="default" w:ascii="̥_GB2312" w:hAnsi="̥_GB2312" w:eastAsia="宋体" w:cs="宋体"/>
      <w:color w:val="000000"/>
      <w:kern w:val="2"/>
      <w:sz w:val="30"/>
      <w:szCs w:val="30"/>
      <w:u w:val="none"/>
      <w:lang w:val="en-US" w:eastAsia="zh-CN" w:bidi="ar"/>
    </w:rPr>
  </w:style>
  <w:style w:type="character" w:customStyle="1" w:styleId="2222">
    <w:name w:val="Char Char83"/>
    <w:qFormat/>
    <w:uiPriority w:val="0"/>
    <w:rPr>
      <w:rFonts w:eastAsia="宋体"/>
      <w:kern w:val="2"/>
      <w:sz w:val="21"/>
      <w:lang w:val="en-US" w:eastAsia="zh-CN" w:bidi="ar-SA"/>
    </w:rPr>
  </w:style>
  <w:style w:type="character" w:customStyle="1" w:styleId="2223">
    <w:name w:val="Char Char283"/>
    <w:qFormat/>
    <w:uiPriority w:val="0"/>
    <w:rPr>
      <w:rFonts w:ascii="宋体" w:hAnsi="Arial" w:eastAsia="宋体" w:cs="宋体"/>
      <w:b/>
      <w:kern w:val="2"/>
      <w:sz w:val="28"/>
      <w:szCs w:val="24"/>
      <w:lang w:val="en-US" w:eastAsia="zh-CN" w:bidi="ar-SA"/>
    </w:rPr>
  </w:style>
  <w:style w:type="character" w:customStyle="1" w:styleId="2224">
    <w:name w:val="表号 Char2"/>
    <w:qFormat/>
    <w:uiPriority w:val="0"/>
    <w:rPr>
      <w:rFonts w:hint="eastAsia" w:ascii="宋体" w:hAnsi="宋体" w:eastAsia="Times New Roman" w:cs="宋体"/>
      <w:kern w:val="2"/>
      <w:sz w:val="24"/>
      <w:szCs w:val="24"/>
      <w:lang w:val="en-US" w:eastAsia="zh-CN" w:bidi="ar"/>
    </w:rPr>
  </w:style>
  <w:style w:type="character" w:customStyle="1" w:styleId="2225">
    <w:name w:val="样式 正文文本 + 宋体 四号 Char"/>
    <w:qFormat/>
    <w:uiPriority w:val="0"/>
    <w:rPr>
      <w:rFonts w:hint="eastAsia" w:ascii="宋体" w:hAnsi="宋体" w:eastAsia="宋体" w:cs="宋体"/>
      <w:spacing w:val="20"/>
      <w:kern w:val="28"/>
      <w:position w:val="2"/>
      <w:sz w:val="28"/>
      <w:szCs w:val="24"/>
      <w:lang w:val="en-US" w:eastAsia="zh-CN" w:bidi="ar-SA"/>
    </w:rPr>
  </w:style>
  <w:style w:type="character" w:customStyle="1" w:styleId="2226">
    <w:name w:val="Char Char23"/>
    <w:qFormat/>
    <w:locked/>
    <w:uiPriority w:val="0"/>
    <w:rPr>
      <w:rFonts w:ascii="宋体" w:hAnsi="宋体" w:eastAsia="宋体" w:cs="宋体"/>
      <w:kern w:val="2"/>
      <w:sz w:val="24"/>
      <w:szCs w:val="24"/>
      <w:lang w:val="en-US" w:eastAsia="zh-CN" w:bidi="ar-SA"/>
    </w:rPr>
  </w:style>
  <w:style w:type="character" w:customStyle="1" w:styleId="2227">
    <w:name w:val="注释标题 Char2"/>
    <w:qFormat/>
    <w:uiPriority w:val="0"/>
    <w:rPr>
      <w:rFonts w:hint="eastAsia" w:ascii="宋体" w:hAnsi="宋体" w:eastAsia="宋体" w:cs="宋体"/>
      <w:kern w:val="2"/>
      <w:sz w:val="21"/>
      <w:szCs w:val="21"/>
      <w:lang w:val="en-US" w:eastAsia="zh-CN" w:bidi="ar"/>
    </w:rPr>
  </w:style>
  <w:style w:type="character" w:customStyle="1" w:styleId="2228">
    <w:name w:val="4级（小）标题 Char Char"/>
    <w:qFormat/>
    <w:locked/>
    <w:uiPriority w:val="0"/>
    <w:rPr>
      <w:rFonts w:ascii="宋体" w:hAnsi="宋体" w:eastAsia="宋体" w:cs="宋体"/>
      <w:b/>
      <w:sz w:val="24"/>
      <w:szCs w:val="24"/>
    </w:rPr>
  </w:style>
  <w:style w:type="character" w:customStyle="1" w:styleId="2229">
    <w:name w:val="Char Char82"/>
    <w:qFormat/>
    <w:locked/>
    <w:uiPriority w:val="0"/>
    <w:rPr>
      <w:rFonts w:ascii="Calibri" w:hAnsi="Calibri" w:eastAsia="宋体"/>
      <w:kern w:val="2"/>
      <w:sz w:val="18"/>
      <w:szCs w:val="18"/>
      <w:lang w:val="en-US" w:eastAsia="zh-CN" w:bidi="ar-SA"/>
    </w:rPr>
  </w:style>
  <w:style w:type="character" w:customStyle="1" w:styleId="2230">
    <w:name w:val="样式40 Char Char"/>
    <w:link w:val="2231"/>
    <w:qFormat/>
    <w:locked/>
    <w:uiPriority w:val="0"/>
    <w:rPr>
      <w:rFonts w:ascii="宋体" w:hAnsi="宋体"/>
      <w:spacing w:val="-2"/>
      <w:sz w:val="28"/>
    </w:rPr>
  </w:style>
  <w:style w:type="paragraph" w:customStyle="1" w:styleId="2231">
    <w:name w:val="样式40"/>
    <w:basedOn w:val="1"/>
    <w:link w:val="2230"/>
    <w:qFormat/>
    <w:uiPriority w:val="0"/>
    <w:rPr>
      <w:rFonts w:ascii="宋体" w:hAnsi="宋体" w:eastAsia="宋体"/>
      <w:spacing w:val="-2"/>
      <w:kern w:val="0"/>
    </w:rPr>
  </w:style>
  <w:style w:type="character" w:customStyle="1" w:styleId="2232">
    <w:name w:val="正文首行缩进 2 Char"/>
    <w:link w:val="2233"/>
    <w:qFormat/>
    <w:locked/>
    <w:uiPriority w:val="99"/>
    <w:rPr>
      <w:rFonts w:ascii="Calibri" w:hAnsi="Calibri" w:cs="宋体"/>
    </w:rPr>
  </w:style>
  <w:style w:type="paragraph" w:customStyle="1" w:styleId="2233">
    <w:name w:val="正文首行缩进 21"/>
    <w:basedOn w:val="1"/>
    <w:link w:val="2232"/>
    <w:qFormat/>
    <w:uiPriority w:val="0"/>
    <w:pPr>
      <w:spacing w:after="120"/>
      <w:ind w:left="200" w:leftChars="200" w:firstLine="420" w:firstLineChars="200"/>
    </w:pPr>
    <w:rPr>
      <w:rFonts w:ascii="Calibri" w:hAnsi="Calibri" w:eastAsia="宋体" w:cs="宋体"/>
      <w:kern w:val="0"/>
      <w:sz w:val="20"/>
    </w:rPr>
  </w:style>
  <w:style w:type="character" w:customStyle="1" w:styleId="2234">
    <w:name w:val="条-成果 Char Char"/>
    <w:qFormat/>
    <w:uiPriority w:val="0"/>
    <w:rPr>
      <w:rFonts w:hint="eastAsia" w:ascii="宋体" w:hAnsi="宋体" w:eastAsia="宋体" w:cs="宋体"/>
      <w:bCs/>
      <w:kern w:val="2"/>
      <w:sz w:val="24"/>
      <w:szCs w:val="30"/>
      <w:lang w:val="en-US" w:eastAsia="zh-CN" w:bidi="ar-SA"/>
    </w:rPr>
  </w:style>
  <w:style w:type="character" w:customStyle="1" w:styleId="2235">
    <w:name w:val="样式 宋体 四号 行距: 1.5 倍行距 Char"/>
    <w:qFormat/>
    <w:locked/>
    <w:uiPriority w:val="0"/>
    <w:rPr>
      <w:rFonts w:hint="eastAsia" w:ascii="宋体" w:hAnsi="宋体" w:eastAsia="宋体" w:cs="宋体"/>
      <w:sz w:val="28"/>
      <w:lang w:val="en-US" w:eastAsia="zh-CN" w:bidi="ar-SA"/>
    </w:rPr>
  </w:style>
  <w:style w:type="character" w:customStyle="1" w:styleId="2236">
    <w:name w:val="Char Char70"/>
    <w:qFormat/>
    <w:locked/>
    <w:uiPriority w:val="0"/>
    <w:rPr>
      <w:rFonts w:hint="eastAsia" w:ascii="宋体" w:hAnsi="宋体" w:eastAsia="宋体" w:cs="宋体"/>
      <w:spacing w:val="-2"/>
      <w:kern w:val="2"/>
      <w:sz w:val="28"/>
      <w:szCs w:val="24"/>
      <w:lang w:val="en-US" w:eastAsia="zh-CN" w:bidi="ar-SA"/>
    </w:rPr>
  </w:style>
  <w:style w:type="character" w:customStyle="1" w:styleId="2237">
    <w:name w:val="样式 标题 1 + 四号 Char Char"/>
    <w:link w:val="2238"/>
    <w:qFormat/>
    <w:locked/>
    <w:uiPriority w:val="0"/>
    <w:rPr>
      <w:rFonts w:ascii="宋体" w:hAnsi="宋体" w:cs="宋体"/>
      <w:b/>
      <w:bCs/>
      <w:sz w:val="28"/>
      <w:szCs w:val="32"/>
    </w:rPr>
  </w:style>
  <w:style w:type="paragraph" w:customStyle="1" w:styleId="2238">
    <w:name w:val="样式 标题 1 + 四号"/>
    <w:basedOn w:val="3"/>
    <w:link w:val="2237"/>
    <w:qFormat/>
    <w:uiPriority w:val="0"/>
    <w:pPr>
      <w:keepLines w:val="0"/>
      <w:pageBreakBefore w:val="0"/>
      <w:tabs>
        <w:tab w:val="clear" w:pos="1080"/>
      </w:tabs>
      <w:spacing w:before="0" w:after="0" w:line="240" w:lineRule="auto"/>
      <w:ind w:left="0" w:firstLine="0"/>
    </w:pPr>
    <w:rPr>
      <w:rFonts w:ascii="宋体" w:hAnsi="宋体" w:cs="宋体"/>
      <w:bCs/>
      <w:kern w:val="0"/>
      <w:sz w:val="28"/>
      <w:szCs w:val="32"/>
    </w:rPr>
  </w:style>
  <w:style w:type="character" w:customStyle="1" w:styleId="2239">
    <w:name w:val="样式 段落样式 + (西文) 宋体 小四 黑色 Char Char Char Char"/>
    <w:qFormat/>
    <w:uiPriority w:val="0"/>
    <w:rPr>
      <w:rFonts w:hint="eastAsia" w:ascii="宋体" w:hAnsi="宋体" w:eastAsia="宋体" w:cs="宋体"/>
      <w:snapToGrid/>
      <w:color w:val="000000"/>
      <w:w w:val="90"/>
      <w:kern w:val="24"/>
      <w:sz w:val="24"/>
      <w:szCs w:val="21"/>
      <w:lang w:val="en-US" w:eastAsia="zh-CN" w:bidi="ar-SA"/>
    </w:rPr>
  </w:style>
  <w:style w:type="character" w:customStyle="1" w:styleId="2240">
    <w:name w:val="font121"/>
    <w:qFormat/>
    <w:uiPriority w:val="0"/>
    <w:rPr>
      <w:rFonts w:hint="eastAsia" w:ascii="宋体" w:hAnsi="宋体" w:eastAsia="宋体" w:cs="宋体"/>
      <w:kern w:val="2"/>
      <w:sz w:val="18"/>
      <w:szCs w:val="18"/>
      <w:lang w:val="en-US" w:eastAsia="zh-CN" w:bidi="ar"/>
    </w:rPr>
  </w:style>
  <w:style w:type="character" w:customStyle="1" w:styleId="2241">
    <w:name w:val="bt_time"/>
    <w:qFormat/>
    <w:uiPriority w:val="0"/>
    <w:rPr>
      <w:rFonts w:hint="eastAsia" w:ascii="宋体" w:hAnsi="宋体" w:eastAsia="宋体" w:cs="宋体"/>
      <w:kern w:val="2"/>
      <w:sz w:val="24"/>
      <w:szCs w:val="20"/>
      <w:lang w:val="en-US" w:eastAsia="zh-CN" w:bidi="ar"/>
    </w:rPr>
  </w:style>
  <w:style w:type="character" w:customStyle="1" w:styleId="2242">
    <w:name w:val="样式35 Char Char"/>
    <w:qFormat/>
    <w:uiPriority w:val="0"/>
    <w:rPr>
      <w:rFonts w:hint="eastAsia" w:ascii="宋体" w:hAnsi="宋体" w:eastAsia="宋体" w:cs="宋体"/>
      <w:bCs/>
      <w:color w:val="000000"/>
      <w:kern w:val="2"/>
      <w:sz w:val="24"/>
      <w:szCs w:val="24"/>
      <w:lang w:val="en-US" w:eastAsia="zh-CN" w:bidi="ar-SA"/>
    </w:rPr>
  </w:style>
  <w:style w:type="character" w:customStyle="1" w:styleId="2243">
    <w:name w:val="样式 标题3YHY + 黑色 段前: 0.5 行 段后: 0.5 行 Char Char"/>
    <w:link w:val="2244"/>
    <w:qFormat/>
    <w:locked/>
    <w:uiPriority w:val="0"/>
    <w:rPr>
      <w:rFonts w:ascii="宋体" w:hAnsi="宋体" w:cs="宋体"/>
      <w:b/>
      <w:bCs/>
      <w:color w:val="000000"/>
      <w:sz w:val="24"/>
      <w:szCs w:val="24"/>
    </w:rPr>
  </w:style>
  <w:style w:type="paragraph" w:customStyle="1" w:styleId="2244">
    <w:name w:val="样式 标题3YHY + 黑色 段前: 0.5 行 段后: 0.5 行"/>
    <w:basedOn w:val="1"/>
    <w:link w:val="2243"/>
    <w:qFormat/>
    <w:uiPriority w:val="0"/>
    <w:pPr>
      <w:keepNext/>
      <w:keepLines/>
      <w:spacing w:beforeLines="50" w:line="360" w:lineRule="auto"/>
      <w:outlineLvl w:val="2"/>
    </w:pPr>
    <w:rPr>
      <w:rFonts w:ascii="宋体" w:hAnsi="宋体" w:eastAsia="宋体" w:cs="宋体"/>
      <w:b/>
      <w:bCs/>
      <w:color w:val="000000"/>
      <w:kern w:val="0"/>
      <w:sz w:val="24"/>
      <w:szCs w:val="24"/>
    </w:rPr>
  </w:style>
  <w:style w:type="character" w:customStyle="1" w:styleId="2245">
    <w:name w:val="样式12 Char Char"/>
    <w:link w:val="2246"/>
    <w:qFormat/>
    <w:locked/>
    <w:uiPriority w:val="0"/>
    <w:rPr>
      <w:rFonts w:ascii="Arial" w:hAnsi="Arial" w:cs="Arial"/>
      <w:b/>
      <w:bCs/>
      <w:sz w:val="24"/>
      <w:szCs w:val="24"/>
    </w:rPr>
  </w:style>
  <w:style w:type="paragraph" w:customStyle="1" w:styleId="2246">
    <w:name w:val="样式12"/>
    <w:basedOn w:val="1"/>
    <w:link w:val="2245"/>
    <w:qFormat/>
    <w:uiPriority w:val="0"/>
    <w:pPr>
      <w:spacing w:line="360" w:lineRule="auto"/>
    </w:pPr>
    <w:rPr>
      <w:rFonts w:ascii="Arial" w:hAnsi="Arial" w:eastAsia="宋体" w:cs="Arial"/>
      <w:b/>
      <w:bCs/>
      <w:kern w:val="0"/>
      <w:sz w:val="24"/>
      <w:szCs w:val="24"/>
    </w:rPr>
  </w:style>
  <w:style w:type="character" w:customStyle="1" w:styleId="2247">
    <w:name w:val="样式11 Char Char"/>
    <w:link w:val="871"/>
    <w:qFormat/>
    <w:locked/>
    <w:uiPriority w:val="0"/>
    <w:rPr>
      <w:rFonts w:ascii="Arial" w:hAnsi="Arial"/>
      <w:spacing w:val="10"/>
      <w:kern w:val="2"/>
      <w:sz w:val="24"/>
    </w:rPr>
  </w:style>
  <w:style w:type="character" w:customStyle="1" w:styleId="2248">
    <w:name w:val="副标题 Char2"/>
    <w:qFormat/>
    <w:uiPriority w:val="0"/>
    <w:rPr>
      <w:rFonts w:hint="eastAsia" w:ascii="楷体_GB2312" w:hAnsi="宋体" w:eastAsia="楷体_GB2312" w:cs="Times New Roman"/>
      <w:b/>
      <w:spacing w:val="40"/>
      <w:kern w:val="0"/>
      <w:sz w:val="36"/>
      <w:szCs w:val="20"/>
      <w:lang w:val="en-US" w:eastAsia="zh-CN" w:bidi="ar-SA"/>
    </w:rPr>
  </w:style>
  <w:style w:type="character" w:customStyle="1" w:styleId="2249">
    <w:name w:val="样式21 Char Char"/>
    <w:link w:val="2250"/>
    <w:qFormat/>
    <w:locked/>
    <w:uiPriority w:val="0"/>
    <w:rPr>
      <w:rFonts w:ascii="黑体" w:hAnsi="宋体" w:eastAsia="黑体" w:cs="宋体"/>
      <w:b/>
      <w:color w:val="000000"/>
      <w:szCs w:val="24"/>
    </w:rPr>
  </w:style>
  <w:style w:type="paragraph" w:customStyle="1" w:styleId="2250">
    <w:name w:val="样式21"/>
    <w:basedOn w:val="1"/>
    <w:link w:val="2249"/>
    <w:qFormat/>
    <w:uiPriority w:val="0"/>
    <w:pPr>
      <w:autoSpaceDE w:val="0"/>
      <w:autoSpaceDN w:val="0"/>
      <w:adjustRightInd w:val="0"/>
      <w:spacing w:line="360" w:lineRule="auto"/>
      <w:jc w:val="center"/>
    </w:pPr>
    <w:rPr>
      <w:rFonts w:ascii="黑体" w:hAnsi="宋体" w:eastAsia="黑体" w:cs="宋体"/>
      <w:b/>
      <w:color w:val="000000"/>
      <w:kern w:val="0"/>
      <w:sz w:val="20"/>
      <w:szCs w:val="24"/>
    </w:rPr>
  </w:style>
  <w:style w:type="character" w:customStyle="1" w:styleId="2251">
    <w:name w:val="结束语 Char2"/>
    <w:qFormat/>
    <w:uiPriority w:val="0"/>
    <w:rPr>
      <w:rFonts w:hint="eastAsia" w:ascii="宋体" w:hAnsi="宋体" w:eastAsia="宋体" w:cs="宋体"/>
      <w:kern w:val="2"/>
      <w:sz w:val="21"/>
      <w:szCs w:val="21"/>
      <w:lang w:val="en-US" w:eastAsia="zh-CN" w:bidi="ar"/>
    </w:rPr>
  </w:style>
  <w:style w:type="character" w:customStyle="1" w:styleId="2252">
    <w:name w:val="标题55 Char"/>
    <w:qFormat/>
    <w:uiPriority w:val="0"/>
    <w:rPr>
      <w:rFonts w:hint="eastAsia" w:ascii="宋体" w:hAnsi="宋体" w:eastAsia="宋体" w:cs="宋体"/>
      <w:b/>
      <w:bCs/>
      <w:kern w:val="2"/>
      <w:sz w:val="24"/>
      <w:szCs w:val="28"/>
      <w:lang w:val="en-US" w:eastAsia="zh-CN" w:bidi="ar-SA"/>
    </w:rPr>
  </w:style>
  <w:style w:type="character" w:customStyle="1" w:styleId="2253">
    <w:name w:val="tcname"/>
    <w:qFormat/>
    <w:uiPriority w:val="0"/>
    <w:rPr>
      <w:rFonts w:hint="eastAsia" w:ascii="宋体" w:hAnsi="宋体" w:eastAsia="宋体" w:cs="宋体"/>
      <w:kern w:val="2"/>
      <w:sz w:val="28"/>
      <w:szCs w:val="24"/>
      <w:lang w:val="en-US" w:eastAsia="zh-CN" w:bidi="ar"/>
    </w:rPr>
  </w:style>
  <w:style w:type="character" w:customStyle="1" w:styleId="2254">
    <w:name w:val="标题 Char1"/>
    <w:qFormat/>
    <w:uiPriority w:val="0"/>
    <w:rPr>
      <w:rFonts w:hint="default" w:ascii="Cambria" w:hAnsi="Cambria" w:eastAsia="宋体" w:cs="Times New Roman"/>
      <w:b/>
      <w:bCs/>
      <w:kern w:val="2"/>
      <w:sz w:val="32"/>
      <w:szCs w:val="32"/>
      <w:lang w:val="en-US" w:eastAsia="zh-CN" w:bidi="ar"/>
    </w:rPr>
  </w:style>
  <w:style w:type="character" w:customStyle="1" w:styleId="2255">
    <w:name w:val="Char Char47"/>
    <w:qFormat/>
    <w:uiPriority w:val="0"/>
    <w:rPr>
      <w:rFonts w:hint="eastAsia" w:ascii="宋体" w:hAnsi="宋体" w:eastAsia="宋体" w:cs="宋体"/>
      <w:kern w:val="2"/>
      <w:sz w:val="28"/>
      <w:szCs w:val="24"/>
      <w:lang w:val="en-US" w:eastAsia="zh-CN" w:bidi="ar"/>
    </w:rPr>
  </w:style>
  <w:style w:type="character" w:customStyle="1" w:styleId="2256">
    <w:name w:val="asg1"/>
    <w:qFormat/>
    <w:uiPriority w:val="0"/>
    <w:rPr>
      <w:rFonts w:hint="eastAsia" w:ascii="宋体" w:hAnsi="宋体" w:eastAsia="宋体" w:cs="宋体"/>
      <w:kern w:val="2"/>
      <w:sz w:val="18"/>
      <w:szCs w:val="18"/>
      <w:lang w:val="en-US" w:eastAsia="zh-CN" w:bidi="ar"/>
    </w:rPr>
  </w:style>
  <w:style w:type="character" w:customStyle="1" w:styleId="2257">
    <w:name w:val="标题 Char Char"/>
    <w:qFormat/>
    <w:locked/>
    <w:uiPriority w:val="0"/>
    <w:rPr>
      <w:rFonts w:hint="default" w:ascii="Arial" w:hAnsi="Arial" w:eastAsia="宋体" w:cs="Arial"/>
      <w:b/>
      <w:kern w:val="2"/>
      <w:sz w:val="32"/>
      <w:lang w:val="en-US" w:eastAsia="zh-CN" w:bidi="ar-SA"/>
    </w:rPr>
  </w:style>
  <w:style w:type="character" w:customStyle="1" w:styleId="2258">
    <w:name w:val="fix101"/>
    <w:qFormat/>
    <w:uiPriority w:val="0"/>
    <w:rPr>
      <w:rFonts w:hint="default" w:ascii="Arial" w:hAnsi="Arial" w:eastAsia="宋体" w:cs="宋体"/>
      <w:kern w:val="2"/>
      <w:sz w:val="20"/>
      <w:szCs w:val="24"/>
      <w:lang w:val="en-US" w:eastAsia="zh-CN" w:bidi="ar"/>
    </w:rPr>
  </w:style>
  <w:style w:type="character" w:customStyle="1" w:styleId="2259">
    <w:name w:val="text-s1"/>
    <w:qFormat/>
    <w:uiPriority w:val="0"/>
    <w:rPr>
      <w:rFonts w:hint="eastAsia" w:ascii="宋体" w:hAnsi="宋体" w:eastAsia="宋体" w:cs="宋体"/>
      <w:kern w:val="2"/>
      <w:sz w:val="20"/>
      <w:szCs w:val="20"/>
      <w:lang w:val="en-US" w:eastAsia="zh-CN" w:bidi="ar"/>
    </w:rPr>
  </w:style>
  <w:style w:type="character" w:customStyle="1" w:styleId="2260">
    <w:name w:val="font3"/>
    <w:qFormat/>
    <w:uiPriority w:val="0"/>
    <w:rPr>
      <w:rFonts w:hint="eastAsia" w:ascii="宋体" w:hAnsi="宋体" w:eastAsia="宋体" w:cs="宋体"/>
      <w:kern w:val="2"/>
      <w:sz w:val="24"/>
      <w:szCs w:val="20"/>
      <w:lang w:val="en-US" w:eastAsia="zh-CN" w:bidi="ar"/>
    </w:rPr>
  </w:style>
  <w:style w:type="character" w:customStyle="1" w:styleId="2261">
    <w:name w:val="content2"/>
    <w:qFormat/>
    <w:uiPriority w:val="0"/>
    <w:rPr>
      <w:rFonts w:hint="eastAsia" w:ascii="宋体" w:hAnsi="宋体" w:eastAsia="宋体" w:cs="宋体"/>
      <w:kern w:val="2"/>
      <w:sz w:val="28"/>
      <w:szCs w:val="24"/>
      <w:lang w:val="en-US" w:eastAsia="zh-CN" w:bidi="ar"/>
    </w:rPr>
  </w:style>
  <w:style w:type="character" w:customStyle="1" w:styleId="2262">
    <w:name w:val="实德题注 Char Char"/>
    <w:qFormat/>
    <w:uiPriority w:val="0"/>
    <w:rPr>
      <w:rFonts w:hint="default" w:ascii="Cambria" w:hAnsi="Cambria" w:eastAsia="黑体" w:cs="宋体"/>
      <w:kern w:val="2"/>
      <w:sz w:val="28"/>
      <w:szCs w:val="24"/>
      <w:lang w:val="en-US" w:eastAsia="zh-CN" w:bidi="ar-SA"/>
    </w:rPr>
  </w:style>
  <w:style w:type="character" w:customStyle="1" w:styleId="2263">
    <w:name w:val="datatitle1"/>
    <w:qFormat/>
    <w:uiPriority w:val="0"/>
    <w:rPr>
      <w:rFonts w:hint="eastAsia" w:ascii="宋体" w:hAnsi="宋体" w:eastAsia="宋体" w:cs="宋体"/>
      <w:b/>
      <w:bCs/>
      <w:color w:val="10619F"/>
      <w:kern w:val="2"/>
      <w:sz w:val="21"/>
      <w:szCs w:val="21"/>
      <w:lang w:val="en-US" w:eastAsia="zh-CN" w:bidi="ar"/>
    </w:rPr>
  </w:style>
  <w:style w:type="character" w:customStyle="1" w:styleId="2264">
    <w:name w:val="批注框文本 Char Char Char Char"/>
    <w:qFormat/>
    <w:uiPriority w:val="0"/>
    <w:rPr>
      <w:rFonts w:hint="eastAsia" w:ascii="宋体" w:hAnsi="宋体" w:eastAsia="宋体" w:cs="宋体"/>
      <w:kern w:val="2"/>
      <w:sz w:val="18"/>
      <w:szCs w:val="18"/>
      <w:lang w:val="en-US" w:eastAsia="zh-CN" w:bidi="ar"/>
    </w:rPr>
  </w:style>
  <w:style w:type="character" w:customStyle="1" w:styleId="2265">
    <w:name w:val="表格字 Char"/>
    <w:qFormat/>
    <w:locked/>
    <w:uiPriority w:val="0"/>
    <w:rPr>
      <w:rFonts w:hint="eastAsia" w:ascii="宋体" w:hAnsi="宋体" w:eastAsia="宋体" w:cs="宋体"/>
      <w:snapToGrid/>
      <w:color w:val="000000"/>
      <w:kern w:val="2"/>
      <w:sz w:val="21"/>
      <w:szCs w:val="21"/>
      <w:lang w:val="en-US" w:eastAsia="zh-CN" w:bidi="ar-SA"/>
    </w:rPr>
  </w:style>
  <w:style w:type="character" w:customStyle="1" w:styleId="2266">
    <w:name w:val="样式34 Char Char"/>
    <w:qFormat/>
    <w:uiPriority w:val="0"/>
    <w:rPr>
      <w:rFonts w:hint="eastAsia" w:ascii="宋体" w:hAnsi="宋体" w:eastAsia="宋体" w:cs="宋体"/>
      <w:color w:val="000000"/>
      <w:kern w:val="2"/>
      <w:sz w:val="24"/>
      <w:szCs w:val="24"/>
      <w:lang w:val="en-US" w:eastAsia="zh-CN" w:bidi="ar"/>
    </w:rPr>
  </w:style>
  <w:style w:type="character" w:customStyle="1" w:styleId="2267">
    <w:name w:val="font031"/>
    <w:qFormat/>
    <w:uiPriority w:val="0"/>
    <w:rPr>
      <w:rFonts w:hint="eastAsia" w:ascii="宋体" w:hAnsi="宋体" w:eastAsia="宋体" w:cs="宋体"/>
      <w:kern w:val="2"/>
      <w:sz w:val="26"/>
      <w:szCs w:val="26"/>
      <w:u w:val="none"/>
      <w:lang w:val="en-US" w:eastAsia="zh-CN" w:bidi="ar"/>
    </w:rPr>
  </w:style>
  <w:style w:type="character" w:customStyle="1" w:styleId="2268">
    <w:name w:val="标题 2 字符1"/>
    <w:qFormat/>
    <w:uiPriority w:val="0"/>
    <w:rPr>
      <w:rFonts w:hint="eastAsia" w:ascii="宋体" w:hAnsi="宋体" w:eastAsia="宋体"/>
      <w:spacing w:val="-2"/>
      <w:sz w:val="28"/>
      <w:lang w:val="en-US" w:eastAsia="zh-CN" w:bidi="ar-SA"/>
    </w:rPr>
  </w:style>
  <w:style w:type="character" w:customStyle="1" w:styleId="2269">
    <w:name w:val="llyf141"/>
    <w:qFormat/>
    <w:uiPriority w:val="0"/>
    <w:rPr>
      <w:rFonts w:hint="eastAsia" w:ascii="宋体" w:hAnsi="宋体" w:eastAsia="宋体" w:cs="宋体"/>
      <w:kern w:val="2"/>
      <w:sz w:val="21"/>
      <w:szCs w:val="21"/>
      <w:lang w:val="en-US" w:eastAsia="zh-CN" w:bidi="ar"/>
    </w:rPr>
  </w:style>
  <w:style w:type="character" w:customStyle="1" w:styleId="2270">
    <w:name w:val="newsbody1"/>
    <w:qFormat/>
    <w:uiPriority w:val="0"/>
    <w:rPr>
      <w:rFonts w:hint="eastAsia" w:ascii="宋体" w:hAnsi="宋体" w:eastAsia="宋体" w:cs="宋体"/>
      <w:color w:val="363636"/>
      <w:spacing w:val="345"/>
      <w:kern w:val="2"/>
      <w:sz w:val="21"/>
      <w:szCs w:val="21"/>
      <w:lang w:val="en-US" w:eastAsia="zh-CN" w:bidi="ar"/>
    </w:rPr>
  </w:style>
  <w:style w:type="character" w:customStyle="1" w:styleId="2271">
    <w:name w:val="table-xiayou"/>
    <w:qFormat/>
    <w:uiPriority w:val="0"/>
    <w:rPr>
      <w:rFonts w:hint="eastAsia" w:ascii="宋体" w:hAnsi="宋体" w:eastAsia="宋体" w:cs="宋体"/>
      <w:kern w:val="2"/>
      <w:sz w:val="28"/>
      <w:szCs w:val="24"/>
      <w:lang w:val="en-US" w:eastAsia="zh-CN" w:bidi="ar"/>
    </w:rPr>
  </w:style>
  <w:style w:type="character" w:customStyle="1" w:styleId="2272">
    <w:name w:val="about-left1"/>
    <w:qFormat/>
    <w:uiPriority w:val="0"/>
    <w:rPr>
      <w:rFonts w:hint="eastAsia" w:ascii="宋体" w:hAnsi="宋体" w:eastAsia="宋体" w:cs="宋体"/>
      <w:color w:val="3A3A3A"/>
      <w:spacing w:val="15"/>
      <w:kern w:val="2"/>
      <w:sz w:val="18"/>
      <w:szCs w:val="18"/>
      <w:u w:val="none"/>
      <w:lang w:val="en-US" w:eastAsia="zh-CN" w:bidi="ar"/>
    </w:rPr>
  </w:style>
  <w:style w:type="character" w:customStyle="1" w:styleId="2273">
    <w:name w:val="样式 样式 样式 样式 (符号) 宋体 13 磅 首行缩进:  2 字符 行距: 1.5 倍行距 + 首行缩进:  2 字符 +... Char Char Char"/>
    <w:qFormat/>
    <w:uiPriority w:val="0"/>
    <w:rPr>
      <w:rFonts w:hint="eastAsia" w:ascii="宋体" w:hAnsi="宋体" w:eastAsia="宋体" w:cs="宋体"/>
      <w:kern w:val="2"/>
      <w:sz w:val="26"/>
      <w:lang w:val="en-US" w:eastAsia="zh-CN" w:bidi="ar-SA"/>
    </w:rPr>
  </w:style>
  <w:style w:type="character" w:customStyle="1" w:styleId="2274">
    <w:name w:val="标题 Char3"/>
    <w:qFormat/>
    <w:uiPriority w:val="0"/>
    <w:rPr>
      <w:rFonts w:hint="default" w:ascii="Cambria" w:hAnsi="Cambria" w:eastAsia="宋体" w:cs="Times New Roman"/>
      <w:b/>
      <w:bCs/>
      <w:kern w:val="2"/>
      <w:sz w:val="32"/>
      <w:szCs w:val="32"/>
      <w:lang w:val="en-US" w:eastAsia="zh-CN" w:bidi="ar-SA"/>
    </w:rPr>
  </w:style>
  <w:style w:type="character" w:customStyle="1" w:styleId="2275">
    <w:name w:val="标题3YHY Char Char Char"/>
    <w:qFormat/>
    <w:uiPriority w:val="0"/>
    <w:rPr>
      <w:rFonts w:hint="eastAsia" w:ascii="宋体" w:hAnsi="宋体" w:eastAsia="宋体" w:cs="宋体"/>
      <w:b/>
      <w:kern w:val="2"/>
      <w:sz w:val="24"/>
      <w:szCs w:val="24"/>
      <w:lang w:val="en-US" w:eastAsia="zh-CN" w:bidi="ar-SA"/>
    </w:rPr>
  </w:style>
  <w:style w:type="character" w:customStyle="1" w:styleId="2276">
    <w:name w:val="BOD 0 Char"/>
    <w:qFormat/>
    <w:uiPriority w:val="0"/>
    <w:rPr>
      <w:rFonts w:hint="eastAsia" w:ascii="宋体" w:hAnsi="宋体" w:eastAsia="宋体" w:cs="宋体"/>
      <w:kern w:val="2"/>
      <w:sz w:val="28"/>
      <w:szCs w:val="24"/>
      <w:lang w:val="en-US" w:eastAsia="zh-CN" w:bidi="ar-SA"/>
    </w:rPr>
  </w:style>
  <w:style w:type="character" w:customStyle="1" w:styleId="2277">
    <w:name w:val="样式42 Char"/>
    <w:qFormat/>
    <w:uiPriority w:val="0"/>
    <w:rPr>
      <w:rFonts w:hint="eastAsia" w:ascii="宋体" w:hAnsi="宋体" w:eastAsia="宋体"/>
      <w:bCs/>
      <w:color w:val="000000"/>
      <w:kern w:val="2"/>
      <w:sz w:val="24"/>
      <w:szCs w:val="24"/>
      <w:lang w:val="en-US" w:eastAsia="zh-CN" w:bidi="ar-SA"/>
    </w:rPr>
  </w:style>
  <w:style w:type="character" w:customStyle="1" w:styleId="2278">
    <w:name w:val="link14pp1"/>
    <w:qFormat/>
    <w:uiPriority w:val="0"/>
    <w:rPr>
      <w:rFonts w:hint="eastAsia" w:ascii="宋体" w:hAnsi="宋体" w:eastAsia="宋体" w:cs="宋体"/>
      <w:color w:val="000000"/>
      <w:kern w:val="2"/>
      <w:sz w:val="21"/>
      <w:szCs w:val="21"/>
      <w:lang w:val="en-US" w:eastAsia="zh-CN" w:bidi="ar"/>
    </w:rPr>
  </w:style>
  <w:style w:type="character" w:customStyle="1" w:styleId="2279">
    <w:name w:val="puntext"/>
    <w:qFormat/>
    <w:uiPriority w:val="0"/>
    <w:rPr>
      <w:rFonts w:hint="eastAsia" w:ascii="宋体" w:hAnsi="宋体" w:eastAsia="宋体" w:cs="宋体"/>
      <w:kern w:val="2"/>
      <w:sz w:val="24"/>
      <w:szCs w:val="20"/>
      <w:lang w:val="en-US" w:eastAsia="zh-CN" w:bidi="ar"/>
    </w:rPr>
  </w:style>
  <w:style w:type="character" w:customStyle="1" w:styleId="2280">
    <w:name w:val="样式6 Char Char"/>
    <w:qFormat/>
    <w:locked/>
    <w:uiPriority w:val="0"/>
    <w:rPr>
      <w:rFonts w:ascii="Arial" w:hAnsi="Arial" w:eastAsia="宋体" w:cs="Arial"/>
      <w:spacing w:val="10"/>
      <w:sz w:val="24"/>
    </w:rPr>
  </w:style>
  <w:style w:type="character" w:customStyle="1" w:styleId="2281">
    <w:name w:val="样式 标题 2标题 21标题 121标题 2 Char1 Char节H2节标题 1.1节标题 1.1 Char... Char Char"/>
    <w:qFormat/>
    <w:uiPriority w:val="0"/>
    <w:rPr>
      <w:rFonts w:hint="eastAsia" w:ascii="黑体" w:hAnsi="宋体" w:eastAsia="黑体" w:cs="宋体"/>
      <w:b/>
      <w:bCs/>
      <w:color w:val="000000"/>
      <w:kern w:val="2"/>
      <w:sz w:val="28"/>
      <w:szCs w:val="24"/>
      <w:lang w:val="en-US" w:eastAsia="zh-CN" w:bidi="ar"/>
    </w:rPr>
  </w:style>
  <w:style w:type="character" w:customStyle="1" w:styleId="2282">
    <w:name w:val="正文格式 Char Char"/>
    <w:qFormat/>
    <w:uiPriority w:val="0"/>
    <w:rPr>
      <w:rFonts w:hint="eastAsia" w:ascii="宋体" w:hAnsi="宋体" w:eastAsia="宋体" w:cs="宋体"/>
      <w:kern w:val="2"/>
      <w:sz w:val="24"/>
      <w:szCs w:val="24"/>
      <w:lang w:val="en-US" w:eastAsia="zh-CN" w:bidi="ar"/>
    </w:rPr>
  </w:style>
  <w:style w:type="character" w:customStyle="1" w:styleId="2283">
    <w:name w:val="Char Char36"/>
    <w:qFormat/>
    <w:locked/>
    <w:uiPriority w:val="0"/>
    <w:rPr>
      <w:rFonts w:ascii="宋体" w:hAnsi="宋体" w:eastAsia="宋体" w:cs="宋体"/>
      <w:kern w:val="2"/>
      <w:sz w:val="28"/>
      <w:szCs w:val="24"/>
      <w:lang w:val="en-US" w:eastAsia="zh-CN" w:bidi="ar-SA"/>
    </w:rPr>
  </w:style>
  <w:style w:type="character" w:customStyle="1" w:styleId="2284">
    <w:name w:val="日期 Char Char"/>
    <w:qFormat/>
    <w:uiPriority w:val="0"/>
    <w:rPr>
      <w:rFonts w:hint="eastAsia" w:ascii="宋体" w:hAnsi="宋体" w:eastAsia="宋体" w:cs="宋体"/>
      <w:kern w:val="2"/>
      <w:sz w:val="21"/>
      <w:szCs w:val="24"/>
      <w:lang w:val="en-US" w:eastAsia="zh-CN" w:bidi="ar"/>
    </w:rPr>
  </w:style>
  <w:style w:type="character" w:customStyle="1" w:styleId="2285">
    <w:name w:val="结束语 Char"/>
    <w:link w:val="32"/>
    <w:qFormat/>
    <w:locked/>
    <w:uiPriority w:val="0"/>
    <w:rPr>
      <w:rFonts w:ascii="华文楷体" w:hAnsi="华文楷体" w:eastAsia="楷体_GB2312"/>
      <w:bCs/>
      <w:kern w:val="2"/>
      <w:sz w:val="28"/>
      <w:szCs w:val="24"/>
    </w:rPr>
  </w:style>
  <w:style w:type="character" w:customStyle="1" w:styleId="2286">
    <w:name w:val="正文文本缩进 Char3"/>
    <w:qFormat/>
    <w:uiPriority w:val="0"/>
    <w:rPr>
      <w:rFonts w:hint="eastAsia" w:ascii="宋体" w:hAnsi="宋体" w:eastAsia="宋体" w:cs="宋体"/>
      <w:kern w:val="2"/>
      <w:sz w:val="28"/>
      <w:szCs w:val="24"/>
      <w:lang w:val="en-US" w:eastAsia="zh-CN" w:bidi="ar"/>
    </w:rPr>
  </w:style>
  <w:style w:type="character" w:customStyle="1" w:styleId="2287">
    <w:name w:val="样式 德胜表格内容 + 紧缩量  0.6 磅 Char Char"/>
    <w:link w:val="2288"/>
    <w:qFormat/>
    <w:locked/>
    <w:uiPriority w:val="0"/>
  </w:style>
  <w:style w:type="paragraph" w:customStyle="1" w:styleId="2288">
    <w:name w:val="样式 德胜表格内容 + 紧缩量  0.6 磅"/>
    <w:basedOn w:val="1808"/>
    <w:link w:val="2287"/>
    <w:qFormat/>
    <w:uiPriority w:val="0"/>
    <w:rPr>
      <w:rFonts w:ascii="Times New Roman" w:hAnsi="Times New Roman" w:cs="Times New Roman"/>
      <w:color w:val="auto"/>
      <w:szCs w:val="20"/>
    </w:rPr>
  </w:style>
  <w:style w:type="character" w:customStyle="1" w:styleId="2289">
    <w:name w:val="样式35 Char"/>
    <w:qFormat/>
    <w:uiPriority w:val="0"/>
    <w:rPr>
      <w:rFonts w:hint="eastAsia" w:ascii="宋体" w:hAnsi="宋体" w:eastAsia="宋体"/>
      <w:bCs/>
      <w:color w:val="000000"/>
      <w:kern w:val="2"/>
      <w:sz w:val="24"/>
      <w:szCs w:val="24"/>
      <w:lang w:val="en-US" w:eastAsia="zh-CN" w:bidi="ar-SA"/>
    </w:rPr>
  </w:style>
  <w:style w:type="character" w:customStyle="1" w:styleId="2290">
    <w:name w:val="标题样式1 Char Char"/>
    <w:link w:val="2291"/>
    <w:qFormat/>
    <w:locked/>
    <w:uiPriority w:val="0"/>
    <w:rPr>
      <w:rFonts w:ascii="黑体" w:hAnsi="宋体" w:eastAsia="黑体" w:cs="宋体"/>
      <w:b/>
      <w:kern w:val="44"/>
      <w:sz w:val="28"/>
      <w:szCs w:val="24"/>
    </w:rPr>
  </w:style>
  <w:style w:type="paragraph" w:customStyle="1" w:styleId="2291">
    <w:name w:val="标题样式1"/>
    <w:basedOn w:val="3"/>
    <w:link w:val="2290"/>
    <w:qFormat/>
    <w:uiPriority w:val="0"/>
    <w:pPr>
      <w:pageBreakBefore w:val="0"/>
      <w:tabs>
        <w:tab w:val="clear" w:pos="1080"/>
      </w:tabs>
      <w:spacing w:before="0" w:after="0" w:line="360" w:lineRule="auto"/>
      <w:ind w:left="0" w:firstLine="0"/>
      <w:jc w:val="both"/>
    </w:pPr>
    <w:rPr>
      <w:rFonts w:ascii="黑体" w:hAnsi="宋体" w:eastAsia="黑体" w:cs="宋体"/>
      <w:sz w:val="28"/>
      <w:szCs w:val="24"/>
    </w:rPr>
  </w:style>
  <w:style w:type="character" w:customStyle="1" w:styleId="2292">
    <w:name w:val="unnamed81"/>
    <w:qFormat/>
    <w:uiPriority w:val="0"/>
    <w:rPr>
      <w:rFonts w:hint="eastAsia" w:ascii="宋体" w:hAnsi="宋体" w:eastAsia="宋体" w:cs="宋体"/>
      <w:color w:val="CC6633"/>
      <w:kern w:val="2"/>
      <w:sz w:val="18"/>
      <w:szCs w:val="18"/>
      <w:lang w:val="en-US" w:eastAsia="zh-CN" w:bidi="ar-SA"/>
    </w:rPr>
  </w:style>
  <w:style w:type="character" w:customStyle="1" w:styleId="2293">
    <w:name w:val="结束语 字符"/>
    <w:qFormat/>
    <w:uiPriority w:val="0"/>
    <w:rPr>
      <w:spacing w:val="-2"/>
      <w:sz w:val="28"/>
      <w:lang w:bidi="ar-SA"/>
    </w:rPr>
  </w:style>
  <w:style w:type="character" w:customStyle="1" w:styleId="2294">
    <w:name w:val="theinfocontent1"/>
    <w:qFormat/>
    <w:uiPriority w:val="0"/>
    <w:rPr>
      <w:rFonts w:hint="default" w:ascii="ˎ̥" w:hAnsi="ˎ̥" w:eastAsia="宋体" w:cs="宋体"/>
      <w:kern w:val="2"/>
      <w:sz w:val="20"/>
      <w:szCs w:val="20"/>
      <w:lang w:val="en-US" w:eastAsia="zh-CN" w:bidi="ar"/>
    </w:rPr>
  </w:style>
  <w:style w:type="character" w:customStyle="1" w:styleId="2295">
    <w:name w:val="表格new Char"/>
    <w:qFormat/>
    <w:uiPriority w:val="0"/>
    <w:rPr>
      <w:rFonts w:hint="eastAsia" w:ascii="宋体" w:hAnsi="宋体" w:eastAsia="宋体" w:cs="宋体"/>
      <w:kern w:val="2"/>
      <w:sz w:val="21"/>
      <w:szCs w:val="21"/>
      <w:lang w:val="en-US" w:eastAsia="zh-CN" w:bidi="ar-SA"/>
    </w:rPr>
  </w:style>
  <w:style w:type="character" w:customStyle="1" w:styleId="2296">
    <w:name w:val="style81"/>
    <w:qFormat/>
    <w:uiPriority w:val="0"/>
    <w:rPr>
      <w:rFonts w:hint="eastAsia" w:ascii="宋体" w:hAnsi="宋体" w:eastAsia="宋体" w:cs="宋体"/>
      <w:color w:val="666666"/>
      <w:kern w:val="2"/>
      <w:sz w:val="18"/>
      <w:szCs w:val="18"/>
      <w:lang w:val="en-US" w:eastAsia="zh-CN" w:bidi="ar"/>
    </w:rPr>
  </w:style>
  <w:style w:type="character" w:customStyle="1" w:styleId="2297">
    <w:name w:val="正文文本缩进 2 Char3"/>
    <w:qFormat/>
    <w:uiPriority w:val="0"/>
    <w:rPr>
      <w:rFonts w:hint="default" w:ascii="Times New Roman" w:hAnsi="Times New Roman" w:eastAsia="宋体" w:cs="Times New Roman"/>
      <w:kern w:val="2"/>
      <w:sz w:val="28"/>
      <w:szCs w:val="24"/>
      <w:lang w:val="en-US" w:eastAsia="zh-CN" w:bidi="ar-SA"/>
    </w:rPr>
  </w:style>
  <w:style w:type="character" w:customStyle="1" w:styleId="2298">
    <w:name w:val="105w1"/>
    <w:qFormat/>
    <w:uiPriority w:val="0"/>
    <w:rPr>
      <w:rFonts w:hint="default" w:ascii="ˎ̥" w:hAnsi="ˎ̥" w:eastAsia="宋体" w:cs="宋体"/>
      <w:kern w:val="2"/>
      <w:sz w:val="29"/>
      <w:szCs w:val="29"/>
      <w:lang w:val="en-US" w:eastAsia="zh-CN" w:bidi="ar"/>
    </w:rPr>
  </w:style>
  <w:style w:type="character" w:customStyle="1" w:styleId="2299">
    <w:name w:val="Char Char Char Char Char Char Char Char Char2"/>
    <w:link w:val="2300"/>
    <w:qFormat/>
    <w:locked/>
    <w:uiPriority w:val="0"/>
    <w:rPr>
      <w:rFonts w:ascii="宋体" w:hAnsi="宋体"/>
      <w:sz w:val="28"/>
      <w:szCs w:val="24"/>
    </w:rPr>
  </w:style>
  <w:style w:type="paragraph" w:customStyle="1" w:styleId="2300">
    <w:name w:val="Char Char Char Char Char Char2"/>
    <w:basedOn w:val="1"/>
    <w:link w:val="2299"/>
    <w:qFormat/>
    <w:uiPriority w:val="0"/>
    <w:rPr>
      <w:rFonts w:ascii="宋体" w:hAnsi="宋体" w:eastAsia="宋体"/>
      <w:kern w:val="0"/>
      <w:szCs w:val="24"/>
    </w:rPr>
  </w:style>
  <w:style w:type="character" w:customStyle="1" w:styleId="2301">
    <w:name w:val="环评标题4 Char"/>
    <w:qFormat/>
    <w:uiPriority w:val="0"/>
    <w:rPr>
      <w:rFonts w:hint="eastAsia" w:ascii="宋体" w:hAnsi="宋体" w:eastAsia="宋体"/>
      <w:bCs/>
      <w:kern w:val="2"/>
      <w:sz w:val="24"/>
      <w:szCs w:val="28"/>
      <w:lang w:val="en-US" w:eastAsia="zh-CN" w:bidi="ar-SA"/>
    </w:rPr>
  </w:style>
  <w:style w:type="character" w:customStyle="1" w:styleId="2302">
    <w:name w:val="样式13 Char Char"/>
    <w:link w:val="910"/>
    <w:qFormat/>
    <w:locked/>
    <w:uiPriority w:val="0"/>
    <w:rPr>
      <w:rFonts w:ascii="Arial" w:hAnsi="Arial" w:cs="Arial"/>
      <w:kern w:val="2"/>
      <w:sz w:val="24"/>
      <w:szCs w:val="24"/>
    </w:rPr>
  </w:style>
  <w:style w:type="character" w:customStyle="1" w:styleId="2303">
    <w:name w:val="cucd-TB Char Char"/>
    <w:link w:val="2304"/>
    <w:qFormat/>
    <w:locked/>
    <w:uiPriority w:val="0"/>
    <w:rPr>
      <w:rFonts w:ascii="宋体" w:hAnsi="宋体" w:cs="宋体"/>
      <w:szCs w:val="24"/>
    </w:rPr>
  </w:style>
  <w:style w:type="paragraph" w:customStyle="1" w:styleId="2304">
    <w:name w:val="cucd-TB"/>
    <w:link w:val="2303"/>
    <w:qFormat/>
    <w:uiPriority w:val="0"/>
    <w:pPr>
      <w:spacing w:line="360" w:lineRule="auto"/>
      <w:jc w:val="center"/>
    </w:pPr>
    <w:rPr>
      <w:rFonts w:ascii="宋体" w:hAnsi="宋体" w:eastAsia="宋体" w:cs="宋体"/>
      <w:szCs w:val="24"/>
      <w:lang w:val="en-US" w:eastAsia="zh-CN" w:bidi="ar-SA"/>
    </w:rPr>
  </w:style>
  <w:style w:type="character" w:customStyle="1" w:styleId="2305">
    <w:name w:val="style51"/>
    <w:qFormat/>
    <w:uiPriority w:val="0"/>
    <w:rPr>
      <w:rFonts w:hint="eastAsia" w:ascii="宋体" w:hAnsi="宋体" w:eastAsia="宋体" w:cs="宋体"/>
      <w:b/>
      <w:bCs/>
      <w:color w:val="000066"/>
      <w:kern w:val="2"/>
      <w:sz w:val="36"/>
      <w:szCs w:val="36"/>
      <w:lang w:val="en-US" w:eastAsia="zh-CN" w:bidi="ar"/>
    </w:rPr>
  </w:style>
  <w:style w:type="character" w:customStyle="1" w:styleId="2306">
    <w:name w:val="三级标题 Char Char Char"/>
    <w:qFormat/>
    <w:locked/>
    <w:uiPriority w:val="0"/>
    <w:rPr>
      <w:rFonts w:ascii="宋体" w:hAnsi="宋体" w:eastAsia="宋体" w:cs="宋体"/>
      <w:b/>
      <w:kern w:val="2"/>
      <w:sz w:val="24"/>
      <w:szCs w:val="24"/>
      <w:lang w:val="en-US" w:eastAsia="zh-CN" w:bidi="ar-SA"/>
    </w:rPr>
  </w:style>
  <w:style w:type="character" w:customStyle="1" w:styleId="2307">
    <w:name w:val="样式 11.5 磅"/>
    <w:qFormat/>
    <w:uiPriority w:val="0"/>
    <w:rPr>
      <w:rFonts w:hint="eastAsia" w:ascii="宋体" w:hAnsi="宋体" w:eastAsia="宋体" w:cs="宋体"/>
      <w:kern w:val="2"/>
      <w:sz w:val="24"/>
      <w:szCs w:val="24"/>
      <w:lang w:val="en-US" w:eastAsia="zh-CN" w:bidi="ar"/>
    </w:rPr>
  </w:style>
  <w:style w:type="character" w:customStyle="1" w:styleId="2308">
    <w:name w:val="正文2缩进主要格式 Char Char"/>
    <w:qFormat/>
    <w:uiPriority w:val="0"/>
    <w:rPr>
      <w:rFonts w:hint="eastAsia" w:ascii="宋体" w:hAnsi="宋体" w:eastAsia="宋体" w:cs="宋体"/>
      <w:kern w:val="2"/>
      <w:sz w:val="24"/>
      <w:lang w:val="en-US" w:eastAsia="zh-CN" w:bidi="ar-SA"/>
    </w:rPr>
  </w:style>
  <w:style w:type="character" w:customStyle="1" w:styleId="2309">
    <w:name w:val="脚注文本 Char2"/>
    <w:qFormat/>
    <w:uiPriority w:val="0"/>
    <w:rPr>
      <w:rFonts w:hint="eastAsia" w:ascii="宋体" w:hAnsi="宋体" w:eastAsia="宋体" w:cs="宋体"/>
      <w:kern w:val="2"/>
      <w:sz w:val="18"/>
      <w:szCs w:val="18"/>
      <w:lang w:val="en-US" w:eastAsia="zh-CN" w:bidi="ar"/>
    </w:rPr>
  </w:style>
  <w:style w:type="character" w:customStyle="1" w:styleId="2310">
    <w:name w:val="样式10 Char Char Char"/>
    <w:link w:val="1011"/>
    <w:qFormat/>
    <w:locked/>
    <w:uiPriority w:val="0"/>
    <w:rPr>
      <w:rFonts w:ascii="Arial" w:hAnsi="Arial" w:cs="Arial"/>
      <w:b/>
      <w:bCs/>
      <w:kern w:val="2"/>
      <w:sz w:val="24"/>
      <w:szCs w:val="24"/>
      <w:lang w:val="en-GB"/>
    </w:rPr>
  </w:style>
  <w:style w:type="character" w:customStyle="1" w:styleId="2311">
    <w:name w:val="正文文本 2 Char3"/>
    <w:qFormat/>
    <w:uiPriority w:val="0"/>
    <w:rPr>
      <w:rFonts w:hint="eastAsia" w:ascii="宋体" w:hAnsi="宋体" w:eastAsia="宋体" w:cs="宋体"/>
      <w:kern w:val="2"/>
      <w:sz w:val="21"/>
      <w:szCs w:val="21"/>
      <w:lang w:val="en-US" w:eastAsia="zh-CN" w:bidi="ar"/>
    </w:rPr>
  </w:style>
  <w:style w:type="character" w:customStyle="1" w:styleId="2312">
    <w:name w:val="三级条标题 Char Char"/>
    <w:qFormat/>
    <w:uiPriority w:val="0"/>
    <w:rPr>
      <w:rFonts w:hint="eastAsia" w:ascii="宋体" w:hAnsi="宋体" w:eastAsia="宋体" w:cs="宋体"/>
      <w:kern w:val="2"/>
      <w:sz w:val="21"/>
      <w:szCs w:val="24"/>
      <w:lang w:val="en-US" w:eastAsia="zh-CN" w:bidi="ar-SA"/>
    </w:rPr>
  </w:style>
  <w:style w:type="character" w:customStyle="1" w:styleId="2313">
    <w:name w:val="样式 表头YHY + 五号 自动设置 Char Char Char"/>
    <w:qFormat/>
    <w:uiPriority w:val="0"/>
    <w:rPr>
      <w:rFonts w:hint="eastAsia" w:ascii="宋体" w:hAnsi="宋体" w:eastAsia="宋体" w:cs="宋体"/>
      <w:kern w:val="2"/>
      <w:sz w:val="28"/>
      <w:szCs w:val="24"/>
      <w:lang w:val="en-US" w:eastAsia="zh-CN" w:bidi="ar"/>
    </w:rPr>
  </w:style>
  <w:style w:type="character" w:customStyle="1" w:styleId="2314">
    <w:name w:val="02 Char Char"/>
    <w:link w:val="2315"/>
    <w:qFormat/>
    <w:locked/>
    <w:uiPriority w:val="0"/>
    <w:rPr>
      <w:rFonts w:ascii="宋体" w:hAnsi="宋体" w:eastAsia="黑体" w:cs="宋体"/>
      <w:b/>
      <w:bCs/>
      <w:sz w:val="24"/>
      <w:szCs w:val="32"/>
    </w:rPr>
  </w:style>
  <w:style w:type="paragraph" w:customStyle="1" w:styleId="2315">
    <w:name w:val="02"/>
    <w:basedOn w:val="6"/>
    <w:link w:val="2314"/>
    <w:qFormat/>
    <w:uiPriority w:val="0"/>
    <w:pPr>
      <w:tabs>
        <w:tab w:val="left" w:pos="1080"/>
        <w:tab w:val="clear" w:pos="1789"/>
      </w:tabs>
      <w:spacing w:before="0" w:after="0" w:line="408" w:lineRule="auto"/>
      <w:ind w:left="0" w:firstLine="0"/>
      <w:jc w:val="left"/>
    </w:pPr>
    <w:rPr>
      <w:rFonts w:ascii="宋体" w:hAnsi="宋体" w:eastAsia="黑体" w:cs="宋体"/>
      <w:kern w:val="0"/>
      <w:szCs w:val="32"/>
    </w:rPr>
  </w:style>
  <w:style w:type="character" w:customStyle="1" w:styleId="2316">
    <w:name w:val="tit2"/>
    <w:qFormat/>
    <w:uiPriority w:val="0"/>
    <w:rPr>
      <w:rFonts w:hint="eastAsia" w:ascii="宋体" w:hAnsi="宋体" w:eastAsia="宋体" w:cs="宋体"/>
      <w:b/>
      <w:bCs/>
      <w:kern w:val="2"/>
      <w:sz w:val="48"/>
      <w:szCs w:val="48"/>
      <w:lang w:val="en-US" w:eastAsia="zh-CN" w:bidi="ar"/>
    </w:rPr>
  </w:style>
  <w:style w:type="character" w:customStyle="1" w:styleId="2317">
    <w:name w:val="引用 Char Char"/>
    <w:qFormat/>
    <w:uiPriority w:val="0"/>
    <w:rPr>
      <w:rFonts w:hint="eastAsia" w:ascii="宋体" w:hAnsi="宋体" w:eastAsia="宋体" w:cs="宋体"/>
      <w:i/>
      <w:iCs/>
      <w:color w:val="000000"/>
      <w:kern w:val="2"/>
      <w:sz w:val="24"/>
      <w:szCs w:val="24"/>
      <w:lang w:val="en-US" w:eastAsia="zh-CN" w:bidi="ar-SA"/>
    </w:rPr>
  </w:style>
  <w:style w:type="character" w:customStyle="1" w:styleId="2318">
    <w:name w:val="【表中文字】 Char Char"/>
    <w:link w:val="2319"/>
    <w:qFormat/>
    <w:locked/>
    <w:uiPriority w:val="0"/>
    <w:rPr>
      <w:rFonts w:ascii="宋体" w:hAnsi="宋体" w:cs="宋体"/>
      <w:szCs w:val="24"/>
    </w:rPr>
  </w:style>
  <w:style w:type="paragraph" w:customStyle="1" w:styleId="2319">
    <w:name w:val="【表中文字】"/>
    <w:basedOn w:val="1"/>
    <w:link w:val="2318"/>
    <w:qFormat/>
    <w:uiPriority w:val="0"/>
    <w:pPr>
      <w:jc w:val="center"/>
    </w:pPr>
    <w:rPr>
      <w:rFonts w:ascii="宋体" w:hAnsi="宋体" w:eastAsia="宋体" w:cs="宋体"/>
      <w:kern w:val="0"/>
      <w:sz w:val="20"/>
      <w:szCs w:val="24"/>
    </w:rPr>
  </w:style>
  <w:style w:type="character" w:customStyle="1" w:styleId="2320">
    <w:name w:val="环评表头 Char Char"/>
    <w:link w:val="2321"/>
    <w:qFormat/>
    <w:locked/>
    <w:uiPriority w:val="0"/>
    <w:rPr>
      <w:rFonts w:ascii="宋体" w:hAnsi="宋体" w:cs="宋体"/>
      <w:b/>
      <w:bCs/>
      <w:spacing w:val="-18"/>
      <w:kern w:val="44"/>
      <w:sz w:val="24"/>
      <w:szCs w:val="30"/>
    </w:rPr>
  </w:style>
  <w:style w:type="paragraph" w:customStyle="1" w:styleId="2321">
    <w:name w:val="环评表头"/>
    <w:link w:val="2320"/>
    <w:qFormat/>
    <w:uiPriority w:val="0"/>
    <w:pPr>
      <w:adjustRightInd w:val="0"/>
      <w:jc w:val="center"/>
    </w:pPr>
    <w:rPr>
      <w:rFonts w:ascii="宋体" w:hAnsi="宋体" w:eastAsia="宋体" w:cs="宋体"/>
      <w:b/>
      <w:bCs/>
      <w:spacing w:val="-18"/>
      <w:kern w:val="44"/>
      <w:sz w:val="24"/>
      <w:szCs w:val="30"/>
      <w:lang w:val="en-US" w:eastAsia="zh-CN" w:bidi="ar-SA"/>
    </w:rPr>
  </w:style>
  <w:style w:type="character" w:customStyle="1" w:styleId="2322">
    <w:name w:val="weby2"/>
    <w:qFormat/>
    <w:uiPriority w:val="0"/>
    <w:rPr>
      <w:rFonts w:hint="eastAsia" w:ascii="宋体" w:hAnsi="宋体" w:eastAsia="宋体" w:cs="宋体"/>
      <w:kern w:val="2"/>
      <w:sz w:val="18"/>
      <w:szCs w:val="24"/>
      <w:lang w:val="en-US" w:eastAsia="zh-CN" w:bidi="ar"/>
    </w:rPr>
  </w:style>
  <w:style w:type="character" w:customStyle="1" w:styleId="2323">
    <w:name w:val="Char Char49"/>
    <w:qFormat/>
    <w:uiPriority w:val="0"/>
    <w:rPr>
      <w:rFonts w:hint="eastAsia" w:ascii="宋体" w:hAnsi="宋体" w:eastAsia="宋体" w:cs="宋体"/>
      <w:b/>
      <w:bCs/>
      <w:kern w:val="2"/>
      <w:sz w:val="28"/>
      <w:szCs w:val="32"/>
      <w:lang w:val="en-US" w:eastAsia="zh-CN" w:bidi="ar"/>
    </w:rPr>
  </w:style>
  <w:style w:type="character" w:customStyle="1" w:styleId="2324">
    <w:name w:val="word1"/>
    <w:qFormat/>
    <w:uiPriority w:val="0"/>
    <w:rPr>
      <w:rFonts w:hint="default" w:ascii="ˎ̥" w:hAnsi="ˎ̥" w:eastAsia="宋体" w:cs="宋体"/>
      <w:color w:val="000000"/>
      <w:kern w:val="2"/>
      <w:sz w:val="21"/>
      <w:szCs w:val="24"/>
      <w:u w:val="none"/>
      <w:lang w:val="en-US" w:eastAsia="zh-CN" w:bidi="ar"/>
    </w:rPr>
  </w:style>
  <w:style w:type="character" w:customStyle="1" w:styleId="2325">
    <w:name w:val="样式22 Char Char"/>
    <w:qFormat/>
    <w:uiPriority w:val="0"/>
    <w:rPr>
      <w:rFonts w:hint="eastAsia" w:ascii="宋体" w:hAnsi="宋体" w:eastAsia="宋体" w:cs="宋体"/>
      <w:kern w:val="2"/>
      <w:sz w:val="24"/>
      <w:szCs w:val="24"/>
      <w:lang w:val="en-US" w:eastAsia="zh-CN" w:bidi="ar-SA"/>
    </w:rPr>
  </w:style>
  <w:style w:type="character" w:customStyle="1" w:styleId="2326">
    <w:name w:val="样式 仿宋_GB2312 四号"/>
    <w:qFormat/>
    <w:uiPriority w:val="0"/>
    <w:rPr>
      <w:rFonts w:hint="eastAsia" w:ascii="仿宋_GB2312" w:hAnsi="仿宋_GB2312" w:eastAsia="仿宋_GB2312" w:cs="宋体"/>
      <w:kern w:val="0"/>
      <w:sz w:val="24"/>
      <w:szCs w:val="24"/>
      <w:lang w:val="en-US" w:eastAsia="zh-CN" w:bidi="ar"/>
    </w:rPr>
  </w:style>
  <w:style w:type="character" w:customStyle="1" w:styleId="2327">
    <w:name w:val="search_content1"/>
    <w:qFormat/>
    <w:uiPriority w:val="0"/>
    <w:rPr>
      <w:rFonts w:hint="eastAsia" w:ascii="宋体" w:hAnsi="宋体" w:eastAsia="宋体" w:cs="宋体"/>
      <w:kern w:val="2"/>
      <w:sz w:val="20"/>
      <w:szCs w:val="20"/>
      <w:lang w:val="en-US" w:eastAsia="zh-CN" w:bidi="ar"/>
    </w:rPr>
  </w:style>
  <w:style w:type="character" w:customStyle="1" w:styleId="2328">
    <w:name w:val="标题 5 字符1"/>
    <w:qFormat/>
    <w:uiPriority w:val="0"/>
    <w:rPr>
      <w:rFonts w:hint="eastAsia" w:ascii="宋体" w:hAnsi="宋体" w:eastAsia="宋体"/>
      <w:spacing w:val="-2"/>
      <w:sz w:val="28"/>
      <w:lang w:val="en-US" w:eastAsia="zh-CN" w:bidi="ar-SA"/>
    </w:rPr>
  </w:style>
  <w:style w:type="character" w:customStyle="1" w:styleId="2329">
    <w:name w:val="Header Char1"/>
    <w:semiHidden/>
    <w:qFormat/>
    <w:uiPriority w:val="99"/>
    <w:rPr>
      <w:rFonts w:ascii="宋体" w:hAnsi="宋体" w:eastAsia="Arial" w:cs="宋体"/>
      <w:kern w:val="28"/>
      <w:sz w:val="18"/>
      <w:szCs w:val="18"/>
      <w:lang w:val="en-US" w:eastAsia="zh-CN" w:bidi="ar-SA"/>
    </w:rPr>
  </w:style>
  <w:style w:type="character" w:customStyle="1" w:styleId="2330">
    <w:name w:val="正文文本 Char2"/>
    <w:qFormat/>
    <w:uiPriority w:val="0"/>
    <w:rPr>
      <w:rFonts w:ascii="宋体" w:hAnsi="宋体" w:eastAsia="仿宋_GB2312" w:cs="宋体"/>
      <w:kern w:val="2"/>
      <w:sz w:val="28"/>
      <w:szCs w:val="24"/>
      <w:lang w:val="en-US" w:eastAsia="zh-CN" w:bidi="ar-SA"/>
    </w:rPr>
  </w:style>
  <w:style w:type="character" w:customStyle="1" w:styleId="2331">
    <w:name w:val="生物质发电正文 Char Char"/>
    <w:link w:val="2332"/>
    <w:qFormat/>
    <w:locked/>
    <w:uiPriority w:val="0"/>
    <w:rPr>
      <w:rFonts w:ascii="宋体" w:hAnsi="宋体" w:cs="宋体"/>
      <w:bCs/>
      <w:sz w:val="24"/>
      <w:szCs w:val="24"/>
    </w:rPr>
  </w:style>
  <w:style w:type="paragraph" w:customStyle="1" w:styleId="2332">
    <w:name w:val="生物质发电正文"/>
    <w:basedOn w:val="1"/>
    <w:link w:val="2331"/>
    <w:qFormat/>
    <w:uiPriority w:val="0"/>
    <w:pPr>
      <w:widowControl/>
      <w:suppressAutoHyphens/>
      <w:adjustRightInd w:val="0"/>
      <w:snapToGrid w:val="0"/>
      <w:spacing w:line="324" w:lineRule="auto"/>
      <w:ind w:firstLine="200" w:firstLineChars="200"/>
    </w:pPr>
    <w:rPr>
      <w:rFonts w:ascii="宋体" w:hAnsi="宋体" w:eastAsia="宋体" w:cs="宋体"/>
      <w:bCs/>
      <w:kern w:val="0"/>
      <w:sz w:val="24"/>
      <w:szCs w:val="24"/>
    </w:rPr>
  </w:style>
  <w:style w:type="character" w:customStyle="1" w:styleId="2333">
    <w:name w:val="标题 2YHY Char Char"/>
    <w:qFormat/>
    <w:uiPriority w:val="0"/>
    <w:rPr>
      <w:rFonts w:hint="eastAsia" w:ascii="宋体" w:hAnsi="宋体" w:eastAsia="黑体" w:cs="Arial Unicode MS"/>
      <w:b/>
      <w:bCs/>
      <w:color w:val="000000"/>
      <w:kern w:val="2"/>
      <w:sz w:val="28"/>
      <w:szCs w:val="28"/>
      <w:lang w:val="en-US" w:eastAsia="zh-CN" w:bidi="ar"/>
    </w:rPr>
  </w:style>
  <w:style w:type="character" w:customStyle="1" w:styleId="2334">
    <w:name w:val="样式 标题 3 + 小四 Char Char"/>
    <w:link w:val="2335"/>
    <w:qFormat/>
    <w:locked/>
    <w:uiPriority w:val="0"/>
    <w:rPr>
      <w:rFonts w:ascii="宋体" w:hAnsi="宋体"/>
      <w:b/>
      <w:bCs/>
      <w:spacing w:val="-2"/>
      <w:sz w:val="24"/>
      <w:szCs w:val="24"/>
    </w:rPr>
  </w:style>
  <w:style w:type="paragraph" w:customStyle="1" w:styleId="2335">
    <w:name w:val="样式 标题 3 + 小四"/>
    <w:basedOn w:val="6"/>
    <w:link w:val="2334"/>
    <w:qFormat/>
    <w:uiPriority w:val="0"/>
    <w:pPr>
      <w:tabs>
        <w:tab w:val="left" w:pos="1022"/>
        <w:tab w:val="left" w:pos="1080"/>
        <w:tab w:val="clear" w:pos="1789"/>
      </w:tabs>
      <w:adjustRightInd w:val="0"/>
      <w:snapToGrid w:val="0"/>
      <w:spacing w:before="0" w:beforeLines="50" w:after="0" w:line="360" w:lineRule="auto"/>
      <w:ind w:left="1260" w:hanging="420"/>
    </w:pPr>
    <w:rPr>
      <w:rFonts w:ascii="宋体" w:hAnsi="宋体" w:eastAsia="宋体"/>
      <w:spacing w:val="-2"/>
      <w:kern w:val="0"/>
      <w:szCs w:val="24"/>
    </w:rPr>
  </w:style>
  <w:style w:type="character" w:customStyle="1" w:styleId="2336">
    <w:name w:val="样式11111 Char Char Char"/>
    <w:qFormat/>
    <w:locked/>
    <w:uiPriority w:val="0"/>
    <w:rPr>
      <w:rFonts w:ascii="宋体" w:hAnsi="宋体" w:eastAsia="宋体" w:cs="宋体"/>
      <w:color w:val="000000"/>
      <w:sz w:val="24"/>
      <w:szCs w:val="24"/>
    </w:rPr>
  </w:style>
  <w:style w:type="character" w:customStyle="1" w:styleId="2337">
    <w:name w:val="称呼 字符"/>
    <w:qFormat/>
    <w:uiPriority w:val="0"/>
    <w:rPr>
      <w:rFonts w:hint="eastAsia" w:ascii="宋体" w:hAnsi="宋体" w:eastAsia="宋体" w:cs="宋体"/>
      <w:color w:val="000000"/>
      <w:kern w:val="2"/>
      <w:sz w:val="24"/>
      <w:szCs w:val="24"/>
      <w:lang w:val="en-US" w:eastAsia="zh-CN" w:bidi="ar"/>
    </w:rPr>
  </w:style>
  <w:style w:type="character" w:customStyle="1" w:styleId="2338">
    <w:name w:val="报告书正文-宇宏 Char Char"/>
    <w:link w:val="2339"/>
    <w:qFormat/>
    <w:locked/>
    <w:uiPriority w:val="0"/>
    <w:rPr>
      <w:rFonts w:ascii="宋体" w:hAnsi="宋体" w:cs="宋体"/>
      <w:sz w:val="24"/>
      <w:szCs w:val="24"/>
    </w:rPr>
  </w:style>
  <w:style w:type="paragraph" w:customStyle="1" w:styleId="2339">
    <w:name w:val="报告书正文-宇宏"/>
    <w:basedOn w:val="1"/>
    <w:link w:val="2338"/>
    <w:qFormat/>
    <w:uiPriority w:val="0"/>
    <w:pPr>
      <w:spacing w:line="480" w:lineRule="exact"/>
      <w:ind w:firstLine="200" w:firstLineChars="200"/>
    </w:pPr>
    <w:rPr>
      <w:rFonts w:ascii="宋体" w:hAnsi="宋体" w:eastAsia="宋体" w:cs="宋体"/>
      <w:kern w:val="0"/>
      <w:sz w:val="24"/>
      <w:szCs w:val="24"/>
    </w:rPr>
  </w:style>
  <w:style w:type="character" w:customStyle="1" w:styleId="2340">
    <w:name w:val="font71"/>
    <w:qFormat/>
    <w:uiPriority w:val="0"/>
    <w:rPr>
      <w:rFonts w:ascii="Arial" w:hAnsi="Arial" w:eastAsia="Arial" w:cs="Arial"/>
      <w:color w:val="000000"/>
      <w:kern w:val="2"/>
      <w:sz w:val="22"/>
      <w:szCs w:val="22"/>
      <w:u w:val="none"/>
      <w:lang w:val="en-US" w:eastAsia="zh-CN" w:bidi="ar-SA"/>
    </w:rPr>
  </w:style>
  <w:style w:type="character" w:customStyle="1" w:styleId="2341">
    <w:name w:val="正文文本 3 Char2"/>
    <w:qFormat/>
    <w:uiPriority w:val="0"/>
    <w:rPr>
      <w:rFonts w:hint="eastAsia" w:ascii="宋体" w:hAnsi="宋体" w:eastAsia="宋体" w:cs="宋体"/>
      <w:kern w:val="2"/>
      <w:sz w:val="16"/>
      <w:szCs w:val="16"/>
      <w:lang w:val="en-US" w:eastAsia="zh-CN" w:bidi="ar"/>
    </w:rPr>
  </w:style>
  <w:style w:type="character" w:customStyle="1" w:styleId="2342">
    <w:name w:val="myfont11"/>
    <w:qFormat/>
    <w:uiPriority w:val="0"/>
    <w:rPr>
      <w:rFonts w:hint="eastAsia" w:ascii="宋体" w:hAnsi="宋体" w:eastAsia="宋体" w:cs="宋体"/>
      <w:color w:val="000000"/>
      <w:spacing w:val="360"/>
      <w:kern w:val="2"/>
      <w:sz w:val="18"/>
      <w:szCs w:val="18"/>
      <w:lang w:val="en-US" w:eastAsia="zh-CN" w:bidi="ar"/>
    </w:rPr>
  </w:style>
  <w:style w:type="character" w:customStyle="1" w:styleId="2343">
    <w:name w:val="样式 报告正文 + 首行缩进:  2 字符 Char Char"/>
    <w:link w:val="846"/>
    <w:qFormat/>
    <w:locked/>
    <w:uiPriority w:val="0"/>
    <w:rPr>
      <w:rFonts w:cs="宋体"/>
      <w:snapToGrid/>
      <w:kern w:val="2"/>
      <w:sz w:val="28"/>
    </w:rPr>
  </w:style>
  <w:style w:type="character" w:customStyle="1" w:styleId="2344">
    <w:name w:val="Char Char24"/>
    <w:qFormat/>
    <w:locked/>
    <w:uiPriority w:val="0"/>
    <w:rPr>
      <w:rFonts w:ascii="宋体" w:hAnsi="宋体" w:eastAsia="宋体" w:cs="宋体"/>
      <w:color w:val="000000"/>
      <w:kern w:val="2"/>
      <w:sz w:val="24"/>
      <w:szCs w:val="24"/>
      <w:lang w:val="en-US" w:eastAsia="zh-CN" w:bidi="ar-SA"/>
    </w:rPr>
  </w:style>
  <w:style w:type="character" w:customStyle="1" w:styleId="2345">
    <w:name w:val="Char Char Char Char Char Char Char Char Char Char Char Char Char Char Char Char Char Char Char Char Char Char Char Char Char Char Char Char Char Char Char Char Char Char Char Char Char Char Char Char Char Char Char Char Char Char Char Char Char Char  C"/>
    <w:qFormat/>
    <w:uiPriority w:val="0"/>
    <w:rPr>
      <w:rFonts w:hint="eastAsia" w:ascii="宋体" w:hAnsi="宋体" w:eastAsia="宋体" w:cs="宋体"/>
      <w:kern w:val="2"/>
      <w:sz w:val="21"/>
      <w:szCs w:val="24"/>
      <w:lang w:val="en-US" w:eastAsia="zh-CN" w:bidi="ar-SA"/>
    </w:rPr>
  </w:style>
  <w:style w:type="character" w:customStyle="1" w:styleId="2346">
    <w:name w:val="8.7正文格式 Char Char"/>
    <w:link w:val="2347"/>
    <w:qFormat/>
    <w:locked/>
    <w:uiPriority w:val="0"/>
    <w:rPr>
      <w:rFonts w:ascii="宋体" w:hAnsi="宋体" w:cs="宋体"/>
      <w:sz w:val="28"/>
      <w:szCs w:val="24"/>
    </w:rPr>
  </w:style>
  <w:style w:type="paragraph" w:customStyle="1" w:styleId="2347">
    <w:name w:val="8.7正文格式"/>
    <w:basedOn w:val="1"/>
    <w:link w:val="2346"/>
    <w:qFormat/>
    <w:uiPriority w:val="0"/>
    <w:pPr>
      <w:spacing w:line="500" w:lineRule="exact"/>
      <w:ind w:firstLine="560" w:firstLineChars="200"/>
    </w:pPr>
    <w:rPr>
      <w:rFonts w:ascii="宋体" w:hAnsi="宋体" w:eastAsia="宋体" w:cs="宋体"/>
      <w:kern w:val="0"/>
      <w:szCs w:val="24"/>
    </w:rPr>
  </w:style>
  <w:style w:type="character" w:customStyle="1" w:styleId="2348">
    <w:name w:val="样式39 Char Char"/>
    <w:link w:val="2349"/>
    <w:qFormat/>
    <w:locked/>
    <w:uiPriority w:val="0"/>
    <w:rPr>
      <w:rFonts w:ascii="宋体" w:hAnsi="宋体" w:cs="宋体"/>
      <w:bCs/>
      <w:sz w:val="24"/>
      <w:szCs w:val="24"/>
    </w:rPr>
  </w:style>
  <w:style w:type="paragraph" w:customStyle="1" w:styleId="2349">
    <w:name w:val="样式39"/>
    <w:basedOn w:val="1"/>
    <w:link w:val="2348"/>
    <w:qFormat/>
    <w:uiPriority w:val="0"/>
    <w:pPr>
      <w:spacing w:line="240" w:lineRule="exact"/>
    </w:pPr>
    <w:rPr>
      <w:rFonts w:ascii="宋体" w:hAnsi="宋体" w:eastAsia="宋体" w:cs="宋体"/>
      <w:bCs/>
      <w:kern w:val="0"/>
      <w:sz w:val="24"/>
      <w:szCs w:val="24"/>
    </w:rPr>
  </w:style>
  <w:style w:type="character" w:customStyle="1" w:styleId="2350">
    <w:name w:val="正文首行缩进 2 Char3"/>
    <w:link w:val="87"/>
    <w:qFormat/>
    <w:locked/>
    <w:uiPriority w:val="0"/>
    <w:rPr>
      <w:rFonts w:eastAsia="仿宋_GB2312"/>
      <w:kern w:val="2"/>
      <w:sz w:val="28"/>
    </w:rPr>
  </w:style>
  <w:style w:type="character" w:customStyle="1" w:styleId="2351">
    <w:name w:val="样式34 Char Char Char"/>
    <w:link w:val="2352"/>
    <w:qFormat/>
    <w:locked/>
    <w:uiPriority w:val="0"/>
    <w:rPr>
      <w:rFonts w:ascii="宋体" w:hAnsi="宋体" w:cs="宋体"/>
      <w:color w:val="000000"/>
      <w:sz w:val="24"/>
      <w:szCs w:val="24"/>
    </w:rPr>
  </w:style>
  <w:style w:type="paragraph" w:customStyle="1" w:styleId="2352">
    <w:name w:val="样式34"/>
    <w:basedOn w:val="1"/>
    <w:link w:val="2351"/>
    <w:qFormat/>
    <w:uiPriority w:val="0"/>
    <w:pPr>
      <w:snapToGrid w:val="0"/>
      <w:spacing w:beforeLines="50" w:line="360" w:lineRule="auto"/>
      <w:ind w:firstLine="480" w:firstLineChars="200"/>
    </w:pPr>
    <w:rPr>
      <w:rFonts w:ascii="宋体" w:hAnsi="宋体" w:eastAsia="宋体" w:cs="宋体"/>
      <w:color w:val="000000"/>
      <w:kern w:val="0"/>
      <w:sz w:val="24"/>
      <w:szCs w:val="24"/>
    </w:rPr>
  </w:style>
  <w:style w:type="character" w:customStyle="1" w:styleId="2353">
    <w:name w:val="样式20 Char Char Char"/>
    <w:qFormat/>
    <w:locked/>
    <w:uiPriority w:val="0"/>
    <w:rPr>
      <w:rFonts w:ascii="宋体" w:hAnsi="宋体" w:eastAsia="宋体" w:cs="宋体"/>
      <w:color w:val="000000"/>
      <w:sz w:val="24"/>
      <w:szCs w:val="24"/>
    </w:rPr>
  </w:style>
  <w:style w:type="character" w:customStyle="1" w:styleId="2354">
    <w:name w:val="样式 标题 2标题 21标题 121标题 2 Char1 Char节H2节标题 1.1节标题 1.1 Char...2 Char Char Char"/>
    <w:qFormat/>
    <w:uiPriority w:val="0"/>
    <w:rPr>
      <w:rFonts w:hint="eastAsia" w:ascii="黑体" w:hAnsi="黑体" w:eastAsia="黑体"/>
      <w:color w:val="000000"/>
      <w:spacing w:val="-2"/>
      <w:sz w:val="28"/>
      <w:lang w:bidi="ar-SA"/>
    </w:rPr>
  </w:style>
  <w:style w:type="character" w:customStyle="1" w:styleId="2355">
    <w:name w:val="样式17 Char Char Char"/>
    <w:qFormat/>
    <w:locked/>
    <w:uiPriority w:val="0"/>
    <w:rPr>
      <w:rFonts w:ascii="黑体" w:hAnsi="Arial Unicode MS" w:eastAsia="黑体" w:cs="宋体"/>
      <w:b/>
      <w:color w:val="000000"/>
      <w:kern w:val="44"/>
      <w:sz w:val="30"/>
      <w:szCs w:val="24"/>
    </w:rPr>
  </w:style>
  <w:style w:type="character" w:customStyle="1" w:styleId="2356">
    <w:name w:val="样式 样式 标题 3标题 13标题 3 Char1 Char Char Char标题 31ReHead 3 WSAh3B... ... Char Char"/>
    <w:link w:val="2357"/>
    <w:qFormat/>
    <w:locked/>
    <w:uiPriority w:val="0"/>
    <w:rPr>
      <w:rFonts w:ascii="宋体" w:hAnsi="宋体"/>
      <w:sz w:val="24"/>
      <w:szCs w:val="24"/>
      <w:lang w:val="zh-CN"/>
    </w:rPr>
  </w:style>
  <w:style w:type="paragraph" w:customStyle="1" w:styleId="2357">
    <w:name w:val="样式 样式 标题 3标题 13标题 3 Char1 Char Char Char标题 31ReHead 3 WSAh3B... ..."/>
    <w:basedOn w:val="7"/>
    <w:link w:val="2356"/>
    <w:qFormat/>
    <w:uiPriority w:val="0"/>
    <w:pPr>
      <w:tabs>
        <w:tab w:val="left" w:pos="2153"/>
        <w:tab w:val="clear" w:pos="4008"/>
      </w:tabs>
      <w:spacing w:before="280" w:after="290" w:line="372" w:lineRule="auto"/>
      <w:ind w:left="0" w:firstLine="0"/>
      <w:jc w:val="both"/>
    </w:pPr>
    <w:rPr>
      <w:rFonts w:ascii="宋体" w:hAnsi="宋体" w:eastAsia="宋体"/>
      <w:b w:val="0"/>
      <w:color w:val="auto"/>
      <w:kern w:val="0"/>
      <w:szCs w:val="24"/>
      <w:lang w:val="zh-CN"/>
    </w:rPr>
  </w:style>
  <w:style w:type="character" w:customStyle="1" w:styleId="2358">
    <w:name w:val="4正文 Char"/>
    <w:qFormat/>
    <w:locked/>
    <w:uiPriority w:val="0"/>
    <w:rPr>
      <w:rFonts w:hint="eastAsia" w:ascii="宋体" w:hAnsi="宋体" w:eastAsia="宋体"/>
      <w:kern w:val="2"/>
      <w:sz w:val="28"/>
      <w:lang w:val="zh-CN" w:bidi="ar-SA"/>
    </w:rPr>
  </w:style>
  <w:style w:type="character" w:customStyle="1" w:styleId="2359">
    <w:name w:val="样式8 Char Char"/>
    <w:link w:val="2360"/>
    <w:qFormat/>
    <w:locked/>
    <w:uiPriority w:val="0"/>
    <w:rPr>
      <w:rFonts w:ascii="Arial" w:hAnsi="Arial" w:cs="Arial"/>
      <w:sz w:val="24"/>
      <w:szCs w:val="24"/>
    </w:rPr>
  </w:style>
  <w:style w:type="paragraph" w:customStyle="1" w:styleId="2360">
    <w:name w:val="样式8"/>
    <w:basedOn w:val="5"/>
    <w:link w:val="2359"/>
    <w:qFormat/>
    <w:uiPriority w:val="0"/>
    <w:rPr>
      <w:spacing w:val="0"/>
      <w:kern w:val="0"/>
      <w:szCs w:val="24"/>
    </w:rPr>
  </w:style>
  <w:style w:type="character" w:customStyle="1" w:styleId="2361">
    <w:name w:val="H9 Char4"/>
    <w:qFormat/>
    <w:uiPriority w:val="0"/>
    <w:rPr>
      <w:rFonts w:hint="default" w:ascii="Arial" w:hAnsi="Arial" w:eastAsia="黑体" w:cs="宋体"/>
      <w:kern w:val="2"/>
      <w:sz w:val="21"/>
      <w:szCs w:val="21"/>
      <w:lang w:val="en-US" w:eastAsia="zh-CN" w:bidi="ar-SA"/>
    </w:rPr>
  </w:style>
  <w:style w:type="character" w:customStyle="1" w:styleId="2362">
    <w:name w:val="表格题头 Char Char"/>
    <w:link w:val="2363"/>
    <w:qFormat/>
    <w:locked/>
    <w:uiPriority w:val="0"/>
    <w:rPr>
      <w:rFonts w:ascii="宋体" w:hAnsi="宋体" w:cs="宋体"/>
      <w:b/>
      <w:sz w:val="24"/>
      <w:szCs w:val="24"/>
    </w:rPr>
  </w:style>
  <w:style w:type="paragraph" w:customStyle="1" w:styleId="2363">
    <w:name w:val="表格题头"/>
    <w:basedOn w:val="1"/>
    <w:link w:val="2362"/>
    <w:qFormat/>
    <w:uiPriority w:val="0"/>
    <w:pPr>
      <w:widowControl/>
      <w:spacing w:line="360" w:lineRule="auto"/>
      <w:jc w:val="center"/>
    </w:pPr>
    <w:rPr>
      <w:rFonts w:ascii="宋体" w:hAnsi="宋体" w:eastAsia="宋体" w:cs="宋体"/>
      <w:b/>
      <w:kern w:val="0"/>
      <w:sz w:val="24"/>
      <w:szCs w:val="24"/>
    </w:rPr>
  </w:style>
  <w:style w:type="character" w:customStyle="1" w:styleId="2364">
    <w:name w:val="【表头】 Char Char"/>
    <w:link w:val="2365"/>
    <w:qFormat/>
    <w:locked/>
    <w:uiPriority w:val="0"/>
    <w:rPr>
      <w:rFonts w:ascii="宋体" w:hAnsi="宋体" w:eastAsia="黑体" w:cs="宋体"/>
      <w:sz w:val="24"/>
      <w:szCs w:val="24"/>
    </w:rPr>
  </w:style>
  <w:style w:type="paragraph" w:customStyle="1" w:styleId="2365">
    <w:name w:val="【表头】"/>
    <w:basedOn w:val="1"/>
    <w:link w:val="2364"/>
    <w:qFormat/>
    <w:uiPriority w:val="0"/>
    <w:pPr>
      <w:spacing w:line="460" w:lineRule="exact"/>
      <w:jc w:val="center"/>
    </w:pPr>
    <w:rPr>
      <w:rFonts w:ascii="宋体" w:hAnsi="宋体" w:eastAsia="黑体" w:cs="宋体"/>
      <w:kern w:val="0"/>
      <w:sz w:val="24"/>
      <w:szCs w:val="24"/>
    </w:rPr>
  </w:style>
  <w:style w:type="character" w:customStyle="1" w:styleId="2366">
    <w:name w:val="电子邮件签名 Char2"/>
    <w:qFormat/>
    <w:uiPriority w:val="0"/>
    <w:rPr>
      <w:rFonts w:hint="eastAsia" w:ascii="宋体" w:hAnsi="宋体" w:eastAsia="宋体" w:cs="宋体"/>
      <w:kern w:val="2"/>
      <w:sz w:val="21"/>
      <w:szCs w:val="21"/>
      <w:lang w:val="en-US" w:eastAsia="zh-CN" w:bidi="ar"/>
    </w:rPr>
  </w:style>
  <w:style w:type="character" w:customStyle="1" w:styleId="2367">
    <w:name w:val="表头题注 Char Char"/>
    <w:link w:val="2368"/>
    <w:qFormat/>
    <w:locked/>
    <w:uiPriority w:val="0"/>
    <w:rPr>
      <w:rFonts w:ascii="宋体" w:hAnsi="宋体" w:eastAsia="黑体" w:cs="黑体"/>
      <w:szCs w:val="21"/>
    </w:rPr>
  </w:style>
  <w:style w:type="paragraph" w:customStyle="1" w:styleId="2368">
    <w:name w:val="表头题注"/>
    <w:basedOn w:val="1"/>
    <w:next w:val="1"/>
    <w:link w:val="2367"/>
    <w:qFormat/>
    <w:uiPriority w:val="0"/>
    <w:pPr>
      <w:keepNext/>
      <w:spacing w:line="420" w:lineRule="exact"/>
      <w:jc w:val="left"/>
    </w:pPr>
    <w:rPr>
      <w:rFonts w:ascii="宋体" w:hAnsi="宋体" w:eastAsia="黑体" w:cs="黑体"/>
      <w:kern w:val="0"/>
      <w:sz w:val="20"/>
      <w:szCs w:val="21"/>
    </w:rPr>
  </w:style>
  <w:style w:type="character" w:customStyle="1" w:styleId="2369">
    <w:name w:val="样式 标题 3标题 3 Char Char Char标题 3 Char Char Char Char Char Char标... Char Char"/>
    <w:link w:val="2370"/>
    <w:qFormat/>
    <w:locked/>
    <w:uiPriority w:val="0"/>
    <w:rPr>
      <w:rFonts w:ascii="Plotter" w:hAnsi="Plotter" w:cs="Plotter"/>
      <w:b/>
      <w:bCs/>
      <w:spacing w:val="-2"/>
      <w:sz w:val="24"/>
      <w:szCs w:val="32"/>
    </w:rPr>
  </w:style>
  <w:style w:type="paragraph" w:customStyle="1" w:styleId="2370">
    <w:name w:val="样式 标题 3标题 3 Char Char Char标题 3 Char Char Char Char Char Char标..."/>
    <w:basedOn w:val="6"/>
    <w:link w:val="2369"/>
    <w:qFormat/>
    <w:uiPriority w:val="0"/>
    <w:pPr>
      <w:tabs>
        <w:tab w:val="left" w:pos="720"/>
        <w:tab w:val="left" w:pos="1022"/>
        <w:tab w:val="left" w:pos="1080"/>
        <w:tab w:val="clear" w:pos="1789"/>
      </w:tabs>
      <w:adjustRightInd w:val="0"/>
      <w:spacing w:before="0" w:beforeLines="10" w:after="0" w:line="360" w:lineRule="auto"/>
      <w:ind w:left="1260" w:firstLine="200" w:firstLineChars="200"/>
    </w:pPr>
    <w:rPr>
      <w:rFonts w:ascii="Plotter" w:hAnsi="Plotter" w:eastAsia="宋体" w:cs="Plotter"/>
      <w:spacing w:val="-2"/>
      <w:kern w:val="0"/>
      <w:szCs w:val="32"/>
    </w:rPr>
  </w:style>
  <w:style w:type="character" w:customStyle="1" w:styleId="2371">
    <w:name w:val="表文字居中 Char Char"/>
    <w:qFormat/>
    <w:locked/>
    <w:uiPriority w:val="0"/>
    <w:rPr>
      <w:rFonts w:ascii="Arial" w:hAnsi="Arial" w:cs="宋体"/>
      <w:szCs w:val="24"/>
    </w:rPr>
  </w:style>
  <w:style w:type="character" w:customStyle="1" w:styleId="2372">
    <w:name w:val="fs12"/>
    <w:qFormat/>
    <w:uiPriority w:val="0"/>
    <w:rPr>
      <w:rFonts w:hint="eastAsia" w:ascii="宋体" w:hAnsi="宋体" w:eastAsia="宋体" w:cs="宋体"/>
      <w:kern w:val="2"/>
      <w:sz w:val="28"/>
      <w:szCs w:val="24"/>
      <w:lang w:val="en-US" w:eastAsia="zh-CN" w:bidi="ar"/>
    </w:rPr>
  </w:style>
  <w:style w:type="character" w:customStyle="1" w:styleId="2373">
    <w:name w:val="样式 正文文本 + 首行缩进:  2 字符 Char Char"/>
    <w:link w:val="1105"/>
    <w:qFormat/>
    <w:locked/>
    <w:uiPriority w:val="0"/>
    <w:rPr>
      <w:sz w:val="24"/>
      <w:szCs w:val="28"/>
    </w:rPr>
  </w:style>
  <w:style w:type="character" w:customStyle="1" w:styleId="2374">
    <w:name w:val="zhenwen141"/>
    <w:qFormat/>
    <w:uiPriority w:val="0"/>
    <w:rPr>
      <w:rFonts w:hint="default" w:ascii="ˎ̥" w:hAnsi="ˎ̥" w:eastAsia="黑体" w:cs="Courier New"/>
      <w:kern w:val="2"/>
      <w:sz w:val="18"/>
      <w:szCs w:val="18"/>
      <w:lang w:val="en-US" w:eastAsia="zh-CN" w:bidi="ar-SA"/>
    </w:rPr>
  </w:style>
  <w:style w:type="character" w:customStyle="1" w:styleId="2375">
    <w:name w:val="表标题 Char Char"/>
    <w:link w:val="2376"/>
    <w:qFormat/>
    <w:locked/>
    <w:uiPriority w:val="0"/>
    <w:rPr>
      <w:rFonts w:ascii="宋体" w:hAnsi="宋体" w:eastAsia="黑体" w:cs="宋体"/>
      <w:bCs/>
      <w:spacing w:val="20"/>
      <w:sz w:val="24"/>
      <w:szCs w:val="24"/>
    </w:rPr>
  </w:style>
  <w:style w:type="paragraph" w:customStyle="1" w:styleId="2376">
    <w:name w:val="表标题"/>
    <w:basedOn w:val="1"/>
    <w:link w:val="2375"/>
    <w:qFormat/>
    <w:uiPriority w:val="0"/>
    <w:pPr>
      <w:autoSpaceDE w:val="0"/>
      <w:autoSpaceDN w:val="0"/>
      <w:adjustRightInd w:val="0"/>
      <w:snapToGrid w:val="0"/>
      <w:ind w:left="198" w:firstLine="560" w:firstLineChars="200"/>
      <w:jc w:val="center"/>
    </w:pPr>
    <w:rPr>
      <w:rFonts w:ascii="宋体" w:hAnsi="宋体" w:eastAsia="黑体" w:cs="宋体"/>
      <w:bCs/>
      <w:spacing w:val="20"/>
      <w:kern w:val="0"/>
      <w:sz w:val="24"/>
      <w:szCs w:val="24"/>
    </w:rPr>
  </w:style>
  <w:style w:type="character" w:customStyle="1" w:styleId="2377">
    <w:name w:val="样式10 Char Char"/>
    <w:qFormat/>
    <w:uiPriority w:val="0"/>
    <w:rPr>
      <w:rFonts w:hint="eastAsia" w:ascii="宋体" w:hAnsi="宋体" w:eastAsia="宋体" w:cs="宋体"/>
      <w:b/>
      <w:bCs/>
      <w:kern w:val="2"/>
      <w:sz w:val="24"/>
      <w:szCs w:val="24"/>
      <w:lang w:val="en-US" w:eastAsia="zh-CN" w:bidi="ar-SA"/>
    </w:rPr>
  </w:style>
  <w:style w:type="character" w:customStyle="1" w:styleId="2378">
    <w:name w:val="样式46 Char Char"/>
    <w:link w:val="2379"/>
    <w:qFormat/>
    <w:locked/>
    <w:uiPriority w:val="0"/>
    <w:rPr>
      <w:rFonts w:ascii="宋体" w:hAnsi="宋体" w:cs="宋体"/>
      <w:sz w:val="24"/>
      <w:szCs w:val="24"/>
    </w:rPr>
  </w:style>
  <w:style w:type="paragraph" w:customStyle="1" w:styleId="2379">
    <w:name w:val="样式46"/>
    <w:basedOn w:val="5"/>
    <w:link w:val="2378"/>
    <w:qFormat/>
    <w:uiPriority w:val="0"/>
    <w:pPr>
      <w:widowControl/>
      <w:overflowPunct w:val="0"/>
      <w:autoSpaceDE w:val="0"/>
      <w:autoSpaceDN w:val="0"/>
      <w:adjustRightInd w:val="0"/>
      <w:snapToGrid w:val="0"/>
      <w:spacing w:beforeLines="50" w:line="360" w:lineRule="auto"/>
      <w:ind w:firstLine="480"/>
    </w:pPr>
    <w:rPr>
      <w:rFonts w:ascii="宋体" w:hAnsi="宋体" w:cs="宋体"/>
      <w:spacing w:val="0"/>
      <w:kern w:val="0"/>
      <w:szCs w:val="24"/>
    </w:rPr>
  </w:style>
  <w:style w:type="character" w:customStyle="1" w:styleId="2380">
    <w:name w:val="样式 样式 小四 段前: 7.8 磅 段后: 7.8 磅 行距: 1.5 倍行距 + 首行缩进:  2 字符 Char Char"/>
    <w:link w:val="2381"/>
    <w:qFormat/>
    <w:locked/>
    <w:uiPriority w:val="0"/>
    <w:rPr>
      <w:rFonts w:ascii="宋体" w:hAnsi="宋体" w:cs="宋体"/>
      <w:b/>
      <w:szCs w:val="21"/>
    </w:rPr>
  </w:style>
  <w:style w:type="paragraph" w:customStyle="1" w:styleId="2381">
    <w:name w:val="样式 样式 小四 段前: 7.8 磅 段后: 7.8 磅 行距: 1.5 倍行距 + 首行缩进:  2 字符"/>
    <w:basedOn w:val="1"/>
    <w:link w:val="2380"/>
    <w:qFormat/>
    <w:uiPriority w:val="0"/>
    <w:pPr>
      <w:spacing w:line="360" w:lineRule="auto"/>
      <w:jc w:val="center"/>
    </w:pPr>
    <w:rPr>
      <w:rFonts w:ascii="宋体" w:hAnsi="宋体" w:eastAsia="宋体" w:cs="宋体"/>
      <w:b/>
      <w:kern w:val="0"/>
      <w:sz w:val="20"/>
      <w:szCs w:val="21"/>
    </w:rPr>
  </w:style>
  <w:style w:type="character" w:customStyle="1" w:styleId="2382">
    <w:name w:val="chinaname1"/>
    <w:qFormat/>
    <w:uiPriority w:val="0"/>
    <w:rPr>
      <w:rFonts w:hint="eastAsia" w:ascii="宋体" w:hAnsi="宋体" w:eastAsia="宋体" w:cs="宋体"/>
      <w:kern w:val="2"/>
      <w:sz w:val="28"/>
      <w:szCs w:val="24"/>
      <w:lang w:val="en-US" w:eastAsia="zh-CN" w:bidi="ar"/>
    </w:rPr>
  </w:style>
  <w:style w:type="character" w:customStyle="1" w:styleId="2383">
    <w:name w:val="正文文本 3 字符1"/>
    <w:qFormat/>
    <w:uiPriority w:val="0"/>
    <w:rPr>
      <w:kern w:val="2"/>
      <w:sz w:val="24"/>
      <w:szCs w:val="24"/>
      <w:lang w:bidi="ar-SA"/>
    </w:rPr>
  </w:style>
  <w:style w:type="character" w:customStyle="1" w:styleId="2384">
    <w:name w:val="样式 标题 1 + 黑体 小三 非加粗 Char Char"/>
    <w:link w:val="2385"/>
    <w:qFormat/>
    <w:locked/>
    <w:uiPriority w:val="0"/>
    <w:rPr>
      <w:rFonts w:ascii="黑体" w:hAnsi="黑体" w:eastAsia="黑体"/>
      <w:kern w:val="44"/>
      <w:sz w:val="30"/>
      <w:szCs w:val="44"/>
    </w:rPr>
  </w:style>
  <w:style w:type="paragraph" w:customStyle="1" w:styleId="2385">
    <w:name w:val="样式 标题 1 + 黑体 小三 非加粗"/>
    <w:basedOn w:val="3"/>
    <w:link w:val="2384"/>
    <w:qFormat/>
    <w:uiPriority w:val="0"/>
    <w:pPr>
      <w:pageBreakBefore w:val="0"/>
      <w:tabs>
        <w:tab w:val="left" w:pos="425"/>
        <w:tab w:val="clear" w:pos="1080"/>
      </w:tabs>
      <w:spacing w:before="340" w:after="330"/>
      <w:jc w:val="both"/>
    </w:pPr>
    <w:rPr>
      <w:rFonts w:ascii="黑体" w:hAnsi="黑体" w:eastAsia="黑体"/>
      <w:b w:val="0"/>
      <w:sz w:val="30"/>
      <w:szCs w:val="44"/>
    </w:rPr>
  </w:style>
  <w:style w:type="character" w:customStyle="1" w:styleId="2386">
    <w:name w:val="text21"/>
    <w:qFormat/>
    <w:uiPriority w:val="0"/>
    <w:rPr>
      <w:rFonts w:hint="eastAsia" w:ascii="宋体" w:hAnsi="宋体" w:eastAsia="宋体" w:cs="宋体"/>
      <w:color w:val="000000"/>
      <w:kern w:val="2"/>
      <w:sz w:val="21"/>
      <w:szCs w:val="24"/>
      <w:u w:val="none"/>
      <w:lang w:val="en-US" w:eastAsia="zh-CN" w:bidi="ar"/>
    </w:rPr>
  </w:style>
  <w:style w:type="character" w:customStyle="1" w:styleId="2387">
    <w:name w:val="4级别 Char Char"/>
    <w:link w:val="2388"/>
    <w:qFormat/>
    <w:locked/>
    <w:uiPriority w:val="0"/>
    <w:rPr>
      <w:rFonts w:ascii="宋体" w:hAnsi="宋体" w:cs="宋体"/>
      <w:bCs/>
      <w:color w:val="000000"/>
      <w:sz w:val="24"/>
      <w:szCs w:val="24"/>
    </w:rPr>
  </w:style>
  <w:style w:type="paragraph" w:customStyle="1" w:styleId="2388">
    <w:name w:val="4级别"/>
    <w:basedOn w:val="2168"/>
    <w:link w:val="2387"/>
    <w:qFormat/>
    <w:uiPriority w:val="0"/>
    <w:pPr>
      <w:keepNext/>
      <w:keepLines/>
      <w:spacing w:before="120" w:after="120" w:line="360" w:lineRule="auto"/>
      <w:outlineLvl w:val="3"/>
    </w:pPr>
    <w:rPr>
      <w:rFonts w:eastAsia="宋体"/>
      <w:bCs/>
      <w:szCs w:val="24"/>
    </w:rPr>
  </w:style>
  <w:style w:type="character" w:customStyle="1" w:styleId="2389">
    <w:name w:val="Char Char40"/>
    <w:qFormat/>
    <w:locked/>
    <w:uiPriority w:val="0"/>
    <w:rPr>
      <w:rFonts w:ascii="黑体" w:hAnsi="宋体" w:eastAsia="黑体" w:cs="黑体"/>
      <w:bCs/>
      <w:kern w:val="2"/>
      <w:sz w:val="28"/>
      <w:szCs w:val="32"/>
      <w:lang w:val="en-US" w:eastAsia="zh-CN" w:bidi="ar-SA"/>
    </w:rPr>
  </w:style>
  <w:style w:type="character" w:customStyle="1" w:styleId="2390">
    <w:name w:val="样式 标题 3 + 加粗 Char Char"/>
    <w:qFormat/>
    <w:uiPriority w:val="0"/>
    <w:rPr>
      <w:rFonts w:hint="default" w:ascii="Arial Unicode MS" w:hAnsi="Arial Unicode MS" w:eastAsia="宋体" w:cs="Arial Unicode MS"/>
      <w:b/>
      <w:bCs/>
      <w:snapToGrid/>
      <w:color w:val="000000"/>
      <w:kern w:val="2"/>
      <w:sz w:val="24"/>
      <w:szCs w:val="24"/>
      <w:lang w:val="en-US" w:eastAsia="zh-CN" w:bidi="ar-SA"/>
    </w:rPr>
  </w:style>
  <w:style w:type="character" w:customStyle="1" w:styleId="2391">
    <w:name w:val="aa正文 Char Char"/>
    <w:link w:val="2392"/>
    <w:qFormat/>
    <w:locked/>
    <w:uiPriority w:val="0"/>
    <w:rPr>
      <w:rFonts w:ascii="宋体" w:hAnsi="宋体" w:cs="宋体"/>
      <w:bCs/>
      <w:snapToGrid/>
      <w:color w:val="000000"/>
      <w:sz w:val="24"/>
      <w:szCs w:val="24"/>
    </w:rPr>
  </w:style>
  <w:style w:type="paragraph" w:customStyle="1" w:styleId="2392">
    <w:name w:val="aa正文"/>
    <w:basedOn w:val="1"/>
    <w:link w:val="2391"/>
    <w:qFormat/>
    <w:uiPriority w:val="0"/>
    <w:pPr>
      <w:topLinePunct/>
      <w:snapToGrid w:val="0"/>
      <w:spacing w:line="500" w:lineRule="exact"/>
      <w:ind w:firstLine="200" w:firstLineChars="200"/>
    </w:pPr>
    <w:rPr>
      <w:rFonts w:ascii="宋体" w:hAnsi="宋体" w:eastAsia="宋体" w:cs="宋体"/>
      <w:bCs/>
      <w:color w:val="000000"/>
      <w:kern w:val="0"/>
      <w:sz w:val="24"/>
      <w:szCs w:val="24"/>
    </w:rPr>
  </w:style>
  <w:style w:type="character" w:customStyle="1" w:styleId="2393">
    <w:name w:val="font51"/>
    <w:qFormat/>
    <w:uiPriority w:val="0"/>
    <w:rPr>
      <w:rFonts w:ascii="宋体" w:hAnsi="宋体" w:eastAsia="宋体" w:cs="宋体"/>
      <w:color w:val="000000"/>
      <w:kern w:val="2"/>
      <w:sz w:val="22"/>
      <w:szCs w:val="22"/>
      <w:u w:val="none"/>
      <w:lang w:val="en-US" w:eastAsia="zh-CN" w:bidi="ar-SA"/>
    </w:rPr>
  </w:style>
  <w:style w:type="character" w:customStyle="1" w:styleId="2394">
    <w:name w:val="Char Char35"/>
    <w:qFormat/>
    <w:locked/>
    <w:uiPriority w:val="0"/>
    <w:rPr>
      <w:rFonts w:ascii="宋体" w:hAnsi="宋体" w:eastAsia="宋体" w:cs="宋体"/>
      <w:b/>
      <w:bCs/>
      <w:kern w:val="2"/>
      <w:sz w:val="32"/>
      <w:szCs w:val="32"/>
      <w:lang w:val="en-US" w:eastAsia="zh-CN" w:bidi="ar-SA"/>
    </w:rPr>
  </w:style>
  <w:style w:type="character" w:customStyle="1" w:styleId="2395">
    <w:name w:val="样式9 Char Char Char"/>
    <w:qFormat/>
    <w:locked/>
    <w:uiPriority w:val="0"/>
    <w:rPr>
      <w:rFonts w:ascii="Arial" w:hAnsi="Arial" w:eastAsia="宋体" w:cs="Arial"/>
      <w:spacing w:val="10"/>
      <w:sz w:val="24"/>
    </w:rPr>
  </w:style>
  <w:style w:type="character" w:customStyle="1" w:styleId="2396">
    <w:name w:val="图注 Char Char"/>
    <w:qFormat/>
    <w:uiPriority w:val="0"/>
    <w:rPr>
      <w:rFonts w:hint="eastAsia" w:ascii="宋体" w:hAnsi="宋体" w:eastAsia="宋体" w:cs="宋体"/>
      <w:color w:val="FF0000"/>
      <w:kern w:val="2"/>
      <w:sz w:val="28"/>
      <w:szCs w:val="24"/>
      <w:lang w:val="en-US" w:eastAsia="zh-CN" w:bidi="ar-SA"/>
    </w:rPr>
  </w:style>
  <w:style w:type="character" w:customStyle="1" w:styleId="2397">
    <w:name w:val="hangju1"/>
    <w:qFormat/>
    <w:uiPriority w:val="0"/>
    <w:rPr>
      <w:rFonts w:hint="eastAsia" w:ascii="宋体" w:hAnsi="宋体" w:eastAsia="宋体" w:cs="宋体"/>
      <w:spacing w:val="340"/>
      <w:kern w:val="2"/>
      <w:sz w:val="28"/>
      <w:szCs w:val="24"/>
      <w:lang w:val="en-US" w:eastAsia="zh-CN" w:bidi="ar"/>
    </w:rPr>
  </w:style>
  <w:style w:type="character" w:customStyle="1" w:styleId="2398">
    <w:name w:val="Char Char371"/>
    <w:qFormat/>
    <w:uiPriority w:val="0"/>
    <w:rPr>
      <w:rFonts w:ascii="Arial" w:hAnsi="Arial" w:eastAsia="宋体" w:cs="Arial"/>
      <w:spacing w:val="10"/>
      <w:kern w:val="2"/>
      <w:sz w:val="24"/>
      <w:lang w:val="en-US" w:eastAsia="zh-CN" w:bidi="ar-SA"/>
    </w:rPr>
  </w:style>
  <w:style w:type="character" w:customStyle="1" w:styleId="2399">
    <w:name w:val=".biaoti"/>
    <w:qFormat/>
    <w:uiPriority w:val="0"/>
    <w:rPr>
      <w:rFonts w:hint="eastAsia" w:ascii="宋体" w:hAnsi="宋体" w:eastAsia="宋体" w:cs="宋体"/>
      <w:kern w:val="2"/>
      <w:sz w:val="28"/>
      <w:szCs w:val="24"/>
      <w:lang w:val="en-US" w:eastAsia="zh-CN" w:bidi="ar"/>
    </w:rPr>
  </w:style>
  <w:style w:type="character" w:customStyle="1" w:styleId="2400">
    <w:name w:val="可研报告正文 Char Char"/>
    <w:link w:val="931"/>
    <w:qFormat/>
    <w:locked/>
    <w:uiPriority w:val="0"/>
    <w:rPr>
      <w:kern w:val="2"/>
      <w:sz w:val="24"/>
      <w:szCs w:val="24"/>
    </w:rPr>
  </w:style>
  <w:style w:type="character" w:customStyle="1" w:styleId="2401">
    <w:name w:val="样式 标题 2标题 21标题 121标题 2 Char1 Char节H2节标题 1.1节标题 1.1 Char...2 Char Char"/>
    <w:link w:val="2402"/>
    <w:qFormat/>
    <w:locked/>
    <w:uiPriority w:val="0"/>
    <w:rPr>
      <w:rFonts w:ascii="宋体" w:hAnsi="宋体" w:eastAsia="黑体"/>
      <w:color w:val="000000"/>
      <w:spacing w:val="-2"/>
      <w:sz w:val="28"/>
      <w:szCs w:val="24"/>
    </w:rPr>
  </w:style>
  <w:style w:type="paragraph" w:customStyle="1" w:styleId="2402">
    <w:name w:val="样式 标题 2标题 21标题 121标题 2 Char1 Char节H2节标题 1.1节标题 1.1 Char...2"/>
    <w:basedOn w:val="4"/>
    <w:link w:val="2401"/>
    <w:qFormat/>
    <w:uiPriority w:val="0"/>
    <w:pPr>
      <w:keepNext w:val="0"/>
      <w:keepLines w:val="0"/>
      <w:widowControl/>
      <w:tabs>
        <w:tab w:val="left" w:pos="1476"/>
      </w:tabs>
      <w:adjustRightInd w:val="0"/>
      <w:spacing w:before="0" w:beforeLines="100" w:after="100"/>
      <w:jc w:val="left"/>
    </w:pPr>
    <w:rPr>
      <w:rFonts w:ascii="宋体" w:hAnsi="宋体"/>
      <w:color w:val="000000"/>
      <w:spacing w:val="-2"/>
      <w:kern w:val="0"/>
      <w:szCs w:val="24"/>
    </w:rPr>
  </w:style>
  <w:style w:type="character" w:customStyle="1" w:styleId="2403">
    <w:name w:val="Body Text First Indent Char1"/>
    <w:semiHidden/>
    <w:qFormat/>
    <w:uiPriority w:val="99"/>
    <w:rPr>
      <w:rFonts w:ascii="宋体" w:hAnsi="宋体" w:eastAsia="Arial" w:cs="宋体"/>
      <w:kern w:val="28"/>
      <w:sz w:val="32"/>
      <w:szCs w:val="32"/>
      <w:lang w:val="en-US" w:eastAsia="zh-CN" w:bidi="ar-SA"/>
    </w:rPr>
  </w:style>
  <w:style w:type="character" w:customStyle="1" w:styleId="2404">
    <w:name w:val="样式 标题 4 + (西文) Times New Roman (中文) 宋体 小四 非加粗 Char Char"/>
    <w:link w:val="1901"/>
    <w:qFormat/>
    <w:locked/>
    <w:uiPriority w:val="0"/>
    <w:rPr>
      <w:rFonts w:ascii="Arial" w:hAnsi="Arial" w:eastAsia="黑体" w:cs="宋体"/>
      <w:b/>
      <w:sz w:val="24"/>
      <w:szCs w:val="28"/>
    </w:rPr>
  </w:style>
  <w:style w:type="character" w:customStyle="1" w:styleId="2405">
    <w:name w:val="Default Char"/>
    <w:link w:val="762"/>
    <w:qFormat/>
    <w:locked/>
    <w:uiPriority w:val="0"/>
    <w:rPr>
      <w:rFonts w:ascii="宋体"/>
    </w:rPr>
  </w:style>
  <w:style w:type="character" w:customStyle="1" w:styleId="2406">
    <w:name w:val="Char Char34"/>
    <w:qFormat/>
    <w:locked/>
    <w:uiPriority w:val="0"/>
    <w:rPr>
      <w:rFonts w:ascii="Arial" w:hAnsi="Arial" w:eastAsia="黑体" w:cs="宋体"/>
      <w:b/>
      <w:bCs/>
      <w:kern w:val="2"/>
      <w:sz w:val="28"/>
      <w:szCs w:val="28"/>
      <w:lang w:val="en-US" w:eastAsia="zh-CN" w:bidi="ar-SA"/>
    </w:rPr>
  </w:style>
  <w:style w:type="character" w:customStyle="1" w:styleId="2407">
    <w:name w:val="标题3YHY Char Char"/>
    <w:qFormat/>
    <w:locked/>
    <w:uiPriority w:val="0"/>
    <w:rPr>
      <w:rFonts w:ascii="宋体" w:hAnsi="宋体" w:eastAsia="宋体"/>
      <w:b/>
      <w:bCs/>
      <w:spacing w:val="-2"/>
      <w:sz w:val="24"/>
      <w:szCs w:val="24"/>
    </w:rPr>
  </w:style>
  <w:style w:type="character" w:customStyle="1" w:styleId="2408">
    <w:name w:val="正缩1 Char Char Char"/>
    <w:link w:val="837"/>
    <w:qFormat/>
    <w:locked/>
    <w:uiPriority w:val="0"/>
    <w:rPr>
      <w:rFonts w:eastAsia="仿宋_GB2312"/>
      <w:snapToGrid/>
      <w:color w:val="000000"/>
      <w:sz w:val="28"/>
    </w:rPr>
  </w:style>
  <w:style w:type="character" w:customStyle="1" w:styleId="2409">
    <w:name w:val="我的标题3 Char Char Char"/>
    <w:qFormat/>
    <w:locked/>
    <w:uiPriority w:val="0"/>
    <w:rPr>
      <w:rFonts w:eastAsia="黑体"/>
      <w:sz w:val="28"/>
      <w:szCs w:val="24"/>
    </w:rPr>
  </w:style>
  <w:style w:type="character" w:customStyle="1" w:styleId="2410">
    <w:name w:val="样式 样式 宋体 四号 行距: 1.5 倍行距 + Times New Roman1 Char Char"/>
    <w:link w:val="2411"/>
    <w:qFormat/>
    <w:locked/>
    <w:uiPriority w:val="0"/>
    <w:rPr>
      <w:rFonts w:ascii="宋体" w:hAnsi="宋体" w:cs="宋体"/>
      <w:sz w:val="28"/>
      <w:szCs w:val="24"/>
    </w:rPr>
  </w:style>
  <w:style w:type="paragraph" w:customStyle="1" w:styleId="2411">
    <w:name w:val="样式 样式 宋体 四号 行距: 1.5 倍行距 + Times New Roman1"/>
    <w:basedOn w:val="1869"/>
    <w:link w:val="2410"/>
    <w:qFormat/>
    <w:uiPriority w:val="0"/>
    <w:pPr>
      <w:ind w:firstLine="200"/>
    </w:pPr>
  </w:style>
  <w:style w:type="character" w:customStyle="1" w:styleId="2412">
    <w:name w:val="Char Char43"/>
    <w:qFormat/>
    <w:uiPriority w:val="0"/>
    <w:rPr>
      <w:rFonts w:ascii="Times New Roman" w:hAnsi="Times New Roman" w:eastAsia="宋体" w:cs="Times New Roman"/>
      <w:kern w:val="2"/>
      <w:sz w:val="18"/>
      <w:szCs w:val="18"/>
      <w:lang w:val="en-US" w:eastAsia="zh-CN" w:bidi="ar-SA"/>
    </w:rPr>
  </w:style>
  <w:style w:type="character" w:customStyle="1" w:styleId="2413">
    <w:name w:val="tpc_content"/>
    <w:qFormat/>
    <w:uiPriority w:val="0"/>
    <w:rPr>
      <w:rFonts w:hint="eastAsia" w:ascii="宋体" w:hAnsi="宋体" w:eastAsia="宋体" w:cs="宋体"/>
      <w:kern w:val="2"/>
      <w:sz w:val="28"/>
      <w:szCs w:val="24"/>
      <w:lang w:val="en-US" w:eastAsia="zh-CN" w:bidi="ar"/>
    </w:rPr>
  </w:style>
  <w:style w:type="character" w:customStyle="1" w:styleId="2414">
    <w:name w:val="正文-------- Char Char"/>
    <w:link w:val="2415"/>
    <w:qFormat/>
    <w:locked/>
    <w:uiPriority w:val="0"/>
    <w:rPr>
      <w:rFonts w:ascii="宋体" w:hAnsi="宋体" w:cs="宋体"/>
      <w:sz w:val="24"/>
      <w:szCs w:val="24"/>
    </w:rPr>
  </w:style>
  <w:style w:type="paragraph" w:customStyle="1" w:styleId="2415">
    <w:name w:val="正文--------"/>
    <w:basedOn w:val="1"/>
    <w:link w:val="2414"/>
    <w:qFormat/>
    <w:uiPriority w:val="0"/>
    <w:pPr>
      <w:spacing w:line="460" w:lineRule="exact"/>
      <w:ind w:firstLine="480" w:firstLineChars="200"/>
      <w:jc w:val="left"/>
    </w:pPr>
    <w:rPr>
      <w:rFonts w:ascii="宋体" w:hAnsi="宋体" w:eastAsia="宋体" w:cs="宋体"/>
      <w:kern w:val="0"/>
      <w:sz w:val="24"/>
      <w:szCs w:val="24"/>
    </w:rPr>
  </w:style>
  <w:style w:type="character" w:customStyle="1" w:styleId="2416">
    <w:name w:val="H5 Char Char"/>
    <w:qFormat/>
    <w:uiPriority w:val="0"/>
    <w:rPr>
      <w:rFonts w:hint="eastAsia" w:ascii="宋体" w:hAnsi="宋体" w:eastAsia="宋体" w:cs="宋体"/>
      <w:b/>
      <w:bCs/>
      <w:kern w:val="2"/>
      <w:sz w:val="28"/>
      <w:szCs w:val="28"/>
      <w:lang w:val="en-US" w:eastAsia="zh-CN" w:bidi="ar-SA"/>
    </w:rPr>
  </w:style>
  <w:style w:type="character" w:customStyle="1" w:styleId="2417">
    <w:name w:val="样式 正文格式 Char Char"/>
    <w:link w:val="2418"/>
    <w:qFormat/>
    <w:locked/>
    <w:uiPriority w:val="0"/>
    <w:rPr>
      <w:rFonts w:ascii="宋体" w:hAnsi="宋体" w:cs="宋体"/>
      <w:sz w:val="24"/>
      <w:szCs w:val="24"/>
    </w:rPr>
  </w:style>
  <w:style w:type="paragraph" w:customStyle="1" w:styleId="2418">
    <w:name w:val="样式 正文格式"/>
    <w:basedOn w:val="35"/>
    <w:link w:val="2417"/>
    <w:qFormat/>
    <w:uiPriority w:val="0"/>
    <w:pPr>
      <w:spacing w:line="480" w:lineRule="exact"/>
      <w:ind w:firstLine="480"/>
    </w:pPr>
    <w:rPr>
      <w:rFonts w:ascii="宋体" w:hAnsi="宋体" w:cs="宋体"/>
      <w:kern w:val="0"/>
      <w:sz w:val="24"/>
      <w:szCs w:val="24"/>
    </w:rPr>
  </w:style>
  <w:style w:type="character" w:customStyle="1" w:styleId="2419">
    <w:name w:val="标题 5 Char2"/>
    <w:qFormat/>
    <w:uiPriority w:val="0"/>
    <w:rPr>
      <w:rFonts w:hint="default" w:ascii="Times New Roman" w:hAnsi="Times New Roman" w:eastAsia="宋体" w:cs="Times New Roman"/>
      <w:b/>
      <w:bCs/>
      <w:kern w:val="0"/>
      <w:sz w:val="28"/>
      <w:szCs w:val="28"/>
      <w:lang w:val="en-US" w:eastAsia="zh-CN" w:bidi="ar-SA"/>
    </w:rPr>
  </w:style>
  <w:style w:type="character" w:customStyle="1" w:styleId="2420">
    <w:name w:val="要点11"/>
    <w:qFormat/>
    <w:uiPriority w:val="0"/>
    <w:rPr>
      <w:rFonts w:ascii="宋体" w:hAnsi="宋体" w:eastAsia="宋体"/>
      <w:b/>
    </w:rPr>
  </w:style>
  <w:style w:type="character" w:customStyle="1" w:styleId="2421">
    <w:name w:val="样式 样式 样式 样式 (符号) 宋体 13 磅 首行缩进:  2 字符 行距: 1.5 倍行距 + 首行缩进:  2 字符 +... Char Char"/>
    <w:link w:val="2422"/>
    <w:qFormat/>
    <w:locked/>
    <w:uiPriority w:val="0"/>
    <w:rPr>
      <w:rFonts w:ascii="宋体" w:hAnsi="宋体" w:cs="宋体"/>
      <w:sz w:val="26"/>
      <w:szCs w:val="24"/>
    </w:rPr>
  </w:style>
  <w:style w:type="paragraph" w:customStyle="1" w:styleId="2422">
    <w:name w:val="样式 样式 样式 样式 (符号) 宋体 13 磅 首行缩进:  2 字符 行距: 1.5 倍行距 + 首行缩进:  2 字符 +..."/>
    <w:basedOn w:val="1"/>
    <w:link w:val="2421"/>
    <w:qFormat/>
    <w:uiPriority w:val="0"/>
    <w:pPr>
      <w:ind w:firstLine="563" w:firstLineChars="200"/>
    </w:pPr>
    <w:rPr>
      <w:rFonts w:ascii="宋体" w:hAnsi="宋体" w:eastAsia="宋体" w:cs="宋体"/>
      <w:kern w:val="0"/>
      <w:sz w:val="26"/>
      <w:szCs w:val="24"/>
    </w:rPr>
  </w:style>
  <w:style w:type="character" w:customStyle="1" w:styleId="2423">
    <w:name w:val="样式 样式 标题 2节标题 1.1 + Times New Roman 四号 + Char Char"/>
    <w:link w:val="2424"/>
    <w:qFormat/>
    <w:locked/>
    <w:uiPriority w:val="0"/>
    <w:rPr>
      <w:rFonts w:ascii="宋体" w:hAnsi="宋体" w:cs="宋体"/>
      <w:b/>
      <w:bCs/>
      <w:sz w:val="28"/>
      <w:szCs w:val="32"/>
    </w:rPr>
  </w:style>
  <w:style w:type="paragraph" w:customStyle="1" w:styleId="2424">
    <w:name w:val="样式 样式 标题 2节标题 1.1 + Times New Roman 四号 +"/>
    <w:basedOn w:val="1"/>
    <w:link w:val="2423"/>
    <w:qFormat/>
    <w:uiPriority w:val="0"/>
    <w:pPr>
      <w:keepNext/>
      <w:keepLines/>
      <w:spacing w:before="100" w:beforeAutospacing="1" w:after="100" w:afterAutospacing="1" w:line="360" w:lineRule="auto"/>
      <w:outlineLvl w:val="1"/>
    </w:pPr>
    <w:rPr>
      <w:rFonts w:ascii="宋体" w:hAnsi="宋体" w:eastAsia="宋体" w:cs="宋体"/>
      <w:b/>
      <w:bCs/>
      <w:kern w:val="0"/>
      <w:szCs w:val="32"/>
    </w:rPr>
  </w:style>
  <w:style w:type="character" w:customStyle="1" w:styleId="2425">
    <w:name w:val="样式 报告 + 首行缩进:  2 字符 Char Char Char"/>
    <w:link w:val="2426"/>
    <w:qFormat/>
    <w:locked/>
    <w:uiPriority w:val="0"/>
    <w:rPr>
      <w:rFonts w:ascii="宋体" w:hAnsi="宋体" w:cs="宋体"/>
      <w:sz w:val="24"/>
      <w:szCs w:val="24"/>
    </w:rPr>
  </w:style>
  <w:style w:type="paragraph" w:customStyle="1" w:styleId="2426">
    <w:name w:val="样式 报告 + 首行缩进:  2 字符 Char"/>
    <w:basedOn w:val="1"/>
    <w:link w:val="2425"/>
    <w:qFormat/>
    <w:uiPriority w:val="0"/>
    <w:pPr>
      <w:widowControl/>
      <w:overflowPunct w:val="0"/>
      <w:autoSpaceDE w:val="0"/>
      <w:autoSpaceDN w:val="0"/>
      <w:adjustRightInd w:val="0"/>
      <w:spacing w:before="120" w:after="120" w:line="400" w:lineRule="atLeast"/>
      <w:ind w:firstLine="480" w:firstLineChars="200"/>
    </w:pPr>
    <w:rPr>
      <w:rFonts w:ascii="宋体" w:hAnsi="宋体" w:eastAsia="宋体" w:cs="宋体"/>
      <w:kern w:val="0"/>
      <w:sz w:val="24"/>
      <w:szCs w:val="24"/>
    </w:rPr>
  </w:style>
  <w:style w:type="character" w:customStyle="1" w:styleId="2427">
    <w:name w:val="王向东正文 Char Char"/>
    <w:link w:val="1259"/>
    <w:qFormat/>
    <w:locked/>
    <w:uiPriority w:val="0"/>
    <w:rPr>
      <w:rFonts w:eastAsia="仿宋_GB2312" w:cs="幼圆"/>
      <w:kern w:val="2"/>
      <w:sz w:val="28"/>
      <w:szCs w:val="28"/>
    </w:rPr>
  </w:style>
  <w:style w:type="character" w:customStyle="1" w:styleId="2428">
    <w:name w:val="gai Char Char"/>
    <w:link w:val="2429"/>
    <w:qFormat/>
    <w:locked/>
    <w:uiPriority w:val="0"/>
    <w:rPr>
      <w:rFonts w:ascii="宋体" w:hAnsi="宋体" w:cs="宋体"/>
      <w:color w:val="0000FF"/>
      <w:spacing w:val="-6"/>
      <w:sz w:val="36"/>
      <w:szCs w:val="36"/>
    </w:rPr>
  </w:style>
  <w:style w:type="paragraph" w:customStyle="1" w:styleId="2429">
    <w:name w:val="gai"/>
    <w:basedOn w:val="4"/>
    <w:link w:val="2428"/>
    <w:qFormat/>
    <w:uiPriority w:val="0"/>
    <w:pPr>
      <w:keepNext w:val="0"/>
      <w:keepLines w:val="0"/>
      <w:tabs>
        <w:tab w:val="clear" w:pos="567"/>
      </w:tabs>
      <w:snapToGrid w:val="0"/>
      <w:spacing w:before="0" w:after="0" w:line="360" w:lineRule="auto"/>
      <w:ind w:left="0" w:firstLine="513" w:firstLineChars="225"/>
      <w:jc w:val="left"/>
      <w:outlineLvl w:val="9"/>
    </w:pPr>
    <w:rPr>
      <w:rFonts w:ascii="宋体" w:hAnsi="宋体" w:eastAsia="宋体" w:cs="宋体"/>
      <w:color w:val="0000FF"/>
      <w:spacing w:val="-6"/>
      <w:kern w:val="0"/>
      <w:sz w:val="36"/>
      <w:szCs w:val="36"/>
    </w:rPr>
  </w:style>
  <w:style w:type="character" w:customStyle="1" w:styleId="2430">
    <w:name w:val="p11"/>
    <w:qFormat/>
    <w:uiPriority w:val="0"/>
    <w:rPr>
      <w:rFonts w:hint="eastAsia" w:ascii="宋体" w:hAnsi="宋体" w:eastAsia="宋体" w:cs="宋体"/>
      <w:kern w:val="2"/>
      <w:sz w:val="18"/>
      <w:szCs w:val="18"/>
      <w:lang w:val="en-US" w:eastAsia="zh-CN" w:bidi="ar"/>
    </w:rPr>
  </w:style>
  <w:style w:type="character" w:customStyle="1" w:styleId="2431">
    <w:name w:val="表中 Char Char Char Char Char"/>
    <w:link w:val="2432"/>
    <w:qFormat/>
    <w:locked/>
    <w:uiPriority w:val="0"/>
    <w:rPr>
      <w:rFonts w:ascii="宋体" w:hAnsi="宋体" w:cs="宋体"/>
      <w:bCs/>
      <w:szCs w:val="21"/>
    </w:rPr>
  </w:style>
  <w:style w:type="paragraph" w:customStyle="1" w:styleId="2432">
    <w:name w:val="表中 Char Char Char"/>
    <w:basedOn w:val="1"/>
    <w:link w:val="2431"/>
    <w:qFormat/>
    <w:uiPriority w:val="0"/>
    <w:pPr>
      <w:jc w:val="center"/>
    </w:pPr>
    <w:rPr>
      <w:rFonts w:ascii="宋体" w:hAnsi="宋体" w:eastAsia="宋体" w:cs="宋体"/>
      <w:bCs/>
      <w:kern w:val="0"/>
      <w:sz w:val="20"/>
      <w:szCs w:val="21"/>
    </w:rPr>
  </w:style>
  <w:style w:type="character" w:customStyle="1" w:styleId="2433">
    <w:name w:val="n标题 3 Char Char"/>
    <w:link w:val="2434"/>
    <w:qFormat/>
    <w:locked/>
    <w:uiPriority w:val="0"/>
    <w:rPr>
      <w:rFonts w:ascii="Arial" w:hAnsi="Arial" w:cs="宋体"/>
      <w:b/>
      <w:bCs/>
      <w:sz w:val="24"/>
      <w:szCs w:val="24"/>
    </w:rPr>
  </w:style>
  <w:style w:type="paragraph" w:customStyle="1" w:styleId="2434">
    <w:name w:val="n标题 3"/>
    <w:next w:val="2435"/>
    <w:link w:val="2433"/>
    <w:qFormat/>
    <w:uiPriority w:val="0"/>
    <w:pPr>
      <w:outlineLvl w:val="2"/>
    </w:pPr>
    <w:rPr>
      <w:rFonts w:ascii="Arial" w:hAnsi="Arial" w:eastAsia="宋体" w:cs="宋体"/>
      <w:b/>
      <w:bCs/>
      <w:sz w:val="24"/>
      <w:szCs w:val="24"/>
      <w:lang w:val="en-US" w:eastAsia="zh-CN" w:bidi="ar-SA"/>
    </w:rPr>
  </w:style>
  <w:style w:type="paragraph" w:customStyle="1" w:styleId="2435">
    <w:name w:val="正文小四"/>
    <w:link w:val="2448"/>
    <w:qFormat/>
    <w:uiPriority w:val="0"/>
    <w:pPr>
      <w:spacing w:line="360" w:lineRule="auto"/>
      <w:ind w:firstLine="200" w:firstLineChars="200"/>
    </w:pPr>
    <w:rPr>
      <w:rFonts w:ascii="宋体" w:hAnsi="宋体" w:eastAsia="宋体" w:cs="宋体"/>
      <w:sz w:val="24"/>
      <w:szCs w:val="24"/>
      <w:lang w:val="en-US" w:eastAsia="zh-CN" w:bidi="ar-SA"/>
    </w:rPr>
  </w:style>
  <w:style w:type="character" w:customStyle="1" w:styleId="2436">
    <w:name w:val="表格中的文字 Char Char"/>
    <w:qFormat/>
    <w:locked/>
    <w:uiPriority w:val="0"/>
    <w:rPr>
      <w:rFonts w:ascii="宋体" w:hAnsi="宋体" w:eastAsia="宋体" w:cs="宋体"/>
      <w:szCs w:val="24"/>
    </w:rPr>
  </w:style>
  <w:style w:type="character" w:customStyle="1" w:styleId="2437">
    <w:name w:val="样式 标题 2标题 21标题 121标题 2 Char1 Char节H2节标题 1.1节标题 1.1 Char... Char Char Char"/>
    <w:link w:val="2438"/>
    <w:qFormat/>
    <w:locked/>
    <w:uiPriority w:val="0"/>
    <w:rPr>
      <w:rFonts w:ascii="Arial" w:hAnsi="Arial" w:eastAsia="黑体" w:cs="宋体"/>
      <w:b/>
      <w:color w:val="000000"/>
      <w:sz w:val="28"/>
      <w:szCs w:val="24"/>
    </w:rPr>
  </w:style>
  <w:style w:type="paragraph" w:customStyle="1" w:styleId="2438">
    <w:name w:val="样式 标题 2标题 21标题 121标题 2 Char1 Char节H2节标题 1.1节标题 1.1 Char..."/>
    <w:basedOn w:val="4"/>
    <w:link w:val="2437"/>
    <w:qFormat/>
    <w:uiPriority w:val="0"/>
    <w:pPr>
      <w:tabs>
        <w:tab w:val="left" w:pos="1476"/>
        <w:tab w:val="clear" w:pos="567"/>
      </w:tabs>
      <w:spacing w:before="0" w:after="0" w:line="460" w:lineRule="exact"/>
      <w:ind w:left="0" w:firstLine="0"/>
    </w:pPr>
    <w:rPr>
      <w:rFonts w:ascii="Arial" w:cs="宋体"/>
      <w:b/>
      <w:color w:val="000000"/>
      <w:kern w:val="0"/>
      <w:szCs w:val="24"/>
    </w:rPr>
  </w:style>
  <w:style w:type="character" w:customStyle="1" w:styleId="2439">
    <w:name w:val="表格头 Char Char"/>
    <w:qFormat/>
    <w:locked/>
    <w:uiPriority w:val="0"/>
    <w:rPr>
      <w:rFonts w:ascii="Tahoma" w:hAnsi="Tahoma" w:eastAsia="黑体" w:cs="宋体"/>
      <w:b/>
      <w:snapToGrid/>
      <w:color w:val="000000"/>
      <w:spacing w:val="-4"/>
      <w:sz w:val="24"/>
      <w:szCs w:val="24"/>
    </w:rPr>
  </w:style>
  <w:style w:type="character" w:customStyle="1" w:styleId="2440">
    <w:name w:val="样式 标题 1 + 黑体 Char Char"/>
    <w:link w:val="2441"/>
    <w:qFormat/>
    <w:locked/>
    <w:uiPriority w:val="0"/>
    <w:rPr>
      <w:rFonts w:ascii="黑体" w:hAnsi="黑体" w:eastAsia="黑体" w:cs="宋体"/>
      <w:b/>
      <w:bCs/>
      <w:kern w:val="44"/>
      <w:sz w:val="30"/>
      <w:szCs w:val="44"/>
      <w:lang w:val="zh-CN"/>
    </w:rPr>
  </w:style>
  <w:style w:type="paragraph" w:customStyle="1" w:styleId="2441">
    <w:name w:val="样式 标题 1 + 黑体"/>
    <w:basedOn w:val="3"/>
    <w:link w:val="2440"/>
    <w:qFormat/>
    <w:uiPriority w:val="0"/>
    <w:pPr>
      <w:pageBreakBefore w:val="0"/>
      <w:tabs>
        <w:tab w:val="clear" w:pos="1080"/>
      </w:tabs>
      <w:autoSpaceDE w:val="0"/>
      <w:autoSpaceDN w:val="0"/>
      <w:adjustRightInd w:val="0"/>
      <w:snapToGrid w:val="0"/>
      <w:spacing w:before="0" w:after="0" w:line="360" w:lineRule="auto"/>
      <w:ind w:left="0" w:firstLine="0"/>
      <w:jc w:val="both"/>
    </w:pPr>
    <w:rPr>
      <w:rFonts w:ascii="黑体" w:hAnsi="黑体" w:eastAsia="黑体" w:cs="宋体"/>
      <w:bCs/>
      <w:sz w:val="30"/>
      <w:szCs w:val="44"/>
      <w:lang w:val="zh-CN"/>
    </w:rPr>
  </w:style>
  <w:style w:type="character" w:customStyle="1" w:styleId="2442">
    <w:name w:val="样式 标题 3标题 13ReHead 3 WSAh3B HeadH3..标题 3 Char Char标题 3 ... Char"/>
    <w:qFormat/>
    <w:locked/>
    <w:uiPriority w:val="0"/>
    <w:rPr>
      <w:rFonts w:hint="eastAsia" w:ascii="宋体" w:hAnsi="宋体" w:eastAsia="宋体" w:cs="宋体"/>
      <w:b/>
      <w:bCs/>
      <w:kern w:val="2"/>
      <w:sz w:val="24"/>
      <w:szCs w:val="24"/>
      <w:lang w:val="en-US" w:eastAsia="zh-CN" w:bidi="ar-SA"/>
    </w:rPr>
  </w:style>
  <w:style w:type="character" w:customStyle="1" w:styleId="2443">
    <w:name w:val="正文正 Char Char"/>
    <w:link w:val="2444"/>
    <w:qFormat/>
    <w:locked/>
    <w:uiPriority w:val="0"/>
    <w:rPr>
      <w:rFonts w:ascii="宋体" w:hAnsi="宋体" w:cs="宋体"/>
      <w:sz w:val="24"/>
      <w:szCs w:val="24"/>
    </w:rPr>
  </w:style>
  <w:style w:type="paragraph" w:customStyle="1" w:styleId="2444">
    <w:name w:val="正文正"/>
    <w:basedOn w:val="1"/>
    <w:link w:val="2443"/>
    <w:qFormat/>
    <w:uiPriority w:val="0"/>
    <w:pPr>
      <w:spacing w:line="360" w:lineRule="auto"/>
      <w:ind w:firstLine="480" w:firstLineChars="200"/>
    </w:pPr>
    <w:rPr>
      <w:rFonts w:ascii="宋体" w:hAnsi="宋体" w:eastAsia="宋体" w:cs="宋体"/>
      <w:kern w:val="0"/>
      <w:sz w:val="24"/>
      <w:szCs w:val="24"/>
    </w:rPr>
  </w:style>
  <w:style w:type="character" w:customStyle="1" w:styleId="2445">
    <w:name w:val="Char Char18"/>
    <w:qFormat/>
    <w:uiPriority w:val="0"/>
    <w:rPr>
      <w:rFonts w:hint="eastAsia" w:ascii="宋体" w:hAnsi="宋体" w:eastAsia="宋体" w:cs="宋体"/>
      <w:snapToGrid w:val="0"/>
      <w:kern w:val="2"/>
      <w:sz w:val="24"/>
      <w:szCs w:val="24"/>
      <w:lang w:val="en-US" w:eastAsia="zh-CN" w:bidi="ar-SA"/>
    </w:rPr>
  </w:style>
  <w:style w:type="character" w:customStyle="1" w:styleId="2446">
    <w:name w:val="样式16 Char Char"/>
    <w:link w:val="2447"/>
    <w:qFormat/>
    <w:locked/>
    <w:uiPriority w:val="0"/>
    <w:rPr>
      <w:rFonts w:ascii="宋体" w:hAnsi="宋体" w:cs="宋体"/>
      <w:b/>
      <w:szCs w:val="24"/>
    </w:rPr>
  </w:style>
  <w:style w:type="paragraph" w:customStyle="1" w:styleId="2447">
    <w:name w:val="样式16"/>
    <w:basedOn w:val="1"/>
    <w:link w:val="2446"/>
    <w:qFormat/>
    <w:uiPriority w:val="0"/>
    <w:pPr>
      <w:spacing w:beforeLines="50"/>
    </w:pPr>
    <w:rPr>
      <w:rFonts w:ascii="宋体" w:hAnsi="宋体" w:eastAsia="宋体" w:cs="宋体"/>
      <w:b/>
      <w:kern w:val="0"/>
      <w:sz w:val="20"/>
      <w:szCs w:val="24"/>
    </w:rPr>
  </w:style>
  <w:style w:type="character" w:customStyle="1" w:styleId="2448">
    <w:name w:val="正文小四 Char Char"/>
    <w:link w:val="2435"/>
    <w:qFormat/>
    <w:locked/>
    <w:uiPriority w:val="0"/>
    <w:rPr>
      <w:rFonts w:ascii="宋体" w:hAnsi="宋体" w:cs="宋体"/>
      <w:sz w:val="24"/>
      <w:szCs w:val="24"/>
    </w:rPr>
  </w:style>
  <w:style w:type="character" w:customStyle="1" w:styleId="2449">
    <w:name w:val="正文文本最新 Char Char Char Char1 Char Char Char Char Char Char1 Char Char"/>
    <w:link w:val="2450"/>
    <w:qFormat/>
    <w:locked/>
    <w:uiPriority w:val="0"/>
    <w:rPr>
      <w:rFonts w:ascii="宋体" w:hAnsi="宋体" w:cs="宋体"/>
      <w:bCs/>
      <w:sz w:val="28"/>
      <w:szCs w:val="24"/>
    </w:rPr>
  </w:style>
  <w:style w:type="paragraph" w:customStyle="1" w:styleId="2450">
    <w:name w:val="正文文本最新 Char Char Char Char1 Char Char Char Char Char Char1"/>
    <w:basedOn w:val="1"/>
    <w:link w:val="2449"/>
    <w:qFormat/>
    <w:uiPriority w:val="0"/>
    <w:pPr>
      <w:spacing w:line="360" w:lineRule="auto"/>
      <w:ind w:firstLine="200" w:firstLineChars="200"/>
    </w:pPr>
    <w:rPr>
      <w:rFonts w:ascii="宋体" w:hAnsi="宋体" w:eastAsia="宋体" w:cs="宋体"/>
      <w:bCs/>
      <w:kern w:val="0"/>
      <w:szCs w:val="24"/>
    </w:rPr>
  </w:style>
  <w:style w:type="character" w:customStyle="1" w:styleId="2451">
    <w:name w:val="H6 Char4"/>
    <w:qFormat/>
    <w:uiPriority w:val="0"/>
    <w:rPr>
      <w:rFonts w:hint="default" w:ascii="Arial" w:hAnsi="Arial" w:eastAsia="黑体" w:cs="宋体"/>
      <w:b/>
      <w:bCs/>
      <w:kern w:val="2"/>
      <w:sz w:val="24"/>
      <w:szCs w:val="24"/>
      <w:lang w:val="en-US" w:eastAsia="zh-CN" w:bidi="ar-SA"/>
    </w:rPr>
  </w:style>
  <w:style w:type="character" w:customStyle="1" w:styleId="2452">
    <w:name w:val="新正文 Char Char"/>
    <w:qFormat/>
    <w:locked/>
    <w:uiPriority w:val="0"/>
    <w:rPr>
      <w:rFonts w:eastAsia="宋体"/>
      <w:sz w:val="24"/>
    </w:rPr>
  </w:style>
  <w:style w:type="character" w:customStyle="1" w:styleId="2453">
    <w:name w:val="正文小四环评 Char Char"/>
    <w:link w:val="2454"/>
    <w:qFormat/>
    <w:locked/>
    <w:uiPriority w:val="0"/>
    <w:rPr>
      <w:rFonts w:ascii="宋体" w:hAnsi="宋体" w:cs="宋体"/>
      <w:bCs/>
      <w:color w:val="000000"/>
      <w:sz w:val="24"/>
      <w:szCs w:val="24"/>
    </w:rPr>
  </w:style>
  <w:style w:type="paragraph" w:customStyle="1" w:styleId="2454">
    <w:name w:val="正文小四环评"/>
    <w:link w:val="2453"/>
    <w:qFormat/>
    <w:uiPriority w:val="0"/>
    <w:pPr>
      <w:spacing w:before="100" w:beforeAutospacing="1" w:after="100" w:afterAutospacing="1" w:line="360" w:lineRule="auto"/>
      <w:ind w:firstLine="200" w:firstLineChars="200"/>
    </w:pPr>
    <w:rPr>
      <w:rFonts w:ascii="宋体" w:hAnsi="宋体" w:eastAsia="宋体" w:cs="宋体"/>
      <w:bCs/>
      <w:color w:val="000000"/>
      <w:sz w:val="24"/>
      <w:szCs w:val="24"/>
      <w:lang w:val="en-US" w:eastAsia="zh-CN" w:bidi="ar-SA"/>
    </w:rPr>
  </w:style>
  <w:style w:type="character" w:customStyle="1" w:styleId="2455">
    <w:name w:val="Footer Char1"/>
    <w:semiHidden/>
    <w:qFormat/>
    <w:uiPriority w:val="99"/>
    <w:rPr>
      <w:rFonts w:ascii="宋体" w:hAnsi="宋体" w:eastAsia="Arial" w:cs="宋体"/>
      <w:kern w:val="28"/>
      <w:sz w:val="18"/>
      <w:szCs w:val="18"/>
      <w:lang w:val="en-US" w:eastAsia="zh-CN" w:bidi="ar-SA"/>
    </w:rPr>
  </w:style>
  <w:style w:type="character" w:customStyle="1" w:styleId="2456">
    <w:name w:val="ehong1"/>
    <w:qFormat/>
    <w:uiPriority w:val="0"/>
    <w:rPr>
      <w:rFonts w:hint="eastAsia" w:ascii="宋体" w:hAnsi="宋体" w:eastAsia="宋体" w:cs="宋体"/>
      <w:b/>
      <w:bCs/>
      <w:color w:val="FF3333"/>
      <w:kern w:val="2"/>
      <w:sz w:val="20"/>
      <w:szCs w:val="20"/>
      <w:u w:val="none"/>
      <w:lang w:val="en-US" w:eastAsia="zh-CN" w:bidi="ar"/>
    </w:rPr>
  </w:style>
  <w:style w:type="character" w:customStyle="1" w:styleId="2457">
    <w:name w:val="blue161"/>
    <w:qFormat/>
    <w:uiPriority w:val="0"/>
    <w:rPr>
      <w:rFonts w:hint="default" w:ascii="ˎ̥" w:hAnsi="ˎ̥" w:eastAsia="宋体" w:cs="宋体"/>
      <w:color w:val="333333"/>
      <w:kern w:val="2"/>
      <w:sz w:val="21"/>
      <w:szCs w:val="21"/>
      <w:lang w:val="en-US" w:eastAsia="zh-CN" w:bidi="ar"/>
    </w:rPr>
  </w:style>
  <w:style w:type="character" w:customStyle="1" w:styleId="2458">
    <w:name w:val="table Char"/>
    <w:qFormat/>
    <w:uiPriority w:val="0"/>
    <w:rPr>
      <w:rFonts w:hint="eastAsia" w:ascii="宋体" w:hAnsi="宋体" w:eastAsia="宋体" w:cs="宋体"/>
      <w:color w:val="000000"/>
      <w:kern w:val="2"/>
      <w:sz w:val="24"/>
      <w:szCs w:val="24"/>
      <w:lang w:val="en-US" w:eastAsia="zh-CN" w:bidi="ar-SA"/>
    </w:rPr>
  </w:style>
  <w:style w:type="character" w:customStyle="1" w:styleId="2459">
    <w:name w:val="正文首行缩进 字符1"/>
    <w:qFormat/>
    <w:uiPriority w:val="0"/>
    <w:rPr>
      <w:rFonts w:hint="eastAsia" w:ascii="宋体" w:hAnsi="宋体" w:eastAsia="宋体"/>
      <w:kern w:val="2"/>
      <w:sz w:val="24"/>
      <w:szCs w:val="24"/>
      <w:lang w:val="en-US" w:eastAsia="zh-CN" w:bidi="ar-SA"/>
    </w:rPr>
  </w:style>
  <w:style w:type="character" w:customStyle="1" w:styleId="2460">
    <w:name w:val="物探标题2 Char"/>
    <w:qFormat/>
    <w:uiPriority w:val="0"/>
    <w:rPr>
      <w:rFonts w:hint="eastAsia" w:ascii="宋体" w:hAnsi="宋体" w:eastAsia="宋体" w:cs="宋体"/>
      <w:b/>
      <w:bCs/>
      <w:kern w:val="2"/>
      <w:sz w:val="24"/>
      <w:szCs w:val="24"/>
      <w:lang w:val="en-US" w:eastAsia="zh-CN" w:bidi="ar-SA"/>
    </w:rPr>
  </w:style>
  <w:style w:type="character" w:customStyle="1" w:styleId="2461">
    <w:name w:val="自动3 Char"/>
    <w:qFormat/>
    <w:uiPriority w:val="0"/>
    <w:rPr>
      <w:rFonts w:hint="eastAsia" w:ascii="宋体" w:hAnsi="宋体" w:eastAsia="宋体" w:cs="Arial Unicode MS"/>
      <w:b/>
      <w:color w:val="000000"/>
      <w:sz w:val="24"/>
      <w:szCs w:val="24"/>
      <w:lang w:val="en-US" w:eastAsia="zh-CN" w:bidi="ar-SA"/>
    </w:rPr>
  </w:style>
  <w:style w:type="character" w:customStyle="1" w:styleId="2462">
    <w:name w:val="标题 6 Char3"/>
    <w:qFormat/>
    <w:uiPriority w:val="0"/>
    <w:rPr>
      <w:rFonts w:hint="default" w:ascii="Arial" w:hAnsi="Arial" w:eastAsia="黑体" w:cs="Times New Roman"/>
      <w:b/>
      <w:bCs/>
      <w:kern w:val="0"/>
      <w:sz w:val="24"/>
      <w:szCs w:val="21"/>
      <w:lang w:val="en-US" w:eastAsia="zh-CN" w:bidi="ar-SA"/>
    </w:rPr>
  </w:style>
  <w:style w:type="character" w:customStyle="1" w:styleId="2463">
    <w:name w:val="WENZHANG Char Char"/>
    <w:qFormat/>
    <w:uiPriority w:val="0"/>
    <w:rPr>
      <w:rFonts w:hint="eastAsia" w:ascii="宋体" w:hAnsi="宋体" w:eastAsia="宋体" w:cs="宋体"/>
      <w:color w:val="000000"/>
      <w:kern w:val="2"/>
      <w:sz w:val="24"/>
      <w:szCs w:val="24"/>
      <w:lang w:val="en-US" w:eastAsia="zh-CN" w:bidi="ar"/>
    </w:rPr>
  </w:style>
  <w:style w:type="character" w:customStyle="1" w:styleId="2464">
    <w:name w:val="f9"/>
    <w:qFormat/>
    <w:uiPriority w:val="0"/>
    <w:rPr>
      <w:rFonts w:hint="eastAsia" w:ascii="宋体" w:hAnsi="宋体" w:eastAsia="宋体" w:cs="宋体"/>
      <w:kern w:val="2"/>
      <w:sz w:val="28"/>
      <w:szCs w:val="24"/>
      <w:lang w:val="en-US" w:eastAsia="zh-CN" w:bidi="ar"/>
    </w:rPr>
  </w:style>
  <w:style w:type="character" w:customStyle="1" w:styleId="2465">
    <w:name w:val="文字框 Char Char"/>
    <w:qFormat/>
    <w:uiPriority w:val="0"/>
    <w:rPr>
      <w:rFonts w:hint="eastAsia" w:ascii="宋体" w:hAnsi="宋体" w:eastAsia="宋体" w:cs="宋体"/>
      <w:kern w:val="2"/>
      <w:sz w:val="21"/>
      <w:szCs w:val="24"/>
      <w:lang w:val="en-US" w:eastAsia="zh-CN" w:bidi="ar-SA"/>
    </w:rPr>
  </w:style>
  <w:style w:type="character" w:customStyle="1" w:styleId="2466">
    <w:name w:val="表内容 Char Char"/>
    <w:qFormat/>
    <w:uiPriority w:val="0"/>
    <w:rPr>
      <w:rFonts w:hint="eastAsia" w:ascii="宋体" w:hAnsi="宋体" w:eastAsia="宋体" w:cs="宋体"/>
      <w:kern w:val="2"/>
      <w:sz w:val="24"/>
      <w:szCs w:val="24"/>
      <w:lang w:val="en-US" w:eastAsia="zh-CN" w:bidi="ar-SA"/>
    </w:rPr>
  </w:style>
  <w:style w:type="character" w:customStyle="1" w:styleId="2467">
    <w:name w:val="样式6 Char Char Char"/>
    <w:qFormat/>
    <w:uiPriority w:val="0"/>
    <w:rPr>
      <w:rFonts w:hint="eastAsia" w:ascii="宋体" w:hAnsi="宋体" w:eastAsia="宋体" w:cs="宋体"/>
      <w:color w:val="000000"/>
      <w:kern w:val="6"/>
      <w:sz w:val="24"/>
      <w:szCs w:val="24"/>
      <w:lang w:val="en-GB" w:eastAsia="zh-CN" w:bidi="ar-SA"/>
    </w:rPr>
  </w:style>
  <w:style w:type="character" w:customStyle="1" w:styleId="2468">
    <w:name w:val="desctext1"/>
    <w:qFormat/>
    <w:uiPriority w:val="0"/>
    <w:rPr>
      <w:rFonts w:hint="eastAsia" w:ascii="宋体" w:hAnsi="宋体" w:eastAsia="宋体" w:cs="宋体"/>
      <w:spacing w:val="15"/>
      <w:kern w:val="2"/>
      <w:sz w:val="18"/>
      <w:szCs w:val="18"/>
      <w:lang w:val="en-US" w:eastAsia="zh-CN" w:bidi="ar"/>
    </w:rPr>
  </w:style>
  <w:style w:type="character" w:customStyle="1" w:styleId="2469">
    <w:name w:val="font9p1"/>
    <w:qFormat/>
    <w:uiPriority w:val="0"/>
    <w:rPr>
      <w:rFonts w:hint="eastAsia" w:ascii="宋体" w:hAnsi="宋体" w:eastAsia="宋体" w:cs="宋体"/>
      <w:kern w:val="2"/>
      <w:sz w:val="18"/>
      <w:szCs w:val="18"/>
      <w:lang w:val="en-US" w:eastAsia="zh-CN" w:bidi="ar"/>
    </w:rPr>
  </w:style>
  <w:style w:type="character" w:customStyle="1" w:styleId="2470">
    <w:name w:val="正缩1 Char Char"/>
    <w:qFormat/>
    <w:uiPriority w:val="0"/>
    <w:rPr>
      <w:rFonts w:hint="eastAsia" w:ascii="仿宋_GB2312" w:hAnsi="宋体" w:eastAsia="仿宋_GB2312" w:cs="宋体"/>
      <w:snapToGrid/>
      <w:kern w:val="2"/>
      <w:sz w:val="28"/>
      <w:szCs w:val="28"/>
      <w:lang w:val="en-US" w:eastAsia="zh-CN" w:bidi="ar-SA"/>
    </w:rPr>
  </w:style>
  <w:style w:type="character" w:customStyle="1" w:styleId="2471">
    <w:name w:val="自动表头 Char Char Char Char"/>
    <w:qFormat/>
    <w:uiPriority w:val="0"/>
    <w:rPr>
      <w:rFonts w:hint="eastAsia" w:ascii="黑体" w:hAnsi="宋体" w:eastAsia="黑体"/>
      <w:b/>
      <w:color w:val="000000"/>
      <w:sz w:val="21"/>
      <w:lang w:val="en-US" w:eastAsia="zh-CN" w:bidi="ar-SA"/>
    </w:rPr>
  </w:style>
  <w:style w:type="character" w:customStyle="1" w:styleId="2472">
    <w:name w:val="表格用字 +  六号 Char Char"/>
    <w:qFormat/>
    <w:uiPriority w:val="0"/>
    <w:rPr>
      <w:rFonts w:hint="eastAsia" w:ascii="宋体" w:hAnsi="宋体" w:eastAsia="仿宋_GB2312" w:cs="宋体"/>
      <w:bCs/>
      <w:kern w:val="2"/>
      <w:sz w:val="15"/>
      <w:szCs w:val="21"/>
      <w:lang w:val="en-US" w:eastAsia="zh-CN" w:bidi="ar-SA"/>
    </w:rPr>
  </w:style>
  <w:style w:type="character" w:customStyle="1" w:styleId="2473">
    <w:name w:val="~ Char Char"/>
    <w:qFormat/>
    <w:uiPriority w:val="0"/>
    <w:rPr>
      <w:rFonts w:hint="eastAsia" w:ascii="宋体" w:hAnsi="宋体" w:eastAsia="宋体" w:cs="宋体"/>
      <w:b/>
      <w:bCs/>
      <w:kern w:val="2"/>
      <w:sz w:val="24"/>
      <w:szCs w:val="32"/>
      <w:lang w:val="en-US" w:eastAsia="zh-CN" w:bidi="ar-SA"/>
    </w:rPr>
  </w:style>
  <w:style w:type="character" w:customStyle="1" w:styleId="2474">
    <w:name w:val="样式 正文首行缩进 + 宋体 小四 行距: 1.5 倍行距 Char1"/>
    <w:qFormat/>
    <w:uiPriority w:val="0"/>
    <w:rPr>
      <w:rFonts w:hint="eastAsia" w:ascii="黑体" w:hAnsi="宋体" w:eastAsia="黑体" w:cs="Arial"/>
      <w:bCs/>
      <w:kern w:val="2"/>
      <w:sz w:val="24"/>
      <w:szCs w:val="24"/>
      <w:lang w:val="en-US" w:eastAsia="zh-CN" w:bidi="ar-SA"/>
    </w:rPr>
  </w:style>
  <w:style w:type="character" w:customStyle="1" w:styleId="2475">
    <w:name w:val="样式 标题 4 + 楷体_GB2312 Char"/>
    <w:qFormat/>
    <w:uiPriority w:val="0"/>
    <w:rPr>
      <w:rFonts w:hint="eastAsia" w:ascii="华文楷体" w:hAnsi="华文楷体" w:eastAsia="楷体_GB2312" w:cs="宋体"/>
      <w:bCs/>
      <w:kern w:val="2"/>
      <w:sz w:val="21"/>
      <w:szCs w:val="21"/>
      <w:lang w:val="en-US" w:eastAsia="zh-CN" w:bidi="ar-SA"/>
    </w:rPr>
  </w:style>
  <w:style w:type="character" w:customStyle="1" w:styleId="2476">
    <w:name w:val="正文文本 Char4"/>
    <w:qFormat/>
    <w:uiPriority w:val="0"/>
    <w:rPr>
      <w:rFonts w:hint="default" w:ascii="Times New Roman" w:hAnsi="Times New Roman" w:eastAsia="宋体" w:cs="Times New Roman"/>
      <w:kern w:val="0"/>
      <w:sz w:val="28"/>
      <w:szCs w:val="21"/>
      <w:lang w:val="en-US" w:eastAsia="zh-CN" w:bidi="ar-SA"/>
    </w:rPr>
  </w:style>
  <w:style w:type="character" w:customStyle="1" w:styleId="2477">
    <w:name w:val="c_tx3"/>
    <w:qFormat/>
    <w:uiPriority w:val="0"/>
    <w:rPr>
      <w:rFonts w:hint="eastAsia" w:ascii="宋体" w:hAnsi="宋体" w:eastAsia="宋体" w:cs="宋体"/>
      <w:kern w:val="2"/>
      <w:sz w:val="28"/>
      <w:szCs w:val="24"/>
      <w:lang w:val="en-US" w:eastAsia="zh-CN" w:bidi="ar"/>
    </w:rPr>
  </w:style>
  <w:style w:type="character" w:customStyle="1" w:styleId="2478">
    <w:name w:val="正文首行缩进 2 字符1"/>
    <w:qFormat/>
    <w:uiPriority w:val="0"/>
    <w:rPr>
      <w:rFonts w:hint="eastAsia" w:ascii="宋体" w:hAnsi="宋体" w:eastAsia="宋体"/>
      <w:kern w:val="2"/>
      <w:sz w:val="21"/>
      <w:szCs w:val="24"/>
      <w:lang w:val="en-US" w:eastAsia="zh-CN" w:bidi="ar-SA"/>
    </w:rPr>
  </w:style>
  <w:style w:type="character" w:customStyle="1" w:styleId="2479">
    <w:name w:val="articlebody3"/>
    <w:qFormat/>
    <w:uiPriority w:val="0"/>
    <w:rPr>
      <w:rFonts w:hint="eastAsia" w:ascii="宋体" w:hAnsi="宋体" w:eastAsia="宋体" w:cs="宋体"/>
      <w:kern w:val="2"/>
      <w:sz w:val="21"/>
      <w:szCs w:val="21"/>
      <w:lang w:val="en-US" w:eastAsia="zh-CN" w:bidi="ar"/>
    </w:rPr>
  </w:style>
  <w:style w:type="character" w:customStyle="1" w:styleId="2480">
    <w:name w:val="标题 7 字符1"/>
    <w:qFormat/>
    <w:uiPriority w:val="0"/>
    <w:rPr>
      <w:rFonts w:hint="eastAsia" w:ascii="宋体" w:hAnsi="宋体" w:eastAsia="宋体"/>
      <w:b/>
      <w:spacing w:val="-2"/>
      <w:kern w:val="28"/>
      <w:sz w:val="18"/>
      <w:lang w:val="en-US" w:eastAsia="zh-CN" w:bidi="ar-SA"/>
    </w:rPr>
  </w:style>
  <w:style w:type="character" w:customStyle="1" w:styleId="2481">
    <w:name w:val="Char Char65"/>
    <w:qFormat/>
    <w:uiPriority w:val="0"/>
    <w:rPr>
      <w:rFonts w:hint="default" w:ascii="Times New Roman" w:hAnsi="Times New Roman" w:eastAsia="宋体" w:cs="Times New Roman"/>
      <w:kern w:val="2"/>
      <w:sz w:val="28"/>
      <w:szCs w:val="24"/>
      <w:lang w:val="en-US" w:eastAsia="zh-CN" w:bidi="ar"/>
    </w:rPr>
  </w:style>
  <w:style w:type="character" w:customStyle="1" w:styleId="2482">
    <w:name w:val="正文（首行缩近两字） Char"/>
    <w:qFormat/>
    <w:uiPriority w:val="0"/>
    <w:rPr>
      <w:rFonts w:hint="eastAsia" w:ascii="宋体" w:hAnsi="宋体" w:eastAsia="宋体"/>
      <w:kern w:val="2"/>
      <w:sz w:val="21"/>
      <w:lang w:val="en-US" w:eastAsia="zh-CN" w:bidi="ar-SA"/>
    </w:rPr>
  </w:style>
  <w:style w:type="character" w:customStyle="1" w:styleId="2483">
    <w:name w:val="doc_title fs_c_76"/>
    <w:qFormat/>
    <w:uiPriority w:val="0"/>
    <w:rPr>
      <w:rFonts w:ascii="宋体" w:hAnsi="宋体" w:eastAsia="Arial" w:cs="宋体"/>
      <w:kern w:val="2"/>
      <w:sz w:val="24"/>
      <w:szCs w:val="24"/>
      <w:lang w:val="en-US" w:eastAsia="zh-CN" w:bidi="ar-SA"/>
    </w:rPr>
  </w:style>
  <w:style w:type="character" w:customStyle="1" w:styleId="2484">
    <w:name w:val="环调标题2 Char Char"/>
    <w:qFormat/>
    <w:uiPriority w:val="0"/>
    <w:rPr>
      <w:rFonts w:hint="eastAsia" w:ascii="宋体" w:hAnsi="宋体" w:eastAsia="宋体" w:cs="宋体"/>
      <w:b/>
      <w:kern w:val="2"/>
      <w:sz w:val="30"/>
      <w:szCs w:val="24"/>
      <w:lang w:val="en-US" w:eastAsia="zh-CN" w:bidi="ar-SA"/>
    </w:rPr>
  </w:style>
  <w:style w:type="character" w:customStyle="1" w:styleId="2485">
    <w:name w:val="keyword1"/>
    <w:qFormat/>
    <w:uiPriority w:val="0"/>
    <w:rPr>
      <w:rFonts w:hint="eastAsia" w:ascii="宋体" w:hAnsi="宋体" w:eastAsia="黑体" w:cs="Courier New"/>
      <w:color w:val="FF0000"/>
      <w:kern w:val="2"/>
      <w:sz w:val="24"/>
      <w:szCs w:val="32"/>
      <w:lang w:val="en-US" w:eastAsia="zh-CN" w:bidi="ar-SA"/>
    </w:rPr>
  </w:style>
  <w:style w:type="character" w:customStyle="1" w:styleId="2486">
    <w:name w:val="ENFI正文 Char Char"/>
    <w:link w:val="2487"/>
    <w:qFormat/>
    <w:locked/>
    <w:uiPriority w:val="0"/>
    <w:rPr>
      <w:rFonts w:ascii="宋体" w:hAnsi="宋体" w:eastAsia="仿宋_GB2312" w:cs="宋体"/>
      <w:color w:val="000000"/>
      <w:sz w:val="28"/>
      <w:szCs w:val="24"/>
    </w:rPr>
  </w:style>
  <w:style w:type="paragraph" w:customStyle="1" w:styleId="2487">
    <w:name w:val="ENFI正文"/>
    <w:basedOn w:val="1"/>
    <w:link w:val="2486"/>
    <w:qFormat/>
    <w:uiPriority w:val="0"/>
    <w:pPr>
      <w:adjustRightInd w:val="0"/>
      <w:snapToGrid w:val="0"/>
      <w:spacing w:line="500" w:lineRule="exact"/>
      <w:ind w:firstLine="567"/>
    </w:pPr>
    <w:rPr>
      <w:rFonts w:ascii="宋体" w:hAnsi="宋体" w:cs="宋体"/>
      <w:color w:val="000000"/>
      <w:kern w:val="0"/>
      <w:szCs w:val="24"/>
    </w:rPr>
  </w:style>
  <w:style w:type="character" w:customStyle="1" w:styleId="2488">
    <w:name w:val="defaultfont1"/>
    <w:qFormat/>
    <w:uiPriority w:val="0"/>
    <w:rPr>
      <w:rFonts w:hint="eastAsia" w:ascii="宋体" w:hAnsi="宋体" w:eastAsia="宋体" w:cs="宋体"/>
      <w:kern w:val="2"/>
      <w:sz w:val="24"/>
      <w:szCs w:val="20"/>
      <w:lang w:val="en-US" w:eastAsia="zh-CN" w:bidi="ar"/>
    </w:rPr>
  </w:style>
  <w:style w:type="character" w:customStyle="1" w:styleId="2489">
    <w:name w:val="正文1 Char Char Char"/>
    <w:qFormat/>
    <w:uiPriority w:val="0"/>
    <w:rPr>
      <w:rFonts w:hint="eastAsia" w:ascii="宋体" w:hAnsi="宋体" w:eastAsia="楷体_GB2312" w:cs="宋体"/>
      <w:kern w:val="2"/>
      <w:sz w:val="24"/>
      <w:szCs w:val="24"/>
      <w:lang w:val="en-US" w:eastAsia="zh-CN" w:bidi="ar-SA"/>
    </w:rPr>
  </w:style>
  <w:style w:type="character" w:customStyle="1" w:styleId="2490">
    <w:name w:val="Char Char62"/>
    <w:qFormat/>
    <w:uiPriority w:val="0"/>
    <w:rPr>
      <w:rFonts w:hint="default" w:ascii="Times New Roman" w:hAnsi="Times New Roman" w:eastAsia="宋体" w:cs="Times New Roman"/>
      <w:kern w:val="20"/>
      <w:sz w:val="28"/>
      <w:szCs w:val="24"/>
      <w:lang w:val="en-US" w:eastAsia="zh-CN" w:bidi="ar"/>
    </w:rPr>
  </w:style>
  <w:style w:type="character" w:customStyle="1" w:styleId="2491">
    <w:name w:val="篇1"/>
    <w:qFormat/>
    <w:uiPriority w:val="0"/>
    <w:rPr>
      <w:rFonts w:hint="eastAsia" w:ascii="宋体" w:hAnsi="宋体" w:eastAsia="宋体" w:cs="宋体"/>
      <w:b/>
      <w:bCs/>
      <w:kern w:val="44"/>
      <w:sz w:val="32"/>
      <w:szCs w:val="44"/>
      <w:lang w:val="en-US" w:eastAsia="zh-CN" w:bidi="ar-SA"/>
    </w:rPr>
  </w:style>
  <w:style w:type="character" w:customStyle="1" w:styleId="2492">
    <w:name w:val="样式 正文文本缩进 3 + 小四 段前: 6 磅 段后: 6 磅 行距: 1.5 倍行距 Char Char Char"/>
    <w:qFormat/>
    <w:uiPriority w:val="0"/>
    <w:rPr>
      <w:rFonts w:hint="eastAsia" w:ascii="宋体" w:hAnsi="宋体" w:eastAsia="宋体"/>
      <w:kern w:val="2"/>
      <w:sz w:val="24"/>
      <w:lang w:val="en-US" w:eastAsia="zh-CN" w:bidi="ar-SA"/>
    </w:rPr>
  </w:style>
  <w:style w:type="character" w:customStyle="1" w:styleId="2493">
    <w:name w:val="Char Char54"/>
    <w:qFormat/>
    <w:uiPriority w:val="0"/>
    <w:rPr>
      <w:rFonts w:hint="eastAsia" w:ascii="宋体" w:hAnsi="Courier New" w:eastAsia="宋体" w:cs="Courier New"/>
      <w:kern w:val="2"/>
      <w:sz w:val="28"/>
      <w:szCs w:val="21"/>
      <w:lang w:val="en-US" w:eastAsia="zh-CN" w:bidi="ar"/>
    </w:rPr>
  </w:style>
  <w:style w:type="character" w:customStyle="1" w:styleId="2494">
    <w:name w:val="o12"/>
    <w:qFormat/>
    <w:uiPriority w:val="0"/>
    <w:rPr>
      <w:rFonts w:hint="eastAsia" w:ascii="宋体" w:hAnsi="宋体" w:eastAsia="宋体" w:cs="宋体"/>
      <w:kern w:val="2"/>
      <w:sz w:val="28"/>
      <w:szCs w:val="24"/>
      <w:lang w:val="en-US" w:eastAsia="zh-CN" w:bidi="ar"/>
    </w:rPr>
  </w:style>
  <w:style w:type="character" w:customStyle="1" w:styleId="2495">
    <w:name w:val="批注文字 Char Char"/>
    <w:qFormat/>
    <w:uiPriority w:val="0"/>
    <w:rPr>
      <w:rFonts w:hint="eastAsia" w:ascii="宋体" w:hAnsi="宋体" w:eastAsia="宋体" w:cs="宋体"/>
      <w:kern w:val="2"/>
      <w:sz w:val="21"/>
      <w:szCs w:val="24"/>
      <w:lang w:val="en-US" w:eastAsia="zh-CN" w:bidi="ar"/>
    </w:rPr>
  </w:style>
  <w:style w:type="character" w:customStyle="1" w:styleId="2496">
    <w:name w:val="标题 4 Char Char Char Char Char Char Char Char Char Char Char Char Char Char Char Char Char Char Char Char Char Char Char Char Char"/>
    <w:qFormat/>
    <w:uiPriority w:val="0"/>
    <w:rPr>
      <w:rFonts w:hint="default" w:ascii="Arial" w:hAnsi="Arial" w:eastAsia="宋体" w:cs="Arial"/>
      <w:kern w:val="2"/>
      <w:sz w:val="28"/>
      <w:szCs w:val="24"/>
      <w:lang w:val="en-US" w:eastAsia="zh-CN" w:bidi="ar-SA"/>
    </w:rPr>
  </w:style>
  <w:style w:type="character" w:customStyle="1" w:styleId="2497">
    <w:name w:val="Char Char59"/>
    <w:qFormat/>
    <w:uiPriority w:val="0"/>
    <w:rPr>
      <w:rFonts w:hint="default" w:ascii="Times New Roman" w:hAnsi="Times New Roman" w:eastAsia="宋体" w:cs="Times New Roman"/>
      <w:b/>
      <w:kern w:val="2"/>
      <w:sz w:val="24"/>
      <w:szCs w:val="24"/>
      <w:lang w:val="en-US" w:eastAsia="zh-CN" w:bidi="ar"/>
    </w:rPr>
  </w:style>
  <w:style w:type="character" w:customStyle="1" w:styleId="2498">
    <w:name w:val="正文首行缩进 2 Char1"/>
    <w:qFormat/>
    <w:uiPriority w:val="99"/>
    <w:rPr>
      <w:rFonts w:hint="eastAsia" w:ascii="宋体" w:hAnsi="宋体" w:eastAsia="宋体" w:cs="宋体"/>
      <w:kern w:val="2"/>
      <w:sz w:val="21"/>
      <w:szCs w:val="24"/>
      <w:lang w:val="en-US" w:eastAsia="zh-CN" w:bidi="ar"/>
    </w:rPr>
  </w:style>
  <w:style w:type="character" w:customStyle="1" w:styleId="2499">
    <w:name w:val="样式 标题 3标题 13ReHead 3 WSAh3B HeadH3..标题 3 Char Char标题 3 ... Char Char Char"/>
    <w:qFormat/>
    <w:uiPriority w:val="0"/>
    <w:rPr>
      <w:b/>
      <w:bCs/>
      <w:spacing w:val="-2"/>
      <w:sz w:val="24"/>
      <w:szCs w:val="24"/>
      <w:lang w:bidi="ar-SA"/>
    </w:rPr>
  </w:style>
  <w:style w:type="character" w:customStyle="1" w:styleId="2500">
    <w:name w:val="lh22px1"/>
    <w:qFormat/>
    <w:uiPriority w:val="0"/>
    <w:rPr>
      <w:rFonts w:hint="eastAsia" w:ascii="宋体" w:hAnsi="宋体" w:eastAsia="宋体" w:cs="宋体"/>
      <w:kern w:val="2"/>
      <w:sz w:val="21"/>
      <w:szCs w:val="21"/>
      <w:lang w:val="en-US" w:eastAsia="zh-CN" w:bidi="ar"/>
    </w:rPr>
  </w:style>
  <w:style w:type="character" w:customStyle="1" w:styleId="2501">
    <w:name w:val="报告正文小四 Char"/>
    <w:qFormat/>
    <w:uiPriority w:val="0"/>
    <w:rPr>
      <w:rFonts w:hint="eastAsia" w:ascii="宋体" w:hAnsi="宋体" w:eastAsia="宋体"/>
      <w:kern w:val="2"/>
      <w:sz w:val="24"/>
      <w:lang w:val="en-US" w:eastAsia="zh-CN" w:bidi="ar-SA"/>
    </w:rPr>
  </w:style>
  <w:style w:type="character" w:customStyle="1" w:styleId="2502">
    <w:name w:val="样式30 Char Char Char"/>
    <w:qFormat/>
    <w:uiPriority w:val="0"/>
    <w:rPr>
      <w:rFonts w:hint="default" w:ascii="Arial" w:hAnsi="Arial" w:eastAsia="宋体" w:cs="宋体"/>
      <w:b/>
      <w:color w:val="000000"/>
      <w:kern w:val="2"/>
      <w:sz w:val="30"/>
      <w:szCs w:val="24"/>
      <w:lang w:val="en-US" w:eastAsia="zh-CN" w:bidi="ar-SA"/>
    </w:rPr>
  </w:style>
  <w:style w:type="character" w:customStyle="1" w:styleId="2503">
    <w:name w:val="articlebody"/>
    <w:qFormat/>
    <w:uiPriority w:val="0"/>
    <w:rPr>
      <w:rFonts w:hint="eastAsia" w:ascii="宋体" w:hAnsi="宋体" w:eastAsia="宋体" w:cs="宋体"/>
      <w:kern w:val="2"/>
      <w:sz w:val="28"/>
      <w:szCs w:val="24"/>
      <w:lang w:val="en-US" w:eastAsia="zh-CN" w:bidi="ar"/>
    </w:rPr>
  </w:style>
  <w:style w:type="character" w:customStyle="1" w:styleId="2504">
    <w:name w:val="正文文本 3 字符"/>
    <w:qFormat/>
    <w:uiPriority w:val="0"/>
    <w:rPr>
      <w:rFonts w:hint="eastAsia" w:ascii="宋体" w:hAnsi="宋体" w:eastAsia="宋体" w:cs="宋体"/>
      <w:kern w:val="2"/>
      <w:sz w:val="16"/>
      <w:szCs w:val="16"/>
      <w:lang w:val="en-US" w:eastAsia="zh-CN" w:bidi="ar"/>
    </w:rPr>
  </w:style>
  <w:style w:type="character" w:customStyle="1" w:styleId="2505">
    <w:name w:val="linkred021"/>
    <w:qFormat/>
    <w:uiPriority w:val="0"/>
    <w:rPr>
      <w:rFonts w:hint="eastAsia" w:ascii="宋体" w:hAnsi="宋体" w:eastAsia="宋体" w:cs="宋体"/>
      <w:color w:val="A20010"/>
      <w:kern w:val="2"/>
      <w:sz w:val="28"/>
      <w:szCs w:val="24"/>
      <w:lang w:val="en-US" w:eastAsia="zh-CN" w:bidi="ar"/>
    </w:rPr>
  </w:style>
  <w:style w:type="character" w:customStyle="1" w:styleId="2506">
    <w:name w:val="newssize"/>
    <w:qFormat/>
    <w:uiPriority w:val="0"/>
    <w:rPr>
      <w:rFonts w:hint="eastAsia" w:ascii="宋体" w:hAnsi="宋体" w:eastAsia="宋体" w:cs="宋体"/>
      <w:kern w:val="2"/>
      <w:sz w:val="28"/>
      <w:szCs w:val="24"/>
      <w:lang w:val="en-US" w:eastAsia="zh-CN" w:bidi="ar"/>
    </w:rPr>
  </w:style>
  <w:style w:type="character" w:customStyle="1" w:styleId="2507">
    <w:name w:val="样式11 Char"/>
    <w:qFormat/>
    <w:locked/>
    <w:uiPriority w:val="0"/>
    <w:rPr>
      <w:rFonts w:hint="eastAsia" w:ascii="黑体" w:hAnsi="黑体" w:eastAsia="黑体"/>
      <w:bCs/>
      <w:kern w:val="2"/>
      <w:sz w:val="24"/>
      <w:szCs w:val="24"/>
      <w:lang w:val="en-US" w:eastAsia="zh-CN" w:bidi="ar-SA"/>
    </w:rPr>
  </w:style>
  <w:style w:type="character" w:customStyle="1" w:styleId="2508">
    <w:name w:val="black91"/>
    <w:qFormat/>
    <w:uiPriority w:val="0"/>
    <w:rPr>
      <w:rFonts w:hint="eastAsia" w:ascii="宋体" w:hAnsi="宋体" w:eastAsia="宋体" w:cs="宋体"/>
      <w:color w:val="000000"/>
      <w:kern w:val="2"/>
      <w:sz w:val="18"/>
      <w:szCs w:val="18"/>
      <w:u w:val="none"/>
      <w:lang w:val="en-US" w:eastAsia="zh-CN" w:bidi="ar"/>
    </w:rPr>
  </w:style>
  <w:style w:type="character" w:customStyle="1" w:styleId="2509">
    <w:name w:val="样式 (西文) Arial (中文) 楷体_GB2312"/>
    <w:qFormat/>
    <w:uiPriority w:val="0"/>
    <w:rPr>
      <w:rFonts w:hint="eastAsia" w:ascii="宋体" w:hAnsi="宋体" w:eastAsia="宋体" w:cs="宋体"/>
      <w:color w:val="auto"/>
      <w:spacing w:val="8"/>
      <w:w w:val="100"/>
      <w:kern w:val="0"/>
      <w:position w:val="0"/>
      <w:sz w:val="24"/>
      <w:szCs w:val="24"/>
      <w:u w:val="none"/>
      <w:vertAlign w:val="baseline"/>
      <w:lang w:val="en-US" w:eastAsia="zh-CN" w:bidi="ar"/>
    </w:rPr>
  </w:style>
  <w:style w:type="character" w:customStyle="1" w:styleId="2510">
    <w:name w:val="列表编号 5 Char Char"/>
    <w:qFormat/>
    <w:uiPriority w:val="0"/>
    <w:rPr>
      <w:rFonts w:hint="eastAsia" w:ascii="宋体" w:hAnsi="宋体" w:eastAsia="宋体" w:cs="宋体"/>
      <w:kern w:val="2"/>
      <w:sz w:val="24"/>
      <w:szCs w:val="24"/>
      <w:lang w:val="en-US" w:eastAsia="zh-CN" w:bidi="ar-SA"/>
    </w:rPr>
  </w:style>
  <w:style w:type="character" w:customStyle="1" w:styleId="2511">
    <w:name w:val="表内文字 Char Char"/>
    <w:qFormat/>
    <w:uiPriority w:val="0"/>
    <w:rPr>
      <w:rFonts w:hint="eastAsia" w:ascii="宋体" w:hAnsi="Courier New" w:eastAsia="宋体" w:cs="Courier New"/>
      <w:color w:val="000000"/>
      <w:kern w:val="2"/>
      <w:sz w:val="21"/>
      <w:szCs w:val="21"/>
      <w:lang w:val="en-US" w:eastAsia="zh-CN" w:bidi="ar-SA"/>
    </w:rPr>
  </w:style>
  <w:style w:type="character" w:customStyle="1" w:styleId="2512">
    <w:name w:val="正文小4黑体左 Char Char"/>
    <w:link w:val="2513"/>
    <w:qFormat/>
    <w:locked/>
    <w:uiPriority w:val="0"/>
    <w:rPr>
      <w:rFonts w:ascii="宋体" w:hAnsi="宋体" w:cs="宋体"/>
      <w:b/>
      <w:sz w:val="24"/>
      <w:szCs w:val="24"/>
    </w:rPr>
  </w:style>
  <w:style w:type="paragraph" w:customStyle="1" w:styleId="2513">
    <w:name w:val="正文小4黑体左"/>
    <w:basedOn w:val="1"/>
    <w:link w:val="2512"/>
    <w:qFormat/>
    <w:uiPriority w:val="0"/>
    <w:pPr>
      <w:spacing w:line="360" w:lineRule="auto"/>
    </w:pPr>
    <w:rPr>
      <w:rFonts w:ascii="宋体" w:hAnsi="宋体" w:eastAsia="宋体" w:cs="宋体"/>
      <w:b/>
      <w:kern w:val="0"/>
      <w:sz w:val="24"/>
      <w:szCs w:val="24"/>
    </w:rPr>
  </w:style>
  <w:style w:type="character" w:customStyle="1" w:styleId="2514">
    <w:name w:val="文档结构图 字符"/>
    <w:qFormat/>
    <w:uiPriority w:val="0"/>
    <w:rPr>
      <w:rFonts w:hint="eastAsia" w:ascii="宋体" w:hAnsi="宋体" w:eastAsia="宋体" w:cs="宋体"/>
      <w:kern w:val="2"/>
      <w:sz w:val="21"/>
      <w:szCs w:val="24"/>
      <w:shd w:val="clear" w:color="auto" w:fill="000080"/>
      <w:lang w:val="en-US" w:eastAsia="zh-CN" w:bidi="ar"/>
    </w:rPr>
  </w:style>
  <w:style w:type="character" w:customStyle="1" w:styleId="2515">
    <w:name w:val="表内式样 Char Char"/>
    <w:qFormat/>
    <w:uiPriority w:val="0"/>
    <w:rPr>
      <w:rFonts w:hint="eastAsia" w:ascii="宋体" w:hAnsi="宋体" w:eastAsia="宋体" w:cs="宋体"/>
      <w:kern w:val="2"/>
      <w:sz w:val="21"/>
      <w:szCs w:val="24"/>
      <w:lang w:val="en-US" w:eastAsia="zh-CN" w:bidi="ar-SA"/>
    </w:rPr>
  </w:style>
  <w:style w:type="character" w:customStyle="1" w:styleId="2516">
    <w:name w:val="Char Char321"/>
    <w:qFormat/>
    <w:uiPriority w:val="0"/>
    <w:rPr>
      <w:rFonts w:hint="eastAsia" w:ascii="宋体" w:hAnsi="宋体" w:eastAsia="宋体" w:cs="宋体"/>
      <w:kern w:val="2"/>
      <w:sz w:val="18"/>
      <w:szCs w:val="18"/>
      <w:lang w:val="en-US" w:eastAsia="zh-CN" w:bidi="ar"/>
    </w:rPr>
  </w:style>
  <w:style w:type="character" w:customStyle="1" w:styleId="2517">
    <w:name w:val="标题  Char"/>
    <w:qFormat/>
    <w:uiPriority w:val="0"/>
    <w:rPr>
      <w:rFonts w:hint="eastAsia" w:ascii="楷体_GB2312" w:hAnsi="宋体" w:eastAsia="楷体_GB2312" w:cs="宋体"/>
      <w:bCs/>
      <w:kern w:val="2"/>
      <w:sz w:val="28"/>
      <w:szCs w:val="28"/>
      <w:lang w:val="en-US" w:eastAsia="zh-CN" w:bidi="ar-SA"/>
    </w:rPr>
  </w:style>
  <w:style w:type="character" w:customStyle="1" w:styleId="2518">
    <w:name w:val="书籍标题3"/>
    <w:qFormat/>
    <w:uiPriority w:val="0"/>
    <w:rPr>
      <w:rFonts w:hint="eastAsia" w:ascii="宋体" w:hAnsi="宋体" w:eastAsia="宋体" w:cs="宋体"/>
      <w:b/>
      <w:bCs/>
      <w:smallCaps/>
      <w:spacing w:val="5"/>
      <w:kern w:val="2"/>
      <w:sz w:val="28"/>
      <w:szCs w:val="24"/>
      <w:lang w:val="en-US" w:eastAsia="zh-CN" w:bidi="ar"/>
    </w:rPr>
  </w:style>
  <w:style w:type="character" w:customStyle="1" w:styleId="2519">
    <w:name w:val="脚注文本 Char3"/>
    <w:qFormat/>
    <w:uiPriority w:val="0"/>
    <w:rPr>
      <w:rFonts w:hint="eastAsia" w:ascii="宋体" w:hAnsi="宋体" w:eastAsia="宋体" w:cs="宋体"/>
      <w:kern w:val="2"/>
      <w:sz w:val="18"/>
      <w:szCs w:val="18"/>
      <w:lang w:val="en-US" w:eastAsia="zh-CN" w:bidi="ar"/>
    </w:rPr>
  </w:style>
  <w:style w:type="character" w:customStyle="1" w:styleId="2520">
    <w:name w:val="样式 自动A + Char Char"/>
    <w:link w:val="2521"/>
    <w:qFormat/>
    <w:locked/>
    <w:uiPriority w:val="0"/>
    <w:rPr>
      <w:rFonts w:ascii="Calibri" w:hAnsi="Calibri" w:cs="黑体"/>
    </w:rPr>
  </w:style>
  <w:style w:type="paragraph" w:customStyle="1" w:styleId="2521">
    <w:name w:val="样式 自动A +"/>
    <w:basedOn w:val="1"/>
    <w:link w:val="2520"/>
    <w:qFormat/>
    <w:uiPriority w:val="0"/>
    <w:rPr>
      <w:rFonts w:ascii="Calibri" w:hAnsi="Calibri" w:eastAsia="宋体" w:cs="黑体"/>
      <w:kern w:val="0"/>
      <w:sz w:val="20"/>
    </w:rPr>
  </w:style>
  <w:style w:type="character" w:customStyle="1" w:styleId="2522">
    <w:name w:val="normaltext1"/>
    <w:qFormat/>
    <w:uiPriority w:val="0"/>
    <w:rPr>
      <w:rFonts w:hint="eastAsia" w:ascii="宋体" w:hAnsi="宋体" w:eastAsia="宋体" w:cs="宋体"/>
      <w:color w:val="000000"/>
      <w:kern w:val="2"/>
      <w:sz w:val="23"/>
      <w:szCs w:val="23"/>
      <w:lang w:val="en-US" w:eastAsia="zh-CN" w:bidi="ar"/>
    </w:rPr>
  </w:style>
  <w:style w:type="character" w:customStyle="1" w:styleId="2523">
    <w:name w:val="p10"/>
    <w:qFormat/>
    <w:uiPriority w:val="0"/>
    <w:rPr>
      <w:rFonts w:hint="eastAsia" w:ascii="宋体" w:hAnsi="宋体" w:eastAsia="宋体" w:cs="宋体"/>
      <w:kern w:val="2"/>
      <w:sz w:val="24"/>
      <w:szCs w:val="20"/>
      <w:lang w:val="en-US" w:eastAsia="zh-CN" w:bidi="ar"/>
    </w:rPr>
  </w:style>
  <w:style w:type="character" w:customStyle="1" w:styleId="2524">
    <w:name w:val="样式 标题 1 + 黑体 小三 非加粗 Char"/>
    <w:qFormat/>
    <w:uiPriority w:val="0"/>
    <w:rPr>
      <w:rFonts w:hint="eastAsia" w:ascii="黑体" w:hAnsi="黑体" w:eastAsia="黑体"/>
      <w:kern w:val="44"/>
      <w:sz w:val="30"/>
      <w:szCs w:val="44"/>
      <w:lang w:bidi="ar-SA"/>
    </w:rPr>
  </w:style>
  <w:style w:type="character" w:customStyle="1" w:styleId="2525">
    <w:name w:val="z-窗体底端 Char1"/>
    <w:qFormat/>
    <w:uiPriority w:val="0"/>
    <w:rPr>
      <w:rFonts w:hint="default" w:ascii="Arial" w:hAnsi="Arial" w:eastAsia="宋体" w:cs="Arial"/>
      <w:vanish/>
      <w:kern w:val="2"/>
      <w:sz w:val="16"/>
      <w:szCs w:val="16"/>
      <w:lang w:val="en-US" w:eastAsia="zh-CN" w:bidi="ar-SA"/>
    </w:rPr>
  </w:style>
  <w:style w:type="character" w:customStyle="1" w:styleId="2526">
    <w:name w:val="正文文本缩进 3 字符"/>
    <w:qFormat/>
    <w:uiPriority w:val="0"/>
    <w:rPr>
      <w:rFonts w:hint="eastAsia" w:ascii="宋体" w:hAnsi="宋体" w:eastAsia="宋体" w:cs="宋体"/>
      <w:kern w:val="2"/>
      <w:sz w:val="16"/>
      <w:szCs w:val="16"/>
      <w:lang w:val="en-US" w:eastAsia="zh-CN" w:bidi="ar"/>
    </w:rPr>
  </w:style>
  <w:style w:type="character" w:customStyle="1" w:styleId="2527">
    <w:name w:val="批注文字 字符"/>
    <w:qFormat/>
    <w:uiPriority w:val="0"/>
    <w:rPr>
      <w:rFonts w:hint="eastAsia" w:ascii="宋体" w:hAnsi="宋体" w:eastAsia="宋体" w:cs="宋体"/>
      <w:kern w:val="2"/>
      <w:sz w:val="21"/>
      <w:szCs w:val="24"/>
      <w:lang w:val="en-US" w:eastAsia="zh-CN" w:bidi="ar"/>
    </w:rPr>
  </w:style>
  <w:style w:type="character" w:customStyle="1" w:styleId="2528">
    <w:name w:val="0916正文样式 Char Char"/>
    <w:link w:val="2529"/>
    <w:qFormat/>
    <w:locked/>
    <w:uiPriority w:val="0"/>
    <w:rPr>
      <w:rFonts w:ascii="宋体" w:hAnsi="ˎ̥" w:cs="宋体"/>
      <w:sz w:val="28"/>
      <w:szCs w:val="28"/>
    </w:rPr>
  </w:style>
  <w:style w:type="paragraph" w:customStyle="1" w:styleId="2529">
    <w:name w:val="0916正文样式"/>
    <w:basedOn w:val="1"/>
    <w:link w:val="2528"/>
    <w:qFormat/>
    <w:uiPriority w:val="0"/>
    <w:pPr>
      <w:adjustRightInd w:val="0"/>
      <w:snapToGrid w:val="0"/>
      <w:spacing w:line="336" w:lineRule="auto"/>
      <w:ind w:firstLine="200" w:firstLineChars="200"/>
    </w:pPr>
    <w:rPr>
      <w:rFonts w:ascii="宋体" w:hAnsi="ˎ̥" w:eastAsia="宋体" w:cs="宋体"/>
      <w:kern w:val="0"/>
      <w:szCs w:val="28"/>
    </w:rPr>
  </w:style>
  <w:style w:type="character" w:customStyle="1" w:styleId="2530">
    <w:name w:val="HTML 预设格式 Char2"/>
    <w:qFormat/>
    <w:uiPriority w:val="0"/>
    <w:rPr>
      <w:rFonts w:hint="default" w:ascii="Courier New" w:hAnsi="Courier New" w:eastAsia="宋体" w:cs="Courier New"/>
      <w:kern w:val="2"/>
      <w:sz w:val="20"/>
      <w:szCs w:val="20"/>
      <w:lang w:val="en-US" w:eastAsia="zh-CN" w:bidi="ar-SA"/>
    </w:rPr>
  </w:style>
  <w:style w:type="character" w:customStyle="1" w:styleId="2531">
    <w:name w:val="报告标题3 Char Char"/>
    <w:qFormat/>
    <w:uiPriority w:val="0"/>
    <w:rPr>
      <w:rFonts w:hint="default" w:ascii="Arial" w:hAnsi="Arial" w:eastAsia="宋体" w:cs="宋体"/>
      <w:b/>
      <w:color w:val="000000"/>
      <w:kern w:val="2"/>
      <w:sz w:val="24"/>
      <w:szCs w:val="24"/>
      <w:lang w:val="en-US" w:eastAsia="zh-CN" w:bidi="ar"/>
    </w:rPr>
  </w:style>
  <w:style w:type="character" w:customStyle="1" w:styleId="2532">
    <w:name w:val="表文字居中 Char Char Char"/>
    <w:qFormat/>
    <w:uiPriority w:val="0"/>
    <w:rPr>
      <w:rFonts w:hint="default" w:ascii="Arial" w:hAnsi="Arial" w:cs="Arial"/>
      <w:kern w:val="2"/>
      <w:sz w:val="21"/>
      <w:szCs w:val="24"/>
      <w:lang w:val="en-US" w:eastAsia="zh-CN" w:bidi="ar-SA"/>
    </w:rPr>
  </w:style>
  <w:style w:type="character" w:customStyle="1" w:styleId="2533">
    <w:name w:val="正文文字缩进 3 Char Char1"/>
    <w:qFormat/>
    <w:uiPriority w:val="0"/>
    <w:rPr>
      <w:rFonts w:hint="default" w:ascii="Times New Roman" w:hAnsi="Times New Roman" w:eastAsia="宋体" w:cs="Times New Roman"/>
      <w:kern w:val="2"/>
      <w:sz w:val="16"/>
      <w:szCs w:val="16"/>
      <w:lang w:val="en-US" w:eastAsia="zh-CN" w:bidi="ar"/>
    </w:rPr>
  </w:style>
  <w:style w:type="character" w:customStyle="1" w:styleId="2534">
    <w:name w:val="正文文字缩进 2 Char Char"/>
    <w:qFormat/>
    <w:uiPriority w:val="0"/>
    <w:rPr>
      <w:rFonts w:hint="eastAsia" w:ascii="宋体" w:hAnsi="宋体" w:eastAsia="宋体" w:cs="宋体"/>
      <w:kern w:val="2"/>
      <w:sz w:val="21"/>
      <w:szCs w:val="24"/>
      <w:lang w:val="en-US" w:eastAsia="zh-CN" w:bidi="ar-SA"/>
    </w:rPr>
  </w:style>
  <w:style w:type="character" w:customStyle="1" w:styleId="2535">
    <w:name w:val="报告标题3 Char Char Char"/>
    <w:link w:val="791"/>
    <w:qFormat/>
    <w:locked/>
    <w:uiPriority w:val="0"/>
    <w:rPr>
      <w:rFonts w:ascii="Arial" w:hAnsi="Arial"/>
      <w:b/>
      <w:color w:val="000000"/>
      <w:kern w:val="2"/>
      <w:sz w:val="24"/>
      <w:szCs w:val="32"/>
    </w:rPr>
  </w:style>
  <w:style w:type="character" w:customStyle="1" w:styleId="2536">
    <w:name w:val="信息标题 Char3"/>
    <w:qFormat/>
    <w:uiPriority w:val="0"/>
    <w:rPr>
      <w:rFonts w:hint="default" w:ascii="Cambria" w:hAnsi="Cambria" w:eastAsia="宋体" w:cs="Times New Roman"/>
      <w:kern w:val="2"/>
      <w:sz w:val="24"/>
      <w:szCs w:val="24"/>
      <w:shd w:val="pct20" w:color="auto" w:fill="auto"/>
      <w:lang w:val="en-US" w:eastAsia="zh-CN" w:bidi="ar-SA"/>
    </w:rPr>
  </w:style>
  <w:style w:type="character" w:customStyle="1" w:styleId="2537">
    <w:name w:val="样式16 Char Char Char"/>
    <w:qFormat/>
    <w:uiPriority w:val="0"/>
    <w:rPr>
      <w:rFonts w:hint="eastAsia" w:ascii="宋体" w:hAnsi="宋体" w:eastAsia="宋体" w:cs="宋体"/>
      <w:kern w:val="2"/>
      <w:sz w:val="28"/>
      <w:szCs w:val="24"/>
      <w:lang w:val="en-US" w:eastAsia="zh-CN" w:bidi="ar"/>
    </w:rPr>
  </w:style>
  <w:style w:type="character" w:customStyle="1" w:styleId="2538">
    <w:name w:val="rcjs_jswm_font1"/>
    <w:qFormat/>
    <w:uiPriority w:val="0"/>
    <w:rPr>
      <w:rFonts w:hint="eastAsia" w:ascii="宋体" w:hAnsi="宋体" w:eastAsia="宋体" w:cs="宋体"/>
      <w:kern w:val="2"/>
      <w:sz w:val="20"/>
      <w:szCs w:val="20"/>
      <w:lang w:val="en-US" w:eastAsia="zh-CN" w:bidi="ar"/>
    </w:rPr>
  </w:style>
  <w:style w:type="character" w:customStyle="1" w:styleId="2539">
    <w:name w:val="p5"/>
    <w:qFormat/>
    <w:uiPriority w:val="0"/>
    <w:rPr>
      <w:rFonts w:hint="eastAsia" w:ascii="宋体" w:hAnsi="宋体" w:eastAsia="宋体" w:cs="宋体"/>
      <w:kern w:val="2"/>
      <w:sz w:val="24"/>
      <w:szCs w:val="20"/>
      <w:lang w:val="en-US" w:eastAsia="zh-CN" w:bidi="ar"/>
    </w:rPr>
  </w:style>
  <w:style w:type="character" w:customStyle="1" w:styleId="2540">
    <w:name w:val="文档结构图 Char4"/>
    <w:qFormat/>
    <w:uiPriority w:val="0"/>
    <w:rPr>
      <w:rFonts w:hint="default" w:ascii="Times New Roman" w:hAnsi="Times New Roman" w:eastAsia="宋体" w:cs="Times New Roman"/>
      <w:kern w:val="2"/>
      <w:sz w:val="28"/>
      <w:szCs w:val="24"/>
      <w:shd w:val="clear" w:color="auto" w:fill="000080"/>
      <w:lang w:val="en-US" w:eastAsia="zh-CN" w:bidi="ar-SA"/>
    </w:rPr>
  </w:style>
  <w:style w:type="character" w:customStyle="1" w:styleId="2541">
    <w:name w:val="txt11"/>
    <w:qFormat/>
    <w:uiPriority w:val="0"/>
    <w:rPr>
      <w:rFonts w:hint="default" w:ascii="ˎ̥" w:hAnsi="ˎ̥" w:eastAsia="宋体" w:cs="宋体"/>
      <w:kern w:val="2"/>
      <w:sz w:val="21"/>
      <w:szCs w:val="21"/>
      <w:lang w:val="en-US" w:eastAsia="zh-CN" w:bidi="ar"/>
    </w:rPr>
  </w:style>
  <w:style w:type="character" w:customStyle="1" w:styleId="2542">
    <w:name w:val="表格文字 Char Char Char Char Char Char"/>
    <w:qFormat/>
    <w:locked/>
    <w:uiPriority w:val="0"/>
    <w:rPr>
      <w:rFonts w:ascii="宋体" w:hAnsi="宋体" w:eastAsia="宋体" w:cs="宋体"/>
      <w:szCs w:val="24"/>
    </w:rPr>
  </w:style>
  <w:style w:type="character" w:customStyle="1" w:styleId="2543">
    <w:name w:val="yellow1"/>
    <w:qFormat/>
    <w:uiPriority w:val="0"/>
    <w:rPr>
      <w:rFonts w:hint="eastAsia" w:ascii="宋体" w:hAnsi="宋体" w:eastAsia="宋体" w:cs="宋体"/>
      <w:color w:val="FFFF00"/>
      <w:kern w:val="2"/>
      <w:sz w:val="28"/>
      <w:szCs w:val="24"/>
      <w:u w:val="none"/>
      <w:lang w:val="en-US" w:eastAsia="zh-CN" w:bidi="ar"/>
    </w:rPr>
  </w:style>
  <w:style w:type="character" w:customStyle="1" w:styleId="2544">
    <w:name w:val="样式18 Char Char Char"/>
    <w:qFormat/>
    <w:uiPriority w:val="0"/>
    <w:rPr>
      <w:rFonts w:hint="eastAsia" w:ascii="黑体" w:hAnsi="Arial" w:eastAsia="黑体" w:cs="宋体"/>
      <w:b/>
      <w:color w:val="000000"/>
      <w:kern w:val="2"/>
      <w:sz w:val="28"/>
      <w:lang w:val="en-US" w:eastAsia="zh-CN" w:bidi="ar-SA"/>
    </w:rPr>
  </w:style>
  <w:style w:type="character" w:customStyle="1" w:styleId="2545">
    <w:name w:val="正文小四环评 Char Char Char"/>
    <w:qFormat/>
    <w:uiPriority w:val="0"/>
    <w:rPr>
      <w:rFonts w:hint="eastAsia" w:ascii="宋体" w:hAnsi="宋体" w:eastAsia="宋体" w:cs="宋体"/>
      <w:bCs/>
      <w:color w:val="000000"/>
      <w:kern w:val="2"/>
      <w:sz w:val="24"/>
      <w:szCs w:val="24"/>
      <w:lang w:val="en-US" w:eastAsia="zh-CN" w:bidi="ar-SA"/>
    </w:rPr>
  </w:style>
  <w:style w:type="character" w:customStyle="1" w:styleId="2546">
    <w:name w:val="正文文本 字符1"/>
    <w:qFormat/>
    <w:uiPriority w:val="0"/>
    <w:rPr>
      <w:rFonts w:hint="eastAsia" w:ascii="宋体" w:hAnsi="宋体" w:eastAsia="宋体"/>
      <w:spacing w:val="-2"/>
      <w:sz w:val="28"/>
      <w:lang w:val="en-US" w:eastAsia="zh-CN" w:bidi="ar-SA"/>
    </w:rPr>
  </w:style>
  <w:style w:type="character" w:customStyle="1" w:styleId="2547">
    <w:name w:val="信息标题 字符"/>
    <w:qFormat/>
    <w:uiPriority w:val="0"/>
    <w:rPr>
      <w:rFonts w:hint="default" w:ascii="Arial" w:hAnsi="Arial" w:cs="Arial"/>
      <w:color w:val="000000"/>
      <w:sz w:val="24"/>
      <w:szCs w:val="24"/>
      <w:shd w:val="pct20" w:color="auto" w:fill="auto"/>
      <w:lang w:bidi="ar-SA"/>
    </w:rPr>
  </w:style>
  <w:style w:type="character" w:customStyle="1" w:styleId="2548">
    <w:name w:val="落款 Char Char"/>
    <w:qFormat/>
    <w:uiPriority w:val="0"/>
    <w:rPr>
      <w:rFonts w:hint="default" w:ascii="Times New Roman" w:hAnsi="Times New Roman" w:eastAsia="宋体" w:cs="Times New Roman"/>
      <w:kern w:val="2"/>
      <w:sz w:val="28"/>
      <w:szCs w:val="24"/>
      <w:lang w:val="en-US" w:eastAsia="zh-CN" w:bidi="ar"/>
    </w:rPr>
  </w:style>
  <w:style w:type="character" w:customStyle="1" w:styleId="2549">
    <w:name w:val="Char Char58"/>
    <w:qFormat/>
    <w:uiPriority w:val="0"/>
    <w:rPr>
      <w:rFonts w:hint="default" w:ascii="Arial" w:hAnsi="Arial" w:eastAsia="黑体" w:cs="Times New Roman"/>
      <w:kern w:val="2"/>
      <w:sz w:val="24"/>
      <w:szCs w:val="24"/>
      <w:lang w:val="en-US" w:eastAsia="zh-CN" w:bidi="ar"/>
    </w:rPr>
  </w:style>
  <w:style w:type="character" w:customStyle="1" w:styleId="2550">
    <w:name w:val="7说明正文 Char Char"/>
    <w:qFormat/>
    <w:uiPriority w:val="0"/>
    <w:rPr>
      <w:rFonts w:hint="eastAsia" w:ascii="宋体" w:hAnsi="宋体" w:eastAsia="宋体" w:cs="宋体"/>
      <w:kern w:val="2"/>
      <w:sz w:val="24"/>
      <w:szCs w:val="24"/>
      <w:lang w:val="en-US" w:eastAsia="zh-CN" w:bidi="ar-SA"/>
    </w:rPr>
  </w:style>
  <w:style w:type="character" w:customStyle="1" w:styleId="2551">
    <w:name w:val="东方工业区 Char Char"/>
    <w:qFormat/>
    <w:locked/>
    <w:uiPriority w:val="0"/>
    <w:rPr>
      <w:rFonts w:ascii="Calibri" w:hAnsi="Calibri" w:eastAsia="宋体" w:cs="黑体"/>
    </w:rPr>
  </w:style>
  <w:style w:type="character" w:customStyle="1" w:styleId="2552">
    <w:name w:val="二级标题 Char Char Char Char Char"/>
    <w:link w:val="1029"/>
    <w:qFormat/>
    <w:locked/>
    <w:uiPriority w:val="0"/>
    <w:rPr>
      <w:b/>
      <w:bCs/>
      <w:kern w:val="2"/>
      <w:sz w:val="28"/>
      <w:szCs w:val="24"/>
    </w:rPr>
  </w:style>
  <w:style w:type="character" w:customStyle="1" w:styleId="2553">
    <w:name w:val="样式N Char Char"/>
    <w:link w:val="2554"/>
    <w:qFormat/>
    <w:locked/>
    <w:uiPriority w:val="0"/>
    <w:rPr>
      <w:rFonts w:ascii="宋体" w:hAnsi="宋体" w:cs="宋体"/>
      <w:sz w:val="28"/>
      <w:szCs w:val="24"/>
    </w:rPr>
  </w:style>
  <w:style w:type="paragraph" w:customStyle="1" w:styleId="2554">
    <w:name w:val="样式N"/>
    <w:basedOn w:val="1"/>
    <w:link w:val="2553"/>
    <w:qFormat/>
    <w:uiPriority w:val="0"/>
    <w:pPr>
      <w:spacing w:line="660" w:lineRule="exact"/>
      <w:ind w:firstLine="560" w:firstLineChars="200"/>
    </w:pPr>
    <w:rPr>
      <w:rFonts w:ascii="宋体" w:hAnsi="宋体" w:eastAsia="宋体" w:cs="宋体"/>
      <w:kern w:val="0"/>
      <w:szCs w:val="24"/>
    </w:rPr>
  </w:style>
  <w:style w:type="character" w:customStyle="1" w:styleId="2555">
    <w:name w:val="全文 Char Char"/>
    <w:link w:val="2556"/>
    <w:qFormat/>
    <w:locked/>
    <w:uiPriority w:val="0"/>
    <w:rPr>
      <w:rFonts w:ascii="宋体" w:hAnsi="宋体" w:cs="宋体"/>
      <w:color w:val="000000"/>
      <w:sz w:val="24"/>
      <w:szCs w:val="24"/>
    </w:rPr>
  </w:style>
  <w:style w:type="paragraph" w:customStyle="1" w:styleId="2556">
    <w:name w:val="全文"/>
    <w:basedOn w:val="1"/>
    <w:link w:val="2555"/>
    <w:qFormat/>
    <w:uiPriority w:val="0"/>
    <w:pPr>
      <w:spacing w:beforeLines="50" w:line="360" w:lineRule="auto"/>
      <w:ind w:firstLine="480" w:firstLineChars="200"/>
    </w:pPr>
    <w:rPr>
      <w:rFonts w:ascii="宋体" w:hAnsi="宋体" w:eastAsia="宋体" w:cs="宋体"/>
      <w:color w:val="000000"/>
      <w:kern w:val="0"/>
      <w:sz w:val="24"/>
      <w:szCs w:val="24"/>
    </w:rPr>
  </w:style>
  <w:style w:type="character" w:customStyle="1" w:styleId="2557">
    <w:name w:val="样式 正文文本 + Times New Roman Char Char"/>
    <w:link w:val="2558"/>
    <w:qFormat/>
    <w:locked/>
    <w:uiPriority w:val="0"/>
    <w:rPr>
      <w:rFonts w:ascii="Arial" w:hAnsi="Arial" w:cs="宋体"/>
      <w:sz w:val="24"/>
      <w:szCs w:val="24"/>
    </w:rPr>
  </w:style>
  <w:style w:type="paragraph" w:customStyle="1" w:styleId="2558">
    <w:name w:val="样式 正文文本 + Times New Roman"/>
    <w:basedOn w:val="34"/>
    <w:link w:val="2557"/>
    <w:qFormat/>
    <w:uiPriority w:val="0"/>
    <w:pPr>
      <w:tabs>
        <w:tab w:val="left" w:pos="280"/>
      </w:tabs>
      <w:spacing w:before="120" w:line="360" w:lineRule="auto"/>
    </w:pPr>
    <w:rPr>
      <w:rFonts w:ascii="Arial" w:hAnsi="Arial" w:eastAsia="宋体" w:cs="宋体"/>
      <w:kern w:val="0"/>
      <w:sz w:val="24"/>
      <w:szCs w:val="24"/>
    </w:rPr>
  </w:style>
  <w:style w:type="character" w:customStyle="1" w:styleId="2559">
    <w:name w:val="样式23 Char Char Char"/>
    <w:qFormat/>
    <w:uiPriority w:val="0"/>
    <w:rPr>
      <w:rFonts w:hint="eastAsia" w:ascii="黑体" w:hAnsi="黑体" w:eastAsia="宋体"/>
      <w:b/>
      <w:color w:val="000000"/>
      <w:kern w:val="2"/>
      <w:sz w:val="21"/>
      <w:lang w:val="en-US" w:eastAsia="zh-CN" w:bidi="ar-SA"/>
    </w:rPr>
  </w:style>
  <w:style w:type="character" w:customStyle="1" w:styleId="2560">
    <w:name w:val="样式 标题 3 Char标题 13 Char标题 3 Char1标题 3 Char Char Char标题 3 Char... Char Char"/>
    <w:link w:val="2561"/>
    <w:qFormat/>
    <w:locked/>
    <w:uiPriority w:val="0"/>
    <w:rPr>
      <w:rFonts w:ascii="Arial" w:hAnsi="Arial" w:cs="宋体"/>
      <w:kern w:val="44"/>
      <w:sz w:val="24"/>
      <w:szCs w:val="44"/>
    </w:rPr>
  </w:style>
  <w:style w:type="paragraph" w:customStyle="1" w:styleId="2561">
    <w:name w:val="样式 标题 3 Char标题 13 Char标题 3 Char1标题 3 Char Char Char标题 3 Char..."/>
    <w:basedOn w:val="3"/>
    <w:link w:val="2560"/>
    <w:qFormat/>
    <w:uiPriority w:val="0"/>
    <w:pPr>
      <w:pageBreakBefore w:val="0"/>
      <w:tabs>
        <w:tab w:val="clear" w:pos="1080"/>
      </w:tabs>
      <w:spacing w:before="120" w:after="330" w:line="240" w:lineRule="auto"/>
      <w:ind w:left="0" w:firstLine="0"/>
      <w:jc w:val="left"/>
    </w:pPr>
    <w:rPr>
      <w:rFonts w:ascii="Arial" w:hAnsi="Arial" w:cs="宋体"/>
      <w:b w:val="0"/>
      <w:sz w:val="24"/>
      <w:szCs w:val="44"/>
    </w:rPr>
  </w:style>
  <w:style w:type="character" w:customStyle="1" w:styleId="2562">
    <w:name w:val="Char Char202"/>
    <w:qFormat/>
    <w:locked/>
    <w:uiPriority w:val="0"/>
    <w:rPr>
      <w:rFonts w:ascii="仿宋_GB2312" w:eastAsia="仿宋_GB2312"/>
      <w:kern w:val="2"/>
      <w:sz w:val="28"/>
      <w:lang w:val="en-US" w:eastAsia="zh-CN" w:bidi="ar-SA"/>
    </w:rPr>
  </w:style>
  <w:style w:type="character" w:customStyle="1" w:styleId="2563">
    <w:name w:val="样式7 Char Char"/>
    <w:link w:val="2564"/>
    <w:qFormat/>
    <w:locked/>
    <w:uiPriority w:val="0"/>
    <w:rPr>
      <w:rFonts w:ascii="Arial" w:hAnsi="Arial" w:cs="Arial"/>
      <w:sz w:val="24"/>
      <w:szCs w:val="24"/>
    </w:rPr>
  </w:style>
  <w:style w:type="paragraph" w:customStyle="1" w:styleId="2564">
    <w:name w:val="样式7"/>
    <w:basedOn w:val="5"/>
    <w:link w:val="2563"/>
    <w:qFormat/>
    <w:uiPriority w:val="0"/>
    <w:rPr>
      <w:spacing w:val="0"/>
      <w:kern w:val="0"/>
      <w:szCs w:val="24"/>
    </w:rPr>
  </w:style>
  <w:style w:type="character" w:customStyle="1" w:styleId="2565">
    <w:name w:val="HTML 预设格式 字符"/>
    <w:qFormat/>
    <w:uiPriority w:val="0"/>
    <w:rPr>
      <w:rFonts w:hint="eastAsia" w:ascii="宋体" w:hAnsi="宋体" w:eastAsia="宋体" w:cs="宋体"/>
      <w:color w:val="000000"/>
      <w:kern w:val="2"/>
      <w:sz w:val="21"/>
      <w:szCs w:val="21"/>
      <w:lang w:val="en-US" w:eastAsia="zh-CN" w:bidi="ar"/>
    </w:rPr>
  </w:style>
  <w:style w:type="character" w:customStyle="1" w:styleId="2566">
    <w:name w:val="表格正文 Char Char Char"/>
    <w:qFormat/>
    <w:locked/>
    <w:uiPriority w:val="0"/>
    <w:rPr>
      <w:rFonts w:ascii="Calibri" w:hAnsi="Calibri" w:eastAsia="宋体"/>
      <w:kern w:val="2"/>
      <w:sz w:val="21"/>
      <w:szCs w:val="24"/>
      <w:lang w:val="en-US" w:eastAsia="zh-CN" w:bidi="ar-SA"/>
    </w:rPr>
  </w:style>
  <w:style w:type="character" w:customStyle="1" w:styleId="2567">
    <w:name w:val="样式 文章正文 + 小四 Char Char"/>
    <w:link w:val="1101"/>
    <w:qFormat/>
    <w:locked/>
    <w:uiPriority w:val="0"/>
    <w:rPr>
      <w:kern w:val="2"/>
      <w:sz w:val="24"/>
    </w:rPr>
  </w:style>
  <w:style w:type="character" w:customStyle="1" w:styleId="2568">
    <w:name w:val="样式15 Char Char Char"/>
    <w:qFormat/>
    <w:uiPriority w:val="0"/>
    <w:rPr>
      <w:rFonts w:hint="eastAsia" w:ascii="宋体" w:hAnsi="宋体" w:eastAsia="黑体" w:cs="宋体"/>
      <w:kern w:val="44"/>
      <w:sz w:val="30"/>
      <w:szCs w:val="44"/>
      <w:lang w:val="en-US" w:eastAsia="zh-CN" w:bidi="ar-SA"/>
    </w:rPr>
  </w:style>
  <w:style w:type="character" w:customStyle="1" w:styleId="2569">
    <w:name w:val="Font Style44"/>
    <w:qFormat/>
    <w:uiPriority w:val="0"/>
    <w:rPr>
      <w:rFonts w:hint="default" w:ascii="Arial" w:hAnsi="Arial" w:eastAsia="宋体" w:cs="Arial"/>
      <w:kern w:val="2"/>
      <w:sz w:val="16"/>
      <w:szCs w:val="16"/>
      <w:lang w:val="en-US" w:eastAsia="zh-CN" w:bidi="ar"/>
    </w:rPr>
  </w:style>
  <w:style w:type="character" w:customStyle="1" w:styleId="2570">
    <w:name w:val="title11"/>
    <w:qFormat/>
    <w:uiPriority w:val="0"/>
    <w:rPr>
      <w:rFonts w:hint="eastAsia" w:ascii="宋体" w:hAnsi="宋体" w:eastAsia="宋体" w:cs="宋体"/>
      <w:kern w:val="2"/>
      <w:sz w:val="28"/>
      <w:szCs w:val="24"/>
      <w:lang w:val="en-US" w:eastAsia="zh-CN" w:bidi="ar"/>
    </w:rPr>
  </w:style>
  <w:style w:type="character" w:customStyle="1" w:styleId="2571">
    <w:name w:val="正文(首行缩进2字) Char Char Char"/>
    <w:qFormat/>
    <w:uiPriority w:val="0"/>
    <w:rPr>
      <w:rFonts w:hint="eastAsia" w:ascii="宋体" w:hAnsi="宋体" w:eastAsia="宋体" w:cs="宋体"/>
      <w:kern w:val="2"/>
      <w:sz w:val="28"/>
      <w:szCs w:val="24"/>
      <w:lang w:val="en-US" w:eastAsia="zh-CN" w:bidi="ar-SA"/>
    </w:rPr>
  </w:style>
  <w:style w:type="character" w:customStyle="1" w:styleId="2572">
    <w:name w:val="信息标题 Char"/>
    <w:link w:val="80"/>
    <w:qFormat/>
    <w:locked/>
    <w:uiPriority w:val="0"/>
    <w:rPr>
      <w:rFonts w:ascii="Arial" w:hAnsi="Arial"/>
      <w:sz w:val="24"/>
      <w:szCs w:val="24"/>
      <w:shd w:val="pct20" w:color="auto" w:fill="auto"/>
    </w:rPr>
  </w:style>
  <w:style w:type="character" w:customStyle="1" w:styleId="2573">
    <w:name w:val="样式 标题3YHY + 黑色 段前: 0.5 行 段后: 0.5 行 Char Char Char"/>
    <w:qFormat/>
    <w:uiPriority w:val="0"/>
    <w:rPr>
      <w:rFonts w:hint="eastAsia" w:ascii="宋体" w:hAnsi="宋体" w:eastAsia="宋体" w:cs="宋体"/>
      <w:b/>
      <w:bCs/>
      <w:color w:val="000000"/>
      <w:kern w:val="2"/>
      <w:sz w:val="24"/>
      <w:szCs w:val="24"/>
      <w:lang w:val="en-US" w:eastAsia="zh-CN" w:bidi="ar-SA"/>
    </w:rPr>
  </w:style>
  <w:style w:type="character" w:customStyle="1" w:styleId="2574">
    <w:name w:val="正文文本缩进 2 Char5"/>
    <w:qFormat/>
    <w:uiPriority w:val="0"/>
    <w:rPr>
      <w:rFonts w:hint="eastAsia" w:ascii="宋体" w:hAnsi="宋体" w:eastAsia="宋体" w:cs="宋体"/>
      <w:kern w:val="2"/>
      <w:sz w:val="28"/>
      <w:szCs w:val="24"/>
      <w:lang w:val="en-US" w:eastAsia="zh-CN" w:bidi="ar"/>
    </w:rPr>
  </w:style>
  <w:style w:type="character" w:customStyle="1" w:styleId="2575">
    <w:name w:val="白银正文 Char Char"/>
    <w:link w:val="2576"/>
    <w:qFormat/>
    <w:locked/>
    <w:uiPriority w:val="0"/>
    <w:rPr>
      <w:rFonts w:ascii="Calibri" w:hAnsi="Calibri" w:cs="宋体"/>
      <w:sz w:val="24"/>
    </w:rPr>
  </w:style>
  <w:style w:type="paragraph" w:customStyle="1" w:styleId="2576">
    <w:name w:val="白银正文"/>
    <w:basedOn w:val="1"/>
    <w:link w:val="2575"/>
    <w:qFormat/>
    <w:uiPriority w:val="0"/>
    <w:pPr>
      <w:spacing w:line="360" w:lineRule="auto"/>
      <w:ind w:firstLine="200" w:firstLineChars="200"/>
    </w:pPr>
    <w:rPr>
      <w:rFonts w:ascii="Calibri" w:hAnsi="Calibri" w:eastAsia="宋体" w:cs="宋体"/>
      <w:kern w:val="0"/>
      <w:sz w:val="24"/>
    </w:rPr>
  </w:style>
  <w:style w:type="character" w:customStyle="1" w:styleId="2577">
    <w:name w:val="ued21"/>
    <w:qFormat/>
    <w:uiPriority w:val="0"/>
    <w:rPr>
      <w:rFonts w:hint="eastAsia" w:ascii="宋体" w:hAnsi="宋体" w:eastAsia="宋体" w:cs="宋体"/>
      <w:color w:val="000000"/>
      <w:kern w:val="2"/>
      <w:sz w:val="18"/>
      <w:szCs w:val="18"/>
      <w:lang w:val="en-US" w:eastAsia="zh-CN" w:bidi="ar"/>
    </w:rPr>
  </w:style>
  <w:style w:type="character" w:customStyle="1" w:styleId="2578">
    <w:name w:val="样式 纯文本 + Times New Roman 四号 Char Char"/>
    <w:link w:val="2579"/>
    <w:qFormat/>
    <w:locked/>
    <w:uiPriority w:val="0"/>
    <w:rPr>
      <w:rFonts w:ascii="宋体" w:hAnsi="宋体" w:cs="Courier New"/>
      <w:sz w:val="28"/>
      <w:szCs w:val="21"/>
      <w:lang w:val="en-GB"/>
    </w:rPr>
  </w:style>
  <w:style w:type="paragraph" w:customStyle="1" w:styleId="2579">
    <w:name w:val="样式 纯文本 + Times New Roman 四号"/>
    <w:basedOn w:val="46"/>
    <w:link w:val="2578"/>
    <w:qFormat/>
    <w:uiPriority w:val="0"/>
    <w:pPr>
      <w:ind w:firstLine="640" w:firstLineChars="200"/>
    </w:pPr>
    <w:rPr>
      <w:rFonts w:hAnsi="宋体" w:cs="Courier New"/>
      <w:kern w:val="0"/>
      <w:sz w:val="28"/>
      <w:szCs w:val="21"/>
      <w:lang w:val="en-GB"/>
    </w:rPr>
  </w:style>
  <w:style w:type="character" w:customStyle="1" w:styleId="2580">
    <w:name w:val="正文段 Char2"/>
    <w:link w:val="2581"/>
    <w:qFormat/>
    <w:locked/>
    <w:uiPriority w:val="0"/>
    <w:rPr>
      <w:rFonts w:ascii="仿宋_GB2312" w:hAnsi="宋体" w:eastAsia="仿宋_GB2312" w:cs="宋体"/>
      <w:sz w:val="28"/>
      <w:szCs w:val="18"/>
    </w:rPr>
  </w:style>
  <w:style w:type="paragraph" w:customStyle="1" w:styleId="2581">
    <w:name w:val="正文段"/>
    <w:basedOn w:val="1"/>
    <w:link w:val="2580"/>
    <w:qFormat/>
    <w:uiPriority w:val="0"/>
    <w:pPr>
      <w:ind w:firstLine="536" w:firstLineChars="200"/>
    </w:pPr>
    <w:rPr>
      <w:rFonts w:ascii="仿宋_GB2312" w:hAnsi="宋体" w:cs="宋体"/>
      <w:kern w:val="0"/>
      <w:szCs w:val="18"/>
    </w:rPr>
  </w:style>
  <w:style w:type="character" w:customStyle="1" w:styleId="2582">
    <w:name w:val="章题名 Char Char"/>
    <w:qFormat/>
    <w:uiPriority w:val="0"/>
    <w:rPr>
      <w:rFonts w:hint="eastAsia" w:ascii="宋体" w:hAnsi="宋体" w:eastAsia="宋体" w:cs="宋体"/>
      <w:b/>
      <w:bCs/>
      <w:kern w:val="44"/>
      <w:sz w:val="44"/>
      <w:szCs w:val="44"/>
      <w:lang w:val="en-US" w:eastAsia="zh-CN" w:bidi="ar-SA"/>
    </w:rPr>
  </w:style>
  <w:style w:type="character" w:customStyle="1" w:styleId="2583">
    <w:name w:val="样式 样式 样式 仿宋_GB2312 黑色 行距: 固定值 30 磅 + 首行缩进:  2 字符 + (符号) 宋体 加粗 Char Char"/>
    <w:link w:val="2584"/>
    <w:qFormat/>
    <w:locked/>
    <w:uiPriority w:val="0"/>
    <w:rPr>
      <w:rFonts w:ascii="仿宋_GB2312" w:hAnsi="仿宋_GB2312" w:eastAsia="仿宋_GB2312" w:cs="宋体"/>
      <w:b/>
      <w:bCs/>
      <w:sz w:val="28"/>
      <w:szCs w:val="28"/>
    </w:rPr>
  </w:style>
  <w:style w:type="paragraph" w:customStyle="1" w:styleId="2584">
    <w:name w:val="样式 样式 样式 仿宋_GB2312 黑色 行距: 固定值 30 磅 + 首行缩进:  2 字符 + (符号) 宋体 加粗"/>
    <w:basedOn w:val="1"/>
    <w:link w:val="2583"/>
    <w:qFormat/>
    <w:uiPriority w:val="0"/>
    <w:pPr>
      <w:spacing w:line="600" w:lineRule="exact"/>
      <w:ind w:firstLine="200" w:firstLineChars="200"/>
    </w:pPr>
    <w:rPr>
      <w:rFonts w:ascii="仿宋_GB2312" w:hAnsi="仿宋_GB2312" w:cs="宋体"/>
      <w:b/>
      <w:bCs/>
      <w:kern w:val="0"/>
      <w:szCs w:val="28"/>
    </w:rPr>
  </w:style>
  <w:style w:type="character" w:customStyle="1" w:styleId="2585">
    <w:name w:val="样式51 Char Char"/>
    <w:link w:val="2586"/>
    <w:qFormat/>
    <w:locked/>
    <w:uiPriority w:val="0"/>
    <w:rPr>
      <w:rFonts w:ascii="宋体" w:hAnsi="宋体" w:cs="宋体"/>
      <w:sz w:val="24"/>
      <w:szCs w:val="24"/>
    </w:rPr>
  </w:style>
  <w:style w:type="paragraph" w:customStyle="1" w:styleId="2586">
    <w:name w:val="样式51"/>
    <w:basedOn w:val="1"/>
    <w:link w:val="2585"/>
    <w:qFormat/>
    <w:uiPriority w:val="0"/>
    <w:pPr>
      <w:spacing w:line="360" w:lineRule="auto"/>
      <w:ind w:firstLine="480" w:firstLineChars="200"/>
    </w:pPr>
    <w:rPr>
      <w:rFonts w:ascii="宋体" w:hAnsi="宋体" w:eastAsia="宋体" w:cs="宋体"/>
      <w:kern w:val="0"/>
      <w:sz w:val="24"/>
      <w:szCs w:val="24"/>
    </w:rPr>
  </w:style>
  <w:style w:type="character" w:customStyle="1" w:styleId="2587">
    <w:name w:val="标题 8 Char2"/>
    <w:qFormat/>
    <w:uiPriority w:val="0"/>
    <w:rPr>
      <w:rFonts w:hint="default" w:ascii="Arial" w:hAnsi="Arial" w:eastAsia="黑体" w:cs="Times New Roman"/>
      <w:kern w:val="0"/>
      <w:sz w:val="24"/>
      <w:szCs w:val="21"/>
      <w:lang w:val="en-US" w:eastAsia="zh-CN" w:bidi="ar-SA"/>
    </w:rPr>
  </w:style>
  <w:style w:type="character" w:customStyle="1" w:styleId="2588">
    <w:name w:val="样式 标题 2 + 黑体 Char Char"/>
    <w:link w:val="2589"/>
    <w:qFormat/>
    <w:locked/>
    <w:uiPriority w:val="0"/>
    <w:rPr>
      <w:rFonts w:ascii="黑体" w:hAnsi="黑体" w:eastAsia="黑体"/>
      <w:b/>
      <w:bCs/>
      <w:sz w:val="28"/>
      <w:szCs w:val="32"/>
      <w:lang w:val="zh-CN"/>
    </w:rPr>
  </w:style>
  <w:style w:type="paragraph" w:customStyle="1" w:styleId="2589">
    <w:name w:val="样式 标题 2 + 黑体"/>
    <w:basedOn w:val="4"/>
    <w:link w:val="2588"/>
    <w:qFormat/>
    <w:uiPriority w:val="0"/>
    <w:pPr>
      <w:tabs>
        <w:tab w:val="clear" w:pos="567"/>
      </w:tabs>
      <w:adjustRightInd w:val="0"/>
      <w:snapToGrid w:val="0"/>
      <w:spacing w:before="0" w:after="0" w:line="360" w:lineRule="auto"/>
      <w:ind w:left="0" w:firstLine="0"/>
    </w:pPr>
    <w:rPr>
      <w:rFonts w:hAnsi="黑体"/>
      <w:b/>
      <w:bCs/>
      <w:kern w:val="0"/>
      <w:szCs w:val="32"/>
      <w:lang w:val="zh-CN"/>
    </w:rPr>
  </w:style>
  <w:style w:type="character" w:customStyle="1" w:styleId="2590">
    <w:name w:val="样式61 Char Char"/>
    <w:link w:val="2591"/>
    <w:qFormat/>
    <w:locked/>
    <w:uiPriority w:val="0"/>
    <w:rPr>
      <w:rFonts w:ascii="宋体" w:hAnsi="宋体" w:cs="宋体"/>
      <w:color w:val="000000"/>
      <w:sz w:val="24"/>
      <w:szCs w:val="24"/>
    </w:rPr>
  </w:style>
  <w:style w:type="paragraph" w:customStyle="1" w:styleId="2591">
    <w:name w:val="样式61"/>
    <w:basedOn w:val="1"/>
    <w:link w:val="2590"/>
    <w:qFormat/>
    <w:uiPriority w:val="0"/>
    <w:pPr>
      <w:spacing w:line="360" w:lineRule="auto"/>
      <w:ind w:firstLine="480"/>
    </w:pPr>
    <w:rPr>
      <w:rFonts w:ascii="宋体" w:hAnsi="宋体" w:eastAsia="宋体" w:cs="宋体"/>
      <w:color w:val="000000"/>
      <w:kern w:val="0"/>
      <w:sz w:val="24"/>
      <w:szCs w:val="24"/>
    </w:rPr>
  </w:style>
  <w:style w:type="character" w:customStyle="1" w:styleId="2592">
    <w:name w:val="表头YHY Char Char"/>
    <w:link w:val="2593"/>
    <w:qFormat/>
    <w:locked/>
    <w:uiPriority w:val="0"/>
    <w:rPr>
      <w:rFonts w:ascii="宋体" w:hAnsi="宋体" w:eastAsia="黑体"/>
      <w:color w:val="000000"/>
      <w:szCs w:val="24"/>
    </w:rPr>
  </w:style>
  <w:style w:type="paragraph" w:customStyle="1" w:styleId="2593">
    <w:name w:val="表头YHY"/>
    <w:basedOn w:val="8"/>
    <w:link w:val="2592"/>
    <w:qFormat/>
    <w:uiPriority w:val="0"/>
    <w:pPr>
      <w:keepNext w:val="0"/>
      <w:keepLines w:val="0"/>
      <w:spacing w:before="0" w:after="0" w:line="240" w:lineRule="auto"/>
      <w:ind w:left="0" w:firstLine="0"/>
      <w:jc w:val="center"/>
    </w:pPr>
    <w:rPr>
      <w:rFonts w:ascii="宋体" w:hAnsi="宋体" w:eastAsia="黑体"/>
      <w:b w:val="0"/>
      <w:bCs w:val="0"/>
      <w:color w:val="000000"/>
      <w:kern w:val="0"/>
      <w:sz w:val="20"/>
      <w:szCs w:val="24"/>
    </w:rPr>
  </w:style>
  <w:style w:type="character" w:customStyle="1" w:styleId="2594">
    <w:name w:val="Char Char92"/>
    <w:qFormat/>
    <w:uiPriority w:val="0"/>
    <w:rPr>
      <w:rFonts w:hint="eastAsia" w:ascii="宋体" w:hAnsi="宋体" w:eastAsia="宋体" w:cs="宋体"/>
      <w:kern w:val="2"/>
      <w:sz w:val="18"/>
      <w:szCs w:val="24"/>
      <w:lang w:val="en-US" w:eastAsia="zh-CN" w:bidi="ar-SA"/>
    </w:rPr>
  </w:style>
  <w:style w:type="character" w:customStyle="1" w:styleId="2595">
    <w:name w:val="表 Char Char"/>
    <w:qFormat/>
    <w:locked/>
    <w:uiPriority w:val="0"/>
    <w:rPr>
      <w:rFonts w:eastAsia="宋体"/>
      <w:b/>
      <w:bCs/>
      <w:sz w:val="28"/>
      <w:szCs w:val="32"/>
    </w:rPr>
  </w:style>
  <w:style w:type="character" w:customStyle="1" w:styleId="2596">
    <w:name w:val="样式 标题 3标题 13ReHead 3 WSAh3B HeadH3..标题 3 Char Char标题 3 ... Char Char"/>
    <w:link w:val="2597"/>
    <w:qFormat/>
    <w:locked/>
    <w:uiPriority w:val="0"/>
    <w:rPr>
      <w:rFonts w:ascii="宋体" w:hAnsi="宋体"/>
      <w:b/>
      <w:bCs/>
      <w:spacing w:val="-2"/>
      <w:sz w:val="24"/>
      <w:szCs w:val="24"/>
    </w:rPr>
  </w:style>
  <w:style w:type="paragraph" w:customStyle="1" w:styleId="2597">
    <w:name w:val="样式 标题 3标题 13ReHead 3 WSAh3B HeadH3..标题 3 Char Char标题 3 ..."/>
    <w:basedOn w:val="6"/>
    <w:link w:val="2596"/>
    <w:qFormat/>
    <w:uiPriority w:val="0"/>
    <w:pPr>
      <w:tabs>
        <w:tab w:val="left" w:pos="1022"/>
        <w:tab w:val="left" w:pos="1080"/>
        <w:tab w:val="clear" w:pos="1789"/>
      </w:tabs>
      <w:spacing w:before="0" w:beforeLines="50" w:after="0" w:line="360" w:lineRule="auto"/>
      <w:ind w:left="1260" w:hanging="420"/>
    </w:pPr>
    <w:rPr>
      <w:rFonts w:ascii="宋体" w:hAnsi="宋体" w:eastAsia="宋体"/>
      <w:spacing w:val="-2"/>
      <w:kern w:val="0"/>
      <w:szCs w:val="24"/>
    </w:rPr>
  </w:style>
  <w:style w:type="character" w:customStyle="1" w:styleId="2598">
    <w:name w:val="样式 生物质发电正文 + Times New Roman 加粗 首行缩进:  2 字符 Char Char"/>
    <w:link w:val="2599"/>
    <w:qFormat/>
    <w:locked/>
    <w:uiPriority w:val="0"/>
    <w:rPr>
      <w:rFonts w:ascii="宋体" w:hAnsi="宋体" w:cs="宋体"/>
      <w:bCs/>
      <w:sz w:val="24"/>
      <w:szCs w:val="24"/>
    </w:rPr>
  </w:style>
  <w:style w:type="paragraph" w:customStyle="1" w:styleId="2599">
    <w:name w:val="样式 生物质发电正文 + Times New Roman 加粗 首行缩进:  2 字符"/>
    <w:basedOn w:val="1"/>
    <w:link w:val="2598"/>
    <w:qFormat/>
    <w:uiPriority w:val="0"/>
    <w:pPr>
      <w:widowControl/>
      <w:suppressAutoHyphens/>
      <w:adjustRightInd w:val="0"/>
      <w:snapToGrid w:val="0"/>
      <w:spacing w:line="324" w:lineRule="auto"/>
      <w:ind w:firstLine="482" w:firstLineChars="200"/>
    </w:pPr>
    <w:rPr>
      <w:rFonts w:ascii="宋体" w:hAnsi="宋体" w:eastAsia="宋体" w:cs="宋体"/>
      <w:bCs/>
      <w:kern w:val="0"/>
      <w:sz w:val="24"/>
      <w:szCs w:val="24"/>
    </w:rPr>
  </w:style>
  <w:style w:type="character" w:customStyle="1" w:styleId="2600">
    <w:name w:val="图标标题 Char Char"/>
    <w:link w:val="2601"/>
    <w:qFormat/>
    <w:locked/>
    <w:uiPriority w:val="0"/>
    <w:rPr>
      <w:rFonts w:ascii="宋体" w:hAnsi="宋体" w:eastAsia="黑体" w:cs="宋体"/>
      <w:sz w:val="24"/>
      <w:szCs w:val="24"/>
    </w:rPr>
  </w:style>
  <w:style w:type="paragraph" w:customStyle="1" w:styleId="2601">
    <w:name w:val="图标标题"/>
    <w:basedOn w:val="1"/>
    <w:link w:val="2600"/>
    <w:qFormat/>
    <w:uiPriority w:val="0"/>
    <w:pPr>
      <w:spacing w:line="360" w:lineRule="auto"/>
      <w:jc w:val="center"/>
    </w:pPr>
    <w:rPr>
      <w:rFonts w:ascii="宋体" w:hAnsi="宋体" w:eastAsia="黑体" w:cs="宋体"/>
      <w:kern w:val="0"/>
      <w:sz w:val="24"/>
      <w:szCs w:val="24"/>
    </w:rPr>
  </w:style>
  <w:style w:type="character" w:customStyle="1" w:styleId="2602">
    <w:name w:val="样式1 Char Char Char"/>
    <w:qFormat/>
    <w:uiPriority w:val="0"/>
    <w:rPr>
      <w:rFonts w:hint="eastAsia" w:ascii="方正大标宋简体" w:eastAsia="方正大标宋简体"/>
      <w:b/>
      <w:kern w:val="2"/>
      <w:sz w:val="44"/>
      <w:lang w:val="en-US" w:eastAsia="zh-CN" w:bidi="ar-SA"/>
    </w:rPr>
  </w:style>
  <w:style w:type="character" w:customStyle="1" w:styleId="2603">
    <w:name w:val="3级（次）标题 Char Char"/>
    <w:qFormat/>
    <w:locked/>
    <w:uiPriority w:val="0"/>
    <w:rPr>
      <w:rFonts w:ascii="宋体" w:hAnsi="宋体" w:eastAsia="宋体" w:cs="宋体"/>
      <w:b/>
      <w:sz w:val="24"/>
      <w:szCs w:val="24"/>
    </w:rPr>
  </w:style>
  <w:style w:type="character" w:customStyle="1" w:styleId="2604">
    <w:name w:val="样式41 Char Char"/>
    <w:link w:val="2605"/>
    <w:qFormat/>
    <w:locked/>
    <w:uiPriority w:val="0"/>
    <w:rPr>
      <w:rFonts w:ascii="宋体" w:hAnsi="宋体" w:cs="宋体"/>
      <w:bCs/>
      <w:sz w:val="24"/>
      <w:szCs w:val="24"/>
    </w:rPr>
  </w:style>
  <w:style w:type="paragraph" w:customStyle="1" w:styleId="2605">
    <w:name w:val="样式41"/>
    <w:basedOn w:val="1"/>
    <w:link w:val="2604"/>
    <w:qFormat/>
    <w:uiPriority w:val="0"/>
    <w:pPr>
      <w:keepNext/>
      <w:keepLines/>
      <w:tabs>
        <w:tab w:val="left" w:pos="2175"/>
      </w:tabs>
      <w:spacing w:beforeLines="50" w:line="360" w:lineRule="auto"/>
      <w:outlineLvl w:val="3"/>
    </w:pPr>
    <w:rPr>
      <w:rFonts w:ascii="宋体" w:hAnsi="宋体" w:eastAsia="宋体" w:cs="宋体"/>
      <w:bCs/>
      <w:kern w:val="0"/>
      <w:sz w:val="24"/>
      <w:szCs w:val="24"/>
    </w:rPr>
  </w:style>
  <w:style w:type="character" w:customStyle="1" w:styleId="2606">
    <w:name w:val="文本正文 Char Char"/>
    <w:qFormat/>
    <w:locked/>
    <w:uiPriority w:val="0"/>
    <w:rPr>
      <w:rFonts w:ascii="宋体" w:hAnsi="宋体" w:eastAsia="宋体" w:cs="宋体"/>
      <w:sz w:val="28"/>
      <w:szCs w:val="24"/>
    </w:rPr>
  </w:style>
  <w:style w:type="character" w:customStyle="1" w:styleId="2607">
    <w:name w:val="样式91 Char Char"/>
    <w:link w:val="2608"/>
    <w:qFormat/>
    <w:locked/>
    <w:uiPriority w:val="0"/>
    <w:rPr>
      <w:rFonts w:ascii="宋体" w:hAnsi="宋体" w:cs="宋体"/>
      <w:sz w:val="24"/>
      <w:szCs w:val="24"/>
    </w:rPr>
  </w:style>
  <w:style w:type="paragraph" w:customStyle="1" w:styleId="2608">
    <w:name w:val="样式91"/>
    <w:basedOn w:val="5"/>
    <w:link w:val="2607"/>
    <w:qFormat/>
    <w:uiPriority w:val="0"/>
    <w:pPr>
      <w:widowControl/>
      <w:overflowPunct w:val="0"/>
      <w:autoSpaceDE w:val="0"/>
      <w:autoSpaceDN w:val="0"/>
      <w:adjustRightInd w:val="0"/>
      <w:spacing w:beforeLines="50" w:line="360" w:lineRule="auto"/>
      <w:ind w:firstLine="480"/>
    </w:pPr>
    <w:rPr>
      <w:rFonts w:ascii="宋体" w:hAnsi="宋体" w:cs="宋体"/>
      <w:spacing w:val="0"/>
      <w:kern w:val="0"/>
      <w:szCs w:val="24"/>
    </w:rPr>
  </w:style>
  <w:style w:type="character" w:customStyle="1" w:styleId="2609">
    <w:name w:val="Char Char251"/>
    <w:qFormat/>
    <w:locked/>
    <w:uiPriority w:val="0"/>
    <w:rPr>
      <w:rFonts w:ascii="宋体" w:hAnsi="宋体" w:eastAsia="宋体" w:cs="宋体"/>
      <w:kern w:val="2"/>
      <w:sz w:val="18"/>
      <w:szCs w:val="18"/>
      <w:lang w:val="en-US" w:eastAsia="zh-CN" w:bidi="ar-SA"/>
    </w:rPr>
  </w:style>
  <w:style w:type="character" w:customStyle="1" w:styleId="2610">
    <w:name w:val="style3"/>
    <w:qFormat/>
    <w:uiPriority w:val="0"/>
    <w:rPr>
      <w:rFonts w:hint="eastAsia" w:ascii="宋体" w:hAnsi="宋体" w:eastAsia="宋体" w:cs="宋体"/>
      <w:kern w:val="2"/>
      <w:sz w:val="28"/>
      <w:szCs w:val="24"/>
      <w:lang w:val="en-US" w:eastAsia="zh-CN" w:bidi="ar"/>
    </w:rPr>
  </w:style>
  <w:style w:type="character" w:customStyle="1" w:styleId="2611">
    <w:name w:val="Char Char221"/>
    <w:qFormat/>
    <w:uiPriority w:val="0"/>
    <w:rPr>
      <w:rFonts w:hint="eastAsia" w:ascii="宋体" w:hAnsi="宋体" w:eastAsia="宋体" w:cs="宋体"/>
      <w:snapToGrid w:val="0"/>
      <w:kern w:val="2"/>
      <w:sz w:val="18"/>
      <w:szCs w:val="18"/>
      <w:lang w:val="en-US" w:eastAsia="zh-CN" w:bidi="ar-SA"/>
    </w:rPr>
  </w:style>
  <w:style w:type="character" w:customStyle="1" w:styleId="2612">
    <w:name w:val="样式 标题 2 + 段前: 0.5 行 Char Char"/>
    <w:link w:val="2613"/>
    <w:qFormat/>
    <w:locked/>
    <w:uiPriority w:val="0"/>
    <w:rPr>
      <w:rFonts w:ascii="宋体" w:hAnsi="宋体" w:cs="宋体"/>
      <w:b/>
      <w:bCs/>
      <w:color w:val="000000"/>
      <w:sz w:val="32"/>
      <w:szCs w:val="32"/>
    </w:rPr>
  </w:style>
  <w:style w:type="paragraph" w:customStyle="1" w:styleId="2613">
    <w:name w:val="样式 标题 2 + 段前: 0.5 行"/>
    <w:basedOn w:val="4"/>
    <w:link w:val="2612"/>
    <w:qFormat/>
    <w:uiPriority w:val="0"/>
    <w:pPr>
      <w:keepNext w:val="0"/>
      <w:tabs>
        <w:tab w:val="clear" w:pos="567"/>
      </w:tabs>
      <w:spacing w:before="214" w:after="0" w:line="360" w:lineRule="auto"/>
      <w:ind w:left="0" w:firstLine="0"/>
    </w:pPr>
    <w:rPr>
      <w:rFonts w:ascii="宋体" w:hAnsi="宋体" w:eastAsia="宋体" w:cs="宋体"/>
      <w:b/>
      <w:bCs/>
      <w:color w:val="000000"/>
      <w:kern w:val="0"/>
      <w:sz w:val="32"/>
      <w:szCs w:val="32"/>
    </w:rPr>
  </w:style>
  <w:style w:type="character" w:customStyle="1" w:styleId="2614">
    <w:name w:val="WENZHANG Char Char Char"/>
    <w:link w:val="2615"/>
    <w:qFormat/>
    <w:locked/>
    <w:uiPriority w:val="0"/>
    <w:rPr>
      <w:rFonts w:ascii="宋体" w:hAnsi="宋体" w:cs="宋体"/>
      <w:color w:val="000000"/>
      <w:sz w:val="24"/>
      <w:szCs w:val="24"/>
    </w:rPr>
  </w:style>
  <w:style w:type="paragraph" w:customStyle="1" w:styleId="2615">
    <w:name w:val="WENZHANG"/>
    <w:basedOn w:val="1"/>
    <w:link w:val="2614"/>
    <w:qFormat/>
    <w:uiPriority w:val="0"/>
    <w:pPr>
      <w:spacing w:beforeLines="50" w:line="360" w:lineRule="auto"/>
      <w:ind w:firstLine="200" w:firstLineChars="200"/>
    </w:pPr>
    <w:rPr>
      <w:rFonts w:ascii="宋体" w:hAnsi="宋体" w:eastAsia="宋体" w:cs="宋体"/>
      <w:color w:val="000000"/>
      <w:kern w:val="0"/>
      <w:sz w:val="24"/>
      <w:szCs w:val="24"/>
    </w:rPr>
  </w:style>
  <w:style w:type="character" w:customStyle="1" w:styleId="2616">
    <w:name w:val="德胜正文 Char Char"/>
    <w:link w:val="2617"/>
    <w:qFormat/>
    <w:locked/>
    <w:uiPriority w:val="0"/>
    <w:rPr>
      <w:rFonts w:ascii="宋体" w:hAnsi="宋体" w:cs="宋体"/>
      <w:snapToGrid/>
      <w:color w:val="0000FF"/>
      <w:sz w:val="24"/>
      <w:szCs w:val="24"/>
    </w:rPr>
  </w:style>
  <w:style w:type="paragraph" w:customStyle="1" w:styleId="2617">
    <w:name w:val="德胜正文"/>
    <w:basedOn w:val="1"/>
    <w:link w:val="2616"/>
    <w:qFormat/>
    <w:uiPriority w:val="0"/>
    <w:pPr>
      <w:adjustRightInd w:val="0"/>
      <w:snapToGrid w:val="0"/>
      <w:spacing w:line="360" w:lineRule="auto"/>
      <w:ind w:firstLine="200" w:firstLineChars="200"/>
    </w:pPr>
    <w:rPr>
      <w:rFonts w:ascii="宋体" w:hAnsi="宋体" w:eastAsia="宋体" w:cs="宋体"/>
      <w:color w:val="0000FF"/>
      <w:kern w:val="0"/>
      <w:sz w:val="24"/>
      <w:szCs w:val="24"/>
    </w:rPr>
  </w:style>
  <w:style w:type="character" w:customStyle="1" w:styleId="2618">
    <w:name w:val="contents"/>
    <w:qFormat/>
    <w:uiPriority w:val="0"/>
    <w:rPr>
      <w:rFonts w:hint="eastAsia" w:ascii="宋体" w:hAnsi="宋体" w:eastAsia="黑体" w:cs="Courier New"/>
      <w:kern w:val="2"/>
      <w:sz w:val="24"/>
      <w:szCs w:val="32"/>
      <w:lang w:val="en-US" w:eastAsia="zh-CN" w:bidi="ar-SA"/>
    </w:rPr>
  </w:style>
  <w:style w:type="character" w:customStyle="1" w:styleId="2619">
    <w:name w:val="表格居中 Char Char"/>
    <w:qFormat/>
    <w:uiPriority w:val="0"/>
    <w:rPr>
      <w:rFonts w:hint="eastAsia" w:ascii="宋体" w:hAnsi="宋体" w:eastAsia="宋体" w:cs="宋体"/>
      <w:kern w:val="2"/>
      <w:sz w:val="21"/>
      <w:szCs w:val="24"/>
      <w:lang w:val="en-US" w:eastAsia="zh-CN" w:bidi="ar-SA"/>
    </w:rPr>
  </w:style>
  <w:style w:type="character" w:customStyle="1" w:styleId="2620">
    <w:name w:val="正文文字缩进 2 Char Char2"/>
    <w:qFormat/>
    <w:uiPriority w:val="0"/>
    <w:rPr>
      <w:rFonts w:hint="eastAsia" w:ascii="宋体" w:hAnsi="宋体" w:eastAsia="宋体" w:cs="宋体"/>
      <w:kern w:val="2"/>
      <w:sz w:val="24"/>
      <w:szCs w:val="28"/>
      <w:lang w:val="en-US" w:eastAsia="zh-CN" w:bidi="ar-SA"/>
    </w:rPr>
  </w:style>
  <w:style w:type="character" w:customStyle="1" w:styleId="2621">
    <w:name w:val="样式44 Char"/>
    <w:qFormat/>
    <w:locked/>
    <w:uiPriority w:val="0"/>
    <w:rPr>
      <w:rFonts w:hint="eastAsia" w:ascii="黑体" w:hAnsi="黑体" w:eastAsia="黑体"/>
      <w:b/>
      <w:bCs/>
      <w:kern w:val="2"/>
      <w:sz w:val="28"/>
      <w:szCs w:val="28"/>
      <w:lang w:val="en-US" w:eastAsia="zh-CN" w:bidi="ar-SA"/>
    </w:rPr>
  </w:style>
  <w:style w:type="character" w:customStyle="1" w:styleId="2622">
    <w:name w:val="批注框文本 字符"/>
    <w:qFormat/>
    <w:uiPriority w:val="0"/>
    <w:rPr>
      <w:rFonts w:hint="eastAsia" w:ascii="宋体" w:hAnsi="宋体" w:eastAsia="宋体" w:cs="宋体"/>
      <w:kern w:val="2"/>
      <w:sz w:val="18"/>
      <w:szCs w:val="18"/>
      <w:lang w:val="en-US" w:eastAsia="zh-CN" w:bidi="ar"/>
    </w:rPr>
  </w:style>
  <w:style w:type="character" w:customStyle="1" w:styleId="2623">
    <w:name w:val="文章 Char1"/>
    <w:qFormat/>
    <w:uiPriority w:val="0"/>
    <w:rPr>
      <w:rFonts w:hint="eastAsia" w:ascii="宋体" w:hAnsi="宋体" w:eastAsia="宋体" w:cs="宋体"/>
      <w:kern w:val="2"/>
      <w:sz w:val="24"/>
      <w:szCs w:val="24"/>
      <w:lang w:val="en-US" w:eastAsia="zh-CN" w:bidi="ar"/>
    </w:rPr>
  </w:style>
  <w:style w:type="character" w:customStyle="1" w:styleId="2624">
    <w:name w:val="正文001 Char Char"/>
    <w:qFormat/>
    <w:locked/>
    <w:uiPriority w:val="0"/>
    <w:rPr>
      <w:rFonts w:ascii="宋体" w:hAnsi="宋体" w:eastAsia="宋体" w:cs="宋体"/>
      <w:kern w:val="2"/>
      <w:sz w:val="24"/>
      <w:szCs w:val="24"/>
      <w:lang w:val="en-US" w:eastAsia="zh-CN" w:bidi="ar-SA"/>
    </w:rPr>
  </w:style>
  <w:style w:type="character" w:customStyle="1" w:styleId="2625">
    <w:name w:val="p21"/>
    <w:qFormat/>
    <w:uiPriority w:val="0"/>
    <w:rPr>
      <w:rFonts w:hint="eastAsia" w:ascii="宋体" w:hAnsi="宋体" w:eastAsia="宋体" w:cs="宋体"/>
      <w:kern w:val="2"/>
      <w:sz w:val="24"/>
      <w:szCs w:val="20"/>
      <w:lang w:val="en-US" w:eastAsia="zh-CN" w:bidi="ar"/>
    </w:rPr>
  </w:style>
  <w:style w:type="character" w:customStyle="1" w:styleId="2626">
    <w:name w:val="文本块 Char Char Char"/>
    <w:qFormat/>
    <w:uiPriority w:val="0"/>
    <w:rPr>
      <w:rFonts w:hint="eastAsia" w:ascii="宋体" w:hAnsi="宋体" w:eastAsia="宋体" w:cs="宋体"/>
      <w:kern w:val="2"/>
      <w:sz w:val="21"/>
      <w:szCs w:val="24"/>
      <w:lang w:val="en-US" w:eastAsia="zh-CN" w:bidi="ar-SA"/>
    </w:rPr>
  </w:style>
  <w:style w:type="character" w:customStyle="1" w:styleId="2627">
    <w:name w:val="海南化工城正文 Char Char"/>
    <w:link w:val="2628"/>
    <w:qFormat/>
    <w:locked/>
    <w:uiPriority w:val="0"/>
    <w:rPr>
      <w:rFonts w:ascii="宋体" w:hAnsi="宋体" w:cs="宋体"/>
      <w:sz w:val="24"/>
      <w:szCs w:val="24"/>
    </w:rPr>
  </w:style>
  <w:style w:type="paragraph" w:customStyle="1" w:styleId="2628">
    <w:name w:val="海南化工城正文"/>
    <w:basedOn w:val="1"/>
    <w:link w:val="2627"/>
    <w:qFormat/>
    <w:uiPriority w:val="0"/>
    <w:pPr>
      <w:spacing w:line="324" w:lineRule="auto"/>
      <w:ind w:firstLine="480" w:firstLineChars="200"/>
    </w:pPr>
    <w:rPr>
      <w:rFonts w:ascii="宋体" w:hAnsi="宋体" w:eastAsia="宋体" w:cs="宋体"/>
      <w:kern w:val="0"/>
      <w:sz w:val="24"/>
      <w:szCs w:val="24"/>
    </w:rPr>
  </w:style>
  <w:style w:type="character" w:customStyle="1" w:styleId="2629">
    <w:name w:val="尾注文本 Char3"/>
    <w:qFormat/>
    <w:uiPriority w:val="0"/>
    <w:rPr>
      <w:rFonts w:hint="eastAsia" w:ascii="宋体" w:hAnsi="宋体" w:eastAsia="宋体" w:cs="宋体"/>
      <w:kern w:val="2"/>
      <w:sz w:val="28"/>
      <w:szCs w:val="24"/>
      <w:lang w:val="en-US" w:eastAsia="zh-CN" w:bidi="ar"/>
    </w:rPr>
  </w:style>
  <w:style w:type="character" w:customStyle="1" w:styleId="2630">
    <w:name w:val="注释标题 Char3"/>
    <w:qFormat/>
    <w:uiPriority w:val="0"/>
    <w:rPr>
      <w:rFonts w:hint="eastAsia" w:ascii="宋体" w:hAnsi="宋体" w:eastAsia="宋体" w:cs="宋体"/>
      <w:kern w:val="2"/>
      <w:sz w:val="28"/>
      <w:szCs w:val="24"/>
      <w:lang w:val="en-US" w:eastAsia="zh-CN" w:bidi="ar"/>
    </w:rPr>
  </w:style>
  <w:style w:type="character" w:customStyle="1" w:styleId="2631">
    <w:name w:val="样式52 Char Char Char Char"/>
    <w:qFormat/>
    <w:uiPriority w:val="0"/>
    <w:rPr>
      <w:b/>
      <w:kern w:val="2"/>
      <w:sz w:val="24"/>
      <w:szCs w:val="24"/>
      <w:lang w:bidi="ar-SA"/>
    </w:rPr>
  </w:style>
  <w:style w:type="character" w:customStyle="1" w:styleId="2632">
    <w:name w:val="desc"/>
    <w:qFormat/>
    <w:uiPriority w:val="0"/>
    <w:rPr>
      <w:rFonts w:hint="eastAsia" w:ascii="宋体" w:hAnsi="宋体" w:eastAsia="宋体" w:cs="宋体"/>
      <w:kern w:val="2"/>
      <w:sz w:val="24"/>
      <w:szCs w:val="20"/>
      <w:lang w:val="en-US" w:eastAsia="zh-CN" w:bidi="ar"/>
    </w:rPr>
  </w:style>
  <w:style w:type="character" w:customStyle="1" w:styleId="2633">
    <w:name w:val="zjgblk1"/>
    <w:qFormat/>
    <w:uiPriority w:val="0"/>
    <w:rPr>
      <w:rFonts w:hint="eastAsia" w:ascii="宋体" w:hAnsi="宋体" w:eastAsia="宋体" w:cs="宋体"/>
      <w:color w:val="000000"/>
      <w:kern w:val="2"/>
      <w:sz w:val="18"/>
      <w:szCs w:val="18"/>
      <w:u w:val="none"/>
      <w:lang w:val="en-US" w:eastAsia="zh-CN" w:bidi="ar"/>
    </w:rPr>
  </w:style>
  <w:style w:type="character" w:customStyle="1" w:styleId="2634">
    <w:name w:val="表注 Char Char Char"/>
    <w:qFormat/>
    <w:uiPriority w:val="0"/>
    <w:rPr>
      <w:rFonts w:hint="eastAsia" w:ascii="宋体" w:hAnsi="宋体" w:eastAsia="宋体" w:cs="宋体"/>
      <w:color w:val="FF0000"/>
      <w:kern w:val="24"/>
      <w:sz w:val="21"/>
      <w:szCs w:val="24"/>
      <w:lang w:val="en-US" w:eastAsia="zh-CN" w:bidi="ar-SA"/>
    </w:rPr>
  </w:style>
  <w:style w:type="character" w:customStyle="1" w:styleId="2635">
    <w:name w:val="hover26"/>
    <w:qFormat/>
    <w:uiPriority w:val="0"/>
    <w:rPr>
      <w:rFonts w:ascii="宋体" w:hAnsi="宋体" w:eastAsia="Arial" w:cs="宋体"/>
      <w:kern w:val="2"/>
      <w:sz w:val="24"/>
      <w:szCs w:val="24"/>
      <w:lang w:val="en-US" w:eastAsia="zh-CN" w:bidi="ar-SA"/>
    </w:rPr>
  </w:style>
  <w:style w:type="character" w:customStyle="1" w:styleId="2636">
    <w:name w:val="文章正文 Char1"/>
    <w:qFormat/>
    <w:uiPriority w:val="0"/>
    <w:rPr>
      <w:rFonts w:hint="eastAsia" w:ascii="宋体" w:hAnsi="宋体" w:eastAsia="宋体" w:cs="宋体"/>
      <w:kern w:val="2"/>
      <w:sz w:val="24"/>
      <w:szCs w:val="24"/>
      <w:lang w:val="en-US" w:eastAsia="zh-CN" w:bidi="ar-SA"/>
    </w:rPr>
  </w:style>
  <w:style w:type="character" w:customStyle="1" w:styleId="2637">
    <w:name w:val="题注 字符"/>
    <w:qFormat/>
    <w:uiPriority w:val="0"/>
    <w:rPr>
      <w:rFonts w:hint="default" w:ascii="Arial" w:hAnsi="Arial" w:eastAsia="黑体" w:cs="Arial"/>
      <w:kern w:val="2"/>
      <w:lang w:val="en-US" w:eastAsia="zh-CN" w:bidi="ar-SA"/>
    </w:rPr>
  </w:style>
  <w:style w:type="character" w:customStyle="1" w:styleId="2638">
    <w:name w:val="样式27 Char Char Char"/>
    <w:qFormat/>
    <w:uiPriority w:val="0"/>
    <w:rPr>
      <w:rFonts w:hint="eastAsia" w:ascii="宋体" w:hAnsi="宋体" w:eastAsia="黑体" w:cs="宋体"/>
      <w:kern w:val="44"/>
      <w:sz w:val="30"/>
      <w:szCs w:val="28"/>
      <w:lang w:val="en-US" w:eastAsia="zh-CN" w:bidi="ar-SA"/>
    </w:rPr>
  </w:style>
  <w:style w:type="character" w:customStyle="1" w:styleId="2639">
    <w:name w:val="样式3 Char Char"/>
    <w:qFormat/>
    <w:uiPriority w:val="0"/>
    <w:rPr>
      <w:rFonts w:hint="eastAsia" w:ascii="宋体" w:hAnsi="宋体" w:eastAsia="黑体" w:cs="宋体"/>
      <w:kern w:val="2"/>
      <w:sz w:val="28"/>
      <w:szCs w:val="28"/>
      <w:lang w:val="en-US" w:eastAsia="zh-CN" w:bidi="ar-SA"/>
    </w:rPr>
  </w:style>
  <w:style w:type="character" w:customStyle="1" w:styleId="2640">
    <w:name w:val="表文字 Char Char Char"/>
    <w:qFormat/>
    <w:locked/>
    <w:uiPriority w:val="0"/>
    <w:rPr>
      <w:rFonts w:eastAsia="宋体"/>
      <w:sz w:val="24"/>
    </w:rPr>
  </w:style>
  <w:style w:type="character" w:customStyle="1" w:styleId="2641">
    <w:name w:val="表文字 Char Char"/>
    <w:qFormat/>
    <w:uiPriority w:val="0"/>
    <w:rPr>
      <w:rFonts w:hint="eastAsia" w:ascii="宋体" w:hAnsi="宋体" w:eastAsia="宋体" w:cs="宋体"/>
      <w:kern w:val="2"/>
      <w:sz w:val="24"/>
      <w:szCs w:val="24"/>
      <w:lang w:val="en-US" w:eastAsia="zh-CN" w:bidi="ar"/>
    </w:rPr>
  </w:style>
  <w:style w:type="character" w:customStyle="1" w:styleId="2642">
    <w:name w:val="正文文本 2 Char4"/>
    <w:qFormat/>
    <w:uiPriority w:val="0"/>
    <w:rPr>
      <w:rFonts w:hint="eastAsia" w:ascii="宋体" w:hAnsi="宋体" w:eastAsia="宋体" w:cs="宋体"/>
      <w:kern w:val="2"/>
      <w:sz w:val="28"/>
      <w:szCs w:val="24"/>
      <w:lang w:val="en-US" w:eastAsia="zh-CN" w:bidi="ar"/>
    </w:rPr>
  </w:style>
  <w:style w:type="character" w:customStyle="1" w:styleId="2643">
    <w:name w:val="H212 Char1"/>
    <w:qFormat/>
    <w:uiPriority w:val="0"/>
    <w:rPr>
      <w:rFonts w:hint="eastAsia" w:ascii="宋体" w:hAnsi="宋体" w:eastAsia="宋体" w:cs="宋体"/>
      <w:b/>
      <w:spacing w:val="-8"/>
      <w:kern w:val="2"/>
      <w:sz w:val="30"/>
      <w:szCs w:val="24"/>
      <w:lang w:val="en-US" w:eastAsia="zh-CN" w:bidi="ar-SA"/>
    </w:rPr>
  </w:style>
  <w:style w:type="character" w:customStyle="1" w:styleId="2644">
    <w:name w:val="页脚 字符1"/>
    <w:qFormat/>
    <w:uiPriority w:val="0"/>
    <w:rPr>
      <w:rFonts w:hint="eastAsia" w:ascii="宋体" w:hAnsi="宋体" w:eastAsia="宋体"/>
      <w:kern w:val="2"/>
      <w:sz w:val="18"/>
      <w:szCs w:val="18"/>
      <w:lang w:val="en-US" w:eastAsia="zh-CN" w:bidi="ar-SA"/>
    </w:rPr>
  </w:style>
  <w:style w:type="character" w:customStyle="1" w:styleId="2645">
    <w:name w:val="ch-text-16px1"/>
    <w:qFormat/>
    <w:uiPriority w:val="0"/>
    <w:rPr>
      <w:rFonts w:hint="default" w:ascii="ˎ̥" w:hAnsi="ˎ̥" w:eastAsia="宋体" w:cs="宋体"/>
      <w:color w:val="000000"/>
      <w:kern w:val="2"/>
      <w:sz w:val="24"/>
      <w:szCs w:val="24"/>
      <w:u w:val="none"/>
      <w:lang w:val="en-US" w:eastAsia="zh-CN" w:bidi="ar"/>
    </w:rPr>
  </w:style>
  <w:style w:type="character" w:customStyle="1" w:styleId="2646">
    <w:name w:val="正文YHY Char Char"/>
    <w:qFormat/>
    <w:locked/>
    <w:uiPriority w:val="0"/>
    <w:rPr>
      <w:rFonts w:ascii="宋体" w:hAnsi="宋体" w:eastAsia="宋体"/>
      <w:sz w:val="24"/>
      <w:szCs w:val="24"/>
    </w:rPr>
  </w:style>
  <w:style w:type="character" w:customStyle="1" w:styleId="2647">
    <w:name w:val="l131"/>
    <w:qFormat/>
    <w:uiPriority w:val="0"/>
    <w:rPr>
      <w:rFonts w:hint="eastAsia" w:ascii="宋体" w:hAnsi="宋体" w:eastAsia="宋体" w:cs="宋体"/>
      <w:kern w:val="2"/>
      <w:sz w:val="18"/>
      <w:szCs w:val="18"/>
      <w:lang w:val="en-US" w:eastAsia="zh-CN" w:bidi="ar"/>
    </w:rPr>
  </w:style>
  <w:style w:type="character" w:customStyle="1" w:styleId="2648">
    <w:name w:val="正文小四首缩1.3行距 Char Char"/>
    <w:link w:val="2649"/>
    <w:qFormat/>
    <w:locked/>
    <w:uiPriority w:val="0"/>
    <w:rPr>
      <w:rFonts w:ascii="宋体" w:hAnsi="宋体" w:cs="宋体"/>
      <w:sz w:val="24"/>
      <w:szCs w:val="24"/>
    </w:rPr>
  </w:style>
  <w:style w:type="paragraph" w:customStyle="1" w:styleId="2649">
    <w:name w:val="正文小四首缩1.3行距"/>
    <w:basedOn w:val="1"/>
    <w:link w:val="2648"/>
    <w:qFormat/>
    <w:uiPriority w:val="0"/>
    <w:pPr>
      <w:spacing w:line="312" w:lineRule="auto"/>
      <w:ind w:firstLine="420" w:firstLineChars="200"/>
    </w:pPr>
    <w:rPr>
      <w:rFonts w:ascii="宋体" w:hAnsi="宋体" w:eastAsia="宋体" w:cs="宋体"/>
      <w:kern w:val="0"/>
      <w:sz w:val="24"/>
      <w:szCs w:val="24"/>
    </w:rPr>
  </w:style>
  <w:style w:type="character" w:customStyle="1" w:styleId="2650">
    <w:name w:val="标题7"/>
    <w:qFormat/>
    <w:uiPriority w:val="0"/>
    <w:rPr>
      <w:rFonts w:hint="eastAsia" w:ascii="宋体" w:hAnsi="宋体" w:eastAsia="宋体" w:cs="宋体"/>
      <w:kern w:val="2"/>
      <w:sz w:val="28"/>
      <w:szCs w:val="24"/>
      <w:lang w:val="en-US" w:eastAsia="zh-CN" w:bidi="ar"/>
    </w:rPr>
  </w:style>
  <w:style w:type="character" w:customStyle="1" w:styleId="2651">
    <w:name w:val="签名 Char2"/>
    <w:qFormat/>
    <w:uiPriority w:val="0"/>
    <w:rPr>
      <w:rFonts w:hint="eastAsia" w:ascii="宋体" w:hAnsi="宋体" w:eastAsia="宋体" w:cs="宋体"/>
      <w:kern w:val="2"/>
      <w:sz w:val="24"/>
      <w:szCs w:val="24"/>
      <w:lang w:val="en-US" w:eastAsia="zh-CN" w:bidi="ar"/>
    </w:rPr>
  </w:style>
  <w:style w:type="character" w:customStyle="1" w:styleId="2652">
    <w:name w:val="不明显强调1"/>
    <w:qFormat/>
    <w:uiPriority w:val="0"/>
    <w:rPr>
      <w:rFonts w:hint="eastAsia" w:ascii="宋体" w:hAnsi="宋体" w:eastAsia="宋体" w:cs="宋体"/>
      <w:i/>
      <w:iCs/>
      <w:color w:val="808080"/>
      <w:kern w:val="2"/>
      <w:sz w:val="28"/>
      <w:szCs w:val="24"/>
      <w:lang w:val="en-US" w:eastAsia="zh-CN" w:bidi="ar"/>
    </w:rPr>
  </w:style>
  <w:style w:type="character" w:customStyle="1" w:styleId="2653">
    <w:name w:val="Char Char Char Char Char"/>
    <w:qFormat/>
    <w:uiPriority w:val="0"/>
    <w:rPr>
      <w:kern w:val="2"/>
      <w:sz w:val="18"/>
      <w:szCs w:val="18"/>
    </w:rPr>
  </w:style>
  <w:style w:type="character" w:customStyle="1" w:styleId="2654">
    <w:name w:val="正文 Char Char Char"/>
    <w:qFormat/>
    <w:uiPriority w:val="0"/>
    <w:rPr>
      <w:rFonts w:hint="eastAsia" w:ascii="宋体" w:hAnsi="宋体" w:eastAsia="仿宋_GB2312" w:cs="宋体"/>
      <w:kern w:val="2"/>
      <w:sz w:val="28"/>
      <w:szCs w:val="24"/>
      <w:lang w:val="en-US" w:eastAsia="zh-CN" w:bidi="ar-SA"/>
    </w:rPr>
  </w:style>
  <w:style w:type="character" w:customStyle="1" w:styleId="2655">
    <w:name w:val="徐萍样式1 Char Char"/>
    <w:qFormat/>
    <w:uiPriority w:val="0"/>
    <w:rPr>
      <w:rFonts w:hint="eastAsia" w:ascii="宋体" w:hAnsi="宋体" w:eastAsia="宋体" w:cs="宋体"/>
      <w:kern w:val="2"/>
      <w:sz w:val="26"/>
      <w:szCs w:val="21"/>
      <w:lang w:val="en-US" w:eastAsia="zh-CN" w:bidi="ar-SA"/>
    </w:rPr>
  </w:style>
  <w:style w:type="character" w:customStyle="1" w:styleId="2656">
    <w:name w:val="文本正文 Char Char Char"/>
    <w:qFormat/>
    <w:uiPriority w:val="0"/>
    <w:rPr>
      <w:rFonts w:hint="eastAsia" w:ascii="宋体" w:hAnsi="宋体" w:eastAsia="宋体" w:cs="宋体"/>
      <w:kern w:val="2"/>
      <w:sz w:val="24"/>
      <w:szCs w:val="28"/>
      <w:lang w:val="en-US" w:eastAsia="zh-CN" w:bidi="ar-SA"/>
    </w:rPr>
  </w:style>
  <w:style w:type="character" w:customStyle="1" w:styleId="2657">
    <w:name w:val="ss1"/>
    <w:qFormat/>
    <w:uiPriority w:val="0"/>
    <w:rPr>
      <w:rFonts w:hint="eastAsia" w:ascii="宋体" w:hAnsi="宋体" w:eastAsia="宋体" w:cs="宋体"/>
      <w:color w:val="0066CC"/>
      <w:kern w:val="2"/>
      <w:sz w:val="28"/>
      <w:szCs w:val="28"/>
      <w:lang w:val="en-US" w:eastAsia="zh-CN" w:bidi="ar"/>
    </w:rPr>
  </w:style>
  <w:style w:type="character" w:customStyle="1" w:styleId="2658">
    <w:name w:val="Char Char311"/>
    <w:qFormat/>
    <w:uiPriority w:val="0"/>
    <w:rPr>
      <w:rFonts w:hint="eastAsia" w:ascii="宋体" w:hAnsi="宋体" w:eastAsia="宋体" w:cs="宋体"/>
      <w:kern w:val="2"/>
      <w:sz w:val="18"/>
      <w:szCs w:val="18"/>
      <w:lang w:val="en-US" w:eastAsia="zh-CN" w:bidi="ar"/>
    </w:rPr>
  </w:style>
  <w:style w:type="character" w:customStyle="1" w:styleId="2659">
    <w:name w:val="Footer Char"/>
    <w:qFormat/>
    <w:uiPriority w:val="0"/>
    <w:rPr>
      <w:rFonts w:hint="eastAsia" w:ascii="宋体" w:hAnsi="宋体" w:eastAsia="宋体" w:cs="宋体"/>
      <w:kern w:val="2"/>
      <w:sz w:val="18"/>
      <w:szCs w:val="24"/>
      <w:lang w:val="en-US" w:eastAsia="zh-CN" w:bidi="ar"/>
    </w:rPr>
  </w:style>
  <w:style w:type="character" w:customStyle="1" w:styleId="2660">
    <w:name w:val="电子邮件签名 字符"/>
    <w:qFormat/>
    <w:uiPriority w:val="0"/>
    <w:rPr>
      <w:color w:val="000000"/>
      <w:sz w:val="24"/>
      <w:szCs w:val="24"/>
      <w:lang w:bidi="ar-SA"/>
    </w:rPr>
  </w:style>
  <w:style w:type="character" w:customStyle="1" w:styleId="2661">
    <w:name w:val="正文文本缩进 字符"/>
    <w:qFormat/>
    <w:uiPriority w:val="0"/>
    <w:rPr>
      <w:rFonts w:hint="eastAsia" w:ascii="宋体" w:hAnsi="宋体" w:eastAsia="宋体" w:cs="宋体"/>
      <w:kern w:val="2"/>
      <w:sz w:val="28"/>
      <w:szCs w:val="24"/>
      <w:lang w:val="en-US" w:eastAsia="zh-CN" w:bidi="ar"/>
    </w:rPr>
  </w:style>
  <w:style w:type="character" w:customStyle="1" w:styleId="2662">
    <w:name w:val="main1"/>
    <w:qFormat/>
    <w:uiPriority w:val="0"/>
    <w:rPr>
      <w:rFonts w:hint="eastAsia" w:ascii="宋体" w:hAnsi="宋体" w:eastAsia="宋体" w:cs="宋体"/>
      <w:kern w:val="2"/>
      <w:sz w:val="28"/>
      <w:szCs w:val="24"/>
      <w:lang w:val="en-US" w:eastAsia="zh-CN" w:bidi="ar"/>
    </w:rPr>
  </w:style>
  <w:style w:type="character" w:customStyle="1" w:styleId="2663">
    <w:name w:val="正文文字缩进 3 Char Char6"/>
    <w:qFormat/>
    <w:uiPriority w:val="0"/>
    <w:rPr>
      <w:rFonts w:hint="eastAsia" w:ascii="宋体" w:hAnsi="宋体" w:eastAsia="宋体" w:cs="宋体"/>
      <w:kern w:val="2"/>
      <w:sz w:val="16"/>
      <w:szCs w:val="16"/>
      <w:lang w:val="en-US" w:eastAsia="zh-CN" w:bidi="ar-SA"/>
    </w:rPr>
  </w:style>
  <w:style w:type="character" w:customStyle="1" w:styleId="2664">
    <w:name w:val="我的标题3 Char Char"/>
    <w:qFormat/>
    <w:uiPriority w:val="0"/>
    <w:rPr>
      <w:rFonts w:hint="eastAsia" w:ascii="宋体" w:hAnsi="宋体" w:eastAsia="宋体" w:cs="宋体"/>
      <w:b/>
      <w:kern w:val="2"/>
      <w:sz w:val="28"/>
      <w:szCs w:val="24"/>
      <w:lang w:val="en-US" w:eastAsia="zh-CN" w:bidi="ar-SA"/>
    </w:rPr>
  </w:style>
  <w:style w:type="character" w:customStyle="1" w:styleId="2665">
    <w:name w:val="Char Char3"/>
    <w:qFormat/>
    <w:locked/>
    <w:uiPriority w:val="0"/>
    <w:rPr>
      <w:rFonts w:ascii="Calibri" w:hAnsi="Calibri" w:eastAsia="宋体" w:cs="黑体"/>
      <w:kern w:val="2"/>
      <w:sz w:val="21"/>
      <w:szCs w:val="22"/>
      <w:lang w:val="en-US" w:eastAsia="zh-CN" w:bidi="ar-SA"/>
    </w:rPr>
  </w:style>
  <w:style w:type="character" w:customStyle="1" w:styleId="2666">
    <w:name w:val="样式27 Char Char"/>
    <w:link w:val="2667"/>
    <w:qFormat/>
    <w:locked/>
    <w:uiPriority w:val="0"/>
    <w:rPr>
      <w:rFonts w:ascii="宋体" w:hAnsi="宋体"/>
      <w:spacing w:val="-2"/>
      <w:sz w:val="28"/>
    </w:rPr>
  </w:style>
  <w:style w:type="paragraph" w:customStyle="1" w:styleId="2667">
    <w:name w:val="样式27"/>
    <w:basedOn w:val="1"/>
    <w:link w:val="2666"/>
    <w:qFormat/>
    <w:uiPriority w:val="0"/>
    <w:rPr>
      <w:rFonts w:ascii="宋体" w:hAnsi="宋体" w:eastAsia="宋体"/>
      <w:spacing w:val="-2"/>
      <w:kern w:val="0"/>
    </w:rPr>
  </w:style>
  <w:style w:type="character" w:customStyle="1" w:styleId="2668">
    <w:name w:val="cucd-3 Char Char"/>
    <w:link w:val="1892"/>
    <w:qFormat/>
    <w:locked/>
    <w:uiPriority w:val="0"/>
    <w:rPr>
      <w:rFonts w:ascii="宋体" w:hAnsi="宋体" w:cs="宋体"/>
      <w:b/>
      <w:sz w:val="28"/>
      <w:szCs w:val="24"/>
    </w:rPr>
  </w:style>
  <w:style w:type="character" w:customStyle="1" w:styleId="2669">
    <w:name w:val="read"/>
    <w:qFormat/>
    <w:uiPriority w:val="0"/>
    <w:rPr>
      <w:rFonts w:hint="eastAsia" w:ascii="宋体" w:hAnsi="宋体" w:eastAsia="宋体" w:cs="宋体"/>
      <w:kern w:val="2"/>
      <w:sz w:val="28"/>
      <w:szCs w:val="24"/>
      <w:lang w:val="en-US" w:eastAsia="zh-CN" w:bidi="ar"/>
    </w:rPr>
  </w:style>
  <w:style w:type="character" w:customStyle="1" w:styleId="2670">
    <w:name w:val="正文段落 Char Char Char"/>
    <w:qFormat/>
    <w:locked/>
    <w:uiPriority w:val="0"/>
    <w:rPr>
      <w:rFonts w:ascii="宋体" w:hAnsi="Tms Rmn" w:eastAsia="宋体"/>
      <w:sz w:val="28"/>
      <w:szCs w:val="28"/>
    </w:rPr>
  </w:style>
  <w:style w:type="character" w:customStyle="1" w:styleId="2671">
    <w:name w:val="正文文本 Char5"/>
    <w:qFormat/>
    <w:uiPriority w:val="0"/>
    <w:rPr>
      <w:rFonts w:hint="eastAsia" w:ascii="宋体" w:hAnsi="宋体" w:eastAsia="宋体" w:cs="宋体"/>
      <w:kern w:val="2"/>
      <w:sz w:val="28"/>
      <w:szCs w:val="24"/>
      <w:lang w:val="en-US" w:eastAsia="zh-CN" w:bidi="ar"/>
    </w:rPr>
  </w:style>
  <w:style w:type="character" w:customStyle="1" w:styleId="2672">
    <w:name w:val="注释标题 Char1"/>
    <w:qFormat/>
    <w:uiPriority w:val="0"/>
    <w:rPr>
      <w:rFonts w:hint="eastAsia" w:ascii="宋体" w:hAnsi="宋体" w:eastAsia="宋体" w:cs="宋体"/>
      <w:kern w:val="2"/>
      <w:sz w:val="28"/>
      <w:szCs w:val="24"/>
      <w:lang w:val="en-US" w:eastAsia="zh-CN" w:bidi="ar"/>
    </w:rPr>
  </w:style>
  <w:style w:type="character" w:customStyle="1" w:styleId="2673">
    <w:name w:val="fix91"/>
    <w:qFormat/>
    <w:uiPriority w:val="0"/>
    <w:rPr>
      <w:rFonts w:hint="default" w:ascii="Arial" w:hAnsi="Arial" w:eastAsia="宋体" w:cs="宋体"/>
      <w:kern w:val="2"/>
      <w:sz w:val="18"/>
      <w:szCs w:val="24"/>
      <w:lang w:val="en-US" w:eastAsia="zh-CN" w:bidi="ar"/>
    </w:rPr>
  </w:style>
  <w:style w:type="character" w:customStyle="1" w:styleId="2674">
    <w:name w:val="A0"/>
    <w:qFormat/>
    <w:uiPriority w:val="0"/>
    <w:rPr>
      <w:rFonts w:hint="eastAsia" w:ascii="Sim Sun" w:hAnsi="Sim Sun" w:eastAsia="Sim Sun" w:cs="Sim Sun"/>
      <w:color w:val="000000"/>
      <w:kern w:val="2"/>
      <w:sz w:val="28"/>
      <w:szCs w:val="28"/>
      <w:lang w:val="en-US" w:eastAsia="zh-CN" w:bidi="ar-SA"/>
    </w:rPr>
  </w:style>
  <w:style w:type="character" w:customStyle="1" w:styleId="2675">
    <w:name w:val="正文缩二 Char Char"/>
    <w:link w:val="2676"/>
    <w:qFormat/>
    <w:locked/>
    <w:uiPriority w:val="0"/>
    <w:rPr>
      <w:rFonts w:ascii="宋体" w:hAnsi="宋体" w:cs="宋体"/>
      <w:sz w:val="24"/>
      <w:szCs w:val="72"/>
    </w:rPr>
  </w:style>
  <w:style w:type="paragraph" w:customStyle="1" w:styleId="2676">
    <w:name w:val="正文缩二"/>
    <w:basedOn w:val="1"/>
    <w:link w:val="2675"/>
    <w:qFormat/>
    <w:uiPriority w:val="0"/>
    <w:pPr>
      <w:tabs>
        <w:tab w:val="left" w:pos="8820"/>
      </w:tabs>
      <w:spacing w:line="360" w:lineRule="auto"/>
      <w:ind w:firstLine="200" w:firstLineChars="200"/>
      <w:jc w:val="left"/>
    </w:pPr>
    <w:rPr>
      <w:rFonts w:ascii="宋体" w:hAnsi="宋体" w:eastAsia="宋体" w:cs="宋体"/>
      <w:kern w:val="0"/>
      <w:sz w:val="24"/>
      <w:szCs w:val="72"/>
    </w:rPr>
  </w:style>
  <w:style w:type="character" w:customStyle="1" w:styleId="2677">
    <w:name w:val="二级标题 Char Char"/>
    <w:qFormat/>
    <w:uiPriority w:val="0"/>
    <w:rPr>
      <w:rFonts w:hint="eastAsia" w:ascii="黑体" w:hAnsi="Arial" w:eastAsia="黑体" w:cs="宋体"/>
      <w:b/>
      <w:bCs/>
      <w:kern w:val="2"/>
      <w:sz w:val="28"/>
      <w:szCs w:val="28"/>
      <w:lang w:val="en-US" w:eastAsia="zh-CN" w:bidi="ar-SA"/>
    </w:rPr>
  </w:style>
  <w:style w:type="character" w:customStyle="1" w:styleId="2678">
    <w:name w:val="样式30 Char Char"/>
    <w:link w:val="2679"/>
    <w:qFormat/>
    <w:locked/>
    <w:uiPriority w:val="0"/>
    <w:rPr>
      <w:rFonts w:ascii="宋体" w:hAnsi="宋体" w:cs="宋体"/>
      <w:color w:val="000000"/>
      <w:sz w:val="24"/>
      <w:szCs w:val="24"/>
    </w:rPr>
  </w:style>
  <w:style w:type="paragraph" w:customStyle="1" w:styleId="2679">
    <w:name w:val="样式30"/>
    <w:basedOn w:val="1"/>
    <w:link w:val="2678"/>
    <w:qFormat/>
    <w:uiPriority w:val="0"/>
    <w:pPr>
      <w:snapToGrid w:val="0"/>
      <w:spacing w:before="50" w:after="50" w:line="360" w:lineRule="auto"/>
      <w:ind w:firstLine="200" w:firstLineChars="200"/>
    </w:pPr>
    <w:rPr>
      <w:rFonts w:ascii="宋体" w:hAnsi="宋体" w:eastAsia="宋体" w:cs="宋体"/>
      <w:color w:val="000000"/>
      <w:kern w:val="0"/>
      <w:sz w:val="24"/>
      <w:szCs w:val="24"/>
    </w:rPr>
  </w:style>
  <w:style w:type="character" w:customStyle="1" w:styleId="2680">
    <w:name w:val="表格四号 Char Char"/>
    <w:link w:val="2681"/>
    <w:qFormat/>
    <w:locked/>
    <w:uiPriority w:val="0"/>
    <w:rPr>
      <w:rFonts w:ascii="宋体" w:hAnsi="宋体" w:cs="宋体"/>
      <w:snapToGrid/>
      <w:sz w:val="28"/>
      <w:szCs w:val="28"/>
    </w:rPr>
  </w:style>
  <w:style w:type="paragraph" w:customStyle="1" w:styleId="2681">
    <w:name w:val="表格四号"/>
    <w:basedOn w:val="1"/>
    <w:link w:val="2680"/>
    <w:qFormat/>
    <w:uiPriority w:val="0"/>
    <w:pPr>
      <w:adjustRightInd w:val="0"/>
      <w:snapToGrid w:val="0"/>
      <w:jc w:val="center"/>
    </w:pPr>
    <w:rPr>
      <w:rFonts w:ascii="宋体" w:hAnsi="宋体" w:eastAsia="宋体" w:cs="宋体"/>
      <w:kern w:val="0"/>
      <w:szCs w:val="28"/>
    </w:rPr>
  </w:style>
  <w:style w:type="character" w:customStyle="1" w:styleId="2682">
    <w:name w:val="Char Char282"/>
    <w:qFormat/>
    <w:uiPriority w:val="0"/>
    <w:rPr>
      <w:rFonts w:hint="eastAsia" w:ascii="宋体" w:hAnsi="宋体" w:eastAsia="宋体" w:cs="宋体"/>
      <w:kern w:val="2"/>
      <w:sz w:val="21"/>
      <w:szCs w:val="24"/>
      <w:lang w:val="en-US" w:eastAsia="zh-CN" w:bidi="ar-SA"/>
    </w:rPr>
  </w:style>
  <w:style w:type="character" w:customStyle="1" w:styleId="2683">
    <w:name w:val="正文(首行缩进) Char Char"/>
    <w:qFormat/>
    <w:locked/>
    <w:uiPriority w:val="0"/>
    <w:rPr>
      <w:rFonts w:ascii="Calibri" w:hAnsi="Calibri" w:eastAsia="宋体"/>
      <w:bCs/>
      <w:snapToGrid/>
      <w:sz w:val="24"/>
    </w:rPr>
  </w:style>
  <w:style w:type="character" w:customStyle="1" w:styleId="2684">
    <w:name w:val="尾注文本 字符"/>
    <w:qFormat/>
    <w:uiPriority w:val="0"/>
    <w:rPr>
      <w:color w:val="000000"/>
      <w:sz w:val="24"/>
      <w:szCs w:val="24"/>
      <w:lang w:bidi="ar-SA"/>
    </w:rPr>
  </w:style>
  <w:style w:type="character" w:customStyle="1" w:styleId="2685">
    <w:name w:val="报告 Char1"/>
    <w:link w:val="826"/>
    <w:qFormat/>
    <w:locked/>
    <w:uiPriority w:val="0"/>
    <w:rPr>
      <w:sz w:val="21"/>
      <w:szCs w:val="24"/>
    </w:rPr>
  </w:style>
  <w:style w:type="character" w:customStyle="1" w:styleId="2686">
    <w:name w:val="首行缩进2字符 Char Char Char"/>
    <w:qFormat/>
    <w:uiPriority w:val="0"/>
    <w:rPr>
      <w:rFonts w:hint="eastAsia" w:ascii="宋体" w:hAnsi="宋体" w:eastAsia="宋体" w:cs="宋体"/>
      <w:kern w:val="2"/>
      <w:sz w:val="24"/>
      <w:szCs w:val="24"/>
      <w:lang w:val="en-US" w:eastAsia="zh-CN" w:bidi="ar-SA"/>
    </w:rPr>
  </w:style>
  <w:style w:type="character" w:customStyle="1" w:styleId="2687">
    <w:name w:val="环评标题4 Char Char"/>
    <w:link w:val="2688"/>
    <w:qFormat/>
    <w:locked/>
    <w:uiPriority w:val="0"/>
    <w:rPr>
      <w:rFonts w:ascii="宋体" w:hAnsi="宋体" w:cs="宋体"/>
      <w:bCs/>
      <w:sz w:val="24"/>
      <w:szCs w:val="28"/>
    </w:rPr>
  </w:style>
  <w:style w:type="paragraph" w:customStyle="1" w:styleId="2688">
    <w:name w:val="环评标题4"/>
    <w:basedOn w:val="7"/>
    <w:link w:val="2687"/>
    <w:qFormat/>
    <w:uiPriority w:val="0"/>
    <w:pPr>
      <w:tabs>
        <w:tab w:val="left" w:pos="2153"/>
        <w:tab w:val="clear" w:pos="4008"/>
      </w:tabs>
      <w:spacing w:before="280" w:after="290" w:line="360" w:lineRule="auto"/>
      <w:ind w:left="0" w:firstLine="0"/>
      <w:jc w:val="both"/>
    </w:pPr>
    <w:rPr>
      <w:rFonts w:ascii="宋体" w:hAnsi="宋体" w:eastAsia="宋体" w:cs="宋体"/>
      <w:b w:val="0"/>
      <w:bCs/>
      <w:color w:val="auto"/>
      <w:kern w:val="0"/>
      <w:szCs w:val="28"/>
    </w:rPr>
  </w:style>
  <w:style w:type="character" w:customStyle="1" w:styleId="2689">
    <w:name w:val="Char Char212"/>
    <w:qFormat/>
    <w:uiPriority w:val="0"/>
    <w:rPr>
      <w:b/>
      <w:bCs/>
      <w:kern w:val="2"/>
      <w:sz w:val="32"/>
      <w:szCs w:val="32"/>
    </w:rPr>
  </w:style>
  <w:style w:type="character" w:customStyle="1" w:styleId="2690">
    <w:name w:val="样式29 Char Char"/>
    <w:link w:val="2691"/>
    <w:qFormat/>
    <w:locked/>
    <w:uiPriority w:val="0"/>
    <w:rPr>
      <w:rFonts w:ascii="宋体" w:hAnsi="宋体"/>
      <w:spacing w:val="-2"/>
      <w:sz w:val="28"/>
    </w:rPr>
  </w:style>
  <w:style w:type="paragraph" w:customStyle="1" w:styleId="2691">
    <w:name w:val="样式29"/>
    <w:basedOn w:val="1"/>
    <w:link w:val="2690"/>
    <w:qFormat/>
    <w:uiPriority w:val="0"/>
    <w:rPr>
      <w:rFonts w:ascii="宋体" w:hAnsi="宋体" w:eastAsia="宋体"/>
      <w:spacing w:val="-2"/>
      <w:kern w:val="0"/>
    </w:rPr>
  </w:style>
  <w:style w:type="character" w:customStyle="1" w:styleId="2692">
    <w:name w:val="批注文字 Char1"/>
    <w:qFormat/>
    <w:uiPriority w:val="0"/>
    <w:rPr>
      <w:rFonts w:ascii="宋体" w:hAnsi="宋体" w:eastAsia="Arial" w:cs="宋体"/>
      <w:kern w:val="28"/>
      <w:sz w:val="32"/>
      <w:szCs w:val="32"/>
      <w:lang w:val="en-US" w:eastAsia="zh-CN" w:bidi="ar-SA"/>
    </w:rPr>
  </w:style>
  <w:style w:type="character" w:customStyle="1" w:styleId="2693">
    <w:name w:val="文档结构图 Char2"/>
    <w:qFormat/>
    <w:uiPriority w:val="0"/>
    <w:rPr>
      <w:rFonts w:ascii="宋体" w:hAnsi="宋体" w:eastAsia="仿宋_GB2312" w:cs="宋体"/>
      <w:sz w:val="28"/>
      <w:szCs w:val="24"/>
      <w:shd w:val="clear" w:color="auto" w:fill="000080"/>
    </w:rPr>
  </w:style>
  <w:style w:type="character" w:customStyle="1" w:styleId="2694">
    <w:name w:val="样式14 Char Char"/>
    <w:link w:val="1005"/>
    <w:qFormat/>
    <w:locked/>
    <w:uiPriority w:val="0"/>
    <w:rPr>
      <w:rFonts w:ascii="黑体" w:hAnsi="Arial" w:eastAsia="黑体"/>
      <w:kern w:val="2"/>
      <w:sz w:val="28"/>
    </w:rPr>
  </w:style>
  <w:style w:type="character" w:customStyle="1" w:styleId="2695">
    <w:name w:val="z-窗体顶端 Char"/>
    <w:link w:val="2696"/>
    <w:qFormat/>
    <w:uiPriority w:val="0"/>
    <w:rPr>
      <w:rFonts w:ascii="Arial" w:hAnsi="Arial" w:eastAsia="Arial" w:cs="Arial"/>
      <w:vanish/>
      <w:kern w:val="28"/>
      <w:sz w:val="16"/>
      <w:szCs w:val="16"/>
    </w:rPr>
  </w:style>
  <w:style w:type="paragraph" w:customStyle="1" w:styleId="2696">
    <w:name w:val="z-窗体顶端1"/>
    <w:basedOn w:val="1"/>
    <w:next w:val="1"/>
    <w:link w:val="2695"/>
    <w:qFormat/>
    <w:uiPriority w:val="0"/>
    <w:pPr>
      <w:pBdr>
        <w:bottom w:val="single" w:color="auto" w:sz="6" w:space="1"/>
      </w:pBdr>
      <w:jc w:val="center"/>
    </w:pPr>
    <w:rPr>
      <w:rFonts w:ascii="Arial" w:hAnsi="Arial" w:eastAsia="Arial" w:cs="Arial"/>
      <w:vanish/>
      <w:kern w:val="28"/>
      <w:sz w:val="16"/>
      <w:szCs w:val="16"/>
    </w:rPr>
  </w:style>
  <w:style w:type="character" w:customStyle="1" w:styleId="2697">
    <w:name w:val="font61"/>
    <w:qFormat/>
    <w:uiPriority w:val="0"/>
    <w:rPr>
      <w:rFonts w:ascii="宋体" w:hAnsi="宋体" w:eastAsia="宋体" w:cs="宋体"/>
      <w:color w:val="000000"/>
      <w:kern w:val="2"/>
      <w:sz w:val="22"/>
      <w:szCs w:val="22"/>
      <w:u w:val="none"/>
      <w:vertAlign w:val="superscript"/>
      <w:lang w:val="en-US" w:eastAsia="zh-CN" w:bidi="ar-SA"/>
    </w:rPr>
  </w:style>
  <w:style w:type="character" w:customStyle="1" w:styleId="2698">
    <w:name w:val="heighlight"/>
    <w:qFormat/>
    <w:uiPriority w:val="0"/>
    <w:rPr>
      <w:rFonts w:hint="eastAsia" w:ascii="宋体" w:hAnsi="宋体" w:eastAsia="宋体" w:cs="宋体"/>
      <w:kern w:val="2"/>
      <w:sz w:val="28"/>
      <w:szCs w:val="24"/>
      <w:lang w:val="en-US" w:eastAsia="zh-CN" w:bidi="ar"/>
    </w:rPr>
  </w:style>
  <w:style w:type="character" w:customStyle="1" w:styleId="2699">
    <w:name w:val="Date Char1"/>
    <w:semiHidden/>
    <w:qFormat/>
    <w:uiPriority w:val="99"/>
    <w:rPr>
      <w:rFonts w:ascii="宋体" w:hAnsi="宋体" w:eastAsia="Arial" w:cs="宋体"/>
      <w:kern w:val="28"/>
      <w:sz w:val="32"/>
      <w:szCs w:val="32"/>
      <w:lang w:val="en-US" w:eastAsia="zh-CN" w:bidi="ar-SA"/>
    </w:rPr>
  </w:style>
  <w:style w:type="character" w:customStyle="1" w:styleId="2700">
    <w:name w:val="f101"/>
    <w:qFormat/>
    <w:uiPriority w:val="0"/>
    <w:rPr>
      <w:rFonts w:hint="eastAsia" w:ascii="宋体" w:hAnsi="宋体" w:eastAsia="宋体" w:cs="宋体"/>
      <w:kern w:val="2"/>
      <w:sz w:val="20"/>
      <w:szCs w:val="20"/>
      <w:u w:val="none"/>
      <w:lang w:val="en-US" w:eastAsia="zh-CN" w:bidi="ar"/>
    </w:rPr>
  </w:style>
  <w:style w:type="character" w:customStyle="1" w:styleId="2701">
    <w:name w:val="批注主题 Char"/>
    <w:link w:val="86"/>
    <w:qFormat/>
    <w:locked/>
    <w:uiPriority w:val="99"/>
    <w:rPr>
      <w:rFonts w:eastAsia="仿宋_GB2312"/>
      <w:b/>
      <w:bCs/>
      <w:kern w:val="2"/>
      <w:sz w:val="28"/>
    </w:rPr>
  </w:style>
  <w:style w:type="character" w:customStyle="1" w:styleId="2702">
    <w:name w:val="Char Char222"/>
    <w:qFormat/>
    <w:uiPriority w:val="0"/>
    <w:rPr>
      <w:rFonts w:ascii="宋体" w:hAnsi="宋体"/>
      <w:b/>
      <w:kern w:val="44"/>
      <w:sz w:val="32"/>
      <w:szCs w:val="32"/>
    </w:rPr>
  </w:style>
  <w:style w:type="character" w:customStyle="1" w:styleId="2703">
    <w:name w:val="引用 Char"/>
    <w:link w:val="2704"/>
    <w:qFormat/>
    <w:locked/>
    <w:uiPriority w:val="0"/>
    <w:rPr>
      <w:rFonts w:ascii="宋体" w:hAnsi="宋体" w:cs="宋体"/>
      <w:i/>
      <w:szCs w:val="24"/>
    </w:rPr>
  </w:style>
  <w:style w:type="paragraph" w:styleId="2704">
    <w:name w:val="Quote"/>
    <w:basedOn w:val="1"/>
    <w:next w:val="1"/>
    <w:link w:val="2703"/>
    <w:qFormat/>
    <w:uiPriority w:val="0"/>
    <w:rPr>
      <w:rFonts w:ascii="宋体" w:hAnsi="宋体" w:eastAsia="宋体" w:cs="宋体"/>
      <w:i/>
      <w:kern w:val="0"/>
      <w:sz w:val="20"/>
      <w:szCs w:val="24"/>
    </w:rPr>
  </w:style>
  <w:style w:type="character" w:customStyle="1" w:styleId="2705">
    <w:name w:val="目标题 1) Char1"/>
    <w:qFormat/>
    <w:uiPriority w:val="0"/>
    <w:rPr>
      <w:rFonts w:ascii="Arial" w:hAnsi="Arial" w:eastAsia="黑体"/>
      <w:kern w:val="2"/>
      <w:sz w:val="24"/>
      <w:szCs w:val="24"/>
      <w:lang w:val="en-US" w:eastAsia="zh-CN" w:bidi="ar-SA"/>
    </w:rPr>
  </w:style>
  <w:style w:type="character" w:customStyle="1" w:styleId="2706">
    <w:name w:val="文章正文样式 Char1 Char Char Char"/>
    <w:qFormat/>
    <w:locked/>
    <w:uiPriority w:val="0"/>
    <w:rPr>
      <w:rFonts w:ascii="宋体" w:hAnsi="宋体" w:eastAsia="宋体" w:cs="宋体"/>
      <w:kern w:val="2"/>
      <w:sz w:val="24"/>
      <w:szCs w:val="24"/>
      <w:lang w:val="en-US" w:eastAsia="zh-CN" w:bidi="ar-SA"/>
    </w:rPr>
  </w:style>
  <w:style w:type="character" w:customStyle="1" w:styleId="2707">
    <w:name w:val="样式5正文 Char Char"/>
    <w:link w:val="2708"/>
    <w:qFormat/>
    <w:locked/>
    <w:uiPriority w:val="0"/>
    <w:rPr>
      <w:rFonts w:ascii="宋体" w:hAnsi="宋体" w:cs="宋体"/>
      <w:sz w:val="24"/>
      <w:szCs w:val="24"/>
    </w:rPr>
  </w:style>
  <w:style w:type="paragraph" w:customStyle="1" w:styleId="2708">
    <w:name w:val="样式5正文"/>
    <w:basedOn w:val="1"/>
    <w:link w:val="2707"/>
    <w:qFormat/>
    <w:uiPriority w:val="0"/>
    <w:pPr>
      <w:spacing w:line="360" w:lineRule="auto"/>
      <w:ind w:firstLine="480" w:firstLineChars="200"/>
    </w:pPr>
    <w:rPr>
      <w:rFonts w:ascii="宋体" w:hAnsi="宋体" w:eastAsia="宋体" w:cs="宋体"/>
      <w:kern w:val="0"/>
      <w:sz w:val="24"/>
      <w:szCs w:val="24"/>
    </w:rPr>
  </w:style>
  <w:style w:type="character" w:customStyle="1" w:styleId="2709">
    <w:name w:val="正文01 Char Char Char"/>
    <w:qFormat/>
    <w:uiPriority w:val="0"/>
    <w:rPr>
      <w:rFonts w:hint="eastAsia" w:ascii="宋体" w:hAnsi="宋体" w:eastAsia="宋体"/>
      <w:kern w:val="2"/>
      <w:sz w:val="24"/>
      <w:szCs w:val="24"/>
      <w:lang w:val="en-US" w:eastAsia="zh-CN" w:bidi="ar-SA"/>
    </w:rPr>
  </w:style>
  <w:style w:type="character" w:customStyle="1" w:styleId="2710">
    <w:name w:val="HTML 代码1"/>
    <w:qFormat/>
    <w:uiPriority w:val="0"/>
    <w:rPr>
      <w:rFonts w:hint="eastAsia" w:ascii="黑体" w:hAnsi="宋体" w:eastAsia="黑体" w:cs="Courier New"/>
      <w:kern w:val="2"/>
      <w:sz w:val="24"/>
      <w:szCs w:val="24"/>
      <w:lang w:val="en-US" w:eastAsia="zh-CN" w:bidi="ar-SA"/>
    </w:rPr>
  </w:style>
  <w:style w:type="character" w:customStyle="1" w:styleId="2711">
    <w:name w:val="正文（首行缩进） Char Char Char"/>
    <w:qFormat/>
    <w:uiPriority w:val="0"/>
    <w:rPr>
      <w:rFonts w:hint="eastAsia" w:ascii="宋体" w:hAnsi="宋体" w:eastAsia="宋体" w:cs="宋体"/>
      <w:color w:val="000000"/>
      <w:kern w:val="2"/>
      <w:sz w:val="24"/>
      <w:szCs w:val="24"/>
      <w:lang w:val="en-US" w:eastAsia="zh-CN" w:bidi="ar-SA"/>
    </w:rPr>
  </w:style>
  <w:style w:type="character" w:customStyle="1" w:styleId="2712">
    <w:name w:val="图1-1 Char Char"/>
    <w:link w:val="2713"/>
    <w:qFormat/>
    <w:locked/>
    <w:uiPriority w:val="0"/>
    <w:rPr>
      <w:rFonts w:ascii="宋体" w:hAnsi="宋体" w:cs="宋体"/>
      <w:b/>
      <w:spacing w:val="12"/>
      <w:w w:val="90"/>
      <w:sz w:val="24"/>
      <w:szCs w:val="24"/>
    </w:rPr>
  </w:style>
  <w:style w:type="paragraph" w:customStyle="1" w:styleId="2713">
    <w:name w:val="图1-1"/>
    <w:basedOn w:val="1205"/>
    <w:link w:val="2712"/>
    <w:qFormat/>
    <w:uiPriority w:val="0"/>
    <w:pPr>
      <w:widowControl/>
      <w:tabs>
        <w:tab w:val="clear" w:pos="0"/>
      </w:tabs>
      <w:adjustRightInd/>
      <w:snapToGrid/>
    </w:pPr>
    <w:rPr>
      <w:rFonts w:cs="宋体"/>
      <w:w w:val="90"/>
      <w:kern w:val="0"/>
    </w:rPr>
  </w:style>
  <w:style w:type="character" w:customStyle="1" w:styleId="2714">
    <w:name w:val="物探标题 1 Char"/>
    <w:qFormat/>
    <w:uiPriority w:val="0"/>
    <w:rPr>
      <w:rFonts w:hint="eastAsia" w:ascii="方正小标宋简体" w:hAnsi="华文中宋" w:eastAsia="方正小标宋简体" w:cs="宋体"/>
      <w:b/>
      <w:kern w:val="44"/>
      <w:sz w:val="30"/>
      <w:szCs w:val="30"/>
      <w:lang w:val="en-US" w:eastAsia="zh-CN" w:bidi="ar-SA"/>
    </w:rPr>
  </w:style>
  <w:style w:type="character" w:customStyle="1" w:styleId="2715">
    <w:name w:val="c Char1"/>
    <w:link w:val="1433"/>
    <w:qFormat/>
    <w:locked/>
    <w:uiPriority w:val="0"/>
    <w:rPr>
      <w:rFonts w:ascii="Arial" w:hAnsi="Arial"/>
      <w:sz w:val="24"/>
    </w:rPr>
  </w:style>
  <w:style w:type="character" w:customStyle="1" w:styleId="2716">
    <w:name w:val="cgray1"/>
    <w:qFormat/>
    <w:uiPriority w:val="0"/>
    <w:rPr>
      <w:rFonts w:hint="eastAsia" w:ascii="宋体" w:hAnsi="宋体" w:eastAsia="宋体" w:cs="宋体"/>
      <w:color w:val="4F544D"/>
      <w:kern w:val="2"/>
      <w:sz w:val="28"/>
      <w:szCs w:val="24"/>
      <w:lang w:val="en-US" w:eastAsia="zh-CN" w:bidi="ar"/>
    </w:rPr>
  </w:style>
  <w:style w:type="character" w:customStyle="1" w:styleId="2717">
    <w:name w:val="正文段落 Char Char"/>
    <w:qFormat/>
    <w:uiPriority w:val="0"/>
    <w:rPr>
      <w:rFonts w:hint="eastAsia" w:ascii="宋体" w:hAnsi="宋体" w:eastAsia="宋体" w:cs="宋体"/>
      <w:kern w:val="2"/>
      <w:sz w:val="28"/>
      <w:szCs w:val="24"/>
      <w:lang w:val="en-US" w:eastAsia="zh-CN" w:bidi="ar-SA"/>
    </w:rPr>
  </w:style>
  <w:style w:type="character" w:customStyle="1" w:styleId="2718">
    <w:name w:val="正文首缩 Char Char"/>
    <w:link w:val="2719"/>
    <w:qFormat/>
    <w:locked/>
    <w:uiPriority w:val="0"/>
    <w:rPr>
      <w:rFonts w:ascii="宋体" w:hAnsi="宋体" w:cs="宋体"/>
      <w:sz w:val="24"/>
      <w:szCs w:val="24"/>
    </w:rPr>
  </w:style>
  <w:style w:type="paragraph" w:customStyle="1" w:styleId="2719">
    <w:name w:val="正文首缩"/>
    <w:basedOn w:val="34"/>
    <w:link w:val="2718"/>
    <w:qFormat/>
    <w:uiPriority w:val="0"/>
    <w:pPr>
      <w:snapToGrid w:val="0"/>
      <w:spacing w:after="80" w:line="360" w:lineRule="auto"/>
      <w:ind w:firstLine="454"/>
    </w:pPr>
    <w:rPr>
      <w:rFonts w:ascii="宋体" w:hAnsi="宋体" w:eastAsia="宋体" w:cs="宋体"/>
      <w:kern w:val="0"/>
      <w:sz w:val="24"/>
      <w:szCs w:val="24"/>
    </w:rPr>
  </w:style>
  <w:style w:type="character" w:customStyle="1" w:styleId="2720">
    <w:name w:val="1-正文 Char Char"/>
    <w:link w:val="1694"/>
    <w:qFormat/>
    <w:locked/>
    <w:uiPriority w:val="0"/>
    <w:rPr>
      <w:rFonts w:ascii="宋体" w:hAnsi="宋体" w:cs="宋体"/>
      <w:sz w:val="24"/>
      <w:szCs w:val="24"/>
    </w:rPr>
  </w:style>
  <w:style w:type="character" w:customStyle="1" w:styleId="2721">
    <w:name w:val="正文小4 Char Char"/>
    <w:link w:val="2722"/>
    <w:qFormat/>
    <w:locked/>
    <w:uiPriority w:val="0"/>
    <w:rPr>
      <w:rFonts w:ascii="宋体" w:hAnsi="宋体" w:cs="宋体"/>
      <w:sz w:val="24"/>
      <w:szCs w:val="24"/>
    </w:rPr>
  </w:style>
  <w:style w:type="paragraph" w:customStyle="1" w:styleId="2722">
    <w:name w:val="正文小4"/>
    <w:basedOn w:val="34"/>
    <w:next w:val="34"/>
    <w:link w:val="2721"/>
    <w:qFormat/>
    <w:uiPriority w:val="0"/>
    <w:pPr>
      <w:spacing w:after="0" w:line="360" w:lineRule="auto"/>
      <w:ind w:firstLine="200" w:firstLineChars="200"/>
    </w:pPr>
    <w:rPr>
      <w:rFonts w:ascii="宋体" w:hAnsi="宋体" w:eastAsia="宋体" w:cs="宋体"/>
      <w:kern w:val="0"/>
      <w:sz w:val="24"/>
      <w:szCs w:val="24"/>
    </w:rPr>
  </w:style>
  <w:style w:type="character" w:customStyle="1" w:styleId="2723">
    <w:name w:val="样式1 Char Char Char Char Char Char"/>
    <w:link w:val="2724"/>
    <w:qFormat/>
    <w:locked/>
    <w:uiPriority w:val="0"/>
    <w:rPr>
      <w:rFonts w:ascii="宋体" w:hAnsi="宋体" w:cs="宋体"/>
      <w:sz w:val="24"/>
      <w:szCs w:val="24"/>
    </w:rPr>
  </w:style>
  <w:style w:type="paragraph" w:customStyle="1" w:styleId="2724">
    <w:name w:val="样式1 Char Char Char Char"/>
    <w:basedOn w:val="81"/>
    <w:link w:val="2723"/>
    <w:qFormat/>
    <w:uiPriority w:val="0"/>
    <w:pPr>
      <w:widowControl w:val="0"/>
      <w:tabs>
        <w:tab w:val="left" w:pos="899"/>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jc w:val="both"/>
    </w:pPr>
    <w:rPr>
      <w:rFonts w:ascii="宋体" w:hAnsi="宋体" w:eastAsia="宋体" w:cs="宋体"/>
      <w:sz w:val="24"/>
      <w:szCs w:val="24"/>
    </w:rPr>
  </w:style>
  <w:style w:type="character" w:customStyle="1" w:styleId="2725">
    <w:name w:val="Comment Text Char1"/>
    <w:semiHidden/>
    <w:qFormat/>
    <w:uiPriority w:val="99"/>
    <w:rPr>
      <w:rFonts w:ascii="宋体" w:hAnsi="宋体" w:eastAsia="Arial" w:cs="宋体"/>
      <w:kern w:val="28"/>
      <w:sz w:val="32"/>
      <w:szCs w:val="32"/>
      <w:lang w:val="en-US" w:eastAsia="zh-CN" w:bidi="ar-SA"/>
    </w:rPr>
  </w:style>
  <w:style w:type="character" w:customStyle="1" w:styleId="2726">
    <w:name w:val="海南化工城正文 Char"/>
    <w:qFormat/>
    <w:uiPriority w:val="0"/>
    <w:rPr>
      <w:rFonts w:hint="eastAsia" w:ascii="宋体" w:hAnsi="宋体" w:eastAsia="宋体"/>
      <w:kern w:val="2"/>
      <w:sz w:val="24"/>
      <w:lang w:bidi="ar-SA"/>
    </w:rPr>
  </w:style>
  <w:style w:type="character" w:customStyle="1" w:styleId="2727">
    <w:name w:val="引用 Char1"/>
    <w:qFormat/>
    <w:uiPriority w:val="0"/>
    <w:rPr>
      <w:rFonts w:hint="eastAsia" w:ascii="宋体" w:hAnsi="宋体" w:eastAsia="宋体" w:cs="宋体"/>
      <w:i/>
      <w:iCs/>
      <w:color w:val="000000"/>
      <w:kern w:val="2"/>
      <w:sz w:val="24"/>
      <w:szCs w:val="24"/>
      <w:lang w:val="en-US" w:eastAsia="zh-CN" w:bidi="ar"/>
    </w:rPr>
  </w:style>
  <w:style w:type="character" w:customStyle="1" w:styleId="2728">
    <w:name w:val="正文(首行缩进2字） Char Char"/>
    <w:link w:val="1692"/>
    <w:qFormat/>
    <w:locked/>
    <w:uiPriority w:val="0"/>
    <w:rPr>
      <w:rFonts w:ascii="Arial" w:hAnsi="Arial" w:cs="Arial"/>
      <w:sz w:val="24"/>
      <w:szCs w:val="24"/>
    </w:rPr>
  </w:style>
  <w:style w:type="character" w:customStyle="1" w:styleId="2729">
    <w:name w:val="pt91"/>
    <w:qFormat/>
    <w:uiPriority w:val="0"/>
    <w:rPr>
      <w:rFonts w:hint="eastAsia" w:ascii="宋体" w:hAnsi="宋体" w:eastAsia="宋体" w:cs="宋体"/>
      <w:color w:val="000000"/>
      <w:kern w:val="2"/>
      <w:sz w:val="18"/>
      <w:szCs w:val="18"/>
      <w:lang w:val="en-US" w:eastAsia="zh-CN" w:bidi="ar"/>
    </w:rPr>
  </w:style>
  <w:style w:type="character" w:customStyle="1" w:styleId="2730">
    <w:name w:val="标题 6 Char2"/>
    <w:qFormat/>
    <w:uiPriority w:val="0"/>
    <w:rPr>
      <w:rFonts w:hint="default" w:ascii="Arial" w:hAnsi="Arial" w:eastAsia="黑体" w:cs="Arial"/>
      <w:kern w:val="2"/>
      <w:sz w:val="28"/>
      <w:szCs w:val="24"/>
      <w:lang w:val="en-US" w:eastAsia="zh-CN" w:bidi="ar-SA"/>
    </w:rPr>
  </w:style>
  <w:style w:type="character" w:customStyle="1" w:styleId="2731">
    <w:name w:val="正文 小丹 Char Char"/>
    <w:link w:val="2732"/>
    <w:qFormat/>
    <w:locked/>
    <w:uiPriority w:val="0"/>
    <w:rPr>
      <w:rFonts w:ascii="宋体" w:hAnsi="宋体" w:cs="宋体"/>
      <w:color w:val="000000"/>
      <w:spacing w:val="6"/>
      <w:sz w:val="24"/>
      <w:szCs w:val="24"/>
    </w:rPr>
  </w:style>
  <w:style w:type="paragraph" w:customStyle="1" w:styleId="2732">
    <w:name w:val="正文 小丹"/>
    <w:basedOn w:val="41"/>
    <w:link w:val="2731"/>
    <w:qFormat/>
    <w:uiPriority w:val="0"/>
    <w:pPr>
      <w:adjustRightInd w:val="0"/>
      <w:snapToGrid w:val="0"/>
      <w:spacing w:after="0" w:line="360" w:lineRule="auto"/>
      <w:ind w:firstLine="200" w:firstLineChars="200"/>
    </w:pPr>
    <w:rPr>
      <w:rFonts w:ascii="宋体" w:hAnsi="宋体" w:eastAsia="宋体" w:cs="宋体"/>
      <w:color w:val="000000"/>
      <w:spacing w:val="6"/>
      <w:kern w:val="0"/>
      <w:sz w:val="24"/>
      <w:szCs w:val="24"/>
    </w:rPr>
  </w:style>
  <w:style w:type="character" w:customStyle="1" w:styleId="2733">
    <w:name w:val="德胜表头 Char Char"/>
    <w:link w:val="2734"/>
    <w:qFormat/>
    <w:locked/>
    <w:uiPriority w:val="0"/>
    <w:rPr>
      <w:rFonts w:ascii="宋体" w:hAnsi="宋体" w:cs="宋体"/>
      <w:b/>
      <w:snapToGrid/>
      <w:color w:val="0000FF"/>
      <w:sz w:val="24"/>
      <w:szCs w:val="24"/>
    </w:rPr>
  </w:style>
  <w:style w:type="paragraph" w:customStyle="1" w:styleId="2734">
    <w:name w:val="德胜表头"/>
    <w:basedOn w:val="2617"/>
    <w:link w:val="2733"/>
    <w:qFormat/>
    <w:uiPriority w:val="0"/>
    <w:pPr>
      <w:spacing w:line="240" w:lineRule="auto"/>
      <w:ind w:firstLine="0" w:firstLineChars="0"/>
      <w:jc w:val="center"/>
    </w:pPr>
    <w:rPr>
      <w:b/>
    </w:rPr>
  </w:style>
  <w:style w:type="character" w:customStyle="1" w:styleId="2735">
    <w:name w:val="样式85 Char Char"/>
    <w:link w:val="2736"/>
    <w:qFormat/>
    <w:locked/>
    <w:uiPriority w:val="0"/>
    <w:rPr>
      <w:rFonts w:ascii="宋体" w:hAnsi="宋体" w:cs="宋体"/>
      <w:color w:val="000000"/>
      <w:sz w:val="24"/>
      <w:szCs w:val="24"/>
    </w:rPr>
  </w:style>
  <w:style w:type="paragraph" w:customStyle="1" w:styleId="2736">
    <w:name w:val="样式85"/>
    <w:basedOn w:val="1"/>
    <w:link w:val="2735"/>
    <w:qFormat/>
    <w:uiPriority w:val="0"/>
    <w:pPr>
      <w:spacing w:before="156" w:after="156" w:line="360" w:lineRule="auto"/>
      <w:ind w:firstLine="480" w:firstLineChars="200"/>
    </w:pPr>
    <w:rPr>
      <w:rFonts w:ascii="宋体" w:hAnsi="宋体" w:eastAsia="宋体" w:cs="宋体"/>
      <w:color w:val="000000"/>
      <w:kern w:val="0"/>
      <w:sz w:val="24"/>
      <w:szCs w:val="24"/>
    </w:rPr>
  </w:style>
  <w:style w:type="character" w:customStyle="1" w:styleId="2737">
    <w:name w:val="Char Char39"/>
    <w:qFormat/>
    <w:uiPriority w:val="0"/>
    <w:rPr>
      <w:rFonts w:hint="eastAsia" w:ascii="宋体" w:hAnsi="宋体" w:eastAsia="宋体" w:cs="宋体"/>
      <w:i/>
      <w:iCs/>
      <w:color w:val="000000"/>
      <w:kern w:val="2"/>
      <w:sz w:val="24"/>
      <w:szCs w:val="24"/>
      <w:lang w:val="en-US" w:eastAsia="zh-CN" w:bidi="ar-SA"/>
    </w:rPr>
  </w:style>
  <w:style w:type="character" w:customStyle="1" w:styleId="2738">
    <w:name w:val="+正文 Char Char"/>
    <w:qFormat/>
    <w:locked/>
    <w:uiPriority w:val="0"/>
    <w:rPr>
      <w:rFonts w:ascii="宋体" w:hAnsi="宋体" w:eastAsia="宋体" w:cs="宋体"/>
      <w:sz w:val="28"/>
      <w:szCs w:val="28"/>
    </w:rPr>
  </w:style>
  <w:style w:type="character" w:customStyle="1" w:styleId="2739">
    <w:name w:val="正文标准样式 Char"/>
    <w:qFormat/>
    <w:locked/>
    <w:uiPriority w:val="0"/>
    <w:rPr>
      <w:rFonts w:eastAsia="宋体"/>
      <w:sz w:val="24"/>
    </w:rPr>
  </w:style>
  <w:style w:type="character" w:customStyle="1" w:styleId="2740">
    <w:name w:val="Char Char38"/>
    <w:qFormat/>
    <w:locked/>
    <w:uiPriority w:val="0"/>
    <w:rPr>
      <w:rFonts w:ascii="Cambria" w:hAnsi="Cambria" w:eastAsia="宋体" w:cs="宋体"/>
      <w:b/>
      <w:kern w:val="2"/>
      <w:sz w:val="28"/>
      <w:szCs w:val="28"/>
      <w:lang w:val="en-US" w:eastAsia="zh-CN" w:bidi="ar-SA"/>
    </w:rPr>
  </w:style>
  <w:style w:type="character" w:customStyle="1" w:styleId="2741">
    <w:name w:val="表注 Char Char"/>
    <w:link w:val="2742"/>
    <w:qFormat/>
    <w:locked/>
    <w:uiPriority w:val="0"/>
    <w:rPr>
      <w:rFonts w:ascii="宋体" w:hAnsi="宋体" w:cs="宋体"/>
      <w:color w:val="FF0000"/>
      <w:kern w:val="24"/>
      <w:szCs w:val="24"/>
    </w:rPr>
  </w:style>
  <w:style w:type="paragraph" w:customStyle="1" w:styleId="2742">
    <w:name w:val="表注"/>
    <w:basedOn w:val="1"/>
    <w:next w:val="1"/>
    <w:link w:val="2741"/>
    <w:qFormat/>
    <w:uiPriority w:val="0"/>
    <w:pPr>
      <w:keepLines/>
      <w:overflowPunct w:val="0"/>
      <w:adjustRightInd w:val="0"/>
      <w:ind w:left="100" w:leftChars="100" w:right="50" w:rightChars="50" w:hanging="200" w:hangingChars="200"/>
    </w:pPr>
    <w:rPr>
      <w:rFonts w:ascii="宋体" w:hAnsi="宋体" w:eastAsia="宋体" w:cs="宋体"/>
      <w:color w:val="FF0000"/>
      <w:kern w:val="24"/>
      <w:sz w:val="20"/>
      <w:szCs w:val="24"/>
    </w:rPr>
  </w:style>
  <w:style w:type="character" w:customStyle="1" w:styleId="2743">
    <w:name w:val="样式 四号 首行缩进:  0.99 厘米 行距: 固定值 25 磅1 Char Char"/>
    <w:link w:val="2744"/>
    <w:qFormat/>
    <w:locked/>
    <w:uiPriority w:val="0"/>
    <w:rPr>
      <w:rFonts w:ascii="宋体" w:hAnsi="宋体" w:cs="宋体"/>
      <w:sz w:val="28"/>
      <w:szCs w:val="24"/>
    </w:rPr>
  </w:style>
  <w:style w:type="paragraph" w:customStyle="1" w:styleId="2744">
    <w:name w:val="样式 四号 首行缩进:  0.99 厘米 行距: 固定值 25 磅1"/>
    <w:basedOn w:val="1"/>
    <w:link w:val="2743"/>
    <w:qFormat/>
    <w:uiPriority w:val="0"/>
    <w:pPr>
      <w:spacing w:line="500" w:lineRule="exact"/>
      <w:ind w:firstLine="560"/>
    </w:pPr>
    <w:rPr>
      <w:rFonts w:ascii="宋体" w:hAnsi="宋体" w:eastAsia="宋体" w:cs="宋体"/>
      <w:kern w:val="0"/>
      <w:szCs w:val="24"/>
    </w:rPr>
  </w:style>
  <w:style w:type="character" w:customStyle="1" w:styleId="2745">
    <w:name w:val="Char Char29"/>
    <w:qFormat/>
    <w:uiPriority w:val="0"/>
    <w:rPr>
      <w:rFonts w:hint="default" w:ascii="Arial" w:hAnsi="Arial" w:eastAsia="黑体" w:cs="Times New Roman"/>
      <w:kern w:val="2"/>
      <w:sz w:val="24"/>
      <w:szCs w:val="21"/>
      <w:lang w:val="en-US" w:eastAsia="zh-CN" w:bidi="ar-SA"/>
    </w:rPr>
  </w:style>
  <w:style w:type="character" w:customStyle="1" w:styleId="2746">
    <w:name w:val="正文格式 Char Char Char"/>
    <w:link w:val="1464"/>
    <w:qFormat/>
    <w:locked/>
    <w:uiPriority w:val="0"/>
    <w:rPr>
      <w:rFonts w:eastAsia="楷体_GB2312"/>
      <w:kern w:val="2"/>
      <w:sz w:val="28"/>
    </w:rPr>
  </w:style>
  <w:style w:type="character" w:customStyle="1" w:styleId="2747">
    <w:name w:val="小四正文缩进2 Char Char Char"/>
    <w:link w:val="2748"/>
    <w:qFormat/>
    <w:locked/>
    <w:uiPriority w:val="0"/>
    <w:rPr>
      <w:rFonts w:ascii="宋体" w:hAnsi="宋体" w:cs="宋体"/>
      <w:sz w:val="24"/>
      <w:szCs w:val="24"/>
    </w:rPr>
  </w:style>
  <w:style w:type="paragraph" w:customStyle="1" w:styleId="2748">
    <w:name w:val="小四正文缩进2 Char"/>
    <w:basedOn w:val="1"/>
    <w:link w:val="2747"/>
    <w:qFormat/>
    <w:uiPriority w:val="0"/>
    <w:pPr>
      <w:spacing w:line="360" w:lineRule="auto"/>
      <w:ind w:firstLine="200" w:firstLineChars="200"/>
    </w:pPr>
    <w:rPr>
      <w:rFonts w:ascii="宋体" w:hAnsi="宋体" w:eastAsia="宋体" w:cs="宋体"/>
      <w:kern w:val="0"/>
      <w:sz w:val="24"/>
      <w:szCs w:val="24"/>
    </w:rPr>
  </w:style>
  <w:style w:type="character" w:customStyle="1" w:styleId="2749">
    <w:name w:val="MY标题3 Char Char"/>
    <w:link w:val="2750"/>
    <w:qFormat/>
    <w:locked/>
    <w:uiPriority w:val="0"/>
    <w:rPr>
      <w:rFonts w:ascii="宋体" w:hAnsi="宋体" w:eastAsia="黑体" w:cs="宋体"/>
      <w:b/>
      <w:bCs/>
      <w:color w:val="000000"/>
      <w:sz w:val="28"/>
      <w:szCs w:val="24"/>
    </w:rPr>
  </w:style>
  <w:style w:type="paragraph" w:customStyle="1" w:styleId="2750">
    <w:name w:val="MY标题3"/>
    <w:basedOn w:val="6"/>
    <w:link w:val="2749"/>
    <w:qFormat/>
    <w:uiPriority w:val="0"/>
    <w:pPr>
      <w:tabs>
        <w:tab w:val="left" w:pos="1022"/>
        <w:tab w:val="left" w:pos="1080"/>
        <w:tab w:val="left" w:pos="1135"/>
        <w:tab w:val="clear" w:pos="1789"/>
      </w:tabs>
      <w:spacing w:before="156" w:after="156"/>
      <w:ind w:left="1135" w:hanging="851"/>
    </w:pPr>
    <w:rPr>
      <w:rFonts w:ascii="宋体" w:hAnsi="宋体" w:eastAsia="黑体" w:cs="宋体"/>
      <w:color w:val="000000"/>
      <w:kern w:val="0"/>
      <w:sz w:val="28"/>
      <w:szCs w:val="24"/>
    </w:rPr>
  </w:style>
  <w:style w:type="character" w:customStyle="1" w:styleId="2751">
    <w:name w:val="Char Char421"/>
    <w:qFormat/>
    <w:locked/>
    <w:uiPriority w:val="0"/>
    <w:rPr>
      <w:rFonts w:ascii="Calibri" w:hAnsi="Calibri" w:eastAsia="宋体"/>
      <w:kern w:val="2"/>
      <w:sz w:val="21"/>
      <w:szCs w:val="22"/>
      <w:lang w:val="en-US" w:eastAsia="zh-CN" w:bidi="ar-SA"/>
    </w:rPr>
  </w:style>
  <w:style w:type="character" w:customStyle="1" w:styleId="2752">
    <w:name w:val="正文（首行缩进两字）标题1 Char"/>
    <w:link w:val="2753"/>
    <w:qFormat/>
    <w:locked/>
    <w:uiPriority w:val="0"/>
    <w:rPr>
      <w:rFonts w:ascii="宋体" w:hAnsi="宋体" w:cs="宋体"/>
      <w:bCs/>
      <w:color w:val="000000"/>
      <w:sz w:val="24"/>
      <w:szCs w:val="24"/>
    </w:rPr>
  </w:style>
  <w:style w:type="paragraph" w:customStyle="1" w:styleId="2753">
    <w:name w:val="标题四"/>
    <w:basedOn w:val="7"/>
    <w:link w:val="2752"/>
    <w:qFormat/>
    <w:uiPriority w:val="0"/>
    <w:pPr>
      <w:tabs>
        <w:tab w:val="left" w:pos="864"/>
        <w:tab w:val="left" w:pos="1620"/>
        <w:tab w:val="left" w:pos="1680"/>
        <w:tab w:val="left" w:pos="2153"/>
        <w:tab w:val="clear" w:pos="4008"/>
      </w:tabs>
      <w:spacing w:before="280" w:after="290" w:line="372" w:lineRule="auto"/>
      <w:ind w:left="0" w:firstLine="0"/>
      <w:jc w:val="both"/>
    </w:pPr>
    <w:rPr>
      <w:rFonts w:ascii="宋体" w:hAnsi="宋体" w:eastAsia="宋体" w:cs="宋体"/>
      <w:b w:val="0"/>
      <w:bCs/>
      <w:kern w:val="0"/>
      <w:szCs w:val="24"/>
    </w:rPr>
  </w:style>
  <w:style w:type="character" w:customStyle="1" w:styleId="2754">
    <w:name w:val="表格内标 Char Char"/>
    <w:link w:val="2755"/>
    <w:qFormat/>
    <w:locked/>
    <w:uiPriority w:val="0"/>
    <w:rPr>
      <w:rFonts w:ascii="宋体" w:hAnsi="宋体" w:eastAsia="黑体" w:cs="宋体"/>
      <w:sz w:val="28"/>
      <w:szCs w:val="24"/>
    </w:rPr>
  </w:style>
  <w:style w:type="paragraph" w:customStyle="1" w:styleId="2755">
    <w:name w:val="表格内标"/>
    <w:basedOn w:val="1"/>
    <w:next w:val="1"/>
    <w:link w:val="2754"/>
    <w:qFormat/>
    <w:uiPriority w:val="0"/>
    <w:pPr>
      <w:adjustRightInd w:val="0"/>
      <w:snapToGrid w:val="0"/>
      <w:jc w:val="center"/>
    </w:pPr>
    <w:rPr>
      <w:rFonts w:ascii="宋体" w:hAnsi="宋体" w:eastAsia="黑体" w:cs="宋体"/>
      <w:kern w:val="0"/>
      <w:szCs w:val="24"/>
    </w:rPr>
  </w:style>
  <w:style w:type="character" w:customStyle="1" w:styleId="2756">
    <w:name w:val="dxj正文 Char Char"/>
    <w:qFormat/>
    <w:locked/>
    <w:uiPriority w:val="0"/>
    <w:rPr>
      <w:rFonts w:ascii="宋体" w:hAnsi="宋体" w:eastAsia="宋体"/>
      <w:kern w:val="2"/>
      <w:sz w:val="24"/>
      <w:szCs w:val="24"/>
      <w:lang w:val="en-US" w:eastAsia="zh-CN" w:bidi="ar-SA"/>
    </w:rPr>
  </w:style>
  <w:style w:type="character" w:customStyle="1" w:styleId="2757">
    <w:name w:val="样式 表头YHY + 五号 自动设置 Char Char"/>
    <w:link w:val="2758"/>
    <w:qFormat/>
    <w:locked/>
    <w:uiPriority w:val="0"/>
    <w:rPr>
      <w:rFonts w:ascii="宋体" w:hAnsi="宋体"/>
      <w:spacing w:val="-2"/>
      <w:sz w:val="28"/>
    </w:rPr>
  </w:style>
  <w:style w:type="paragraph" w:customStyle="1" w:styleId="2758">
    <w:name w:val="样式 表头YHY + 五号 自动设置"/>
    <w:basedOn w:val="1"/>
    <w:link w:val="2757"/>
    <w:qFormat/>
    <w:uiPriority w:val="0"/>
    <w:rPr>
      <w:rFonts w:ascii="宋体" w:hAnsi="宋体" w:eastAsia="宋体"/>
      <w:spacing w:val="-2"/>
      <w:kern w:val="0"/>
    </w:rPr>
  </w:style>
  <w:style w:type="character" w:customStyle="1" w:styleId="2759">
    <w:name w:val="文章正文 Char Char Char"/>
    <w:qFormat/>
    <w:locked/>
    <w:uiPriority w:val="0"/>
    <w:rPr>
      <w:rFonts w:ascii="宋体" w:hAnsi="宋体" w:eastAsia="宋体"/>
      <w:sz w:val="24"/>
      <w:szCs w:val="24"/>
    </w:rPr>
  </w:style>
  <w:style w:type="character" w:customStyle="1" w:styleId="2760">
    <w:name w:val="文本矿山 Char Char"/>
    <w:link w:val="2761"/>
    <w:qFormat/>
    <w:locked/>
    <w:uiPriority w:val="0"/>
    <w:rPr>
      <w:rFonts w:ascii="宋体" w:hAnsi="宋体" w:cs="宋体"/>
      <w:sz w:val="24"/>
      <w:szCs w:val="24"/>
    </w:rPr>
  </w:style>
  <w:style w:type="paragraph" w:customStyle="1" w:styleId="2761">
    <w:name w:val="文本矿山"/>
    <w:basedOn w:val="1"/>
    <w:link w:val="2760"/>
    <w:qFormat/>
    <w:uiPriority w:val="0"/>
    <w:pPr>
      <w:spacing w:beforeLines="50" w:line="360" w:lineRule="auto"/>
      <w:ind w:firstLine="480" w:firstLineChars="200"/>
      <w:jc w:val="left"/>
    </w:pPr>
    <w:rPr>
      <w:rFonts w:ascii="宋体" w:hAnsi="宋体" w:eastAsia="宋体" w:cs="宋体"/>
      <w:kern w:val="0"/>
      <w:sz w:val="24"/>
      <w:szCs w:val="24"/>
    </w:rPr>
  </w:style>
  <w:style w:type="character" w:customStyle="1" w:styleId="2762">
    <w:name w:val="报告正文小四 Char Char"/>
    <w:link w:val="2763"/>
    <w:qFormat/>
    <w:locked/>
    <w:uiPriority w:val="0"/>
    <w:rPr>
      <w:rFonts w:ascii="宋体" w:hAnsi="宋体" w:cs="宋体"/>
      <w:sz w:val="24"/>
      <w:szCs w:val="24"/>
    </w:rPr>
  </w:style>
  <w:style w:type="paragraph" w:customStyle="1" w:styleId="2763">
    <w:name w:val="报告正文小四"/>
    <w:basedOn w:val="1"/>
    <w:link w:val="2762"/>
    <w:qFormat/>
    <w:uiPriority w:val="0"/>
    <w:pPr>
      <w:adjustRightInd w:val="0"/>
      <w:snapToGrid w:val="0"/>
      <w:spacing w:before="120" w:line="420" w:lineRule="atLeast"/>
      <w:ind w:firstLine="510"/>
    </w:pPr>
    <w:rPr>
      <w:rFonts w:ascii="宋体" w:hAnsi="宋体" w:eastAsia="宋体" w:cs="宋体"/>
      <w:kern w:val="0"/>
      <w:sz w:val="24"/>
      <w:szCs w:val="24"/>
    </w:rPr>
  </w:style>
  <w:style w:type="character" w:customStyle="1" w:styleId="2764">
    <w:name w:val="样式 正文001 + 首行缩进:  2 字符 Char Char"/>
    <w:link w:val="2765"/>
    <w:qFormat/>
    <w:locked/>
    <w:uiPriority w:val="0"/>
    <w:rPr>
      <w:rFonts w:ascii="宋体" w:hAnsi="宋体" w:cs="宋体"/>
      <w:sz w:val="24"/>
      <w:szCs w:val="24"/>
    </w:rPr>
  </w:style>
  <w:style w:type="paragraph" w:customStyle="1" w:styleId="2765">
    <w:name w:val="样式 正文001 + 首行缩进:  2 字符"/>
    <w:basedOn w:val="1"/>
    <w:link w:val="2764"/>
    <w:qFormat/>
    <w:uiPriority w:val="0"/>
    <w:pPr>
      <w:spacing w:line="500" w:lineRule="atLeast"/>
      <w:ind w:firstLine="480" w:firstLineChars="200"/>
    </w:pPr>
    <w:rPr>
      <w:rFonts w:ascii="宋体" w:hAnsi="宋体" w:eastAsia="宋体" w:cs="宋体"/>
      <w:kern w:val="0"/>
      <w:sz w:val="24"/>
      <w:szCs w:val="24"/>
    </w:rPr>
  </w:style>
  <w:style w:type="character" w:customStyle="1" w:styleId="2766">
    <w:name w:val="标题 2YHY Char Char Char"/>
    <w:link w:val="2767"/>
    <w:qFormat/>
    <w:locked/>
    <w:uiPriority w:val="0"/>
    <w:rPr>
      <w:rFonts w:ascii="Arial" w:hAnsi="Arial" w:eastAsia="黑体" w:cs="宋体"/>
      <w:b/>
      <w:color w:val="000000"/>
      <w:sz w:val="28"/>
      <w:szCs w:val="24"/>
    </w:rPr>
  </w:style>
  <w:style w:type="paragraph" w:customStyle="1" w:styleId="2767">
    <w:name w:val="标题 2YHY"/>
    <w:basedOn w:val="4"/>
    <w:link w:val="2766"/>
    <w:qFormat/>
    <w:uiPriority w:val="0"/>
    <w:pPr>
      <w:keepNext w:val="0"/>
      <w:keepLines w:val="0"/>
      <w:widowControl/>
      <w:tabs>
        <w:tab w:val="left" w:pos="840"/>
        <w:tab w:val="left" w:pos="1320"/>
        <w:tab w:val="left" w:pos="1476"/>
        <w:tab w:val="clear" w:pos="567"/>
      </w:tabs>
      <w:spacing w:before="0" w:after="0" w:line="360" w:lineRule="auto"/>
      <w:ind w:left="1320" w:hanging="420"/>
    </w:pPr>
    <w:rPr>
      <w:rFonts w:ascii="Arial" w:cs="宋体"/>
      <w:b/>
      <w:color w:val="000000"/>
      <w:kern w:val="0"/>
      <w:szCs w:val="24"/>
    </w:rPr>
  </w:style>
  <w:style w:type="character" w:customStyle="1" w:styleId="2768">
    <w:name w:val="MY标题2 Char Char"/>
    <w:link w:val="2769"/>
    <w:qFormat/>
    <w:locked/>
    <w:uiPriority w:val="0"/>
    <w:rPr>
      <w:rFonts w:ascii="宋体" w:hAnsi="宋体" w:eastAsia="黑体" w:cs="宋体"/>
      <w:b/>
      <w:bCs/>
      <w:color w:val="000000"/>
      <w:sz w:val="30"/>
      <w:szCs w:val="24"/>
    </w:rPr>
  </w:style>
  <w:style w:type="paragraph" w:customStyle="1" w:styleId="2769">
    <w:name w:val="MY标题2"/>
    <w:basedOn w:val="4"/>
    <w:link w:val="2768"/>
    <w:qFormat/>
    <w:uiPriority w:val="0"/>
    <w:pPr>
      <w:tabs>
        <w:tab w:val="left" w:pos="1476"/>
      </w:tabs>
      <w:spacing w:before="156" w:after="156"/>
    </w:pPr>
    <w:rPr>
      <w:rFonts w:ascii="宋体" w:hAnsi="宋体" w:cs="宋体"/>
      <w:b/>
      <w:bCs/>
      <w:color w:val="000000"/>
      <w:kern w:val="0"/>
      <w:sz w:val="30"/>
      <w:szCs w:val="24"/>
    </w:rPr>
  </w:style>
  <w:style w:type="character" w:customStyle="1" w:styleId="2770">
    <w:name w:val="标题2----------------- Char Char"/>
    <w:link w:val="2771"/>
    <w:qFormat/>
    <w:locked/>
    <w:uiPriority w:val="0"/>
    <w:rPr>
      <w:rFonts w:ascii="宋体" w:hAnsi="宋体" w:cs="宋体"/>
      <w:b/>
      <w:bCs/>
      <w:sz w:val="32"/>
      <w:szCs w:val="24"/>
    </w:rPr>
  </w:style>
  <w:style w:type="paragraph" w:customStyle="1" w:styleId="2771">
    <w:name w:val="标题2-----------------"/>
    <w:basedOn w:val="4"/>
    <w:link w:val="2770"/>
    <w:qFormat/>
    <w:uiPriority w:val="0"/>
    <w:pPr>
      <w:keepNext w:val="0"/>
      <w:tabs>
        <w:tab w:val="clear" w:pos="567"/>
      </w:tabs>
      <w:spacing w:before="0" w:after="200"/>
      <w:ind w:left="0" w:firstLine="0"/>
    </w:pPr>
    <w:rPr>
      <w:rFonts w:ascii="宋体" w:hAnsi="宋体" w:eastAsia="宋体" w:cs="宋体"/>
      <w:b/>
      <w:bCs/>
      <w:kern w:val="0"/>
      <w:sz w:val="32"/>
      <w:szCs w:val="24"/>
    </w:rPr>
  </w:style>
  <w:style w:type="character" w:customStyle="1" w:styleId="2772">
    <w:name w:val="样式26 Char Char Char"/>
    <w:link w:val="2773"/>
    <w:qFormat/>
    <w:locked/>
    <w:uiPriority w:val="0"/>
    <w:rPr>
      <w:rFonts w:ascii="宋体" w:hAnsi="宋体"/>
      <w:spacing w:val="-2"/>
      <w:sz w:val="28"/>
    </w:rPr>
  </w:style>
  <w:style w:type="paragraph" w:customStyle="1" w:styleId="2773">
    <w:name w:val="样式26"/>
    <w:basedOn w:val="1"/>
    <w:link w:val="2772"/>
    <w:qFormat/>
    <w:uiPriority w:val="0"/>
    <w:rPr>
      <w:rFonts w:ascii="宋体" w:hAnsi="宋体" w:eastAsia="宋体"/>
      <w:spacing w:val="-2"/>
      <w:kern w:val="0"/>
    </w:rPr>
  </w:style>
  <w:style w:type="character" w:customStyle="1" w:styleId="2774">
    <w:name w:val="图表正文 Char Char Char"/>
    <w:link w:val="2775"/>
    <w:qFormat/>
    <w:locked/>
    <w:uiPriority w:val="0"/>
    <w:rPr>
      <w:rFonts w:ascii="宋体" w:hAnsi="宋体" w:cs="宋体"/>
      <w:snapToGrid/>
      <w:szCs w:val="24"/>
    </w:rPr>
  </w:style>
  <w:style w:type="paragraph" w:customStyle="1" w:styleId="2775">
    <w:name w:val="图表正文"/>
    <w:basedOn w:val="1"/>
    <w:link w:val="2774"/>
    <w:qFormat/>
    <w:uiPriority w:val="0"/>
    <w:pPr>
      <w:widowControl/>
      <w:snapToGrid w:val="0"/>
      <w:spacing w:line="360" w:lineRule="atLeast"/>
      <w:ind w:firstLine="420" w:firstLineChars="200"/>
      <w:jc w:val="center"/>
    </w:pPr>
    <w:rPr>
      <w:rFonts w:ascii="宋体" w:hAnsi="宋体" w:eastAsia="宋体" w:cs="宋体"/>
      <w:kern w:val="0"/>
      <w:sz w:val="20"/>
      <w:szCs w:val="24"/>
    </w:rPr>
  </w:style>
  <w:style w:type="character" w:customStyle="1" w:styleId="2776">
    <w:name w:val="正文文字描述 Char Char"/>
    <w:link w:val="2777"/>
    <w:qFormat/>
    <w:locked/>
    <w:uiPriority w:val="0"/>
    <w:rPr>
      <w:rFonts w:ascii="宋体" w:hAnsi="宋体" w:cs="宋体"/>
      <w:color w:val="000000"/>
      <w:spacing w:val="20"/>
      <w:sz w:val="24"/>
      <w:szCs w:val="28"/>
    </w:rPr>
  </w:style>
  <w:style w:type="paragraph" w:customStyle="1" w:styleId="2777">
    <w:name w:val="正文文字描述"/>
    <w:basedOn w:val="1"/>
    <w:link w:val="2776"/>
    <w:qFormat/>
    <w:uiPriority w:val="0"/>
    <w:pPr>
      <w:spacing w:line="480" w:lineRule="exact"/>
      <w:ind w:firstLine="200" w:firstLineChars="200"/>
    </w:pPr>
    <w:rPr>
      <w:rFonts w:ascii="宋体" w:hAnsi="宋体" w:eastAsia="宋体" w:cs="宋体"/>
      <w:color w:val="000000"/>
      <w:spacing w:val="20"/>
      <w:kern w:val="0"/>
      <w:sz w:val="24"/>
      <w:szCs w:val="28"/>
    </w:rPr>
  </w:style>
  <w:style w:type="character" w:customStyle="1" w:styleId="2778">
    <w:name w:val="样式 首行缩进:  2 字符 Char Char Char Char"/>
    <w:qFormat/>
    <w:locked/>
    <w:uiPriority w:val="0"/>
    <w:rPr>
      <w:rFonts w:ascii="Arial" w:hAnsi="Arial" w:eastAsia="宋体" w:cs="宋体"/>
      <w:sz w:val="24"/>
    </w:rPr>
  </w:style>
  <w:style w:type="character" w:customStyle="1" w:styleId="2779">
    <w:name w:val="2缩正 Char Char Char"/>
    <w:link w:val="2780"/>
    <w:qFormat/>
    <w:locked/>
    <w:uiPriority w:val="0"/>
    <w:rPr>
      <w:rFonts w:ascii="宋体" w:hAnsi="宋体" w:cs="宋体"/>
      <w:sz w:val="24"/>
      <w:szCs w:val="24"/>
    </w:rPr>
  </w:style>
  <w:style w:type="paragraph" w:customStyle="1" w:styleId="2780">
    <w:name w:val="2缩正 Char"/>
    <w:basedOn w:val="1"/>
    <w:link w:val="2779"/>
    <w:qFormat/>
    <w:uiPriority w:val="0"/>
    <w:pPr>
      <w:spacing w:line="360" w:lineRule="auto"/>
      <w:ind w:firstLine="200" w:firstLineChars="200"/>
    </w:pPr>
    <w:rPr>
      <w:rFonts w:ascii="宋体" w:hAnsi="宋体" w:eastAsia="宋体" w:cs="宋体"/>
      <w:kern w:val="0"/>
      <w:sz w:val="24"/>
      <w:szCs w:val="24"/>
    </w:rPr>
  </w:style>
  <w:style w:type="character" w:customStyle="1" w:styleId="2781">
    <w:name w:val="样式24 Char Char"/>
    <w:qFormat/>
    <w:locked/>
    <w:uiPriority w:val="0"/>
    <w:rPr>
      <w:rFonts w:ascii="宋体" w:hAnsi="宋体" w:eastAsia="宋体" w:cs="宋体"/>
      <w:kern w:val="2"/>
      <w:sz w:val="28"/>
      <w:szCs w:val="24"/>
      <w:lang w:val="en-US" w:eastAsia="zh-CN" w:bidi="ar-SA"/>
    </w:rPr>
  </w:style>
  <w:style w:type="character" w:customStyle="1" w:styleId="2782">
    <w:name w:val="2级标题 + 黑体 Char Char"/>
    <w:link w:val="2783"/>
    <w:qFormat/>
    <w:locked/>
    <w:uiPriority w:val="0"/>
    <w:rPr>
      <w:rFonts w:ascii="黑体" w:hAnsi="黑体" w:eastAsia="黑体" w:cs="宋体"/>
      <w:b/>
      <w:kern w:val="20"/>
      <w:sz w:val="28"/>
      <w:szCs w:val="28"/>
    </w:rPr>
  </w:style>
  <w:style w:type="paragraph" w:customStyle="1" w:styleId="2783">
    <w:name w:val="2级标题 + 黑体"/>
    <w:basedOn w:val="1"/>
    <w:link w:val="2782"/>
    <w:qFormat/>
    <w:uiPriority w:val="0"/>
    <w:pPr>
      <w:overflowPunct w:val="0"/>
      <w:autoSpaceDE w:val="0"/>
      <w:autoSpaceDN w:val="0"/>
      <w:adjustRightInd w:val="0"/>
      <w:spacing w:before="40" w:after="40" w:line="360" w:lineRule="auto"/>
      <w:jc w:val="left"/>
      <w:outlineLvl w:val="1"/>
    </w:pPr>
    <w:rPr>
      <w:rFonts w:ascii="黑体" w:hAnsi="黑体" w:eastAsia="黑体" w:cs="宋体"/>
      <w:b/>
      <w:kern w:val="20"/>
      <w:szCs w:val="28"/>
    </w:rPr>
  </w:style>
  <w:style w:type="character" w:customStyle="1" w:styleId="2784">
    <w:name w:val="news"/>
    <w:qFormat/>
    <w:uiPriority w:val="0"/>
    <w:rPr>
      <w:rFonts w:hint="eastAsia" w:ascii="宋体" w:hAnsi="宋体" w:eastAsia="宋体" w:cs="宋体"/>
      <w:kern w:val="2"/>
      <w:sz w:val="24"/>
      <w:szCs w:val="20"/>
      <w:lang w:val="en-US" w:eastAsia="zh-CN" w:bidi="ar"/>
    </w:rPr>
  </w:style>
  <w:style w:type="character" w:customStyle="1" w:styleId="2785">
    <w:name w:val="样式69 Char Char"/>
    <w:link w:val="2786"/>
    <w:qFormat/>
    <w:locked/>
    <w:uiPriority w:val="0"/>
    <w:rPr>
      <w:rFonts w:ascii="宋体" w:hAnsi="宋体" w:cs="宋体"/>
      <w:color w:val="000000"/>
      <w:sz w:val="24"/>
      <w:szCs w:val="24"/>
      <w:lang w:val="zh-CN"/>
    </w:rPr>
  </w:style>
  <w:style w:type="paragraph" w:customStyle="1" w:styleId="2786">
    <w:name w:val="样式69"/>
    <w:basedOn w:val="1"/>
    <w:link w:val="2785"/>
    <w:qFormat/>
    <w:uiPriority w:val="0"/>
    <w:pPr>
      <w:autoSpaceDE w:val="0"/>
      <w:autoSpaceDN w:val="0"/>
      <w:adjustRightInd w:val="0"/>
      <w:spacing w:beforeLines="50" w:line="360" w:lineRule="auto"/>
      <w:ind w:firstLine="480"/>
    </w:pPr>
    <w:rPr>
      <w:rFonts w:ascii="宋体" w:hAnsi="宋体" w:eastAsia="宋体" w:cs="宋体"/>
      <w:color w:val="000000"/>
      <w:kern w:val="0"/>
      <w:sz w:val="24"/>
      <w:szCs w:val="24"/>
      <w:lang w:val="zh-CN"/>
    </w:rPr>
  </w:style>
  <w:style w:type="character" w:customStyle="1" w:styleId="2787">
    <w:name w:val="表题 Char Char Char Char"/>
    <w:link w:val="1205"/>
    <w:qFormat/>
    <w:locked/>
    <w:uiPriority w:val="0"/>
    <w:rPr>
      <w:rFonts w:ascii="宋体" w:hAnsi="宋体"/>
      <w:b/>
      <w:spacing w:val="12"/>
      <w:kern w:val="2"/>
      <w:sz w:val="24"/>
      <w:szCs w:val="24"/>
    </w:rPr>
  </w:style>
  <w:style w:type="character" w:customStyle="1" w:styleId="2788">
    <w:name w:val="Char Char211"/>
    <w:qFormat/>
    <w:uiPriority w:val="0"/>
    <w:rPr>
      <w:rFonts w:hint="eastAsia" w:ascii="宋体" w:hAnsi="宋体" w:eastAsia="宋体" w:cs="宋体"/>
      <w:b/>
      <w:kern w:val="2"/>
      <w:sz w:val="24"/>
      <w:szCs w:val="24"/>
      <w:lang w:val="zh-CN" w:eastAsia="zh-CN" w:bidi="ar-SA"/>
    </w:rPr>
  </w:style>
  <w:style w:type="character" w:customStyle="1" w:styleId="2789">
    <w:name w:val="样式36 Char Char"/>
    <w:link w:val="2790"/>
    <w:qFormat/>
    <w:locked/>
    <w:uiPriority w:val="0"/>
    <w:rPr>
      <w:rFonts w:ascii="宋体" w:hAnsi="宋体"/>
      <w:spacing w:val="-2"/>
      <w:sz w:val="28"/>
    </w:rPr>
  </w:style>
  <w:style w:type="paragraph" w:customStyle="1" w:styleId="2790">
    <w:name w:val="样式36"/>
    <w:basedOn w:val="1"/>
    <w:link w:val="2789"/>
    <w:qFormat/>
    <w:uiPriority w:val="0"/>
    <w:rPr>
      <w:rFonts w:ascii="宋体" w:hAnsi="宋体" w:eastAsia="宋体"/>
      <w:spacing w:val="-2"/>
      <w:kern w:val="0"/>
    </w:rPr>
  </w:style>
  <w:style w:type="character" w:customStyle="1" w:styleId="2791">
    <w:name w:val="表格YHY Char Char Char"/>
    <w:link w:val="2792"/>
    <w:qFormat/>
    <w:locked/>
    <w:uiPriority w:val="0"/>
    <w:rPr>
      <w:rFonts w:ascii="宋体" w:hAnsi="宋体" w:cs="宋体"/>
      <w:szCs w:val="24"/>
    </w:rPr>
  </w:style>
  <w:style w:type="paragraph" w:customStyle="1" w:styleId="2792">
    <w:name w:val="表格YHY"/>
    <w:basedOn w:val="1"/>
    <w:link w:val="2791"/>
    <w:qFormat/>
    <w:uiPriority w:val="0"/>
    <w:pPr>
      <w:jc w:val="center"/>
    </w:pPr>
    <w:rPr>
      <w:rFonts w:ascii="宋体" w:hAnsi="宋体" w:eastAsia="宋体" w:cs="宋体"/>
      <w:kern w:val="0"/>
      <w:sz w:val="20"/>
      <w:szCs w:val="24"/>
    </w:rPr>
  </w:style>
  <w:style w:type="character" w:customStyle="1" w:styleId="2793">
    <w:name w:val="样式 小四 Char Char"/>
    <w:link w:val="2794"/>
    <w:qFormat/>
    <w:locked/>
    <w:uiPriority w:val="0"/>
    <w:rPr>
      <w:rFonts w:ascii="Calibri" w:hAnsi="Calibri"/>
      <w:color w:val="000000"/>
      <w:sz w:val="24"/>
      <w:szCs w:val="24"/>
    </w:rPr>
  </w:style>
  <w:style w:type="paragraph" w:customStyle="1" w:styleId="2794">
    <w:name w:val="样式 小四"/>
    <w:basedOn w:val="1"/>
    <w:link w:val="2793"/>
    <w:qFormat/>
    <w:uiPriority w:val="0"/>
    <w:pPr>
      <w:spacing w:line="360" w:lineRule="auto"/>
      <w:ind w:firstLine="480" w:firstLineChars="200"/>
    </w:pPr>
    <w:rPr>
      <w:rFonts w:ascii="Calibri" w:hAnsi="Calibri" w:eastAsia="宋体"/>
      <w:color w:val="000000"/>
      <w:kern w:val="0"/>
      <w:sz w:val="24"/>
      <w:szCs w:val="24"/>
    </w:rPr>
  </w:style>
  <w:style w:type="character" w:customStyle="1" w:styleId="2795">
    <w:name w:val="我的正文517 Char Char"/>
    <w:link w:val="2796"/>
    <w:qFormat/>
    <w:locked/>
    <w:uiPriority w:val="0"/>
    <w:rPr>
      <w:rFonts w:ascii="宋体" w:hAnsi="宋体" w:cs="宋体"/>
      <w:sz w:val="28"/>
      <w:szCs w:val="24"/>
    </w:rPr>
  </w:style>
  <w:style w:type="paragraph" w:customStyle="1" w:styleId="2796">
    <w:name w:val="我的正文517"/>
    <w:basedOn w:val="1"/>
    <w:link w:val="2795"/>
    <w:qFormat/>
    <w:uiPriority w:val="0"/>
    <w:pPr>
      <w:ind w:firstLine="560" w:firstLineChars="200"/>
    </w:pPr>
    <w:rPr>
      <w:rFonts w:ascii="宋体" w:hAnsi="宋体" w:eastAsia="宋体" w:cs="宋体"/>
      <w:kern w:val="0"/>
      <w:szCs w:val="24"/>
    </w:rPr>
  </w:style>
  <w:style w:type="character" w:customStyle="1" w:styleId="2797">
    <w:name w:val="MY正文 Char Char"/>
    <w:link w:val="2798"/>
    <w:qFormat/>
    <w:locked/>
    <w:uiPriority w:val="0"/>
    <w:rPr>
      <w:rFonts w:ascii="宋体" w:hAnsi="宋体" w:cs="宋体"/>
      <w:color w:val="000000"/>
      <w:sz w:val="24"/>
      <w:szCs w:val="24"/>
    </w:rPr>
  </w:style>
  <w:style w:type="paragraph" w:customStyle="1" w:styleId="2798">
    <w:name w:val="MY正文"/>
    <w:basedOn w:val="1"/>
    <w:link w:val="2797"/>
    <w:qFormat/>
    <w:uiPriority w:val="0"/>
    <w:pPr>
      <w:spacing w:line="300" w:lineRule="auto"/>
      <w:ind w:firstLine="480" w:firstLineChars="200"/>
    </w:pPr>
    <w:rPr>
      <w:rFonts w:ascii="宋体" w:hAnsi="宋体" w:eastAsia="宋体" w:cs="宋体"/>
      <w:color w:val="000000"/>
      <w:kern w:val="0"/>
      <w:sz w:val="24"/>
      <w:szCs w:val="24"/>
    </w:rPr>
  </w:style>
  <w:style w:type="character" w:customStyle="1" w:styleId="2799">
    <w:name w:val="样式42 Char Char Char"/>
    <w:qFormat/>
    <w:uiPriority w:val="0"/>
    <w:rPr>
      <w:rFonts w:hint="eastAsia" w:ascii="宋体" w:hAnsi="宋体" w:eastAsia="宋体" w:cs="宋体"/>
      <w:bCs/>
      <w:color w:val="000000"/>
      <w:kern w:val="2"/>
      <w:sz w:val="24"/>
      <w:szCs w:val="24"/>
      <w:lang w:val="en-US" w:eastAsia="zh-CN" w:bidi="ar-SA"/>
    </w:rPr>
  </w:style>
  <w:style w:type="character" w:customStyle="1" w:styleId="2800">
    <w:name w:val="ourfont1"/>
    <w:qFormat/>
    <w:uiPriority w:val="0"/>
    <w:rPr>
      <w:rFonts w:hint="eastAsia" w:ascii="宋体" w:hAnsi="宋体" w:eastAsia="宋体" w:cs="宋体"/>
      <w:color w:val="000000"/>
      <w:kern w:val="2"/>
      <w:sz w:val="24"/>
      <w:szCs w:val="24"/>
      <w:lang w:val="en-US" w:eastAsia="zh-CN" w:bidi="ar"/>
    </w:rPr>
  </w:style>
  <w:style w:type="character" w:customStyle="1" w:styleId="2801">
    <w:name w:val="文章正文 + Times New Roman 段前: 0.5 行 段后: 0.5 行 Char Char"/>
    <w:link w:val="2802"/>
    <w:qFormat/>
    <w:locked/>
    <w:uiPriority w:val="0"/>
    <w:rPr>
      <w:rFonts w:ascii="宋体" w:hAnsi="宋体" w:cs="宋体"/>
      <w:sz w:val="24"/>
      <w:szCs w:val="24"/>
    </w:rPr>
  </w:style>
  <w:style w:type="paragraph" w:customStyle="1" w:styleId="2802">
    <w:name w:val="文章正文 + Times New Roman 段前: 0.5 行 段后: 0.5 行"/>
    <w:basedOn w:val="1"/>
    <w:link w:val="2801"/>
    <w:qFormat/>
    <w:uiPriority w:val="0"/>
    <w:pPr>
      <w:tabs>
        <w:tab w:val="left" w:pos="3930"/>
        <w:tab w:val="left" w:pos="5775"/>
      </w:tabs>
      <w:spacing w:line="500" w:lineRule="exact"/>
      <w:ind w:firstLine="360" w:firstLineChars="150"/>
    </w:pPr>
    <w:rPr>
      <w:rFonts w:ascii="宋体" w:hAnsi="宋体" w:eastAsia="宋体" w:cs="宋体"/>
      <w:kern w:val="0"/>
      <w:sz w:val="24"/>
      <w:szCs w:val="24"/>
    </w:rPr>
  </w:style>
  <w:style w:type="character" w:customStyle="1" w:styleId="2803">
    <w:name w:val="二号标题样式 Char Char Char"/>
    <w:link w:val="2804"/>
    <w:qFormat/>
    <w:locked/>
    <w:uiPriority w:val="0"/>
    <w:rPr>
      <w:rFonts w:ascii="Arial" w:hAnsi="Arial" w:eastAsia="黑体" w:cs="宋体"/>
      <w:sz w:val="28"/>
      <w:szCs w:val="24"/>
    </w:rPr>
  </w:style>
  <w:style w:type="paragraph" w:customStyle="1" w:styleId="2804">
    <w:name w:val="二号标题样式 Char"/>
    <w:basedOn w:val="1"/>
    <w:link w:val="2803"/>
    <w:qFormat/>
    <w:uiPriority w:val="0"/>
    <w:pPr>
      <w:keepNext/>
      <w:keepLines/>
      <w:spacing w:beforeLines="50" w:line="520" w:lineRule="exact"/>
      <w:outlineLvl w:val="2"/>
    </w:pPr>
    <w:rPr>
      <w:rFonts w:ascii="Arial" w:hAnsi="Arial" w:eastAsia="黑体" w:cs="宋体"/>
      <w:kern w:val="0"/>
      <w:szCs w:val="24"/>
    </w:rPr>
  </w:style>
  <w:style w:type="character" w:customStyle="1" w:styleId="2805">
    <w:name w:val="正文表格 Char Char"/>
    <w:link w:val="2806"/>
    <w:qFormat/>
    <w:locked/>
    <w:uiPriority w:val="0"/>
    <w:rPr>
      <w:rFonts w:ascii="宋体" w:hAnsi="宋体" w:cs="宋体"/>
      <w:sz w:val="28"/>
      <w:szCs w:val="24"/>
    </w:rPr>
  </w:style>
  <w:style w:type="paragraph" w:customStyle="1" w:styleId="2806">
    <w:name w:val="正文表格"/>
    <w:basedOn w:val="1"/>
    <w:link w:val="2805"/>
    <w:qFormat/>
    <w:uiPriority w:val="0"/>
    <w:pPr>
      <w:keepNext/>
      <w:keepLines/>
      <w:tabs>
        <w:tab w:val="center" w:pos="6804"/>
      </w:tabs>
      <w:overflowPunct w:val="0"/>
      <w:adjustRightInd w:val="0"/>
      <w:spacing w:before="80"/>
      <w:jc w:val="center"/>
    </w:pPr>
    <w:rPr>
      <w:rFonts w:ascii="宋体" w:hAnsi="宋体" w:eastAsia="宋体" w:cs="宋体"/>
      <w:kern w:val="0"/>
      <w:szCs w:val="24"/>
    </w:rPr>
  </w:style>
  <w:style w:type="character" w:customStyle="1" w:styleId="2807">
    <w:name w:val="自动1 Char Char"/>
    <w:link w:val="968"/>
    <w:qFormat/>
    <w:locked/>
    <w:uiPriority w:val="0"/>
    <w:rPr>
      <w:rFonts w:ascii="黑体" w:hAnsi="Arial Unicode MS" w:eastAsia="黑体" w:cs="Arial Unicode MS"/>
      <w:b/>
      <w:bCs/>
      <w:color w:val="000000"/>
      <w:kern w:val="44"/>
      <w:sz w:val="30"/>
      <w:szCs w:val="30"/>
    </w:rPr>
  </w:style>
  <w:style w:type="character" w:customStyle="1" w:styleId="2808">
    <w:name w:val="样式 标题 3 + 宋体 小四 非加粗 Char Char"/>
    <w:link w:val="890"/>
    <w:qFormat/>
    <w:locked/>
    <w:uiPriority w:val="0"/>
    <w:rPr>
      <w:rFonts w:hAnsi="宋体"/>
      <w:kern w:val="2"/>
      <w:sz w:val="24"/>
      <w:szCs w:val="32"/>
    </w:rPr>
  </w:style>
  <w:style w:type="character" w:customStyle="1" w:styleId="2809">
    <w:name w:val="德胜空行 Char Char"/>
    <w:link w:val="2810"/>
    <w:qFormat/>
    <w:locked/>
    <w:uiPriority w:val="0"/>
    <w:rPr>
      <w:rFonts w:ascii="宋体" w:hAnsi="宋体" w:cs="宋体"/>
      <w:snapToGrid/>
      <w:color w:val="0000FF"/>
      <w:szCs w:val="21"/>
    </w:rPr>
  </w:style>
  <w:style w:type="paragraph" w:customStyle="1" w:styleId="2810">
    <w:name w:val="德胜空行"/>
    <w:basedOn w:val="1"/>
    <w:link w:val="2809"/>
    <w:qFormat/>
    <w:uiPriority w:val="0"/>
    <w:pPr>
      <w:adjustRightInd w:val="0"/>
      <w:snapToGrid w:val="0"/>
      <w:jc w:val="left"/>
    </w:pPr>
    <w:rPr>
      <w:rFonts w:ascii="宋体" w:hAnsi="宋体" w:eastAsia="宋体" w:cs="宋体"/>
      <w:color w:val="0000FF"/>
      <w:kern w:val="0"/>
      <w:sz w:val="20"/>
      <w:szCs w:val="21"/>
    </w:rPr>
  </w:style>
  <w:style w:type="character" w:customStyle="1" w:styleId="2811">
    <w:name w:val="条，(一) Char1"/>
    <w:qFormat/>
    <w:uiPriority w:val="0"/>
    <w:rPr>
      <w:rFonts w:hint="default" w:ascii="Arial" w:hAnsi="Arial" w:eastAsia="黑体" w:cs="Arial"/>
      <w:b/>
      <w:bCs/>
      <w:kern w:val="2"/>
      <w:sz w:val="28"/>
      <w:szCs w:val="28"/>
      <w:lang w:val="en-US" w:eastAsia="zh-CN" w:bidi="ar-SA"/>
    </w:rPr>
  </w:style>
  <w:style w:type="character" w:customStyle="1" w:styleId="2812">
    <w:name w:val="样式 标题 5 + (西文) 宋体 黑色 Char Char"/>
    <w:link w:val="2813"/>
    <w:qFormat/>
    <w:locked/>
    <w:uiPriority w:val="0"/>
    <w:rPr>
      <w:rFonts w:ascii="宋体" w:hAnsi="宋体" w:eastAsia="黑体" w:cs="宋体"/>
      <w:color w:val="000000"/>
      <w:szCs w:val="28"/>
    </w:rPr>
  </w:style>
  <w:style w:type="paragraph" w:customStyle="1" w:styleId="2813">
    <w:name w:val="样式 标题 5 + (西文) 宋体 黑色"/>
    <w:basedOn w:val="8"/>
    <w:link w:val="2812"/>
    <w:qFormat/>
    <w:uiPriority w:val="0"/>
    <w:pPr>
      <w:tabs>
        <w:tab w:val="clear" w:pos="1008"/>
      </w:tabs>
      <w:spacing w:before="280" w:after="290" w:line="372" w:lineRule="auto"/>
      <w:ind w:left="0" w:firstLine="0"/>
    </w:pPr>
    <w:rPr>
      <w:rFonts w:ascii="宋体" w:hAnsi="宋体" w:eastAsia="黑体" w:cs="宋体"/>
      <w:b w:val="0"/>
      <w:bCs w:val="0"/>
      <w:color w:val="000000"/>
      <w:kern w:val="0"/>
      <w:sz w:val="20"/>
    </w:rPr>
  </w:style>
  <w:style w:type="character" w:customStyle="1" w:styleId="2814">
    <w:name w:val="lmy正文 Char Char"/>
    <w:link w:val="2815"/>
    <w:qFormat/>
    <w:locked/>
    <w:uiPriority w:val="0"/>
    <w:rPr>
      <w:rFonts w:ascii="宋体" w:hAnsi="宋体" w:cs="宋体"/>
      <w:color w:val="000000"/>
      <w:sz w:val="24"/>
      <w:szCs w:val="24"/>
    </w:rPr>
  </w:style>
  <w:style w:type="paragraph" w:customStyle="1" w:styleId="2815">
    <w:name w:val="lmy正文"/>
    <w:basedOn w:val="1"/>
    <w:link w:val="2814"/>
    <w:qFormat/>
    <w:uiPriority w:val="0"/>
    <w:pPr>
      <w:autoSpaceDE w:val="0"/>
      <w:autoSpaceDN w:val="0"/>
      <w:adjustRightInd w:val="0"/>
      <w:spacing w:line="300" w:lineRule="auto"/>
      <w:ind w:firstLine="480" w:firstLineChars="200"/>
      <w:jc w:val="left"/>
    </w:pPr>
    <w:rPr>
      <w:rFonts w:ascii="宋体" w:hAnsi="宋体" w:eastAsia="宋体" w:cs="宋体"/>
      <w:color w:val="000000"/>
      <w:kern w:val="0"/>
      <w:sz w:val="24"/>
      <w:szCs w:val="24"/>
    </w:rPr>
  </w:style>
  <w:style w:type="character" w:customStyle="1" w:styleId="2816">
    <w:name w:val="签名 Char3"/>
    <w:qFormat/>
    <w:uiPriority w:val="0"/>
    <w:rPr>
      <w:rFonts w:hint="eastAsia" w:ascii="宋体" w:hAnsi="宋体" w:eastAsia="宋体" w:cs="宋体"/>
      <w:kern w:val="2"/>
      <w:sz w:val="28"/>
      <w:szCs w:val="24"/>
      <w:lang w:val="en-US" w:eastAsia="zh-CN" w:bidi="ar"/>
    </w:rPr>
  </w:style>
  <w:style w:type="character" w:customStyle="1" w:styleId="2817">
    <w:name w:val="样式28 Char Char"/>
    <w:qFormat/>
    <w:locked/>
    <w:uiPriority w:val="0"/>
    <w:rPr>
      <w:rFonts w:ascii="Calibri" w:hAnsi="Calibri" w:eastAsia="宋体"/>
      <w:sz w:val="24"/>
      <w:szCs w:val="24"/>
    </w:rPr>
  </w:style>
  <w:style w:type="character" w:customStyle="1" w:styleId="2818">
    <w:name w:val="【正文】 Char Char"/>
    <w:link w:val="2819"/>
    <w:qFormat/>
    <w:locked/>
    <w:uiPriority w:val="0"/>
    <w:rPr>
      <w:rFonts w:ascii="宋体" w:hAnsi="宋体" w:cs="宋体"/>
      <w:sz w:val="24"/>
      <w:szCs w:val="24"/>
    </w:rPr>
  </w:style>
  <w:style w:type="paragraph" w:customStyle="1" w:styleId="2819">
    <w:name w:val="【正文】"/>
    <w:basedOn w:val="1"/>
    <w:link w:val="2818"/>
    <w:qFormat/>
    <w:uiPriority w:val="0"/>
    <w:pPr>
      <w:spacing w:line="360" w:lineRule="auto"/>
      <w:ind w:firstLine="200" w:firstLineChars="200"/>
    </w:pPr>
    <w:rPr>
      <w:rFonts w:ascii="宋体" w:hAnsi="宋体" w:eastAsia="宋体" w:cs="宋体"/>
      <w:kern w:val="0"/>
      <w:sz w:val="24"/>
      <w:szCs w:val="24"/>
    </w:rPr>
  </w:style>
  <w:style w:type="character" w:customStyle="1" w:styleId="2820">
    <w:name w:val="polysemyexp"/>
    <w:qFormat/>
    <w:uiPriority w:val="0"/>
    <w:rPr>
      <w:rFonts w:hint="eastAsia" w:ascii="宋体" w:hAnsi="宋体" w:eastAsia="宋体" w:cs="宋体"/>
      <w:color w:val="AAAAAA"/>
      <w:kern w:val="2"/>
      <w:sz w:val="18"/>
      <w:szCs w:val="18"/>
      <w:lang w:val="en-US" w:eastAsia="zh-CN" w:bidi="ar"/>
    </w:rPr>
  </w:style>
  <w:style w:type="character" w:customStyle="1" w:styleId="2821">
    <w:name w:val="样式 首行缩进:  1.01 厘米 Char Char Char"/>
    <w:link w:val="2822"/>
    <w:qFormat/>
    <w:locked/>
    <w:uiPriority w:val="0"/>
    <w:rPr>
      <w:rFonts w:ascii="宋体" w:hAnsi="宋体" w:cs="宋体"/>
      <w:color w:val="000000"/>
      <w:sz w:val="28"/>
      <w:szCs w:val="24"/>
    </w:rPr>
  </w:style>
  <w:style w:type="paragraph" w:customStyle="1" w:styleId="2822">
    <w:name w:val="样式 首行缩进:  1.01 厘米"/>
    <w:basedOn w:val="1"/>
    <w:link w:val="2821"/>
    <w:qFormat/>
    <w:uiPriority w:val="0"/>
    <w:pPr>
      <w:ind w:firstLine="560" w:firstLineChars="200"/>
    </w:pPr>
    <w:rPr>
      <w:rFonts w:ascii="宋体" w:hAnsi="宋体" w:eastAsia="宋体" w:cs="宋体"/>
      <w:color w:val="000000"/>
      <w:kern w:val="0"/>
      <w:szCs w:val="24"/>
    </w:rPr>
  </w:style>
  <w:style w:type="character" w:customStyle="1" w:styleId="2823">
    <w:name w:val="正文文本 2 字符"/>
    <w:qFormat/>
    <w:uiPriority w:val="0"/>
    <w:rPr>
      <w:rFonts w:hint="eastAsia" w:ascii="宋体" w:hAnsi="宋体" w:eastAsia="宋体" w:cs="宋体"/>
      <w:kern w:val="2"/>
      <w:sz w:val="21"/>
      <w:szCs w:val="24"/>
      <w:lang w:val="en-US" w:eastAsia="zh-CN" w:bidi="ar"/>
    </w:rPr>
  </w:style>
  <w:style w:type="character" w:customStyle="1" w:styleId="2824">
    <w:name w:val="字紧0.2 Char1"/>
    <w:link w:val="2825"/>
    <w:qFormat/>
    <w:locked/>
    <w:uiPriority w:val="0"/>
    <w:rPr>
      <w:rFonts w:ascii="宋体" w:hAnsi="宋体" w:cs="宋体"/>
      <w:bCs/>
      <w:color w:val="000000"/>
      <w:spacing w:val="-4"/>
      <w:sz w:val="28"/>
      <w:szCs w:val="28"/>
    </w:rPr>
  </w:style>
  <w:style w:type="paragraph" w:customStyle="1" w:styleId="2825">
    <w:name w:val="字紧0.2"/>
    <w:basedOn w:val="1"/>
    <w:link w:val="2824"/>
    <w:qFormat/>
    <w:uiPriority w:val="0"/>
    <w:pPr>
      <w:adjustRightInd w:val="0"/>
      <w:snapToGrid w:val="0"/>
      <w:spacing w:line="336" w:lineRule="auto"/>
      <w:ind w:firstLine="200" w:firstLineChars="200"/>
    </w:pPr>
    <w:rPr>
      <w:rFonts w:ascii="宋体" w:hAnsi="宋体" w:eastAsia="宋体" w:cs="宋体"/>
      <w:bCs/>
      <w:color w:val="000000"/>
      <w:spacing w:val="-4"/>
      <w:kern w:val="0"/>
      <w:szCs w:val="28"/>
    </w:rPr>
  </w:style>
  <w:style w:type="character" w:customStyle="1" w:styleId="2826">
    <w:name w:val="不明显参考1"/>
    <w:qFormat/>
    <w:uiPriority w:val="0"/>
    <w:rPr>
      <w:rFonts w:hint="eastAsia" w:ascii="宋体" w:hAnsi="宋体" w:eastAsia="宋体" w:cs="宋体"/>
      <w:smallCaps/>
      <w:color w:val="C0504D"/>
      <w:kern w:val="2"/>
      <w:sz w:val="28"/>
      <w:szCs w:val="24"/>
      <w:u w:val="single"/>
      <w:lang w:val="en-US" w:eastAsia="zh-CN" w:bidi="ar"/>
    </w:rPr>
  </w:style>
  <w:style w:type="character" w:customStyle="1" w:styleId="2827">
    <w:name w:val="正文-1 Char Char"/>
    <w:link w:val="2828"/>
    <w:qFormat/>
    <w:locked/>
    <w:uiPriority w:val="0"/>
    <w:rPr>
      <w:rFonts w:ascii="宋体" w:hAnsi="宋体" w:cs="宋体"/>
      <w:spacing w:val="4"/>
      <w:kern w:val="18"/>
      <w:sz w:val="24"/>
      <w:szCs w:val="30"/>
    </w:rPr>
  </w:style>
  <w:style w:type="paragraph" w:customStyle="1" w:styleId="2828">
    <w:name w:val="正文-1"/>
    <w:basedOn w:val="35"/>
    <w:link w:val="2827"/>
    <w:qFormat/>
    <w:uiPriority w:val="0"/>
    <w:pPr>
      <w:snapToGrid w:val="0"/>
      <w:spacing w:line="360" w:lineRule="auto"/>
      <w:ind w:firstLine="180" w:firstLineChars="180"/>
    </w:pPr>
    <w:rPr>
      <w:rFonts w:ascii="宋体" w:hAnsi="宋体" w:cs="宋体"/>
      <w:spacing w:val="4"/>
      <w:kern w:val="18"/>
      <w:sz w:val="24"/>
      <w:szCs w:val="30"/>
    </w:rPr>
  </w:style>
  <w:style w:type="character" w:customStyle="1" w:styleId="2829">
    <w:name w:val="Header Char"/>
    <w:qFormat/>
    <w:uiPriority w:val="0"/>
    <w:rPr>
      <w:rFonts w:hint="eastAsia" w:ascii="宋体" w:hAnsi="宋体" w:eastAsia="仿宋_GB2312" w:cs="宋体"/>
      <w:kern w:val="2"/>
      <w:sz w:val="18"/>
      <w:szCs w:val="18"/>
      <w:lang w:val="en-US" w:eastAsia="zh-CN" w:bidi="ar-SA"/>
    </w:rPr>
  </w:style>
  <w:style w:type="character" w:customStyle="1" w:styleId="2830">
    <w:name w:val="正文(首行缩进) Char1"/>
    <w:qFormat/>
    <w:uiPriority w:val="0"/>
    <w:rPr>
      <w:rFonts w:hint="default" w:ascii="Times New Roman" w:hAnsi="Times New Roman" w:eastAsia="宋体" w:cs="Times New Roman"/>
      <w:snapToGrid/>
      <w:color w:val="000000"/>
      <w:kern w:val="0"/>
      <w:sz w:val="24"/>
      <w:szCs w:val="24"/>
      <w:lang w:val="en-US" w:eastAsia="zh-CN" w:bidi="ar"/>
    </w:rPr>
  </w:style>
  <w:style w:type="character" w:customStyle="1" w:styleId="2831">
    <w:name w:val="纯文本 字符1"/>
    <w:qFormat/>
    <w:uiPriority w:val="0"/>
    <w:rPr>
      <w:rFonts w:hint="eastAsia" w:ascii="宋体" w:hAnsi="Courier New" w:eastAsia="宋体" w:cs="Courier New"/>
      <w:kern w:val="2"/>
      <w:sz w:val="21"/>
      <w:szCs w:val="21"/>
      <w:lang w:val="en-US" w:eastAsia="zh-CN" w:bidi="ar-SA"/>
    </w:rPr>
  </w:style>
  <w:style w:type="character" w:customStyle="1" w:styleId="2832">
    <w:name w:val="f_heading1"/>
    <w:qFormat/>
    <w:uiPriority w:val="0"/>
    <w:rPr>
      <w:rFonts w:hint="eastAsia" w:ascii="宋体" w:hAnsi="宋体" w:eastAsia="黑体" w:cs="Courier New"/>
      <w:kern w:val="2"/>
      <w:sz w:val="24"/>
      <w:szCs w:val="32"/>
      <w:lang w:val="en-US" w:eastAsia="zh-CN" w:bidi="ar-SA"/>
    </w:rPr>
  </w:style>
  <w:style w:type="character" w:customStyle="1" w:styleId="2833">
    <w:name w:val="页眉 字符"/>
    <w:qFormat/>
    <w:uiPriority w:val="99"/>
    <w:rPr>
      <w:rFonts w:hint="eastAsia" w:ascii="宋体" w:hAnsi="宋体" w:eastAsia="宋体" w:cs="宋体"/>
      <w:kern w:val="2"/>
      <w:sz w:val="18"/>
      <w:szCs w:val="18"/>
      <w:lang w:val="en-US" w:eastAsia="zh-CN" w:bidi="ar"/>
    </w:rPr>
  </w:style>
  <w:style w:type="character" w:customStyle="1" w:styleId="2834">
    <w:name w:val="报告 Char Char"/>
    <w:qFormat/>
    <w:uiPriority w:val="0"/>
    <w:rPr>
      <w:rFonts w:hint="eastAsia" w:ascii="宋体" w:hAnsi="宋体" w:eastAsia="宋体" w:cs="宋体"/>
      <w:kern w:val="2"/>
      <w:sz w:val="24"/>
      <w:szCs w:val="24"/>
      <w:lang w:val="en-US" w:eastAsia="zh-CN" w:bidi="ar-SA"/>
    </w:rPr>
  </w:style>
  <w:style w:type="character" w:customStyle="1" w:styleId="2835">
    <w:name w:val="9hei1"/>
    <w:qFormat/>
    <w:uiPriority w:val="0"/>
    <w:rPr>
      <w:rFonts w:hint="eastAsia" w:ascii="宋体" w:hAnsi="宋体" w:eastAsia="宋体" w:cs="宋体"/>
      <w:color w:val="000000"/>
      <w:kern w:val="2"/>
      <w:sz w:val="22"/>
      <w:szCs w:val="22"/>
      <w:u w:val="none"/>
      <w:lang w:val="en-US" w:eastAsia="zh-CN" w:bidi="ar"/>
    </w:rPr>
  </w:style>
  <w:style w:type="character" w:customStyle="1" w:styleId="2836">
    <w:name w:val="样式 正文文本缩进 2正文文字缩进 2 + 四号 蓝色 Char Char"/>
    <w:qFormat/>
    <w:uiPriority w:val="0"/>
    <w:rPr>
      <w:rFonts w:hint="eastAsia" w:ascii="宋体" w:hAnsi="宋体" w:eastAsia="宋体" w:cs="宋体"/>
      <w:color w:val="0000FF"/>
      <w:kern w:val="2"/>
      <w:sz w:val="24"/>
      <w:szCs w:val="24"/>
      <w:lang w:val="en-US" w:eastAsia="zh-CN" w:bidi="ar-SA"/>
    </w:rPr>
  </w:style>
  <w:style w:type="character" w:customStyle="1" w:styleId="2837">
    <w:name w:val="批注框文本 Char5"/>
    <w:qFormat/>
    <w:uiPriority w:val="0"/>
    <w:rPr>
      <w:rFonts w:hint="eastAsia" w:ascii="宋体" w:hAnsi="宋体" w:eastAsia="宋体" w:cs="宋体"/>
      <w:kern w:val="2"/>
      <w:sz w:val="18"/>
      <w:szCs w:val="18"/>
      <w:lang w:val="en-US" w:eastAsia="zh-CN" w:bidi="ar"/>
    </w:rPr>
  </w:style>
  <w:style w:type="character" w:customStyle="1" w:styleId="2838">
    <w:name w:val="称呼 Char2"/>
    <w:qFormat/>
    <w:uiPriority w:val="0"/>
    <w:rPr>
      <w:rFonts w:hint="eastAsia" w:ascii="宋体" w:hAnsi="宋体" w:eastAsia="宋体" w:cs="宋体"/>
      <w:kern w:val="2"/>
      <w:sz w:val="28"/>
      <w:szCs w:val="24"/>
      <w:lang w:val="en-US" w:eastAsia="zh-CN" w:bidi="ar"/>
    </w:rPr>
  </w:style>
  <w:style w:type="character" w:customStyle="1" w:styleId="2839">
    <w:name w:val="节标题 1.11"/>
    <w:qFormat/>
    <w:uiPriority w:val="0"/>
    <w:rPr>
      <w:rFonts w:hint="eastAsia" w:ascii="黑体" w:hAnsi="宋体" w:eastAsia="黑体" w:cs="宋体"/>
      <w:kern w:val="2"/>
      <w:sz w:val="36"/>
      <w:szCs w:val="32"/>
      <w:lang w:val="en-US" w:eastAsia="zh-CN" w:bidi="ar-SA"/>
    </w:rPr>
  </w:style>
  <w:style w:type="character" w:customStyle="1" w:styleId="2840">
    <w:name w:val="样式 标题 2 + 非加粗 Char Char"/>
    <w:qFormat/>
    <w:uiPriority w:val="0"/>
    <w:rPr>
      <w:rFonts w:hint="eastAsia" w:ascii="宋体" w:hAnsi="宋体" w:eastAsia="黑体" w:cs="宋体"/>
      <w:b/>
      <w:bCs/>
      <w:kern w:val="2"/>
      <w:sz w:val="32"/>
      <w:szCs w:val="32"/>
      <w:lang w:val="en-US" w:eastAsia="zh-CN" w:bidi="ar"/>
    </w:rPr>
  </w:style>
  <w:style w:type="character" w:customStyle="1" w:styleId="2841">
    <w:name w:val="标题 4 Char Char Char Char Char Char Char Char Char Char Char Char Char Char Char Char Char Char Char Char Char Char Char"/>
    <w:qFormat/>
    <w:uiPriority w:val="0"/>
    <w:rPr>
      <w:rFonts w:hint="default" w:ascii="Arial" w:hAnsi="Arial" w:eastAsia="黑体" w:cs="Arial"/>
      <w:b/>
      <w:bCs/>
      <w:kern w:val="2"/>
      <w:sz w:val="28"/>
      <w:szCs w:val="28"/>
      <w:lang w:val="en-US" w:eastAsia="zh-CN" w:bidi="ar-SA"/>
    </w:rPr>
  </w:style>
  <w:style w:type="character" w:customStyle="1" w:styleId="2842">
    <w:name w:val="批注主题 字符"/>
    <w:qFormat/>
    <w:uiPriority w:val="0"/>
    <w:rPr>
      <w:rFonts w:hint="eastAsia" w:ascii="宋体" w:hAnsi="宋体" w:eastAsia="宋体" w:cs="宋体"/>
      <w:b/>
      <w:bCs/>
      <w:snapToGrid w:val="0"/>
      <w:kern w:val="2"/>
      <w:sz w:val="24"/>
      <w:szCs w:val="24"/>
      <w:lang w:val="en-US" w:eastAsia="zh-CN" w:bidi="ar"/>
    </w:rPr>
  </w:style>
  <w:style w:type="character" w:customStyle="1" w:styleId="2843">
    <w:name w:val="标题 9 Char2"/>
    <w:qFormat/>
    <w:uiPriority w:val="0"/>
    <w:rPr>
      <w:rFonts w:hint="default" w:ascii="Arial" w:hAnsi="Arial" w:eastAsia="黑体" w:cs="Times New Roman"/>
      <w:kern w:val="0"/>
      <w:sz w:val="28"/>
      <w:szCs w:val="21"/>
      <w:lang w:val="en-US" w:eastAsia="zh-CN" w:bidi="ar-SA"/>
    </w:rPr>
  </w:style>
  <w:style w:type="character" w:customStyle="1" w:styleId="2844">
    <w:name w:val="批注框文本 Char1"/>
    <w:qFormat/>
    <w:uiPriority w:val="0"/>
    <w:rPr>
      <w:rFonts w:hint="default" w:ascii="Times New Roman" w:hAnsi="Times New Roman" w:eastAsia="宋体" w:cs="Times New Roman"/>
      <w:kern w:val="2"/>
      <w:sz w:val="18"/>
      <w:szCs w:val="18"/>
      <w:lang w:val="en-US" w:eastAsia="zh-CN" w:bidi="ar-SA"/>
    </w:rPr>
  </w:style>
  <w:style w:type="character" w:customStyle="1" w:styleId="2845">
    <w:name w:val="正文文本 3 Char3"/>
    <w:qFormat/>
    <w:uiPriority w:val="0"/>
    <w:rPr>
      <w:rFonts w:hint="default" w:ascii="Times New Roman" w:hAnsi="Times New Roman" w:eastAsia="宋体" w:cs="Times New Roman"/>
      <w:kern w:val="2"/>
      <w:sz w:val="28"/>
      <w:szCs w:val="20"/>
      <w:lang w:val="en-US" w:eastAsia="zh-CN" w:bidi="ar-SA"/>
    </w:rPr>
  </w:style>
  <w:style w:type="character" w:customStyle="1" w:styleId="2846">
    <w:name w:val="标题 1 字符1"/>
    <w:qFormat/>
    <w:uiPriority w:val="0"/>
    <w:rPr>
      <w:rFonts w:hint="eastAsia" w:ascii="宋体" w:hAnsi="宋体" w:eastAsia="宋体"/>
      <w:spacing w:val="-2"/>
      <w:sz w:val="28"/>
      <w:lang w:val="en-US" w:eastAsia="zh-CN" w:bidi="ar-SA"/>
    </w:rPr>
  </w:style>
  <w:style w:type="character" w:customStyle="1" w:styleId="2847">
    <w:name w:val="123YJ Char Char2"/>
    <w:qFormat/>
    <w:uiPriority w:val="0"/>
    <w:rPr>
      <w:rFonts w:hint="eastAsia" w:ascii="宋体" w:hAnsi="宋体" w:eastAsia="宋体" w:cs="宋体"/>
      <w:kern w:val="2"/>
      <w:sz w:val="18"/>
      <w:szCs w:val="18"/>
      <w:lang w:val="en-US" w:eastAsia="zh-CN" w:bidi="ar-SA"/>
    </w:rPr>
  </w:style>
  <w:style w:type="character" w:customStyle="1" w:styleId="2848">
    <w:name w:val="style231"/>
    <w:qFormat/>
    <w:uiPriority w:val="0"/>
    <w:rPr>
      <w:rFonts w:hint="eastAsia" w:ascii="宋体" w:hAnsi="宋体" w:eastAsia="宋体" w:cs="宋体"/>
      <w:color w:val="000000"/>
      <w:kern w:val="2"/>
      <w:sz w:val="18"/>
      <w:szCs w:val="18"/>
      <w:lang w:val="en-US" w:eastAsia="zh-CN" w:bidi="ar"/>
    </w:rPr>
  </w:style>
  <w:style w:type="character" w:customStyle="1" w:styleId="2849">
    <w:name w:val="文章正文 Char Char"/>
    <w:qFormat/>
    <w:uiPriority w:val="0"/>
    <w:rPr>
      <w:rFonts w:hint="eastAsia" w:ascii="宋体" w:hAnsi="宋体" w:eastAsia="宋体" w:cs="宋体"/>
      <w:kern w:val="2"/>
      <w:sz w:val="24"/>
      <w:szCs w:val="24"/>
      <w:lang w:val="en-US" w:eastAsia="zh-CN" w:bidi="ar"/>
    </w:rPr>
  </w:style>
  <w:style w:type="character" w:customStyle="1" w:styleId="2850">
    <w:name w:val="textcontents1"/>
    <w:qFormat/>
    <w:uiPriority w:val="0"/>
    <w:rPr>
      <w:rFonts w:hint="eastAsia" w:ascii="宋体" w:hAnsi="宋体" w:eastAsia="宋体" w:cs="宋体"/>
      <w:color w:val="000000"/>
      <w:kern w:val="2"/>
      <w:sz w:val="21"/>
      <w:szCs w:val="21"/>
      <w:lang w:val="en-US" w:eastAsia="zh-CN" w:bidi="ar"/>
    </w:rPr>
  </w:style>
  <w:style w:type="character" w:customStyle="1" w:styleId="2851">
    <w:name w:val="书籍标题1"/>
    <w:qFormat/>
    <w:uiPriority w:val="0"/>
    <w:rPr>
      <w:rFonts w:hint="eastAsia" w:ascii="宋体" w:hAnsi="宋体" w:eastAsia="宋体" w:cs="宋体"/>
      <w:b/>
      <w:smallCaps/>
      <w:spacing w:val="5"/>
      <w:kern w:val="2"/>
      <w:sz w:val="28"/>
      <w:szCs w:val="24"/>
      <w:lang w:val="en-US" w:eastAsia="zh-CN" w:bidi="ar"/>
    </w:rPr>
  </w:style>
  <w:style w:type="character" w:customStyle="1" w:styleId="2852">
    <w:name w:val="Char Char60"/>
    <w:qFormat/>
    <w:uiPriority w:val="0"/>
    <w:rPr>
      <w:rFonts w:hint="default" w:ascii="Times New Roman" w:hAnsi="Times New Roman" w:eastAsia="宋体" w:cs="Times New Roman"/>
      <w:kern w:val="2"/>
      <w:sz w:val="28"/>
      <w:szCs w:val="24"/>
      <w:lang w:val="en-US" w:eastAsia="zh-CN" w:bidi="ar"/>
    </w:rPr>
  </w:style>
  <w:style w:type="character" w:customStyle="1" w:styleId="2853">
    <w:name w:val="样式 黑色"/>
    <w:qFormat/>
    <w:uiPriority w:val="0"/>
    <w:rPr>
      <w:rFonts w:hint="eastAsia" w:ascii="宋体" w:hAnsi="宋体" w:eastAsia="宋体" w:cs="宋体"/>
      <w:color w:val="000000"/>
      <w:kern w:val="2"/>
      <w:sz w:val="24"/>
      <w:szCs w:val="24"/>
      <w:lang w:val="en-US" w:eastAsia="en-US" w:bidi="ar-SA"/>
    </w:rPr>
  </w:style>
  <w:style w:type="character" w:customStyle="1" w:styleId="2854">
    <w:name w:val="普通文字 Char Char Char Char Char C Char Char Char Char Char"/>
    <w:qFormat/>
    <w:uiPriority w:val="0"/>
    <w:rPr>
      <w:rFonts w:hint="eastAsia" w:ascii="宋体" w:hAnsi="Courier New" w:eastAsia="宋体" w:cs="宋体"/>
      <w:kern w:val="2"/>
      <w:sz w:val="21"/>
      <w:szCs w:val="24"/>
      <w:lang w:val="en-US" w:eastAsia="zh-CN" w:bidi="ar-SA"/>
    </w:rPr>
  </w:style>
  <w:style w:type="character" w:customStyle="1" w:styleId="2855">
    <w:name w:val="article1"/>
    <w:qFormat/>
    <w:uiPriority w:val="0"/>
    <w:rPr>
      <w:rFonts w:hint="eastAsia" w:ascii="宋体" w:hAnsi="宋体" w:eastAsia="宋体" w:cs="宋体"/>
      <w:color w:val="454545"/>
      <w:kern w:val="2"/>
      <w:sz w:val="21"/>
      <w:szCs w:val="21"/>
      <w:u w:val="none"/>
      <w:lang w:val="en-US" w:eastAsia="zh-CN" w:bidi="ar"/>
    </w:rPr>
  </w:style>
  <w:style w:type="character" w:customStyle="1" w:styleId="2856">
    <w:name w:val="电子邮件签名 Char1"/>
    <w:qFormat/>
    <w:uiPriority w:val="0"/>
    <w:rPr>
      <w:rFonts w:hint="eastAsia" w:ascii="宋体" w:hAnsi="宋体" w:eastAsia="宋体" w:cs="宋体"/>
      <w:kern w:val="2"/>
      <w:sz w:val="24"/>
      <w:szCs w:val="24"/>
      <w:lang w:val="en-US" w:eastAsia="zh-CN" w:bidi="ar"/>
    </w:rPr>
  </w:style>
  <w:style w:type="character" w:customStyle="1" w:styleId="2857">
    <w:name w:val="css-text3"/>
    <w:qFormat/>
    <w:uiPriority w:val="0"/>
    <w:rPr>
      <w:rFonts w:hint="eastAsia" w:ascii="宋体" w:hAnsi="宋体" w:eastAsia="宋体" w:cs="宋体"/>
      <w:kern w:val="2"/>
      <w:sz w:val="28"/>
      <w:szCs w:val="24"/>
      <w:lang w:val="en-US" w:eastAsia="zh-CN" w:bidi="ar"/>
    </w:rPr>
  </w:style>
  <w:style w:type="character" w:customStyle="1" w:styleId="2858">
    <w:name w:val="样式42 Char Char"/>
    <w:qFormat/>
    <w:uiPriority w:val="0"/>
    <w:rPr>
      <w:rFonts w:hint="eastAsia" w:ascii="宋体" w:hAnsi="宋体" w:eastAsia="宋体" w:cs="宋体"/>
      <w:bCs/>
      <w:color w:val="000000"/>
      <w:kern w:val="2"/>
      <w:sz w:val="24"/>
      <w:szCs w:val="24"/>
      <w:lang w:val="en-US" w:eastAsia="zh-CN" w:bidi="ar-SA"/>
    </w:rPr>
  </w:style>
  <w:style w:type="character" w:customStyle="1" w:styleId="2859">
    <w:name w:val="样式 11.5 磅1"/>
    <w:qFormat/>
    <w:uiPriority w:val="0"/>
    <w:rPr>
      <w:rFonts w:hint="eastAsia" w:ascii="宋体" w:hAnsi="宋体" w:eastAsia="宋体" w:cs="宋体"/>
      <w:kern w:val="2"/>
      <w:sz w:val="24"/>
      <w:szCs w:val="24"/>
      <w:lang w:val="en-US" w:eastAsia="zh-CN" w:bidi="ar"/>
    </w:rPr>
  </w:style>
  <w:style w:type="character" w:customStyle="1" w:styleId="2860">
    <w:name w:val="summer正文编辑样式"/>
    <w:qFormat/>
    <w:uiPriority w:val="0"/>
    <w:rPr>
      <w:rFonts w:hint="eastAsia" w:ascii="宋体" w:hAnsi="宋体" w:eastAsia="宋体" w:cs="宋体"/>
      <w:color w:val="0000FF"/>
      <w:kern w:val="0"/>
      <w:sz w:val="24"/>
      <w:szCs w:val="24"/>
      <w:lang w:val="en-US" w:eastAsia="zh-CN" w:bidi="ar"/>
    </w:rPr>
  </w:style>
  <w:style w:type="character" w:customStyle="1" w:styleId="2861">
    <w:name w:val="p18-hei"/>
    <w:qFormat/>
    <w:uiPriority w:val="0"/>
  </w:style>
  <w:style w:type="character" w:customStyle="1" w:styleId="2862">
    <w:name w:val="文档结构图 Char5"/>
    <w:qFormat/>
    <w:uiPriority w:val="0"/>
    <w:rPr>
      <w:rFonts w:hint="eastAsia" w:ascii="宋体" w:hAnsi="宋体" w:eastAsia="宋体" w:cs="宋体"/>
      <w:kern w:val="2"/>
      <w:sz w:val="18"/>
      <w:szCs w:val="18"/>
      <w:lang w:val="en-US" w:eastAsia="zh-CN" w:bidi="ar"/>
    </w:rPr>
  </w:style>
  <w:style w:type="character" w:customStyle="1" w:styleId="2863">
    <w:name w:val="p2"/>
    <w:qFormat/>
    <w:uiPriority w:val="0"/>
    <w:rPr>
      <w:rFonts w:hint="eastAsia" w:ascii="宋体" w:hAnsi="宋体" w:eastAsia="宋体" w:cs="宋体"/>
      <w:kern w:val="2"/>
      <w:sz w:val="28"/>
      <w:szCs w:val="28"/>
      <w:lang w:val="en-US" w:eastAsia="en-US" w:bidi="ar-SA"/>
    </w:rPr>
  </w:style>
  <w:style w:type="character" w:customStyle="1" w:styleId="2864">
    <w:name w:val="样式36 Char"/>
    <w:qFormat/>
    <w:uiPriority w:val="0"/>
    <w:rPr>
      <w:rFonts w:hint="eastAsia" w:ascii="宋体" w:hAnsi="宋体" w:eastAsia="宋体" w:cs="宋体"/>
      <w:color w:val="000000"/>
      <w:sz w:val="24"/>
      <w:szCs w:val="24"/>
      <w:lang w:val="en-US" w:eastAsia="zh-CN" w:bidi="ar-SA"/>
    </w:rPr>
  </w:style>
  <w:style w:type="character" w:customStyle="1" w:styleId="2865">
    <w:name w:val="Char Char181"/>
    <w:qFormat/>
    <w:uiPriority w:val="0"/>
    <w:rPr>
      <w:rFonts w:hint="default" w:ascii="Cambria" w:hAnsi="Cambria" w:eastAsia="宋体" w:cs="Times New Roman"/>
      <w:kern w:val="2"/>
      <w:sz w:val="24"/>
      <w:szCs w:val="24"/>
      <w:lang w:val="en-US" w:eastAsia="zh-CN" w:bidi="ar-SA"/>
    </w:rPr>
  </w:style>
  <w:style w:type="character" w:customStyle="1" w:styleId="2866">
    <w:name w:val="正文缩进2 Char Char Char"/>
    <w:qFormat/>
    <w:uiPriority w:val="0"/>
    <w:rPr>
      <w:rFonts w:hint="eastAsia" w:ascii="宋体" w:hAnsi="宋体" w:eastAsia="宋体" w:cs="宋体"/>
      <w:kern w:val="2"/>
      <w:sz w:val="24"/>
      <w:lang w:val="en-US" w:eastAsia="zh-CN" w:bidi="ar-SA"/>
    </w:rPr>
  </w:style>
  <w:style w:type="character" w:customStyle="1" w:styleId="2867">
    <w:name w:val="bigfont"/>
    <w:qFormat/>
    <w:uiPriority w:val="0"/>
    <w:rPr>
      <w:rFonts w:hint="eastAsia" w:ascii="宋体" w:hAnsi="宋体" w:eastAsia="宋体" w:cs="宋体"/>
      <w:kern w:val="2"/>
      <w:sz w:val="28"/>
      <w:szCs w:val="24"/>
      <w:lang w:val="en-US" w:eastAsia="zh-CN" w:bidi="ar"/>
    </w:rPr>
  </w:style>
  <w:style w:type="character" w:customStyle="1" w:styleId="2868">
    <w:name w:val="明显参考1"/>
    <w:qFormat/>
    <w:uiPriority w:val="0"/>
    <w:rPr>
      <w:rFonts w:hint="eastAsia" w:ascii="宋体" w:hAnsi="宋体" w:eastAsia="宋体" w:cs="宋体"/>
      <w:b/>
      <w:bCs/>
      <w:smallCaps/>
      <w:color w:val="C0504D"/>
      <w:spacing w:val="5"/>
      <w:kern w:val="2"/>
      <w:sz w:val="28"/>
      <w:szCs w:val="24"/>
      <w:u w:val="single"/>
      <w:lang w:val="en-US" w:eastAsia="zh-CN" w:bidi="ar"/>
    </w:rPr>
  </w:style>
  <w:style w:type="character" w:customStyle="1" w:styleId="2869">
    <w:name w:val="H7 Char3"/>
    <w:qFormat/>
    <w:uiPriority w:val="0"/>
    <w:rPr>
      <w:rFonts w:hint="eastAsia" w:ascii="宋体" w:hAnsi="宋体" w:eastAsia="宋体" w:cs="宋体"/>
      <w:b/>
      <w:bCs/>
      <w:kern w:val="2"/>
      <w:sz w:val="24"/>
      <w:szCs w:val="24"/>
      <w:lang w:val="en-US" w:eastAsia="zh-CN" w:bidi="ar-SA"/>
    </w:rPr>
  </w:style>
  <w:style w:type="character" w:customStyle="1" w:styleId="2870">
    <w:name w:val="font2"/>
    <w:qFormat/>
    <w:uiPriority w:val="0"/>
    <w:rPr>
      <w:rFonts w:hint="eastAsia" w:ascii="宋体" w:hAnsi="宋体" w:eastAsia="宋体" w:cs="宋体"/>
      <w:color w:val="336633"/>
      <w:kern w:val="2"/>
      <w:sz w:val="21"/>
      <w:szCs w:val="24"/>
      <w:lang w:val="en-US" w:eastAsia="zh-CN" w:bidi="ar"/>
    </w:rPr>
  </w:style>
  <w:style w:type="character" w:customStyle="1" w:styleId="2871">
    <w:name w:val="四级标题 Char"/>
    <w:qFormat/>
    <w:locked/>
    <w:uiPriority w:val="0"/>
    <w:rPr>
      <w:rFonts w:hint="eastAsia" w:ascii="黑体" w:hAnsi="黑体" w:eastAsia="黑体"/>
      <w:color w:val="000000"/>
      <w:kern w:val="2"/>
      <w:sz w:val="24"/>
      <w:szCs w:val="28"/>
      <w:lang w:val="en-US" w:eastAsia="zh-CN" w:bidi="ar-SA"/>
    </w:rPr>
  </w:style>
  <w:style w:type="character" w:customStyle="1" w:styleId="2872">
    <w:name w:val="weby"/>
    <w:qFormat/>
    <w:uiPriority w:val="0"/>
    <w:rPr>
      <w:rFonts w:hint="eastAsia" w:ascii="宋体" w:hAnsi="宋体" w:eastAsia="宋体" w:cs="宋体"/>
      <w:kern w:val="2"/>
      <w:sz w:val="24"/>
      <w:szCs w:val="20"/>
      <w:lang w:val="en-US" w:eastAsia="zh-CN" w:bidi="ar"/>
    </w:rPr>
  </w:style>
  <w:style w:type="character" w:customStyle="1" w:styleId="2873">
    <w:name w:val="环调标题3 Char Char"/>
    <w:qFormat/>
    <w:uiPriority w:val="0"/>
    <w:rPr>
      <w:rFonts w:hint="eastAsia" w:ascii="宋体" w:hAnsi="宋体" w:eastAsia="宋体" w:cs="宋体"/>
      <w:kern w:val="2"/>
      <w:sz w:val="28"/>
      <w:szCs w:val="24"/>
      <w:lang w:val="en-US" w:eastAsia="zh-CN" w:bidi="ar"/>
    </w:rPr>
  </w:style>
  <w:style w:type="character" w:customStyle="1" w:styleId="2874">
    <w:name w:val="样式11111 Char Char"/>
    <w:qFormat/>
    <w:uiPriority w:val="0"/>
    <w:rPr>
      <w:rFonts w:hint="eastAsia" w:ascii="宋体" w:hAnsi="宋体" w:eastAsia="宋体" w:cs="宋体"/>
      <w:color w:val="000000"/>
      <w:kern w:val="2"/>
      <w:sz w:val="24"/>
      <w:szCs w:val="24"/>
      <w:lang w:val="en-US" w:eastAsia="zh-CN" w:bidi="ar"/>
    </w:rPr>
  </w:style>
  <w:style w:type="character" w:customStyle="1" w:styleId="2875">
    <w:name w:val="样式 标题 1 + 宋体 四号 黑色 Char Char"/>
    <w:qFormat/>
    <w:uiPriority w:val="0"/>
    <w:rPr>
      <w:rFonts w:hint="eastAsia" w:ascii="宋体" w:hAnsi="宋体" w:eastAsia="黑体" w:cs="Times New Roman"/>
      <w:b/>
      <w:bCs/>
      <w:color w:val="000000"/>
      <w:kern w:val="44"/>
      <w:sz w:val="28"/>
      <w:szCs w:val="48"/>
      <w:u w:val="none" w:color="000000"/>
      <w:lang w:val="en-US" w:eastAsia="zh-CN" w:bidi="ar-SA"/>
    </w:rPr>
  </w:style>
  <w:style w:type="character" w:customStyle="1" w:styleId="2876">
    <w:name w:val="样式 表格 + 宋体 五号 Char Char"/>
    <w:qFormat/>
    <w:uiPriority w:val="0"/>
    <w:rPr>
      <w:rFonts w:hint="eastAsia" w:ascii="黑体" w:hAnsi="宋体" w:eastAsia="黑体" w:cs="Arial"/>
      <w:bCs/>
      <w:kern w:val="2"/>
      <w:sz w:val="21"/>
      <w:szCs w:val="24"/>
      <w:lang w:val="en-US" w:eastAsia="zh-CN" w:bidi="ar-SA"/>
    </w:rPr>
  </w:style>
  <w:style w:type="character" w:customStyle="1" w:styleId="2877">
    <w:name w:val="样式22 Char"/>
    <w:qFormat/>
    <w:locked/>
    <w:uiPriority w:val="0"/>
    <w:rPr>
      <w:rFonts w:hint="eastAsia" w:ascii="宋体" w:hAnsi="宋体" w:eastAsia="宋体"/>
      <w:snapToGrid/>
      <w:color w:val="000000"/>
      <w:kern w:val="2"/>
      <w:sz w:val="21"/>
      <w:szCs w:val="21"/>
      <w:lang w:val="en-US" w:eastAsia="zh-CN" w:bidi="ar-SA"/>
    </w:rPr>
  </w:style>
  <w:style w:type="character" w:customStyle="1" w:styleId="2878">
    <w:name w:val="三级 Char"/>
    <w:qFormat/>
    <w:locked/>
    <w:uiPriority w:val="0"/>
    <w:rPr>
      <w:rFonts w:hint="eastAsia" w:ascii="宋体" w:hAnsi="宋体" w:eastAsia="宋体"/>
      <w:b/>
      <w:kern w:val="2"/>
      <w:sz w:val="28"/>
      <w:szCs w:val="28"/>
      <w:lang w:val="en-US" w:eastAsia="zh-CN" w:bidi="ar-SA"/>
    </w:rPr>
  </w:style>
  <w:style w:type="character" w:customStyle="1" w:styleId="2879">
    <w:name w:val="l17-z105"/>
    <w:qFormat/>
    <w:uiPriority w:val="0"/>
    <w:rPr>
      <w:rFonts w:hint="eastAsia" w:ascii="宋体" w:hAnsi="宋体" w:eastAsia="宋体" w:cs="宋体"/>
      <w:kern w:val="2"/>
      <w:sz w:val="28"/>
      <w:szCs w:val="24"/>
      <w:lang w:val="en-US" w:eastAsia="zh-CN" w:bidi="ar"/>
    </w:rPr>
  </w:style>
  <w:style w:type="character" w:customStyle="1" w:styleId="2880">
    <w:name w:val="xb"/>
    <w:qFormat/>
    <w:uiPriority w:val="0"/>
    <w:rPr>
      <w:rFonts w:hint="eastAsia" w:ascii="宋体" w:hAnsi="宋体" w:eastAsia="宋体" w:cs="宋体"/>
      <w:kern w:val="2"/>
      <w:sz w:val="28"/>
      <w:szCs w:val="24"/>
      <w:lang w:val="en-US" w:eastAsia="zh-CN" w:bidi="ar"/>
    </w:rPr>
  </w:style>
  <w:style w:type="character" w:customStyle="1" w:styleId="2881">
    <w:name w:val="样式N Char"/>
    <w:qFormat/>
    <w:locked/>
    <w:uiPriority w:val="0"/>
    <w:rPr>
      <w:rFonts w:ascii="宋体" w:hAnsi="宋体" w:eastAsia="Arial" w:cs="宋体"/>
      <w:kern w:val="2"/>
      <w:sz w:val="28"/>
      <w:szCs w:val="24"/>
      <w:lang w:val="en-US" w:eastAsia="zh-CN" w:bidi="ar-SA"/>
    </w:rPr>
  </w:style>
  <w:style w:type="character" w:customStyle="1" w:styleId="2882">
    <w:name w:val="maintitle_disp"/>
    <w:qFormat/>
    <w:uiPriority w:val="0"/>
    <w:rPr>
      <w:rFonts w:hint="eastAsia" w:ascii="宋体" w:hAnsi="宋体" w:eastAsia="宋体" w:cs="宋体"/>
      <w:kern w:val="2"/>
      <w:sz w:val="24"/>
      <w:szCs w:val="20"/>
      <w:lang w:val="en-US" w:eastAsia="zh-CN" w:bidi="ar"/>
    </w:rPr>
  </w:style>
  <w:style w:type="character" w:customStyle="1" w:styleId="2883">
    <w:name w:val="lh151"/>
    <w:qFormat/>
    <w:uiPriority w:val="0"/>
    <w:rPr>
      <w:rFonts w:hint="eastAsia" w:ascii="宋体" w:hAnsi="宋体" w:eastAsia="宋体" w:cs="宋体"/>
      <w:kern w:val="2"/>
      <w:sz w:val="24"/>
      <w:szCs w:val="20"/>
      <w:lang w:val="en-US" w:eastAsia="zh-CN" w:bidi="ar"/>
    </w:rPr>
  </w:style>
  <w:style w:type="character" w:customStyle="1" w:styleId="2884">
    <w:name w:val="书籍标题2"/>
    <w:qFormat/>
    <w:uiPriority w:val="0"/>
    <w:rPr>
      <w:rFonts w:hint="eastAsia" w:ascii="宋体" w:hAnsi="宋体" w:eastAsia="宋体" w:cs="宋体"/>
      <w:b/>
      <w:bCs/>
      <w:smallCaps/>
      <w:spacing w:val="5"/>
      <w:kern w:val="2"/>
      <w:sz w:val="28"/>
      <w:szCs w:val="24"/>
      <w:lang w:val="en-US" w:eastAsia="zh-CN" w:bidi="ar"/>
    </w:rPr>
  </w:style>
  <w:style w:type="character" w:customStyle="1" w:styleId="2885">
    <w:name w:val="质表名"/>
    <w:qFormat/>
    <w:uiPriority w:val="0"/>
    <w:rPr>
      <w:rFonts w:hint="eastAsia" w:ascii="黑体" w:hAnsi="宋体" w:eastAsia="黑体" w:cs="宋体"/>
      <w:kern w:val="2"/>
      <w:sz w:val="28"/>
      <w:szCs w:val="24"/>
      <w:lang w:val="en-US" w:eastAsia="zh-CN" w:bidi="ar"/>
    </w:rPr>
  </w:style>
  <w:style w:type="character" w:customStyle="1" w:styleId="2886">
    <w:name w:val="报告正文 Char Char Char"/>
    <w:qFormat/>
    <w:uiPriority w:val="0"/>
    <w:rPr>
      <w:rFonts w:hint="eastAsia" w:ascii="宋体" w:hAnsi="宋体" w:eastAsia="宋体"/>
      <w:color w:val="000000"/>
      <w:kern w:val="2"/>
      <w:sz w:val="24"/>
      <w:lang w:val="en-US" w:eastAsia="zh-CN" w:bidi="ar-SA"/>
    </w:rPr>
  </w:style>
  <w:style w:type="character" w:customStyle="1" w:styleId="2887">
    <w:name w:val="正文1 Char2"/>
    <w:qFormat/>
    <w:uiPriority w:val="0"/>
    <w:rPr>
      <w:rFonts w:hint="eastAsia" w:ascii="宋体" w:hAnsi="宋体" w:eastAsia="宋体" w:cs="宋体"/>
      <w:bCs/>
      <w:kern w:val="2"/>
      <w:sz w:val="24"/>
      <w:szCs w:val="24"/>
      <w:lang w:val="en-US" w:eastAsia="zh-CN" w:bidi="ar"/>
    </w:rPr>
  </w:style>
  <w:style w:type="character" w:customStyle="1" w:styleId="2888">
    <w:name w:val="Char Char66"/>
    <w:qFormat/>
    <w:locked/>
    <w:uiPriority w:val="0"/>
    <w:rPr>
      <w:rFonts w:hint="eastAsia" w:ascii="宋体" w:hAnsi="宋体" w:eastAsia="宋体" w:cs="宋体"/>
      <w:spacing w:val="-2"/>
      <w:kern w:val="2"/>
      <w:sz w:val="28"/>
      <w:szCs w:val="24"/>
      <w:lang w:val="en-US" w:eastAsia="zh-CN" w:bidi="ar-SA"/>
    </w:rPr>
  </w:style>
  <w:style w:type="character" w:customStyle="1" w:styleId="2889">
    <w:name w:val="样式 宋体 小四 黑色 首行缩进:  1.11 厘米 行距: 固定值 24 磅 Char"/>
    <w:qFormat/>
    <w:locked/>
    <w:uiPriority w:val="0"/>
    <w:rPr>
      <w:rFonts w:hint="eastAsia" w:ascii="宋体" w:hAnsi="宋体" w:eastAsia="宋体"/>
      <w:kern w:val="2"/>
      <w:sz w:val="24"/>
      <w:szCs w:val="24"/>
      <w:lang w:bidi="ar-SA"/>
    </w:rPr>
  </w:style>
  <w:style w:type="character" w:customStyle="1" w:styleId="2890">
    <w:name w:val="表格用字 Char Char1"/>
    <w:qFormat/>
    <w:uiPriority w:val="0"/>
    <w:rPr>
      <w:rFonts w:hint="eastAsia" w:ascii="宋体" w:hAnsi="宋体" w:eastAsia="仿宋_GB2312" w:cs="宋体"/>
      <w:bCs/>
      <w:kern w:val="2"/>
      <w:sz w:val="24"/>
      <w:szCs w:val="21"/>
      <w:lang w:val="en-US" w:eastAsia="zh-CN" w:bidi="ar-SA"/>
    </w:rPr>
  </w:style>
  <w:style w:type="character" w:customStyle="1" w:styleId="2891">
    <w:name w:val="Char Char64"/>
    <w:qFormat/>
    <w:uiPriority w:val="0"/>
    <w:rPr>
      <w:rFonts w:hint="default" w:ascii="Times New Roman" w:hAnsi="Times New Roman" w:eastAsia="宋体" w:cs="Times New Roman"/>
      <w:kern w:val="2"/>
      <w:sz w:val="28"/>
      <w:szCs w:val="24"/>
      <w:lang w:val="en-US" w:eastAsia="zh-CN" w:bidi="ar"/>
    </w:rPr>
  </w:style>
  <w:style w:type="character" w:customStyle="1" w:styleId="2892">
    <w:name w:val="Char Char231"/>
    <w:qFormat/>
    <w:uiPriority w:val="0"/>
    <w:rPr>
      <w:rFonts w:hint="default" w:ascii="Arial" w:hAnsi="Arial" w:eastAsia="黑体" w:cs="宋体"/>
      <w:snapToGrid w:val="0"/>
      <w:kern w:val="2"/>
      <w:sz w:val="21"/>
      <w:szCs w:val="21"/>
      <w:lang w:val="en-US" w:eastAsia="zh-CN" w:bidi="ar-SA"/>
    </w:rPr>
  </w:style>
  <w:style w:type="character" w:customStyle="1" w:styleId="2893">
    <w:name w:val="粤东核电报告正文 Char Char Char Char Char"/>
    <w:qFormat/>
    <w:uiPriority w:val="0"/>
    <w:rPr>
      <w:rFonts w:hint="eastAsia" w:ascii="宋体" w:hAnsi="宋体" w:eastAsia="宋体" w:cs="宋体"/>
      <w:b/>
      <w:kern w:val="2"/>
      <w:sz w:val="24"/>
      <w:szCs w:val="24"/>
      <w:lang w:val="en-US" w:eastAsia="zh-CN" w:bidi="ar-SA"/>
    </w:rPr>
  </w:style>
  <w:style w:type="character" w:customStyle="1" w:styleId="2894">
    <w:name w:val="表格五号字"/>
    <w:qFormat/>
    <w:uiPriority w:val="0"/>
    <w:rPr>
      <w:rFonts w:hint="eastAsia" w:ascii="宋体" w:hAnsi="宋体" w:eastAsia="宋体" w:cs="宋体"/>
      <w:kern w:val="2"/>
      <w:sz w:val="21"/>
      <w:szCs w:val="24"/>
      <w:lang w:val="en-US" w:eastAsia="zh-CN" w:bidi="ar"/>
    </w:rPr>
  </w:style>
  <w:style w:type="character" w:customStyle="1" w:styleId="2895">
    <w:name w:val="电子邮件签名 Char3"/>
    <w:qFormat/>
    <w:uiPriority w:val="0"/>
    <w:rPr>
      <w:rFonts w:hint="eastAsia" w:ascii="宋体" w:hAnsi="宋体" w:eastAsia="宋体" w:cs="宋体"/>
      <w:kern w:val="2"/>
      <w:sz w:val="28"/>
      <w:szCs w:val="24"/>
      <w:lang w:val="en-US" w:eastAsia="zh-CN" w:bidi="ar"/>
    </w:rPr>
  </w:style>
  <w:style w:type="character" w:customStyle="1" w:styleId="2896">
    <w:name w:val="Char Char Char Char Char Char Char Char2"/>
    <w:qFormat/>
    <w:uiPriority w:val="0"/>
    <w:rPr>
      <w:rFonts w:hint="eastAsia" w:ascii="宋体" w:hAnsi="宋体" w:eastAsia="宋体" w:cs="宋体"/>
      <w:kern w:val="2"/>
      <w:sz w:val="21"/>
      <w:szCs w:val="24"/>
      <w:lang w:val="en-US" w:eastAsia="zh-CN" w:bidi="ar"/>
    </w:rPr>
  </w:style>
  <w:style w:type="character" w:customStyle="1" w:styleId="2897">
    <w:name w:val="正文标准样式 Char Char Char"/>
    <w:qFormat/>
    <w:uiPriority w:val="0"/>
    <w:rPr>
      <w:rFonts w:hint="eastAsia" w:ascii="宋体" w:hAnsi="宋体" w:eastAsia="宋体" w:cs="宋体"/>
      <w:kern w:val="2"/>
      <w:sz w:val="24"/>
      <w:szCs w:val="24"/>
      <w:lang w:val="en-US" w:eastAsia="zh-CN" w:bidi="ar-SA"/>
    </w:rPr>
  </w:style>
  <w:style w:type="character" w:customStyle="1" w:styleId="2898">
    <w:name w:val="style391"/>
    <w:qFormat/>
    <w:uiPriority w:val="0"/>
    <w:rPr>
      <w:rFonts w:hint="eastAsia" w:ascii="宋体" w:hAnsi="宋体" w:eastAsia="宋体" w:cs="宋体"/>
      <w:kern w:val="2"/>
      <w:sz w:val="18"/>
      <w:szCs w:val="18"/>
      <w:lang w:val="en-US" w:eastAsia="zh-CN" w:bidi="ar"/>
    </w:rPr>
  </w:style>
  <w:style w:type="character" w:customStyle="1" w:styleId="2899">
    <w:name w:val="样式 正文首行缩进 2 + 首行缩进:  2 字符1 Char1"/>
    <w:qFormat/>
    <w:uiPriority w:val="0"/>
    <w:rPr>
      <w:rFonts w:hint="eastAsia" w:ascii="黑体" w:hAnsi="黑体" w:eastAsia="宋体" w:cs="宋体"/>
      <w:bCs/>
      <w:kern w:val="2"/>
      <w:sz w:val="24"/>
      <w:szCs w:val="24"/>
      <w:lang w:val="en-US" w:eastAsia="zh-CN" w:bidi="ar-SA"/>
    </w:rPr>
  </w:style>
  <w:style w:type="character" w:customStyle="1" w:styleId="2900">
    <w:name w:val="报告表格内文 Char Char"/>
    <w:qFormat/>
    <w:uiPriority w:val="0"/>
    <w:rPr>
      <w:rFonts w:hint="eastAsia" w:ascii="宋体" w:hAnsi="宋体" w:eastAsia="宋体" w:cs="宋体"/>
      <w:bCs/>
      <w:color w:val="000000"/>
      <w:kern w:val="2"/>
      <w:sz w:val="21"/>
      <w:szCs w:val="24"/>
      <w:lang w:val="en-US" w:eastAsia="zh-CN" w:bidi="ar-SA"/>
    </w:rPr>
  </w:style>
  <w:style w:type="character" w:customStyle="1" w:styleId="2901">
    <w:name w:val="表、图名 Char Char"/>
    <w:link w:val="1405"/>
    <w:qFormat/>
    <w:locked/>
    <w:uiPriority w:val="0"/>
    <w:rPr>
      <w:rFonts w:ascii="黑体" w:hAnsi="宋体" w:eastAsia="黑体"/>
      <w:color w:val="000000"/>
      <w:sz w:val="24"/>
      <w:szCs w:val="24"/>
      <w:lang w:val="en-US" w:eastAsia="zh-CN"/>
    </w:rPr>
  </w:style>
  <w:style w:type="character" w:customStyle="1" w:styleId="2902">
    <w:name w:val="articlebody1"/>
    <w:qFormat/>
    <w:uiPriority w:val="0"/>
    <w:rPr>
      <w:rFonts w:hint="eastAsia" w:ascii="宋体" w:hAnsi="宋体" w:eastAsia="宋体" w:cs="宋体"/>
      <w:kern w:val="2"/>
      <w:sz w:val="21"/>
      <w:szCs w:val="21"/>
      <w:lang w:val="en-US" w:eastAsia="zh-CN" w:bidi="ar"/>
    </w:rPr>
  </w:style>
  <w:style w:type="character" w:customStyle="1" w:styleId="2903">
    <w:name w:val="不明显参考2"/>
    <w:qFormat/>
    <w:uiPriority w:val="0"/>
    <w:rPr>
      <w:rFonts w:hint="eastAsia" w:ascii="宋体" w:hAnsi="宋体" w:eastAsia="宋体" w:cs="宋体"/>
      <w:smallCaps/>
      <w:color w:val="C0504D"/>
      <w:kern w:val="2"/>
      <w:sz w:val="28"/>
      <w:szCs w:val="24"/>
      <w:u w:val="single"/>
      <w:lang w:val="en-US" w:eastAsia="zh-CN" w:bidi="ar"/>
    </w:rPr>
  </w:style>
  <w:style w:type="character" w:customStyle="1" w:styleId="2904">
    <w:name w:val="ggtitle"/>
    <w:qFormat/>
    <w:uiPriority w:val="0"/>
    <w:rPr>
      <w:rFonts w:hint="eastAsia" w:ascii="宋体" w:hAnsi="宋体" w:eastAsia="宋体" w:cs="宋体"/>
      <w:kern w:val="2"/>
      <w:sz w:val="28"/>
      <w:szCs w:val="24"/>
      <w:lang w:val="en-US" w:eastAsia="zh-CN" w:bidi="ar"/>
    </w:rPr>
  </w:style>
  <w:style w:type="character" w:customStyle="1" w:styleId="2905">
    <w:name w:val="不明显强调2"/>
    <w:qFormat/>
    <w:uiPriority w:val="0"/>
    <w:rPr>
      <w:rFonts w:hint="eastAsia" w:ascii="宋体" w:hAnsi="宋体" w:eastAsia="宋体" w:cs="宋体"/>
      <w:i/>
      <w:iCs/>
      <w:color w:val="808080"/>
      <w:kern w:val="2"/>
      <w:sz w:val="28"/>
      <w:szCs w:val="24"/>
      <w:lang w:val="en-US" w:eastAsia="zh-CN" w:bidi="ar"/>
    </w:rPr>
  </w:style>
  <w:style w:type="character" w:customStyle="1" w:styleId="2906">
    <w:name w:val="dectext1"/>
    <w:qFormat/>
    <w:uiPriority w:val="0"/>
    <w:rPr>
      <w:rFonts w:hint="eastAsia" w:ascii="宋体" w:hAnsi="宋体" w:eastAsia="宋体" w:cs="宋体"/>
      <w:color w:val="333333"/>
      <w:kern w:val="2"/>
      <w:sz w:val="21"/>
      <w:szCs w:val="21"/>
      <w:u w:val="none"/>
      <w:lang w:val="en-US" w:eastAsia="zh-CN" w:bidi="ar"/>
    </w:rPr>
  </w:style>
  <w:style w:type="character" w:customStyle="1" w:styleId="2907">
    <w:name w:val="副标题 字符1"/>
    <w:qFormat/>
    <w:uiPriority w:val="0"/>
    <w:rPr>
      <w:rFonts w:hint="default" w:ascii="Cambria" w:hAnsi="Cambria" w:eastAsia="宋体"/>
      <w:b/>
      <w:bCs/>
      <w:kern w:val="28"/>
      <w:sz w:val="32"/>
      <w:szCs w:val="32"/>
      <w:lang w:val="en-US" w:eastAsia="zh-CN" w:bidi="ar-SA"/>
    </w:rPr>
  </w:style>
  <w:style w:type="character" w:customStyle="1" w:styleId="2908">
    <w:name w:val="正文文本缩进 3 字符1"/>
    <w:qFormat/>
    <w:uiPriority w:val="0"/>
    <w:rPr>
      <w:sz w:val="28"/>
      <w:szCs w:val="24"/>
      <w:lang w:bidi="ar-SA"/>
    </w:rPr>
  </w:style>
  <w:style w:type="character" w:customStyle="1" w:styleId="2909">
    <w:name w:val="样式41 Char Char Char"/>
    <w:qFormat/>
    <w:uiPriority w:val="0"/>
    <w:rPr>
      <w:rFonts w:hint="eastAsia" w:ascii="宋体" w:hAnsi="宋体" w:eastAsia="宋体" w:cs="仿宋_GB2312"/>
      <w:b/>
      <w:bCs/>
      <w:color w:val="000000"/>
      <w:kern w:val="2"/>
      <w:sz w:val="28"/>
      <w:szCs w:val="28"/>
      <w:lang w:val="en-US" w:eastAsia="zh-CN" w:bidi="ar-SA"/>
    </w:rPr>
  </w:style>
  <w:style w:type="character" w:customStyle="1" w:styleId="2910">
    <w:name w:val="z-窗体顶端 Char1"/>
    <w:qFormat/>
    <w:uiPriority w:val="0"/>
    <w:rPr>
      <w:rFonts w:hint="default" w:ascii="Arial" w:hAnsi="Arial" w:eastAsia="宋体" w:cs="Arial"/>
      <w:vanish/>
      <w:kern w:val="2"/>
      <w:sz w:val="16"/>
      <w:szCs w:val="16"/>
      <w:lang w:val="en-US" w:eastAsia="zh-CN" w:bidi="ar-SA"/>
    </w:rPr>
  </w:style>
  <w:style w:type="character" w:customStyle="1" w:styleId="2911">
    <w:name w:val="sub-dash Char1"/>
    <w:qFormat/>
    <w:uiPriority w:val="0"/>
    <w:rPr>
      <w:rFonts w:hint="default" w:ascii="Arial" w:hAnsi="Arial" w:eastAsia="黑体" w:cs="Arial"/>
      <w:kern w:val="2"/>
      <w:sz w:val="28"/>
      <w:szCs w:val="24"/>
      <w:lang w:val="en-US" w:eastAsia="zh-CN" w:bidi="ar-SA"/>
    </w:rPr>
  </w:style>
  <w:style w:type="character" w:customStyle="1" w:styleId="2912">
    <w:name w:val="tx9pt1"/>
    <w:qFormat/>
    <w:uiPriority w:val="0"/>
    <w:rPr>
      <w:rFonts w:hint="eastAsia" w:ascii="宋体" w:hAnsi="宋体" w:eastAsia="宋体" w:cs="宋体"/>
      <w:kern w:val="2"/>
      <w:sz w:val="18"/>
      <w:szCs w:val="18"/>
      <w:u w:val="none"/>
      <w:lang w:val="en-US" w:eastAsia="zh-CN" w:bidi="ar"/>
    </w:rPr>
  </w:style>
  <w:style w:type="character" w:customStyle="1" w:styleId="2913">
    <w:name w:val="Char Char Char Char Char2"/>
    <w:qFormat/>
    <w:uiPriority w:val="0"/>
    <w:rPr>
      <w:rFonts w:hint="eastAsia" w:ascii="宋体" w:hAnsi="宋体" w:eastAsia="宋体" w:cs="宋体"/>
      <w:kern w:val="2"/>
      <w:sz w:val="21"/>
      <w:szCs w:val="24"/>
      <w:lang w:val="en-US" w:eastAsia="zh-CN" w:bidi="ar"/>
    </w:rPr>
  </w:style>
  <w:style w:type="character" w:customStyle="1" w:styleId="2914">
    <w:name w:val="slink1"/>
    <w:qFormat/>
    <w:uiPriority w:val="0"/>
    <w:rPr>
      <w:rFonts w:hint="default" w:ascii="ˎ̥" w:hAnsi="ˎ̥" w:eastAsia="宋体" w:cs="宋体"/>
      <w:kern w:val="2"/>
      <w:sz w:val="18"/>
      <w:szCs w:val="18"/>
      <w:u w:val="none"/>
      <w:lang w:val="en-US" w:eastAsia="zh-CN" w:bidi="ar"/>
    </w:rPr>
  </w:style>
  <w:style w:type="character" w:customStyle="1" w:styleId="2915">
    <w:name w:val="content1"/>
    <w:qFormat/>
    <w:uiPriority w:val="0"/>
    <w:rPr>
      <w:rFonts w:hint="eastAsia" w:ascii="宋体" w:hAnsi="宋体" w:eastAsia="宋体" w:cs="宋体"/>
      <w:kern w:val="2"/>
      <w:sz w:val="21"/>
      <w:szCs w:val="21"/>
      <w:lang w:val="en-US" w:eastAsia="zh-CN" w:bidi="ar-SA"/>
    </w:rPr>
  </w:style>
  <w:style w:type="character" w:customStyle="1" w:styleId="2916">
    <w:name w:val="特殊正文 Char"/>
    <w:qFormat/>
    <w:uiPriority w:val="0"/>
    <w:rPr>
      <w:rFonts w:hint="eastAsia" w:ascii="华文新魏" w:hAnsi="宋体" w:eastAsia="华文新魏" w:cs="宋体"/>
      <w:b/>
      <w:bCs/>
      <w:kern w:val="2"/>
      <w:sz w:val="32"/>
      <w:szCs w:val="32"/>
      <w:lang w:val="en-US" w:eastAsia="zh-CN" w:bidi="ar-SA"/>
    </w:rPr>
  </w:style>
  <w:style w:type="character" w:customStyle="1" w:styleId="2917">
    <w:name w:val="zt1"/>
    <w:qFormat/>
    <w:uiPriority w:val="0"/>
    <w:rPr>
      <w:rFonts w:hint="eastAsia" w:ascii="宋体" w:hAnsi="宋体" w:eastAsia="宋体" w:cs="宋体"/>
      <w:kern w:val="2"/>
      <w:sz w:val="18"/>
      <w:szCs w:val="18"/>
      <w:lang w:val="en-US" w:eastAsia="zh-CN" w:bidi="ar"/>
    </w:rPr>
  </w:style>
  <w:style w:type="character" w:customStyle="1" w:styleId="2918">
    <w:name w:val="注释标题 字符"/>
    <w:qFormat/>
    <w:uiPriority w:val="0"/>
    <w:rPr>
      <w:rFonts w:hint="eastAsia" w:ascii="宋体" w:hAnsi="宋体" w:eastAsia="宋体" w:cs="宋体"/>
      <w:kern w:val="2"/>
      <w:sz w:val="24"/>
      <w:szCs w:val="24"/>
      <w:lang w:val="en-US" w:eastAsia="zh-CN" w:bidi="ar"/>
    </w:rPr>
  </w:style>
  <w:style w:type="character" w:customStyle="1" w:styleId="2919">
    <w:name w:val="正文文本缩进 2 Char4"/>
    <w:qFormat/>
    <w:uiPriority w:val="0"/>
    <w:rPr>
      <w:rFonts w:hint="eastAsia" w:ascii="宋体" w:hAnsi="宋体" w:eastAsia="宋体" w:cs="宋体"/>
      <w:kern w:val="2"/>
      <w:sz w:val="21"/>
      <w:szCs w:val="21"/>
      <w:lang w:val="en-US" w:eastAsia="zh-CN" w:bidi="ar"/>
    </w:rPr>
  </w:style>
  <w:style w:type="character" w:customStyle="1" w:styleId="2920">
    <w:name w:val="yqlink"/>
    <w:qFormat/>
    <w:uiPriority w:val="0"/>
    <w:rPr>
      <w:rFonts w:hint="eastAsia" w:ascii="宋体" w:hAnsi="宋体" w:eastAsia="宋体" w:cs="宋体"/>
      <w:kern w:val="2"/>
      <w:sz w:val="28"/>
      <w:szCs w:val="24"/>
      <w:lang w:val="en-US" w:eastAsia="zh-CN" w:bidi="ar"/>
    </w:rPr>
  </w:style>
  <w:style w:type="character" w:customStyle="1" w:styleId="2921">
    <w:name w:val="nodetitle"/>
    <w:qFormat/>
    <w:uiPriority w:val="0"/>
    <w:rPr>
      <w:rFonts w:hint="default" w:ascii="ˎ̥" w:hAnsi="ˎ̥" w:eastAsia="宋体" w:cs="宋体"/>
      <w:b/>
      <w:bCs/>
      <w:kern w:val="2"/>
      <w:sz w:val="24"/>
      <w:szCs w:val="24"/>
      <w:lang w:val="en-US" w:eastAsia="zh-CN" w:bidi="ar"/>
    </w:rPr>
  </w:style>
  <w:style w:type="character" w:customStyle="1" w:styleId="2922">
    <w:name w:val="海南化工城正文 Char Char Char"/>
    <w:qFormat/>
    <w:uiPriority w:val="0"/>
    <w:rPr>
      <w:rFonts w:hint="eastAsia" w:ascii="宋体" w:hAnsi="宋体" w:eastAsia="宋体"/>
      <w:kern w:val="2"/>
      <w:sz w:val="24"/>
      <w:lang w:bidi="ar-SA"/>
    </w:rPr>
  </w:style>
  <w:style w:type="character" w:customStyle="1" w:styleId="2923">
    <w:name w:val="表头YHY Char Char Char"/>
    <w:qFormat/>
    <w:uiPriority w:val="0"/>
    <w:rPr>
      <w:rFonts w:hint="eastAsia" w:ascii="黑体" w:hAnsi="黑体" w:eastAsia="黑体"/>
      <w:kern w:val="2"/>
      <w:sz w:val="21"/>
      <w:lang w:val="en-US" w:eastAsia="zh-CN" w:bidi="ar-SA"/>
    </w:rPr>
  </w:style>
  <w:style w:type="character" w:customStyle="1" w:styleId="2924">
    <w:name w:val="标题 4 Char Char Char Char Char Char Char Char Char Char Char Char Char Char Char Char Char Char Char Char Char Char Char Char Char1"/>
    <w:qFormat/>
    <w:uiPriority w:val="0"/>
    <w:rPr>
      <w:rFonts w:hint="default" w:ascii="Arial" w:hAnsi="Arial" w:eastAsia="宋体" w:cs="Times New Roman"/>
      <w:kern w:val="2"/>
      <w:sz w:val="28"/>
      <w:szCs w:val="20"/>
      <w:lang w:val="en-US" w:eastAsia="zh-CN" w:bidi="ar-SA"/>
    </w:rPr>
  </w:style>
  <w:style w:type="character" w:customStyle="1" w:styleId="2925">
    <w:name w:val="报告标题3 Char Char Char Char"/>
    <w:qFormat/>
    <w:uiPriority w:val="0"/>
    <w:rPr>
      <w:rFonts w:hint="eastAsia" w:ascii="宋体" w:hAnsi="宋体" w:eastAsia="宋体"/>
      <w:b/>
      <w:snapToGrid/>
      <w:color w:val="000000"/>
      <w:sz w:val="28"/>
      <w:szCs w:val="32"/>
      <w:lang w:val="en-US" w:eastAsia="zh-CN" w:bidi="ar-SA"/>
    </w:rPr>
  </w:style>
  <w:style w:type="character" w:customStyle="1" w:styleId="2926">
    <w:name w:val="Char Char182"/>
    <w:qFormat/>
    <w:uiPriority w:val="0"/>
    <w:rPr>
      <w:rFonts w:hint="eastAsia" w:ascii="宋体" w:hAnsi="宋体" w:eastAsia="宋体" w:cs="宋体"/>
      <w:b/>
      <w:bCs/>
      <w:kern w:val="2"/>
      <w:sz w:val="24"/>
      <w:szCs w:val="24"/>
      <w:lang w:val="en-US" w:eastAsia="zh-CN" w:bidi="ar-SA"/>
    </w:rPr>
  </w:style>
  <w:style w:type="character" w:customStyle="1" w:styleId="2927">
    <w:name w:val="s"/>
    <w:qFormat/>
    <w:uiPriority w:val="0"/>
    <w:rPr>
      <w:rFonts w:hint="eastAsia" w:ascii="宋体" w:hAnsi="宋体" w:eastAsia="宋体" w:cs="宋体"/>
      <w:kern w:val="2"/>
      <w:sz w:val="28"/>
      <w:szCs w:val="24"/>
      <w:lang w:val="en-US" w:eastAsia="zh-CN" w:bidi="ar"/>
    </w:rPr>
  </w:style>
  <w:style w:type="character" w:customStyle="1" w:styleId="2928">
    <w:name w:val="标题 3 字符1"/>
    <w:qFormat/>
    <w:uiPriority w:val="0"/>
    <w:rPr>
      <w:rFonts w:hint="eastAsia" w:ascii="宋体" w:hAnsi="宋体" w:eastAsia="宋体"/>
      <w:b/>
      <w:bCs/>
      <w:spacing w:val="-2"/>
      <w:sz w:val="32"/>
      <w:szCs w:val="32"/>
      <w:lang w:val="en-US" w:eastAsia="zh-CN" w:bidi="ar-SA"/>
    </w:rPr>
  </w:style>
  <w:style w:type="character" w:customStyle="1" w:styleId="2929">
    <w:name w:val="unnamed1"/>
    <w:qFormat/>
    <w:uiPriority w:val="0"/>
    <w:rPr>
      <w:rFonts w:hint="eastAsia" w:ascii="宋体" w:hAnsi="宋体" w:eastAsia="宋体" w:cs="宋体"/>
      <w:kern w:val="2"/>
      <w:sz w:val="28"/>
      <w:szCs w:val="24"/>
      <w:lang w:val="en-US" w:eastAsia="zh-CN" w:bidi="ar"/>
    </w:rPr>
  </w:style>
  <w:style w:type="character" w:customStyle="1" w:styleId="2930">
    <w:name w:val="标题 4 Char Char Char Char Char Char Char Char Char Char Char Char Char Char Char Char Char Char Char Char Char Char Char Char Char Char"/>
    <w:qFormat/>
    <w:uiPriority w:val="0"/>
    <w:rPr>
      <w:rFonts w:hint="default" w:ascii="Arial" w:hAnsi="Arial" w:eastAsia="宋体" w:cs="Times New Roman"/>
      <w:kern w:val="2"/>
      <w:sz w:val="28"/>
      <w:szCs w:val="20"/>
      <w:lang w:val="en-US" w:eastAsia="zh-CN" w:bidi="ar-SA"/>
    </w:rPr>
  </w:style>
  <w:style w:type="character" w:customStyle="1" w:styleId="2931">
    <w:name w:val="H8 Char3"/>
    <w:qFormat/>
    <w:uiPriority w:val="0"/>
    <w:rPr>
      <w:rFonts w:hint="default" w:ascii="Arial" w:hAnsi="Arial" w:eastAsia="黑体" w:cs="宋体"/>
      <w:kern w:val="2"/>
      <w:sz w:val="24"/>
      <w:szCs w:val="24"/>
      <w:lang w:val="en-US" w:eastAsia="zh-CN" w:bidi="ar-SA"/>
    </w:rPr>
  </w:style>
  <w:style w:type="character" w:customStyle="1" w:styleId="2932">
    <w:name w:val="z-窗体底端 Char2"/>
    <w:qFormat/>
    <w:uiPriority w:val="0"/>
    <w:rPr>
      <w:rFonts w:hint="default" w:ascii="Arial" w:hAnsi="Arial" w:eastAsia="宋体" w:cs="Arial"/>
      <w:vanish/>
      <w:kern w:val="2"/>
      <w:sz w:val="16"/>
      <w:szCs w:val="16"/>
      <w:lang w:val="en-US" w:eastAsia="zh-CN" w:bidi="ar-SA"/>
    </w:rPr>
  </w:style>
  <w:style w:type="character" w:customStyle="1" w:styleId="2933">
    <w:name w:val="正文段落 Char Char Char Char"/>
    <w:qFormat/>
    <w:uiPriority w:val="0"/>
    <w:rPr>
      <w:rFonts w:hint="eastAsia" w:ascii="宋体" w:hAnsi="宋体" w:eastAsia="宋体"/>
      <w:sz w:val="24"/>
      <w:szCs w:val="24"/>
      <w:lang w:bidi="ar-SA"/>
    </w:rPr>
  </w:style>
  <w:style w:type="character" w:customStyle="1" w:styleId="2934">
    <w:name w:val="Char Char2"/>
    <w:qFormat/>
    <w:locked/>
    <w:uiPriority w:val="0"/>
    <w:rPr>
      <w:rFonts w:ascii="Arial" w:hAnsi="Arial" w:eastAsia="宋体" w:cs="Arial"/>
      <w:vanish/>
      <w:kern w:val="2"/>
      <w:sz w:val="16"/>
      <w:szCs w:val="16"/>
      <w:lang w:val="en-US" w:eastAsia="zh-CN" w:bidi="ar-SA"/>
    </w:rPr>
  </w:style>
  <w:style w:type="character" w:customStyle="1" w:styleId="2935">
    <w:name w:val="11号线四级目录 Char"/>
    <w:qFormat/>
    <w:uiPriority w:val="0"/>
    <w:rPr>
      <w:rFonts w:hint="eastAsia" w:ascii="宋体" w:hAnsi="宋体" w:eastAsia="宋体" w:cs="宋体"/>
      <w:kern w:val="2"/>
      <w:sz w:val="28"/>
      <w:szCs w:val="28"/>
      <w:lang w:val="en-US" w:eastAsia="zh-CN" w:bidi="ar-SA"/>
    </w:rPr>
  </w:style>
  <w:style w:type="paragraph" w:customStyle="1" w:styleId="2936">
    <w:name w:val="表格（小）"/>
    <w:basedOn w:val="1"/>
    <w:qFormat/>
    <w:uiPriority w:val="0"/>
    <w:pPr>
      <w:adjustRightInd w:val="0"/>
      <w:snapToGrid w:val="0"/>
    </w:pPr>
    <w:rPr>
      <w:rFonts w:eastAsia="宋体" w:cs="黑体"/>
      <w:spacing w:val="-2"/>
      <w:kern w:val="0"/>
      <w:sz w:val="24"/>
    </w:rPr>
  </w:style>
  <w:style w:type="paragraph" w:customStyle="1" w:styleId="2937">
    <w:name w:val="样式 标题 2H2h2heading 2+ Indent: Left 0.25 in二级节名1.1  heading...3"/>
    <w:basedOn w:val="4"/>
    <w:qFormat/>
    <w:uiPriority w:val="0"/>
    <w:pPr>
      <w:keepNext w:val="0"/>
      <w:keepLines w:val="0"/>
      <w:tabs>
        <w:tab w:val="left" w:pos="0"/>
        <w:tab w:val="left" w:pos="1476"/>
        <w:tab w:val="clear" w:pos="567"/>
      </w:tabs>
      <w:spacing w:before="0" w:beforeLines="100" w:after="0" w:line="520" w:lineRule="exact"/>
      <w:ind w:left="840" w:hanging="420"/>
      <w:jc w:val="left"/>
    </w:pPr>
    <w:rPr>
      <w:rFonts w:ascii="宋体" w:hAnsi="宋体" w:eastAsia="宋体" w:cs="宋体"/>
      <w:b/>
      <w:bCs/>
      <w:spacing w:val="-2"/>
      <w:sz w:val="30"/>
      <w:lang w:val="zh-CN"/>
    </w:rPr>
  </w:style>
  <w:style w:type="character" w:customStyle="1" w:styleId="2938">
    <w:name w:val="正文文本 Char6"/>
    <w:semiHidden/>
    <w:qFormat/>
    <w:uiPriority w:val="99"/>
    <w:rPr>
      <w:rFonts w:ascii="Times New Roman" w:hAnsi="Times New Roman" w:eastAsia="仿宋_GB2312" w:cs="Times New Roman"/>
      <w:sz w:val="28"/>
      <w:szCs w:val="20"/>
    </w:rPr>
  </w:style>
  <w:style w:type="character" w:customStyle="1" w:styleId="2939">
    <w:name w:val="正文首行缩进 Char1"/>
    <w:qFormat/>
    <w:uiPriority w:val="0"/>
  </w:style>
  <w:style w:type="paragraph" w:customStyle="1" w:styleId="2940">
    <w:name w:val="样式 标题一 + 首行缩进:  2 字符 段前: 0.5 行 段后: 0.8 行"/>
    <w:basedOn w:val="1"/>
    <w:qFormat/>
    <w:uiPriority w:val="0"/>
    <w:pPr>
      <w:adjustRightInd w:val="0"/>
      <w:snapToGrid w:val="0"/>
      <w:spacing w:beforeLines="50"/>
      <w:ind w:firstLine="200" w:firstLineChars="200"/>
    </w:pPr>
    <w:rPr>
      <w:rFonts w:eastAsia="黑体" w:cs="宋体"/>
      <w:b/>
      <w:bCs/>
      <w:spacing w:val="-2"/>
      <w:kern w:val="0"/>
    </w:rPr>
  </w:style>
  <w:style w:type="paragraph" w:customStyle="1" w:styleId="2941">
    <w:name w:val="333333333"/>
    <w:basedOn w:val="1"/>
    <w:qFormat/>
    <w:uiPriority w:val="0"/>
    <w:pPr>
      <w:keepNext/>
      <w:keepLines/>
      <w:tabs>
        <w:tab w:val="left" w:pos="1260"/>
      </w:tabs>
      <w:spacing w:before="50" w:after="50" w:line="360" w:lineRule="auto"/>
      <w:ind w:left="1260" w:hanging="420"/>
      <w:outlineLvl w:val="2"/>
    </w:pPr>
    <w:rPr>
      <w:rFonts w:ascii="宋体" w:hAnsi="宋体" w:eastAsia="宋体" w:cs="Arial Unicode MS"/>
      <w:b/>
      <w:color w:val="000000"/>
      <w:spacing w:val="-2"/>
      <w:kern w:val="0"/>
      <w:sz w:val="24"/>
    </w:rPr>
  </w:style>
  <w:style w:type="paragraph" w:customStyle="1" w:styleId="2942">
    <w:name w:val="批注主题1"/>
    <w:basedOn w:val="28"/>
    <w:next w:val="28"/>
    <w:qFormat/>
    <w:uiPriority w:val="0"/>
    <w:rPr>
      <w:rFonts w:ascii="宋体" w:hAnsi="宋体" w:eastAsia="宋体" w:cs="宋体"/>
      <w:b/>
      <w:kern w:val="0"/>
      <w:sz w:val="24"/>
      <w:szCs w:val="22"/>
    </w:rPr>
  </w:style>
  <w:style w:type="character" w:customStyle="1" w:styleId="2943">
    <w:name w:val="签名 Char1"/>
    <w:semiHidden/>
    <w:qFormat/>
    <w:uiPriority w:val="99"/>
    <w:rPr>
      <w:rFonts w:ascii="Times New Roman" w:hAnsi="Times New Roman" w:eastAsia="仿宋_GB2312" w:cs="Times New Roman"/>
      <w:sz w:val="28"/>
      <w:szCs w:val="20"/>
    </w:rPr>
  </w:style>
  <w:style w:type="character" w:customStyle="1" w:styleId="2944">
    <w:name w:val="批注框文本 Char3"/>
    <w:semiHidden/>
    <w:qFormat/>
    <w:uiPriority w:val="99"/>
    <w:rPr>
      <w:rFonts w:ascii="Times New Roman" w:hAnsi="Times New Roman" w:eastAsia="仿宋_GB2312" w:cs="Times New Roman"/>
      <w:sz w:val="18"/>
      <w:szCs w:val="18"/>
    </w:rPr>
  </w:style>
  <w:style w:type="character" w:customStyle="1" w:styleId="2945">
    <w:name w:val="尾注文本 Char1"/>
    <w:qFormat/>
    <w:uiPriority w:val="0"/>
    <w:rPr>
      <w:rFonts w:ascii="Times New Roman" w:hAnsi="Times New Roman" w:eastAsia="仿宋_GB2312" w:cs="Times New Roman"/>
      <w:sz w:val="28"/>
      <w:szCs w:val="20"/>
    </w:rPr>
  </w:style>
  <w:style w:type="paragraph" w:customStyle="1" w:styleId="2946">
    <w:name w:val="mb151"/>
    <w:basedOn w:val="1"/>
    <w:qFormat/>
    <w:uiPriority w:val="0"/>
    <w:pPr>
      <w:widowControl/>
      <w:spacing w:before="100" w:beforeAutospacing="1" w:after="225"/>
      <w:jc w:val="left"/>
    </w:pPr>
    <w:rPr>
      <w:rFonts w:ascii="宋体" w:hAnsi="Calibri" w:eastAsia="宋体" w:cs="宋体"/>
      <w:spacing w:val="-2"/>
      <w:kern w:val="0"/>
      <w:sz w:val="24"/>
      <w:szCs w:val="21"/>
    </w:rPr>
  </w:style>
  <w:style w:type="character" w:customStyle="1" w:styleId="2947">
    <w:name w:val="称呼 Char3"/>
    <w:semiHidden/>
    <w:qFormat/>
    <w:uiPriority w:val="99"/>
    <w:rPr>
      <w:rFonts w:ascii="Times New Roman" w:hAnsi="Times New Roman" w:eastAsia="仿宋_GB2312" w:cs="Times New Roman"/>
      <w:sz w:val="28"/>
      <w:szCs w:val="20"/>
    </w:rPr>
  </w:style>
  <w:style w:type="character" w:customStyle="1" w:styleId="2948">
    <w:name w:val="电子邮件签名 Char4"/>
    <w:semiHidden/>
    <w:qFormat/>
    <w:uiPriority w:val="99"/>
    <w:rPr>
      <w:rFonts w:ascii="Times New Roman" w:hAnsi="Times New Roman" w:eastAsia="仿宋_GB2312" w:cs="Times New Roman"/>
      <w:sz w:val="28"/>
      <w:szCs w:val="20"/>
    </w:rPr>
  </w:style>
  <w:style w:type="paragraph" w:customStyle="1" w:styleId="2949">
    <w:name w:val="Char2 Char Char Char Char Char Char Char Char Char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2950">
    <w:name w:val="文件名和路径"/>
    <w:qFormat/>
    <w:uiPriority w:val="0"/>
    <w:pPr>
      <w:widowControl w:val="0"/>
      <w:jc w:val="both"/>
    </w:pPr>
    <w:rPr>
      <w:rFonts w:ascii="Times New Roman" w:hAnsi="Times New Roman" w:eastAsia="宋体" w:cs="Times New Roman"/>
      <w:lang w:val="en-US" w:eastAsia="zh-CN" w:bidi="ar-SA"/>
    </w:rPr>
  </w:style>
  <w:style w:type="character" w:customStyle="1" w:styleId="2951">
    <w:name w:val="日期 Char2"/>
    <w:semiHidden/>
    <w:qFormat/>
    <w:uiPriority w:val="99"/>
    <w:rPr>
      <w:rFonts w:ascii="Times New Roman" w:hAnsi="Times New Roman" w:eastAsia="仿宋_GB2312" w:cs="Times New Roman"/>
      <w:sz w:val="28"/>
      <w:szCs w:val="20"/>
    </w:rPr>
  </w:style>
  <w:style w:type="paragraph" w:customStyle="1" w:styleId="2952">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2953">
    <w:name w:val="con14"/>
    <w:basedOn w:val="1"/>
    <w:qFormat/>
    <w:uiPriority w:val="0"/>
    <w:pPr>
      <w:spacing w:before="100" w:beforeAutospacing="1" w:after="100" w:afterAutospacing="1"/>
      <w:ind w:firstLine="200" w:firstLineChars="200"/>
    </w:pPr>
    <w:rPr>
      <w:rFonts w:ascii="Arial Unicode MS" w:hAnsi="Arial Unicode MS" w:eastAsia="Arial Unicode MS" w:cs="黑体"/>
      <w:color w:val="000000"/>
      <w:spacing w:val="-2"/>
      <w:kern w:val="0"/>
      <w:sz w:val="20"/>
    </w:rPr>
  </w:style>
  <w:style w:type="character" w:customStyle="1" w:styleId="2954">
    <w:name w:val="结束语 Char3"/>
    <w:semiHidden/>
    <w:qFormat/>
    <w:uiPriority w:val="99"/>
    <w:rPr>
      <w:rFonts w:ascii="Times New Roman" w:hAnsi="Times New Roman" w:eastAsia="仿宋_GB2312" w:cs="Times New Roman"/>
      <w:sz w:val="28"/>
      <w:szCs w:val="20"/>
    </w:rPr>
  </w:style>
  <w:style w:type="character" w:customStyle="1" w:styleId="2955">
    <w:name w:val="脚注文本 Char1"/>
    <w:qFormat/>
    <w:uiPriority w:val="0"/>
    <w:rPr>
      <w:rFonts w:ascii="Times New Roman" w:hAnsi="Times New Roman" w:eastAsia="仿宋_GB2312" w:cs="Times New Roman"/>
      <w:sz w:val="18"/>
      <w:szCs w:val="18"/>
    </w:rPr>
  </w:style>
  <w:style w:type="character" w:customStyle="1" w:styleId="2956">
    <w:name w:val="注释标题 Char4"/>
    <w:semiHidden/>
    <w:qFormat/>
    <w:uiPriority w:val="99"/>
    <w:rPr>
      <w:rFonts w:ascii="Times New Roman" w:hAnsi="Times New Roman" w:eastAsia="仿宋_GB2312" w:cs="Times New Roman"/>
      <w:sz w:val="28"/>
      <w:szCs w:val="20"/>
    </w:rPr>
  </w:style>
  <w:style w:type="paragraph" w:customStyle="1" w:styleId="2957">
    <w:name w:val="xl20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2958">
    <w:name w:val="样式 标题 1文章标题一、章节H1Otsikko 1Eia标题1－1 + 段前: 0.5 行 段后: 0.5 行"/>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character" w:customStyle="1" w:styleId="2959">
    <w:name w:val="副标题 Char3"/>
    <w:qFormat/>
    <w:uiPriority w:val="11"/>
    <w:rPr>
      <w:rFonts w:ascii="Cambria" w:hAnsi="Cambria" w:eastAsia="宋体" w:cs="Times New Roman"/>
      <w:b/>
      <w:bCs/>
      <w:kern w:val="28"/>
      <w:sz w:val="32"/>
      <w:szCs w:val="32"/>
    </w:rPr>
  </w:style>
  <w:style w:type="paragraph" w:customStyle="1" w:styleId="2960">
    <w:name w:val="普通(网站)2"/>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2961">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2962">
    <w:name w:val="Char Char Char Char Char Char Char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character" w:customStyle="1" w:styleId="2963">
    <w:name w:val="正文文本缩进 2 Char2"/>
    <w:qFormat/>
    <w:uiPriority w:val="0"/>
    <w:rPr>
      <w:rFonts w:ascii="Times New Roman" w:hAnsi="Times New Roman" w:eastAsia="仿宋_GB2312" w:cs="Times New Roman"/>
      <w:sz w:val="28"/>
      <w:szCs w:val="20"/>
    </w:rPr>
  </w:style>
  <w:style w:type="paragraph" w:customStyle="1" w:styleId="2964">
    <w:name w:val="enc-txt1"/>
    <w:basedOn w:val="1"/>
    <w:qFormat/>
    <w:uiPriority w:val="0"/>
    <w:pPr>
      <w:widowControl/>
      <w:spacing w:before="100" w:beforeAutospacing="1" w:after="100" w:afterAutospacing="1" w:line="330" w:lineRule="atLeast"/>
      <w:jc w:val="left"/>
    </w:pPr>
    <w:rPr>
      <w:rFonts w:ascii="宋体" w:hAnsi="Calibri" w:eastAsia="宋体" w:cs="宋体"/>
      <w:spacing w:val="-2"/>
      <w:kern w:val="0"/>
      <w:sz w:val="20"/>
    </w:rPr>
  </w:style>
  <w:style w:type="paragraph" w:customStyle="1" w:styleId="2965">
    <w:name w:val="框图"/>
    <w:basedOn w:val="1"/>
    <w:qFormat/>
    <w:uiPriority w:val="0"/>
    <w:pPr>
      <w:spacing w:line="240" w:lineRule="exact"/>
      <w:jc w:val="center"/>
    </w:pPr>
    <w:rPr>
      <w:rFonts w:eastAsia="宋体" w:cs="黑体"/>
      <w:spacing w:val="-2"/>
      <w:kern w:val="0"/>
      <w:sz w:val="24"/>
      <w:szCs w:val="21"/>
    </w:rPr>
  </w:style>
  <w:style w:type="paragraph" w:customStyle="1" w:styleId="2966">
    <w:name w:val="标 题 2"/>
    <w:basedOn w:val="4"/>
    <w:qFormat/>
    <w:uiPriority w:val="0"/>
    <w:pPr>
      <w:keepNext w:val="0"/>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bCs/>
      <w:spacing w:val="-2"/>
      <w:kern w:val="0"/>
      <w:sz w:val="30"/>
    </w:rPr>
  </w:style>
  <w:style w:type="character" w:customStyle="1" w:styleId="2967">
    <w:name w:val="文档结构图 Char3"/>
    <w:qFormat/>
    <w:uiPriority w:val="0"/>
    <w:rPr>
      <w:rFonts w:ascii="宋体" w:hAnsi="Times New Roman" w:eastAsia="宋体" w:cs="Times New Roman"/>
      <w:sz w:val="18"/>
      <w:szCs w:val="18"/>
    </w:rPr>
  </w:style>
  <w:style w:type="paragraph" w:customStyle="1" w:styleId="2968">
    <w:name w:val="样式 正文编号（1） +"/>
    <w:basedOn w:val="1"/>
    <w:qFormat/>
    <w:uiPriority w:val="0"/>
    <w:pPr>
      <w:tabs>
        <w:tab w:val="left" w:pos="360"/>
        <w:tab w:val="left" w:pos="572"/>
      </w:tabs>
      <w:spacing w:line="520" w:lineRule="exact"/>
      <w:ind w:left="360" w:hanging="360"/>
    </w:pPr>
    <w:rPr>
      <w:rFonts w:eastAsia="宋体" w:cs="黑体"/>
      <w:spacing w:val="-2"/>
      <w:kern w:val="0"/>
    </w:rPr>
  </w:style>
  <w:style w:type="character" w:customStyle="1" w:styleId="2969">
    <w:name w:val="HTML 地址 Char2"/>
    <w:semiHidden/>
    <w:qFormat/>
    <w:uiPriority w:val="99"/>
    <w:rPr>
      <w:rFonts w:ascii="Times New Roman" w:hAnsi="Times New Roman" w:eastAsia="仿宋_GB2312" w:cs="Times New Roman"/>
      <w:i/>
      <w:iCs/>
      <w:sz w:val="28"/>
      <w:szCs w:val="20"/>
    </w:rPr>
  </w:style>
  <w:style w:type="paragraph" w:customStyle="1" w:styleId="2970">
    <w:name w:val="Char1 Char Char Char Char Char Char1"/>
    <w:basedOn w:val="1"/>
    <w:qFormat/>
    <w:uiPriority w:val="0"/>
    <w:pPr>
      <w:ind w:left="-48"/>
    </w:pPr>
    <w:rPr>
      <w:rFonts w:eastAsia="宋体" w:cs="黑体"/>
      <w:spacing w:val="-2"/>
      <w:kern w:val="0"/>
    </w:rPr>
  </w:style>
  <w:style w:type="paragraph" w:customStyle="1" w:styleId="2971">
    <w:name w:val="封面其它文字"/>
    <w:basedOn w:val="1"/>
    <w:qFormat/>
    <w:uiPriority w:val="0"/>
    <w:pPr>
      <w:keepNext/>
      <w:keepLines/>
      <w:jc w:val="center"/>
      <w:outlineLvl w:val="0"/>
    </w:pPr>
    <w:rPr>
      <w:rFonts w:eastAsia="宋体" w:cs="黑体"/>
      <w:spacing w:val="-2"/>
      <w:kern w:val="0"/>
      <w:sz w:val="36"/>
    </w:rPr>
  </w:style>
  <w:style w:type="paragraph" w:customStyle="1" w:styleId="2972">
    <w:name w:val="authority"/>
    <w:basedOn w:val="1"/>
    <w:qFormat/>
    <w:uiPriority w:val="0"/>
    <w:pPr>
      <w:widowControl/>
      <w:spacing w:before="100" w:beforeAutospacing="1" w:after="450" w:line="300" w:lineRule="atLeast"/>
      <w:jc w:val="left"/>
    </w:pPr>
    <w:rPr>
      <w:rFonts w:ascii="宋体" w:hAnsi="Calibri" w:eastAsia="宋体" w:cs="宋体"/>
      <w:spacing w:val="-2"/>
      <w:kern w:val="0"/>
      <w:sz w:val="18"/>
      <w:szCs w:val="18"/>
    </w:rPr>
  </w:style>
  <w:style w:type="paragraph" w:customStyle="1" w:styleId="2973">
    <w:name w:val="正文 + 宋体"/>
    <w:basedOn w:val="1"/>
    <w:qFormat/>
    <w:uiPriority w:val="0"/>
    <w:pPr>
      <w:spacing w:line="360" w:lineRule="auto"/>
      <w:ind w:firstLine="420"/>
    </w:pPr>
    <w:rPr>
      <w:rFonts w:ascii="宋体" w:hAnsi="宋体" w:eastAsia="宋体" w:cs="黑体"/>
      <w:spacing w:val="-2"/>
      <w:kern w:val="0"/>
      <w:sz w:val="24"/>
    </w:rPr>
  </w:style>
  <w:style w:type="paragraph" w:customStyle="1" w:styleId="2974">
    <w:name w:val="over"/>
    <w:basedOn w:val="1"/>
    <w:qFormat/>
    <w:uiPriority w:val="0"/>
    <w:pPr>
      <w:widowControl/>
      <w:pBdr>
        <w:top w:val="single" w:color="EFEFEF" w:sz="6" w:space="0"/>
        <w:left w:val="single" w:color="EFEFEF" w:sz="6" w:space="0"/>
      </w:pBdr>
      <w:shd w:val="clear" w:color="auto" w:fill="EFEFEF"/>
      <w:spacing w:before="100" w:beforeAutospacing="1" w:after="100" w:afterAutospacing="1"/>
      <w:jc w:val="left"/>
    </w:pPr>
    <w:rPr>
      <w:rFonts w:ascii="Arial Unicode MS" w:hAnsi="Arial Unicode MS" w:eastAsia="Arial Unicode MS" w:cs="黑体"/>
      <w:color w:val="000000"/>
      <w:spacing w:val="-2"/>
      <w:kern w:val="0"/>
      <w:sz w:val="18"/>
    </w:rPr>
  </w:style>
  <w:style w:type="paragraph" w:customStyle="1" w:styleId="2975">
    <w:name w:val="样式 (西文) 仿宋_GB2312 (中文) 仿宋_GB2312 黑色 段前: 0.5 行 行距: 1.5 倍行距 左..."/>
    <w:basedOn w:val="1"/>
    <w:qFormat/>
    <w:uiPriority w:val="0"/>
    <w:pPr>
      <w:spacing w:line="300" w:lineRule="auto"/>
      <w:ind w:left="450" w:leftChars="450" w:firstLine="50" w:firstLineChars="50"/>
    </w:pPr>
    <w:rPr>
      <w:rFonts w:ascii="仿宋_GB2312" w:hAnsi="Calibri" w:cs="黑体"/>
      <w:color w:val="000000"/>
      <w:spacing w:val="-2"/>
      <w:kern w:val="0"/>
    </w:rPr>
  </w:style>
  <w:style w:type="paragraph" w:customStyle="1" w:styleId="2976">
    <w:name w:val="样式 四号 首行缩进:  0.85 厘米 段前: 6 磅 行距: 1.5 倍行距"/>
    <w:basedOn w:val="1"/>
    <w:qFormat/>
    <w:uiPriority w:val="0"/>
    <w:pPr>
      <w:spacing w:before="120" w:line="360" w:lineRule="auto"/>
      <w:ind w:firstLine="567"/>
    </w:pPr>
    <w:rPr>
      <w:rFonts w:eastAsia="宋体" w:cs="宋体"/>
      <w:spacing w:val="-2"/>
      <w:kern w:val="0"/>
    </w:rPr>
  </w:style>
  <w:style w:type="paragraph" w:customStyle="1" w:styleId="2977">
    <w:name w:val="列表2"/>
    <w:basedOn w:val="67"/>
    <w:qFormat/>
    <w:uiPriority w:val="0"/>
    <w:pPr>
      <w:autoSpaceDE/>
      <w:autoSpaceDN/>
      <w:snapToGrid w:val="0"/>
      <w:spacing w:line="400" w:lineRule="exact"/>
      <w:ind w:left="0" w:firstLine="0" w:firstLineChars="0"/>
      <w:jc w:val="both"/>
      <w:textAlignment w:val="auto"/>
    </w:pPr>
    <w:rPr>
      <w:rFonts w:ascii="Times New Roman" w:cs="黑体"/>
      <w:spacing w:val="-2"/>
      <w:sz w:val="24"/>
    </w:rPr>
  </w:style>
  <w:style w:type="paragraph" w:customStyle="1" w:styleId="2978">
    <w:name w:val="样式 样式 样式 标题 3 + 段前: 0.5 行 段后: 0.5 行 + Times New Roman 四号 段前: 0.5...1"/>
    <w:basedOn w:val="1"/>
    <w:qFormat/>
    <w:uiPriority w:val="99"/>
    <w:pPr>
      <w:keepNext/>
      <w:keepLines/>
      <w:spacing w:before="120" w:beforeLines="100" w:after="120" w:afterLines="100"/>
      <w:outlineLvl w:val="2"/>
    </w:pPr>
    <w:rPr>
      <w:rFonts w:eastAsia="宋体" w:cs="宋体"/>
      <w:b/>
      <w:bCs/>
      <w:kern w:val="0"/>
      <w:sz w:val="32"/>
    </w:rPr>
  </w:style>
  <w:style w:type="paragraph" w:customStyle="1" w:styleId="2979">
    <w:name w:val="xl1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00"/>
      <w:spacing w:val="-2"/>
      <w:kern w:val="0"/>
      <w:sz w:val="24"/>
    </w:rPr>
  </w:style>
  <w:style w:type="character" w:customStyle="1" w:styleId="2980">
    <w:name w:val="批注文字 Char2"/>
    <w:qFormat/>
    <w:uiPriority w:val="0"/>
    <w:rPr>
      <w:rFonts w:ascii="Times New Roman" w:hAnsi="Times New Roman" w:eastAsia="仿宋_GB2312" w:cs="Times New Roman"/>
      <w:sz w:val="28"/>
      <w:szCs w:val="20"/>
    </w:rPr>
  </w:style>
  <w:style w:type="paragraph" w:customStyle="1" w:styleId="2981">
    <w:name w:val="表格 1"/>
    <w:basedOn w:val="1"/>
    <w:qFormat/>
    <w:uiPriority w:val="0"/>
    <w:pPr>
      <w:autoSpaceDE w:val="0"/>
      <w:autoSpaceDN w:val="0"/>
      <w:jc w:val="center"/>
    </w:pPr>
    <w:rPr>
      <w:rFonts w:eastAsia="楷体_GB2312" w:cs="黑体"/>
      <w:spacing w:val="-2"/>
      <w:kern w:val="0"/>
    </w:rPr>
  </w:style>
  <w:style w:type="paragraph" w:customStyle="1" w:styleId="2982">
    <w:name w:val="样式 段前: 0.3 行 段后: 0.3 行"/>
    <w:basedOn w:val="1"/>
    <w:qFormat/>
    <w:uiPriority w:val="99"/>
    <w:pPr>
      <w:tabs>
        <w:tab w:val="left" w:pos="4920"/>
      </w:tabs>
      <w:adjustRightInd w:val="0"/>
      <w:snapToGrid w:val="0"/>
      <w:spacing w:before="120" w:after="120"/>
    </w:pPr>
    <w:rPr>
      <w:rFonts w:eastAsia="宋体" w:cs="宋体"/>
      <w:b/>
      <w:kern w:val="0"/>
      <w:sz w:val="21"/>
      <w:szCs w:val="21"/>
    </w:rPr>
  </w:style>
  <w:style w:type="character" w:customStyle="1" w:styleId="2983">
    <w:name w:val="正文文本 3 Char6"/>
    <w:semiHidden/>
    <w:qFormat/>
    <w:uiPriority w:val="99"/>
    <w:rPr>
      <w:rFonts w:ascii="Times New Roman" w:hAnsi="Times New Roman" w:eastAsia="仿宋_GB2312" w:cs="Times New Roman"/>
      <w:sz w:val="16"/>
      <w:szCs w:val="16"/>
    </w:rPr>
  </w:style>
  <w:style w:type="paragraph" w:customStyle="1" w:styleId="2984">
    <w:name w:val="样式 样式 样式 首行缩进:  2 字符 + 首行缩进:  2 字符 + 首行缩进:  2 字符"/>
    <w:basedOn w:val="1"/>
    <w:qFormat/>
    <w:uiPriority w:val="0"/>
    <w:pPr>
      <w:snapToGrid w:val="0"/>
      <w:spacing w:before="120" w:after="120"/>
      <w:ind w:firstLine="200" w:firstLineChars="200"/>
    </w:pPr>
    <w:rPr>
      <w:rFonts w:eastAsia="宋体" w:cs="宋体"/>
      <w:spacing w:val="-2"/>
      <w:kern w:val="0"/>
      <w:sz w:val="24"/>
    </w:rPr>
  </w:style>
  <w:style w:type="paragraph" w:customStyle="1" w:styleId="2985">
    <w:name w:val="样式 样式 标题 4标题 14 + 自动设置 + 无下划线"/>
    <w:basedOn w:val="1"/>
    <w:qFormat/>
    <w:uiPriority w:val="0"/>
    <w:pPr>
      <w:keepNext/>
      <w:tabs>
        <w:tab w:val="left" w:pos="2162"/>
      </w:tabs>
      <w:adjustRightInd w:val="0"/>
      <w:snapToGrid w:val="0"/>
      <w:ind w:left="2162" w:hanging="420"/>
      <w:outlineLvl w:val="3"/>
    </w:pPr>
    <w:rPr>
      <w:rFonts w:eastAsia="黑体" w:cs="黑体"/>
      <w:spacing w:val="-2"/>
      <w:kern w:val="0"/>
      <w:sz w:val="24"/>
    </w:rPr>
  </w:style>
  <w:style w:type="paragraph" w:customStyle="1" w:styleId="2986">
    <w:name w:val="样式 小五 首行缩进: 0字符"/>
    <w:basedOn w:val="1"/>
    <w:qFormat/>
    <w:uiPriority w:val="0"/>
    <w:pPr>
      <w:snapToGrid w:val="0"/>
      <w:ind w:firstLine="200" w:firstLineChars="200"/>
    </w:pPr>
    <w:rPr>
      <w:rFonts w:eastAsia="宋体" w:cs="宋体"/>
      <w:spacing w:val="-2"/>
      <w:kern w:val="0"/>
      <w:sz w:val="18"/>
    </w:rPr>
  </w:style>
  <w:style w:type="paragraph" w:customStyle="1" w:styleId="2987">
    <w:name w:val="样式 标题 2H2h2heading 2+ Indent: Left 0.25 in二级节名1.1  heading...2"/>
    <w:basedOn w:val="4"/>
    <w:qFormat/>
    <w:uiPriority w:val="0"/>
    <w:pPr>
      <w:keepNext w:val="0"/>
      <w:keepLines w:val="0"/>
      <w:tabs>
        <w:tab w:val="left" w:pos="0"/>
        <w:tab w:val="left" w:pos="1476"/>
        <w:tab w:val="clear" w:pos="567"/>
      </w:tabs>
      <w:spacing w:before="0" w:beforeLines="100" w:after="0" w:line="520" w:lineRule="exact"/>
      <w:ind w:left="840" w:hanging="420"/>
      <w:jc w:val="left"/>
    </w:pPr>
    <w:rPr>
      <w:rFonts w:ascii="宋体" w:hAnsi="宋体" w:eastAsia="宋体" w:cs="宋体"/>
      <w:b/>
      <w:bCs/>
      <w:spacing w:val="-2"/>
      <w:sz w:val="30"/>
      <w:lang w:val="zh-CN"/>
    </w:rPr>
  </w:style>
  <w:style w:type="paragraph" w:customStyle="1" w:styleId="2988">
    <w:name w:val="Char Char281"/>
    <w:basedOn w:val="1"/>
    <w:qFormat/>
    <w:uiPriority w:val="0"/>
    <w:pPr>
      <w:tabs>
        <w:tab w:val="left" w:pos="630"/>
      </w:tabs>
      <w:spacing w:beforeLines="50" w:line="360" w:lineRule="auto"/>
      <w:ind w:left="630" w:hanging="432"/>
      <w:jc w:val="left"/>
    </w:pPr>
    <w:rPr>
      <w:rFonts w:ascii="宋体" w:hAnsi="宋体" w:eastAsia="黑体" w:cs="宋体"/>
      <w:spacing w:val="-2"/>
      <w:kern w:val="0"/>
      <w:szCs w:val="30"/>
    </w:rPr>
  </w:style>
  <w:style w:type="paragraph" w:customStyle="1" w:styleId="2989">
    <w:name w:val="Losange 3"/>
    <w:basedOn w:val="1"/>
    <w:qFormat/>
    <w:uiPriority w:val="0"/>
    <w:pPr>
      <w:widowControl/>
      <w:tabs>
        <w:tab w:val="left" w:pos="360"/>
      </w:tabs>
      <w:overflowPunct w:val="0"/>
      <w:autoSpaceDE w:val="0"/>
      <w:autoSpaceDN w:val="0"/>
      <w:adjustRightInd w:val="0"/>
      <w:spacing w:before="120"/>
      <w:ind w:left="360" w:hanging="360" w:hangingChars="200"/>
    </w:pPr>
    <w:rPr>
      <w:rFonts w:ascii="Arial" w:hAnsi="Arial" w:eastAsia="宋体" w:cs="黑体"/>
      <w:color w:val="000000"/>
      <w:spacing w:val="-2"/>
      <w:kern w:val="0"/>
      <w:sz w:val="22"/>
      <w:lang w:val="en-GB"/>
    </w:rPr>
  </w:style>
  <w:style w:type="character" w:customStyle="1" w:styleId="2990">
    <w:name w:val="正文文本缩进 3 Char2"/>
    <w:qFormat/>
    <w:uiPriority w:val="0"/>
    <w:rPr>
      <w:rFonts w:ascii="Times New Roman" w:hAnsi="Times New Roman" w:eastAsia="仿宋_GB2312" w:cs="Times New Roman"/>
      <w:sz w:val="16"/>
      <w:szCs w:val="16"/>
    </w:rPr>
  </w:style>
  <w:style w:type="paragraph" w:customStyle="1" w:styleId="2991">
    <w:name w:val="Char Char Char Char Char Char Char3"/>
    <w:basedOn w:val="1"/>
    <w:qFormat/>
    <w:uiPriority w:val="0"/>
    <w:pPr>
      <w:snapToGrid w:val="0"/>
      <w:spacing w:line="440" w:lineRule="atLeast"/>
    </w:pPr>
    <w:rPr>
      <w:rFonts w:ascii="宋体" w:hAnsi="Calibri" w:eastAsia="宋体" w:cs="黑体"/>
      <w:spacing w:val="-2"/>
      <w:kern w:val="0"/>
      <w:sz w:val="24"/>
    </w:rPr>
  </w:style>
  <w:style w:type="paragraph" w:customStyle="1" w:styleId="2992">
    <w:name w:val="样式 目录 2 + 段后: 0.5 行 行距: 单倍行距 首行缩进:  2.25 字符"/>
    <w:basedOn w:val="75"/>
    <w:qFormat/>
    <w:uiPriority w:val="99"/>
    <w:pPr>
      <w:widowControl/>
      <w:tabs>
        <w:tab w:val="right" w:leader="dot" w:pos="8296"/>
        <w:tab w:val="clear" w:pos="1120"/>
        <w:tab w:val="clear" w:pos="8767"/>
      </w:tabs>
      <w:spacing w:line="240" w:lineRule="auto"/>
      <w:ind w:left="-1" w:leftChars="-199" w:firstLine="225" w:firstLineChars="225"/>
      <w:jc w:val="both"/>
    </w:pPr>
    <w:rPr>
      <w:rFonts w:ascii="Times New Roman" w:hAnsi="Times New Roman" w:cs="宋体"/>
      <w:smallCaps w:val="0"/>
      <w:sz w:val="24"/>
      <w:szCs w:val="20"/>
    </w:rPr>
  </w:style>
  <w:style w:type="paragraph" w:customStyle="1" w:styleId="2993">
    <w:name w:val="目录"/>
    <w:qFormat/>
    <w:uiPriority w:val="99"/>
    <w:rPr>
      <w:rFonts w:ascii="隶书" w:hAnsi="Times New Roman" w:eastAsia="隶书" w:cs="Times New Roman"/>
      <w:kern w:val="2"/>
      <w:sz w:val="44"/>
      <w:szCs w:val="44"/>
      <w:lang w:val="en-US" w:eastAsia="zh-CN" w:bidi="ar-SA"/>
    </w:rPr>
  </w:style>
  <w:style w:type="paragraph" w:customStyle="1" w:styleId="2994">
    <w:name w:val="more-link-noinfo"/>
    <w:basedOn w:val="1"/>
    <w:qFormat/>
    <w:uiPriority w:val="0"/>
    <w:pPr>
      <w:widowControl/>
      <w:pBdr>
        <w:top w:val="dashed" w:color="DEDFE1"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2995">
    <w:name w:val="数字表格"/>
    <w:basedOn w:val="1"/>
    <w:qFormat/>
    <w:uiPriority w:val="0"/>
    <w:pPr>
      <w:ind w:left="300" w:right="-1" w:rightChars="-1" w:hanging="300" w:hangingChars="300"/>
      <w:jc w:val="center"/>
    </w:pPr>
    <w:rPr>
      <w:rFonts w:ascii="宋体" w:hAnsi="Calibri" w:eastAsia="宋体" w:cs="黑体"/>
      <w:spacing w:val="-2"/>
      <w:kern w:val="0"/>
      <w:sz w:val="24"/>
      <w:szCs w:val="16"/>
    </w:rPr>
  </w:style>
  <w:style w:type="paragraph" w:customStyle="1" w:styleId="2996">
    <w:name w:val="slide"/>
    <w:basedOn w:val="1"/>
    <w:qFormat/>
    <w:uiPriority w:val="0"/>
    <w:pPr>
      <w:widowControl/>
      <w:spacing w:before="100" w:beforeAutospacing="1" w:after="100" w:afterAutospacing="1"/>
      <w:jc w:val="left"/>
    </w:pPr>
    <w:rPr>
      <w:rFonts w:ascii="宋体" w:hAnsi="Calibri" w:eastAsia="宋体" w:cs="宋体"/>
      <w:spacing w:val="-2"/>
      <w:kern w:val="0"/>
      <w:sz w:val="2"/>
      <w:szCs w:val="2"/>
    </w:rPr>
  </w:style>
  <w:style w:type="character" w:customStyle="1" w:styleId="2997">
    <w:name w:val="正文文本 2 Char2"/>
    <w:semiHidden/>
    <w:qFormat/>
    <w:uiPriority w:val="99"/>
    <w:rPr>
      <w:rFonts w:ascii="Times New Roman" w:hAnsi="Times New Roman" w:eastAsia="仿宋_GB2312" w:cs="Times New Roman"/>
      <w:sz w:val="28"/>
      <w:szCs w:val="20"/>
    </w:rPr>
  </w:style>
  <w:style w:type="paragraph" w:customStyle="1" w:styleId="2998">
    <w:name w:val="b-ent-section"/>
    <w:basedOn w:val="1"/>
    <w:qFormat/>
    <w:uiPriority w:val="0"/>
    <w:pPr>
      <w:widowControl/>
      <w:pBdr>
        <w:top w:val="single" w:color="FFFFFF" w:sz="6" w:space="5"/>
        <w:left w:val="single" w:color="FFFFFF" w:sz="2" w:space="0"/>
        <w:bottom w:val="single" w:color="FFFFFF" w:sz="2" w:space="4"/>
        <w:right w:val="single" w:color="FFFFFF" w:sz="2" w:space="0"/>
      </w:pBdr>
      <w:shd w:val="clear" w:color="auto" w:fill="F3F3F3"/>
      <w:spacing w:before="100" w:beforeAutospacing="1" w:after="375"/>
      <w:ind w:left="-150" w:right="-300"/>
      <w:jc w:val="left"/>
    </w:pPr>
    <w:rPr>
      <w:rFonts w:ascii="宋体" w:hAnsi="Calibri" w:eastAsia="宋体" w:cs="宋体"/>
      <w:spacing w:val="-2"/>
      <w:kern w:val="0"/>
      <w:sz w:val="24"/>
      <w:szCs w:val="21"/>
    </w:rPr>
  </w:style>
  <w:style w:type="paragraph" w:customStyle="1" w:styleId="2999">
    <w:name w:val="uc-l1"/>
    <w:basedOn w:val="1"/>
    <w:qFormat/>
    <w:uiPriority w:val="0"/>
    <w:pPr>
      <w:widowControl/>
      <w:spacing w:before="100" w:beforeAutospacing="1" w:after="100" w:afterAutospacing="1" w:line="450" w:lineRule="atLeast"/>
      <w:jc w:val="center"/>
    </w:pPr>
    <w:rPr>
      <w:rFonts w:ascii="宋体" w:hAnsi="Calibri" w:eastAsia="宋体" w:cs="宋体"/>
      <w:color w:val="116EC2"/>
      <w:spacing w:val="-2"/>
      <w:kern w:val="0"/>
      <w:sz w:val="24"/>
      <w:szCs w:val="21"/>
    </w:rPr>
  </w:style>
  <w:style w:type="paragraph" w:customStyle="1" w:styleId="3000">
    <w:name w:val="样式 标题 2Chapter Heading2nd levelh22Titre2l2H2Header 2UND...2"/>
    <w:basedOn w:val="4"/>
    <w:qFormat/>
    <w:uiPriority w:val="0"/>
    <w:pPr>
      <w:tabs>
        <w:tab w:val="left" w:pos="1476"/>
        <w:tab w:val="clear" w:pos="567"/>
      </w:tabs>
      <w:spacing w:before="0" w:after="0" w:line="360" w:lineRule="auto"/>
      <w:ind w:left="0" w:firstLine="0"/>
    </w:pPr>
    <w:rPr>
      <w:rFonts w:ascii="宋体" w:hAnsi="宋体" w:eastAsia="宋体" w:cs="宋体"/>
      <w:bCs/>
      <w:spacing w:val="-2"/>
      <w:sz w:val="24"/>
      <w:szCs w:val="32"/>
    </w:rPr>
  </w:style>
  <w:style w:type="paragraph" w:customStyle="1" w:styleId="3001">
    <w:name w:val="主题:"/>
    <w:qFormat/>
    <w:uiPriority w:val="0"/>
    <w:pPr>
      <w:widowControl w:val="0"/>
      <w:jc w:val="both"/>
    </w:pPr>
    <w:rPr>
      <w:rFonts w:ascii="Times New Roman" w:hAnsi="Times New Roman" w:eastAsia="宋体" w:cs="Times New Roman"/>
      <w:lang w:val="en-US" w:eastAsia="zh-CN" w:bidi="ar-SA"/>
    </w:rPr>
  </w:style>
  <w:style w:type="paragraph" w:customStyle="1" w:styleId="3002">
    <w:name w:val="编制单位"/>
    <w:qFormat/>
    <w:uiPriority w:val="99"/>
    <w:pPr>
      <w:jc w:val="center"/>
    </w:pPr>
    <w:rPr>
      <w:rFonts w:ascii="宋体" w:hAnsi="宋体" w:eastAsia="宋体" w:cs="Times New Roman"/>
      <w:kern w:val="2"/>
      <w:sz w:val="28"/>
      <w:szCs w:val="28"/>
      <w:lang w:val="en-US" w:eastAsia="zh-CN" w:bidi="ar-SA"/>
    </w:rPr>
  </w:style>
  <w:style w:type="character" w:customStyle="1" w:styleId="3003">
    <w:name w:val="信息标题 Char4"/>
    <w:semiHidden/>
    <w:qFormat/>
    <w:uiPriority w:val="99"/>
    <w:rPr>
      <w:rFonts w:ascii="Cambria" w:hAnsi="Cambria" w:eastAsia="宋体" w:cs="Times New Roman"/>
      <w:sz w:val="24"/>
      <w:szCs w:val="24"/>
      <w:shd w:val="pct20" w:color="auto" w:fill="auto"/>
    </w:rPr>
  </w:style>
  <w:style w:type="paragraph" w:customStyle="1" w:styleId="3004">
    <w:name w:val="bbb"/>
    <w:basedOn w:val="1"/>
    <w:qFormat/>
    <w:uiPriority w:val="0"/>
    <w:pPr>
      <w:spacing w:before="100" w:beforeAutospacing="1" w:after="100" w:afterAutospacing="1"/>
    </w:pPr>
    <w:rPr>
      <w:rFonts w:ascii="宋体" w:hAnsi="Calibri" w:eastAsia="宋体" w:cs="宋体"/>
      <w:color w:val="000000"/>
      <w:spacing w:val="-2"/>
      <w:kern w:val="0"/>
      <w:sz w:val="24"/>
      <w:szCs w:val="21"/>
    </w:rPr>
  </w:style>
  <w:style w:type="paragraph" w:customStyle="1" w:styleId="3005">
    <w:name w:val="批注框文本1"/>
    <w:basedOn w:val="1"/>
    <w:qFormat/>
    <w:uiPriority w:val="0"/>
    <w:rPr>
      <w:rFonts w:eastAsia="宋体" w:cs="黑体"/>
      <w:spacing w:val="-2"/>
      <w:kern w:val="0"/>
      <w:sz w:val="18"/>
      <w:szCs w:val="18"/>
    </w:rPr>
  </w:style>
  <w:style w:type="paragraph" w:customStyle="1" w:styleId="3006">
    <w:name w:val="more-link1"/>
    <w:basedOn w:val="1"/>
    <w:qFormat/>
    <w:uiPriority w:val="0"/>
    <w:pPr>
      <w:widowControl/>
      <w:spacing w:before="150" w:after="100" w:afterAutospacing="1"/>
      <w:jc w:val="left"/>
    </w:pPr>
    <w:rPr>
      <w:rFonts w:ascii="宋体" w:hAnsi="Calibri" w:eastAsia="宋体" w:cs="宋体"/>
      <w:spacing w:val="-2"/>
      <w:kern w:val="0"/>
      <w:szCs w:val="21"/>
    </w:rPr>
  </w:style>
  <w:style w:type="character" w:customStyle="1" w:styleId="3007">
    <w:name w:val="HTML 预设格式 Char3"/>
    <w:semiHidden/>
    <w:qFormat/>
    <w:uiPriority w:val="99"/>
    <w:rPr>
      <w:rFonts w:ascii="Courier New" w:hAnsi="Courier New" w:eastAsia="仿宋_GB2312" w:cs="Courier New"/>
      <w:sz w:val="20"/>
      <w:szCs w:val="20"/>
    </w:rPr>
  </w:style>
  <w:style w:type="paragraph" w:customStyle="1" w:styleId="3008">
    <w:name w:val="mstheme-vert-navtxt-g"/>
    <w:basedOn w:val="1"/>
    <w:qFormat/>
    <w:uiPriority w:val="0"/>
    <w:pPr>
      <w:spacing w:before="100" w:beforeAutospacing="1" w:after="100" w:afterAutospacing="1"/>
    </w:pPr>
    <w:rPr>
      <w:rFonts w:eastAsia="宋体" w:cs="黑体"/>
      <w:color w:val="000000"/>
      <w:spacing w:val="-2"/>
      <w:kern w:val="0"/>
      <w:sz w:val="24"/>
    </w:rPr>
  </w:style>
  <w:style w:type="paragraph" w:customStyle="1" w:styleId="3009">
    <w:name w:val="样式 标题 3 + 段前: 0.5 行 段后: 0.5 行"/>
    <w:basedOn w:val="6"/>
    <w:qFormat/>
    <w:uiPriority w:val="99"/>
    <w:pPr>
      <w:tabs>
        <w:tab w:val="left" w:pos="1080"/>
        <w:tab w:val="clear" w:pos="1789"/>
      </w:tabs>
      <w:spacing w:before="260" w:beforeLines="50" w:after="260" w:afterLines="50" w:line="430" w:lineRule="exact"/>
      <w:ind w:left="0" w:firstLine="0"/>
    </w:pPr>
    <w:rPr>
      <w:rFonts w:ascii="宋体" w:eastAsia="宋体" w:cs="宋体"/>
      <w:kern w:val="0"/>
    </w:rPr>
  </w:style>
  <w:style w:type="paragraph" w:customStyle="1" w:styleId="3010">
    <w:name w:val="样式 标题 2 + 段前: 1 行 段后: 1 行"/>
    <w:basedOn w:val="4"/>
    <w:next w:val="4"/>
    <w:qFormat/>
    <w:uiPriority w:val="99"/>
    <w:pPr>
      <w:spacing w:beforeLines="100" w:after="120" w:afterLines="100"/>
      <w:ind w:left="0" w:firstLine="0"/>
    </w:pPr>
    <w:rPr>
      <w:rFonts w:ascii="宋体" w:eastAsia="宋体" w:cs="宋体"/>
      <w:b/>
      <w:bCs/>
      <w:kern w:val="0"/>
      <w:sz w:val="32"/>
    </w:rPr>
  </w:style>
  <w:style w:type="paragraph" w:customStyle="1" w:styleId="3011">
    <w:name w:val="环评标题1"/>
    <w:next w:val="1029"/>
    <w:qFormat/>
    <w:uiPriority w:val="0"/>
    <w:pPr>
      <w:spacing w:beforeLines="100"/>
      <w:outlineLvl w:val="0"/>
    </w:pPr>
    <w:rPr>
      <w:rFonts w:ascii="Times New Roman" w:hAnsi="Times New Roman" w:eastAsia="黑体" w:cs="Times New Roman"/>
      <w:b/>
      <w:bCs/>
      <w:kern w:val="44"/>
      <w:sz w:val="32"/>
      <w:szCs w:val="30"/>
      <w:lang w:val="en-US" w:eastAsia="zh-CN" w:bidi="ar-SA"/>
    </w:rPr>
  </w:style>
  <w:style w:type="paragraph" w:customStyle="1" w:styleId="3012">
    <w:name w:val="morematerial"/>
    <w:basedOn w:val="1"/>
    <w:qFormat/>
    <w:uiPriority w:val="0"/>
    <w:pPr>
      <w:widowControl/>
      <w:ind w:left="75"/>
      <w:jc w:val="right"/>
    </w:pPr>
    <w:rPr>
      <w:rFonts w:ascii="宋体" w:hAnsi="Calibri" w:eastAsia="宋体" w:cs="宋体"/>
      <w:spacing w:val="-2"/>
      <w:kern w:val="0"/>
      <w:sz w:val="18"/>
      <w:szCs w:val="18"/>
    </w:rPr>
  </w:style>
  <w:style w:type="paragraph" w:customStyle="1" w:styleId="3013">
    <w:name w:val="样式 我的正文 + 首行缩进:  2 字符"/>
    <w:basedOn w:val="634"/>
    <w:qFormat/>
    <w:uiPriority w:val="0"/>
    <w:pPr>
      <w:spacing w:line="480" w:lineRule="exact"/>
      <w:ind w:firstLine="560" w:firstLineChars="200"/>
    </w:pPr>
    <w:rPr>
      <w:rFonts w:ascii="宋体" w:hAnsi="宋体" w:cs="宋体"/>
    </w:rPr>
  </w:style>
  <w:style w:type="paragraph" w:customStyle="1" w:styleId="3014">
    <w:name w:val="cas_content"/>
    <w:basedOn w:val="1"/>
    <w:qFormat/>
    <w:uiPriority w:val="0"/>
    <w:pPr>
      <w:widowControl/>
      <w:spacing w:before="100" w:beforeAutospacing="1" w:after="100" w:afterAutospacing="1"/>
      <w:jc w:val="left"/>
    </w:pPr>
    <w:rPr>
      <w:rFonts w:ascii="宋体" w:hAnsi="宋体" w:eastAsia="宋体" w:cs="宋体"/>
      <w:spacing w:val="-2"/>
      <w:kern w:val="0"/>
      <w:sz w:val="24"/>
    </w:rPr>
  </w:style>
  <w:style w:type="character" w:customStyle="1" w:styleId="3015">
    <w:name w:val="标题 Char2"/>
    <w:qFormat/>
    <w:uiPriority w:val="0"/>
    <w:rPr>
      <w:rFonts w:ascii="Cambria" w:hAnsi="Cambria" w:eastAsia="宋体" w:cs="Times New Roman"/>
      <w:b/>
      <w:bCs/>
      <w:sz w:val="32"/>
      <w:szCs w:val="32"/>
    </w:rPr>
  </w:style>
  <w:style w:type="paragraph" w:customStyle="1" w:styleId="3016">
    <w:name w:val="正文-第几条"/>
    <w:basedOn w:val="1"/>
    <w:qFormat/>
    <w:uiPriority w:val="0"/>
    <w:pPr>
      <w:tabs>
        <w:tab w:val="left" w:pos="1021"/>
        <w:tab w:val="left" w:pos="1080"/>
      </w:tabs>
      <w:spacing w:line="360" w:lineRule="auto"/>
      <w:ind w:left="425" w:hanging="425"/>
    </w:pPr>
    <w:rPr>
      <w:rFonts w:eastAsia="宋体" w:cs="黑体"/>
      <w:spacing w:val="-2"/>
      <w:kern w:val="0"/>
      <w:sz w:val="24"/>
    </w:rPr>
  </w:style>
  <w:style w:type="paragraph" w:customStyle="1" w:styleId="3017">
    <w:name w:val="正文 + (西文) 宋体"/>
    <w:basedOn w:val="1"/>
    <w:qFormat/>
    <w:uiPriority w:val="0"/>
    <w:pPr>
      <w:tabs>
        <w:tab w:val="left" w:pos="360"/>
      </w:tabs>
      <w:spacing w:line="360" w:lineRule="auto"/>
      <w:ind w:left="360" w:firstLine="510"/>
    </w:pPr>
    <w:rPr>
      <w:rFonts w:ascii="宋体" w:hAnsi="宋体" w:cs="黑体"/>
      <w:spacing w:val="-2"/>
      <w:kern w:val="0"/>
      <w:sz w:val="24"/>
    </w:rPr>
  </w:style>
  <w:style w:type="character" w:customStyle="1" w:styleId="3018">
    <w:name w:val="批注主题 Char3"/>
    <w:semiHidden/>
    <w:qFormat/>
    <w:uiPriority w:val="99"/>
    <w:rPr>
      <w:rFonts w:ascii="Times New Roman" w:hAnsi="Times New Roman" w:eastAsia="仿宋_GB2312" w:cs="Times New Roman"/>
      <w:b/>
      <w:bCs/>
      <w:sz w:val="28"/>
      <w:szCs w:val="20"/>
    </w:rPr>
  </w:style>
  <w:style w:type="paragraph" w:customStyle="1" w:styleId="3019">
    <w:name w:val="page-current2"/>
    <w:basedOn w:val="1"/>
    <w:qFormat/>
    <w:uiPriority w:val="0"/>
    <w:pPr>
      <w:widowControl/>
      <w:spacing w:before="100" w:beforeAutospacing="1" w:after="100" w:afterAutospacing="1"/>
      <w:jc w:val="left"/>
    </w:pPr>
    <w:rPr>
      <w:rFonts w:ascii="宋体" w:hAnsi="Calibri" w:eastAsia="宋体" w:cs="宋体"/>
      <w:b/>
      <w:bCs/>
      <w:color w:val="000000"/>
      <w:spacing w:val="-2"/>
      <w:kern w:val="0"/>
      <w:sz w:val="24"/>
      <w:szCs w:val="21"/>
    </w:rPr>
  </w:style>
  <w:style w:type="character" w:customStyle="1" w:styleId="3020">
    <w:name w:val="正文首行缩进 2 Char5"/>
    <w:semiHidden/>
    <w:qFormat/>
    <w:uiPriority w:val="99"/>
    <w:rPr>
      <w:rFonts w:ascii="Times New Roman" w:hAnsi="Times New Roman" w:eastAsia="仿宋_GB2312" w:cs="Times New Roman"/>
      <w:kern w:val="2"/>
      <w:sz w:val="28"/>
      <w:szCs w:val="20"/>
      <w:lang w:val="en-US" w:eastAsia="zh-CN" w:bidi="ar-SA"/>
    </w:rPr>
  </w:style>
  <w:style w:type="paragraph" w:customStyle="1" w:styleId="3021">
    <w:name w:val="样式 标题 3 + 首行缩进:  2 字符 段前: 8.15 磅 段后: 8.15 磅2"/>
    <w:basedOn w:val="6"/>
    <w:qFormat/>
    <w:uiPriority w:val="0"/>
    <w:pPr>
      <w:tabs>
        <w:tab w:val="left" w:pos="1022"/>
        <w:tab w:val="left" w:pos="1080"/>
        <w:tab w:val="clear" w:pos="1789"/>
      </w:tabs>
      <w:spacing w:before="163" w:after="163" w:line="240" w:lineRule="atLeast"/>
      <w:ind w:left="1260" w:firstLine="482" w:firstLineChars="200"/>
      <w:jc w:val="left"/>
    </w:pPr>
    <w:rPr>
      <w:rFonts w:hint="eastAsia" w:ascii="Arial Unicode MS" w:hAnsi="Arial Unicode MS" w:eastAsia="宋体" w:cs="宋体"/>
      <w:i/>
      <w:iCs/>
      <w:color w:val="000000"/>
      <w:spacing w:val="-2"/>
      <w:szCs w:val="24"/>
    </w:rPr>
  </w:style>
  <w:style w:type="paragraph" w:customStyle="1" w:styleId="3022">
    <w:name w:val="正文22"/>
    <w:basedOn w:val="3023"/>
    <w:qFormat/>
    <w:uiPriority w:val="0"/>
    <w:pPr>
      <w:tabs>
        <w:tab w:val="left" w:pos="360"/>
      </w:tabs>
      <w:adjustRightInd/>
      <w:snapToGrid/>
      <w:spacing w:after="0" w:line="240" w:lineRule="auto"/>
      <w:ind w:firstLine="200" w:firstLineChars="200"/>
    </w:pPr>
    <w:rPr>
      <w:rFonts w:hAnsi="宋体" w:cs="Tahoma"/>
      <w:spacing w:val="0"/>
      <w:szCs w:val="24"/>
    </w:rPr>
  </w:style>
  <w:style w:type="paragraph" w:customStyle="1" w:styleId="3023">
    <w:name w:val="正文12"/>
    <w:qFormat/>
    <w:uiPriority w:val="0"/>
    <w:pPr>
      <w:widowControl w:val="0"/>
      <w:adjustRightInd w:val="0"/>
      <w:snapToGrid w:val="0"/>
      <w:spacing w:after="120" w:line="300" w:lineRule="auto"/>
      <w:ind w:firstLine="539"/>
      <w:jc w:val="both"/>
    </w:pPr>
    <w:rPr>
      <w:rFonts w:ascii="宋体" w:hAnsi="Calibri" w:eastAsia="宋体" w:cs="Times New Roman"/>
      <w:spacing w:val="10"/>
      <w:kern w:val="2"/>
      <w:sz w:val="24"/>
      <w:szCs w:val="22"/>
      <w:lang w:val="en-US" w:eastAsia="zh-CN" w:bidi="ar-SA"/>
    </w:rPr>
  </w:style>
  <w:style w:type="paragraph" w:customStyle="1" w:styleId="3024">
    <w:name w:val="表头5"/>
    <w:basedOn w:val="1"/>
    <w:qFormat/>
    <w:uiPriority w:val="0"/>
    <w:pPr>
      <w:tabs>
        <w:tab w:val="left" w:pos="1200"/>
      </w:tabs>
      <w:adjustRightInd w:val="0"/>
      <w:snapToGrid w:val="0"/>
      <w:spacing w:beforeLines="100" w:line="240" w:lineRule="atLeast"/>
      <w:ind w:left="250" w:leftChars="250" w:hanging="720"/>
    </w:pPr>
    <w:rPr>
      <w:rFonts w:eastAsia="宋体" w:cs="黑体"/>
      <w:b/>
      <w:spacing w:val="-2"/>
      <w:kern w:val="0"/>
      <w:sz w:val="24"/>
    </w:rPr>
  </w:style>
  <w:style w:type="paragraph" w:customStyle="1" w:styleId="3025">
    <w:name w:val="沥青表"/>
    <w:basedOn w:val="1"/>
    <w:qFormat/>
    <w:uiPriority w:val="0"/>
    <w:pPr>
      <w:adjustRightInd w:val="0"/>
      <w:spacing w:line="0" w:lineRule="atLeast"/>
      <w:jc w:val="center"/>
    </w:pPr>
    <w:rPr>
      <w:rFonts w:eastAsia="宋体" w:cs="黑体"/>
      <w:spacing w:val="10"/>
      <w:kern w:val="0"/>
      <w:sz w:val="24"/>
    </w:rPr>
  </w:style>
  <w:style w:type="paragraph" w:customStyle="1" w:styleId="3026">
    <w:name w:val="Char Char Char1 Char Char Char Char Char Char Char Char Char Char Char Char1 Char Char Char Char Char Char Char Char Char Char"/>
    <w:basedOn w:val="1"/>
    <w:qFormat/>
    <w:uiPriority w:val="0"/>
    <w:rPr>
      <w:rFonts w:eastAsia="宋体" w:cs="黑体"/>
      <w:spacing w:val="-2"/>
      <w:kern w:val="0"/>
    </w:rPr>
  </w:style>
  <w:style w:type="paragraph" w:customStyle="1" w:styleId="3027">
    <w:name w:val="Char Char2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028">
    <w:name w:val="TOC 标题2"/>
    <w:basedOn w:val="3"/>
    <w:next w:val="1"/>
    <w:qFormat/>
    <w:uiPriority w:val="0"/>
    <w:pPr>
      <w:pageBreakBefore w:val="0"/>
      <w:widowControl/>
      <w:tabs>
        <w:tab w:val="clear" w:pos="1080"/>
      </w:tabs>
      <w:spacing w:before="480" w:after="0" w:line="276" w:lineRule="auto"/>
      <w:ind w:left="0" w:firstLine="0"/>
      <w:jc w:val="left"/>
      <w:outlineLvl w:val="9"/>
    </w:pPr>
    <w:rPr>
      <w:rFonts w:ascii="Cambria" w:hAnsi="Cambria" w:cs="宋体"/>
      <w:bCs/>
      <w:color w:val="365F91"/>
      <w:spacing w:val="-2"/>
      <w:kern w:val="0"/>
      <w:sz w:val="28"/>
      <w:szCs w:val="28"/>
    </w:rPr>
  </w:style>
  <w:style w:type="paragraph" w:customStyle="1" w:styleId="3029">
    <w:name w:val="居中+ 三号"/>
    <w:basedOn w:val="1"/>
    <w:qFormat/>
    <w:uiPriority w:val="0"/>
    <w:pPr>
      <w:jc w:val="center"/>
    </w:pPr>
    <w:rPr>
      <w:rFonts w:eastAsia="宋体" w:cs="黑体"/>
      <w:b/>
      <w:bCs/>
      <w:spacing w:val="-2"/>
      <w:kern w:val="0"/>
      <w:sz w:val="32"/>
      <w:szCs w:val="30"/>
    </w:rPr>
  </w:style>
  <w:style w:type="paragraph" w:customStyle="1" w:styleId="3030">
    <w:name w:val="样式 a表格 + 宋体 加粗 段前: 0.5 行 段后: 0.5 行"/>
    <w:basedOn w:val="966"/>
    <w:qFormat/>
    <w:uiPriority w:val="0"/>
    <w:pPr>
      <w:snapToGrid/>
      <w:spacing w:beforeLines="50" w:line="360" w:lineRule="auto"/>
      <w:jc w:val="both"/>
      <w:outlineLvl w:val="9"/>
    </w:pPr>
    <w:rPr>
      <w:rFonts w:ascii="宋体" w:hAnsi="宋体" w:cs="黑体"/>
      <w:spacing w:val="-2"/>
      <w:kern w:val="0"/>
      <w:sz w:val="28"/>
    </w:rPr>
  </w:style>
  <w:style w:type="paragraph" w:customStyle="1" w:styleId="3031">
    <w:name w:val="Char Char15 Char Char Char Char"/>
    <w:basedOn w:val="1"/>
    <w:qFormat/>
    <w:uiPriority w:val="0"/>
    <w:pPr>
      <w:spacing w:before="100" w:beforeLines="100" w:after="50" w:afterLines="50" w:line="480" w:lineRule="auto"/>
      <w:jc w:val="center"/>
    </w:pPr>
    <w:rPr>
      <w:rFonts w:eastAsia="楷体_GB2312"/>
      <w:b/>
      <w:sz w:val="44"/>
      <w:szCs w:val="44"/>
    </w:rPr>
  </w:style>
  <w:style w:type="paragraph" w:customStyle="1" w:styleId="3032">
    <w:name w:val="album-log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33">
    <w:name w:val="样式 样式 目录 2 + 段后: 0.5 行 行距: 单倍行距 首行缩进:  2.25 字符 + 首行缩进:  2.25 字符"/>
    <w:basedOn w:val="2992"/>
    <w:qFormat/>
    <w:uiPriority w:val="99"/>
    <w:pPr>
      <w:ind w:firstLine="630"/>
    </w:pPr>
    <w:rPr>
      <w:color w:val="339966"/>
      <w:sz w:val="28"/>
      <w:szCs w:val="28"/>
    </w:rPr>
  </w:style>
  <w:style w:type="paragraph" w:customStyle="1" w:styleId="3034">
    <w:name w:val="Char Char Char2 Char Char Char Char Char Char Char Char Char Char1"/>
    <w:basedOn w:val="1"/>
    <w:qFormat/>
    <w:uiPriority w:val="0"/>
    <w:rPr>
      <w:rFonts w:eastAsia="宋体"/>
      <w:sz w:val="21"/>
      <w:szCs w:val="24"/>
    </w:rPr>
  </w:style>
  <w:style w:type="paragraph" w:customStyle="1" w:styleId="3035">
    <w:name w:val="main-wrap1"/>
    <w:basedOn w:val="1"/>
    <w:qFormat/>
    <w:uiPriority w:val="0"/>
    <w:pPr>
      <w:widowControl/>
      <w:spacing w:before="100" w:beforeAutospacing="1" w:after="100" w:afterAutospacing="1"/>
      <w:ind w:right="3825"/>
      <w:jc w:val="left"/>
    </w:pPr>
    <w:rPr>
      <w:rFonts w:ascii="宋体" w:hAnsi="Calibri" w:eastAsia="宋体" w:cs="宋体"/>
      <w:spacing w:val="-2"/>
      <w:kern w:val="0"/>
      <w:sz w:val="24"/>
      <w:szCs w:val="21"/>
    </w:rPr>
  </w:style>
  <w:style w:type="paragraph" w:customStyle="1" w:styleId="3036">
    <w:name w:val="麦志勤标题1"/>
    <w:basedOn w:val="34"/>
    <w:qFormat/>
    <w:uiPriority w:val="0"/>
    <w:pPr>
      <w:adjustRightInd w:val="0"/>
      <w:snapToGrid w:val="0"/>
      <w:spacing w:beforeLines="50" w:after="0" w:line="300" w:lineRule="auto"/>
      <w:ind w:firstLine="200" w:firstLineChars="200"/>
    </w:pPr>
    <w:rPr>
      <w:rFonts w:ascii="宋体" w:hAnsi="宋体" w:eastAsia="黑体" w:cs="宋体"/>
      <w:i/>
      <w:iCs/>
      <w:color w:val="000000"/>
      <w:sz w:val="44"/>
      <w:szCs w:val="24"/>
    </w:rPr>
  </w:style>
  <w:style w:type="paragraph" w:customStyle="1" w:styleId="3037">
    <w:name w:val="样式 目录 2 + 左侧:  2 字符 首行缩进:  2 字符3"/>
    <w:basedOn w:val="75"/>
    <w:qFormat/>
    <w:uiPriority w:val="0"/>
    <w:pPr>
      <w:tabs>
        <w:tab w:val="left" w:pos="840"/>
        <w:tab w:val="right" w:leader="dot" w:pos="9060"/>
        <w:tab w:val="clear" w:pos="1120"/>
        <w:tab w:val="clear" w:pos="8767"/>
      </w:tabs>
      <w:spacing w:line="240" w:lineRule="auto"/>
      <w:ind w:left="200"/>
      <w:jc w:val="both"/>
    </w:pPr>
    <w:rPr>
      <w:rFonts w:ascii="Times New Roman" w:hAnsi="Times New Roman" w:cs="宋体"/>
      <w:b/>
      <w:smallCaps w:val="0"/>
      <w:spacing w:val="-2"/>
      <w:kern w:val="0"/>
      <w:szCs w:val="20"/>
    </w:rPr>
  </w:style>
  <w:style w:type="paragraph" w:customStyle="1" w:styleId="3038">
    <w:name w:val="自正文1"/>
    <w:basedOn w:val="1"/>
    <w:qFormat/>
    <w:uiPriority w:val="0"/>
    <w:pPr>
      <w:tabs>
        <w:tab w:val="left" w:pos="0"/>
        <w:tab w:val="left" w:pos="5670"/>
      </w:tabs>
      <w:adjustRightInd w:val="0"/>
      <w:snapToGrid w:val="0"/>
      <w:ind w:firstLine="200" w:firstLineChars="200"/>
    </w:pPr>
    <w:rPr>
      <w:rFonts w:ascii="宋体" w:hAnsi="Calibri" w:eastAsia="宋体" w:cs="黑体"/>
      <w:color w:val="000000"/>
      <w:spacing w:val="-2"/>
      <w:kern w:val="0"/>
      <w:sz w:val="24"/>
    </w:rPr>
  </w:style>
  <w:style w:type="paragraph" w:customStyle="1" w:styleId="3039">
    <w:name w:val="reader-word-layer reader-word-s1-13"/>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40">
    <w:name w:val="p20"/>
    <w:basedOn w:val="1"/>
    <w:qFormat/>
    <w:uiPriority w:val="0"/>
    <w:pPr>
      <w:widowControl/>
      <w:jc w:val="left"/>
    </w:pPr>
    <w:rPr>
      <w:rFonts w:eastAsia="宋体" w:cs="黑体"/>
      <w:kern w:val="0"/>
      <w:sz w:val="21"/>
      <w:szCs w:val="21"/>
    </w:rPr>
  </w:style>
  <w:style w:type="paragraph" w:customStyle="1" w:styleId="3041">
    <w:name w:val="表后间隔"/>
    <w:basedOn w:val="1"/>
    <w:qFormat/>
    <w:uiPriority w:val="0"/>
    <w:pPr>
      <w:tabs>
        <w:tab w:val="center" w:pos="4153"/>
        <w:tab w:val="right" w:pos="8306"/>
      </w:tabs>
      <w:snapToGrid w:val="0"/>
    </w:pPr>
    <w:rPr>
      <w:rFonts w:ascii="Arial" w:hAnsi="Arial" w:eastAsia="宋体" w:cs="黑体"/>
      <w:bCs/>
      <w:spacing w:val="-2"/>
      <w:kern w:val="0"/>
      <w:sz w:val="18"/>
      <w:szCs w:val="27"/>
    </w:rPr>
  </w:style>
  <w:style w:type="paragraph" w:customStyle="1" w:styleId="3042">
    <w:name w:val="特殊文字"/>
    <w:basedOn w:val="1"/>
    <w:qFormat/>
    <w:uiPriority w:val="0"/>
    <w:pPr>
      <w:overflowPunct w:val="0"/>
      <w:autoSpaceDE w:val="0"/>
      <w:autoSpaceDN w:val="0"/>
      <w:adjustRightInd w:val="0"/>
      <w:spacing w:line="360" w:lineRule="auto"/>
    </w:pPr>
    <w:rPr>
      <w:rFonts w:cs="黑体"/>
      <w:spacing w:val="-2"/>
      <w:kern w:val="0"/>
    </w:rPr>
  </w:style>
  <w:style w:type="paragraph" w:customStyle="1" w:styleId="3043">
    <w:name w:val="样式 5文章(治)"/>
    <w:basedOn w:val="548"/>
    <w:next w:val="548"/>
    <w:semiHidden/>
    <w:qFormat/>
    <w:uiPriority w:val="0"/>
    <w:pPr>
      <w:ind w:firstLine="200"/>
    </w:pPr>
    <w:rPr>
      <w:rFonts w:ascii="Calibri" w:hAnsi="Calibri" w:cs="宋体"/>
      <w:szCs w:val="22"/>
    </w:rPr>
  </w:style>
  <w:style w:type="paragraph" w:customStyle="1" w:styleId="3044">
    <w:name w:val="样式64"/>
    <w:basedOn w:val="1"/>
    <w:qFormat/>
    <w:uiPriority w:val="0"/>
    <w:pPr>
      <w:tabs>
        <w:tab w:val="left" w:pos="1320"/>
      </w:tabs>
      <w:spacing w:beforeLines="50" w:line="360" w:lineRule="auto"/>
      <w:ind w:firstLine="480" w:firstLineChars="200"/>
    </w:pPr>
    <w:rPr>
      <w:rFonts w:ascii="宋体" w:hAnsi="宋体" w:eastAsia="宋体" w:cs="黑体"/>
      <w:color w:val="000000"/>
      <w:spacing w:val="-2"/>
      <w:kern w:val="0"/>
      <w:sz w:val="24"/>
    </w:rPr>
  </w:style>
  <w:style w:type="paragraph" w:customStyle="1" w:styleId="3045">
    <w:name w:val="样式88"/>
    <w:basedOn w:val="1"/>
    <w:qFormat/>
    <w:uiPriority w:val="0"/>
    <w:pPr>
      <w:keepNext/>
      <w:keepLines/>
      <w:adjustRightInd w:val="0"/>
      <w:spacing w:before="120" w:after="120" w:line="520" w:lineRule="exact"/>
      <w:outlineLvl w:val="2"/>
    </w:pPr>
    <w:rPr>
      <w:rFonts w:ascii="宋体" w:hAnsi="宋体" w:eastAsia="黑体" w:cs="黑体"/>
      <w:b/>
      <w:spacing w:val="-2"/>
      <w:kern w:val="0"/>
      <w:sz w:val="24"/>
    </w:rPr>
  </w:style>
  <w:style w:type="paragraph" w:customStyle="1" w:styleId="3046">
    <w:name w:val="样式 11.5 磅 行距: 1.5 倍行距5"/>
    <w:basedOn w:val="1"/>
    <w:qFormat/>
    <w:uiPriority w:val="0"/>
    <w:pPr>
      <w:ind w:firstLine="200" w:firstLineChars="200"/>
    </w:pPr>
    <w:rPr>
      <w:rFonts w:eastAsia="宋体" w:cs="宋体"/>
      <w:spacing w:val="-2"/>
      <w:kern w:val="0"/>
      <w:sz w:val="24"/>
    </w:rPr>
  </w:style>
  <w:style w:type="paragraph" w:customStyle="1" w:styleId="3047">
    <w:name w:val="麦志勤表格式"/>
    <w:basedOn w:val="1"/>
    <w:qFormat/>
    <w:uiPriority w:val="0"/>
    <w:pPr>
      <w:adjustRightInd w:val="0"/>
      <w:snapToGrid w:val="0"/>
      <w:spacing w:line="0" w:lineRule="atLeast"/>
      <w:jc w:val="center"/>
    </w:pPr>
    <w:rPr>
      <w:rFonts w:ascii="宋体" w:hAnsi="Calibri" w:eastAsia="宋体" w:cs="黑体"/>
      <w:spacing w:val="-2"/>
      <w:kern w:val="0"/>
      <w:sz w:val="24"/>
    </w:rPr>
  </w:style>
  <w:style w:type="paragraph" w:customStyle="1" w:styleId="3048">
    <w:name w:val="Table Title"/>
    <w:basedOn w:val="1"/>
    <w:next w:val="1"/>
    <w:qFormat/>
    <w:uiPriority w:val="0"/>
    <w:pPr>
      <w:jc w:val="center"/>
    </w:pPr>
    <w:rPr>
      <w:rFonts w:eastAsia="宋体" w:cs="黑体"/>
      <w:spacing w:val="-2"/>
      <w:kern w:val="0"/>
      <w:sz w:val="26"/>
      <w:szCs w:val="21"/>
    </w:rPr>
  </w:style>
  <w:style w:type="paragraph" w:customStyle="1" w:styleId="3049">
    <w:name w:val="Char Char8 Char"/>
    <w:basedOn w:val="1"/>
    <w:qFormat/>
    <w:uiPriority w:val="0"/>
    <w:pPr>
      <w:ind w:firstLine="200" w:firstLineChars="200"/>
    </w:pPr>
    <w:rPr>
      <w:rFonts w:ascii="宋体" w:hAnsi="Calibri" w:eastAsia="宋体" w:cs="宋体"/>
      <w:spacing w:val="-2"/>
      <w:kern w:val="0"/>
      <w:sz w:val="24"/>
    </w:rPr>
  </w:style>
  <w:style w:type="paragraph" w:customStyle="1" w:styleId="3050">
    <w:name w:val="真宗兴正文"/>
    <w:basedOn w:val="1"/>
    <w:qFormat/>
    <w:uiPriority w:val="0"/>
    <w:pPr>
      <w:overflowPunct w:val="0"/>
      <w:autoSpaceDE w:val="0"/>
      <w:autoSpaceDN w:val="0"/>
      <w:adjustRightInd w:val="0"/>
      <w:snapToGrid w:val="0"/>
      <w:spacing w:beforeLines="30"/>
      <w:ind w:firstLine="200" w:firstLineChars="200"/>
    </w:pPr>
    <w:rPr>
      <w:rFonts w:eastAsia="宋体" w:cs="黑体"/>
      <w:spacing w:val="-2"/>
      <w:kern w:val="0"/>
      <w:sz w:val="24"/>
    </w:rPr>
  </w:style>
  <w:style w:type="paragraph" w:customStyle="1" w:styleId="3051">
    <w:name w:val="样式 样式 标题 1 + 段前: 1 行 段后: 1 行 + 段前: 0.5 行 段后: 0.5 行"/>
    <w:basedOn w:val="3052"/>
    <w:qFormat/>
    <w:uiPriority w:val="99"/>
    <w:pPr>
      <w:tabs>
        <w:tab w:val="left" w:pos="1080"/>
      </w:tabs>
    </w:pPr>
    <w:rPr>
      <w:sz w:val="36"/>
    </w:rPr>
  </w:style>
  <w:style w:type="paragraph" w:customStyle="1" w:styleId="3052">
    <w:name w:val="样式 标题 1 + 段前: 1 行 段后: 1 行"/>
    <w:basedOn w:val="3"/>
    <w:qFormat/>
    <w:uiPriority w:val="99"/>
    <w:pPr>
      <w:pageBreakBefore w:val="0"/>
      <w:spacing w:before="340" w:beforeLines="50" w:after="330" w:afterLines="50" w:line="360" w:lineRule="auto"/>
      <w:ind w:left="0" w:firstLine="0"/>
      <w:jc w:val="both"/>
    </w:pPr>
    <w:rPr>
      <w:rFonts w:ascii="宋体" w:cs="宋体"/>
      <w:bCs/>
      <w:kern w:val="28"/>
      <w:sz w:val="32"/>
    </w:rPr>
  </w:style>
  <w:style w:type="paragraph" w:customStyle="1" w:styleId="3053">
    <w:name w:val="自动标题3"/>
    <w:basedOn w:val="347"/>
    <w:qFormat/>
    <w:uiPriority w:val="0"/>
    <w:pPr>
      <w:keepNext/>
      <w:keepLines/>
      <w:tabs>
        <w:tab w:val="left" w:pos="720"/>
        <w:tab w:val="left" w:pos="1022"/>
        <w:tab w:val="left" w:pos="1418"/>
      </w:tabs>
      <w:spacing w:before="120" w:after="120" w:line="360" w:lineRule="auto"/>
      <w:ind w:left="1418" w:hanging="567"/>
    </w:pPr>
    <w:rPr>
      <w:rFonts w:hint="eastAsia" w:ascii="宋体" w:hAnsi="宋体" w:cs="Arial Unicode MS"/>
      <w:bCs w:val="0"/>
    </w:rPr>
  </w:style>
  <w:style w:type="paragraph" w:customStyle="1" w:styleId="3054">
    <w:name w:val="样式 表标8.2 + 黑体 四号"/>
    <w:basedOn w:val="1"/>
    <w:qFormat/>
    <w:uiPriority w:val="0"/>
    <w:pPr>
      <w:tabs>
        <w:tab w:val="left" w:pos="360"/>
        <w:tab w:val="left" w:pos="8207"/>
      </w:tabs>
      <w:adjustRightInd w:val="0"/>
      <w:snapToGrid w:val="0"/>
      <w:spacing w:before="120" w:line="0" w:lineRule="atLeast"/>
      <w:jc w:val="center"/>
    </w:pPr>
    <w:rPr>
      <w:rFonts w:ascii="黑体" w:hAnsi="Calibri" w:eastAsia="黑体" w:cs="黑体"/>
      <w:b/>
      <w:color w:val="000000"/>
      <w:spacing w:val="-2"/>
      <w:kern w:val="0"/>
    </w:rPr>
  </w:style>
  <w:style w:type="paragraph" w:customStyle="1" w:styleId="3055">
    <w:name w:val="表格用字 +  六号"/>
    <w:basedOn w:val="1"/>
    <w:qFormat/>
    <w:uiPriority w:val="0"/>
    <w:pPr>
      <w:spacing w:line="0" w:lineRule="atLeast"/>
    </w:pPr>
    <w:rPr>
      <w:rFonts w:cs="黑体"/>
      <w:spacing w:val="-2"/>
      <w:kern w:val="0"/>
      <w:sz w:val="15"/>
    </w:rPr>
  </w:style>
  <w:style w:type="paragraph" w:customStyle="1" w:styleId="3056">
    <w:name w:val="普通(网站)1"/>
    <w:basedOn w:val="1"/>
    <w:qFormat/>
    <w:uiPriority w:val="0"/>
    <w:pPr>
      <w:spacing w:before="100" w:beforeAutospacing="1" w:after="100" w:afterAutospacing="1"/>
      <w:jc w:val="left"/>
    </w:pPr>
    <w:rPr>
      <w:rFonts w:ascii="Calibri" w:hAnsi="Calibri" w:eastAsia="宋体"/>
      <w:kern w:val="0"/>
      <w:sz w:val="24"/>
      <w:szCs w:val="22"/>
    </w:rPr>
  </w:style>
  <w:style w:type="paragraph" w:customStyle="1" w:styleId="3057">
    <w:name w:val="图片名称"/>
    <w:basedOn w:val="1"/>
    <w:qFormat/>
    <w:uiPriority w:val="0"/>
    <w:pPr>
      <w:wordWrap w:val="0"/>
      <w:snapToGrid w:val="0"/>
      <w:jc w:val="center"/>
    </w:pPr>
    <w:rPr>
      <w:rFonts w:ascii="黑体" w:hAnsi="Calibri" w:eastAsia="黑体" w:cs="黑体"/>
      <w:bCs/>
      <w:color w:val="000000"/>
      <w:spacing w:val="-4"/>
      <w:kern w:val="0"/>
      <w:sz w:val="24"/>
    </w:rPr>
  </w:style>
  <w:style w:type="paragraph" w:customStyle="1" w:styleId="3058">
    <w:name w:val="样式55"/>
    <w:basedOn w:val="2605"/>
    <w:qFormat/>
    <w:uiPriority w:val="0"/>
    <w:pPr>
      <w:spacing w:before="120" w:beforeLines="0" w:after="120"/>
    </w:pPr>
  </w:style>
  <w:style w:type="paragraph" w:customStyle="1" w:styleId="3059">
    <w:name w:val="reader-word-layer reader-word-s5-2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60">
    <w:name w:val="样式71"/>
    <w:basedOn w:val="1"/>
    <w:qFormat/>
    <w:uiPriority w:val="0"/>
    <w:pPr>
      <w:keepNext/>
      <w:keepLines/>
      <w:tabs>
        <w:tab w:val="left" w:pos="900"/>
        <w:tab w:val="left" w:pos="1080"/>
      </w:tabs>
      <w:spacing w:line="360" w:lineRule="auto"/>
      <w:ind w:left="2100" w:hanging="420"/>
      <w:outlineLvl w:val="3"/>
    </w:pPr>
    <w:rPr>
      <w:rFonts w:ascii="宋体" w:hAnsi="宋体" w:eastAsia="宋体" w:cs="黑体"/>
      <w:color w:val="000000"/>
      <w:spacing w:val="-2"/>
      <w:kern w:val="0"/>
      <w:sz w:val="24"/>
      <w:szCs w:val="28"/>
      <w:lang w:val="zh-CN"/>
    </w:rPr>
  </w:style>
  <w:style w:type="paragraph" w:customStyle="1" w:styleId="3061">
    <w:name w:val="样式 五号 左侧:  0.99 厘米"/>
    <w:basedOn w:val="1"/>
    <w:qFormat/>
    <w:uiPriority w:val="0"/>
    <w:pPr>
      <w:tabs>
        <w:tab w:val="left" w:pos="378"/>
      </w:tabs>
      <w:adjustRightInd w:val="0"/>
      <w:snapToGrid w:val="0"/>
      <w:jc w:val="center"/>
    </w:pPr>
    <w:rPr>
      <w:rFonts w:eastAsia="宋体" w:cs="宋体"/>
      <w:spacing w:val="-2"/>
      <w:kern w:val="0"/>
      <w:sz w:val="24"/>
    </w:rPr>
  </w:style>
  <w:style w:type="paragraph" w:customStyle="1" w:styleId="3062">
    <w:name w:val="样式 宋体 12 磅 首行缩进:  2 字符"/>
    <w:basedOn w:val="1"/>
    <w:qFormat/>
    <w:uiPriority w:val="0"/>
    <w:pPr>
      <w:spacing w:line="500" w:lineRule="exact"/>
      <w:ind w:firstLine="200" w:firstLineChars="200"/>
    </w:pPr>
    <w:rPr>
      <w:rFonts w:ascii="宋体" w:hAnsi="Calibri" w:eastAsia="宋体" w:cs="黑体"/>
      <w:spacing w:val="-2"/>
      <w:kern w:val="0"/>
      <w:sz w:val="26"/>
    </w:rPr>
  </w:style>
  <w:style w:type="paragraph" w:customStyle="1" w:styleId="3063">
    <w:name w:val="日期21"/>
    <w:basedOn w:val="1"/>
    <w:next w:val="1"/>
    <w:qFormat/>
    <w:uiPriority w:val="0"/>
    <w:rPr>
      <w:rFonts w:ascii="Calibri" w:hAnsi="Calibri" w:eastAsia="宋体" w:cs="黑体"/>
      <w:sz w:val="21"/>
      <w:szCs w:val="22"/>
    </w:rPr>
  </w:style>
  <w:style w:type="paragraph" w:customStyle="1" w:styleId="3064">
    <w:name w:val="样式 样式 标题 2 + 段前: 0.5 行"/>
    <w:basedOn w:val="1"/>
    <w:qFormat/>
    <w:uiPriority w:val="0"/>
    <w:pPr>
      <w:keepNext/>
      <w:keepLines/>
      <w:spacing w:beforeLines="50"/>
      <w:outlineLvl w:val="1"/>
    </w:pPr>
    <w:rPr>
      <w:rFonts w:ascii="Arial" w:hAnsi="Arial" w:cs="宋体"/>
      <w:bCs/>
      <w:spacing w:val="20"/>
      <w:kern w:val="0"/>
    </w:rPr>
  </w:style>
  <w:style w:type="paragraph" w:customStyle="1" w:styleId="3065">
    <w:name w:val="附录标题2级"/>
    <w:basedOn w:val="1"/>
    <w:qFormat/>
    <w:uiPriority w:val="0"/>
    <w:pPr>
      <w:spacing w:beforeLines="50" w:line="400" w:lineRule="exact"/>
    </w:pPr>
    <w:rPr>
      <w:rFonts w:cs="黑体"/>
      <w:b/>
      <w:spacing w:val="-2"/>
      <w:kern w:val="0"/>
    </w:rPr>
  </w:style>
  <w:style w:type="paragraph" w:customStyle="1" w:styleId="3066">
    <w:name w:val="样式 标题 2H22nd levelh22Header 21SeHead wsa2Chapter Title..."/>
    <w:basedOn w:val="4"/>
    <w:qFormat/>
    <w:uiPriority w:val="0"/>
    <w:pPr>
      <w:keepLines w:val="0"/>
      <w:tabs>
        <w:tab w:val="left" w:pos="1476"/>
        <w:tab w:val="clear" w:pos="567"/>
      </w:tabs>
      <w:spacing w:before="100" w:beforeAutospacing="1" w:after="100" w:afterAutospacing="1" w:line="360" w:lineRule="auto"/>
      <w:ind w:left="0" w:firstLine="0"/>
    </w:pPr>
    <w:rPr>
      <w:rFonts w:ascii="宋体" w:hAnsi="宋体" w:eastAsia="宋体" w:cs="宋体"/>
      <w:b/>
      <w:bCs/>
      <w:spacing w:val="-2"/>
      <w:sz w:val="32"/>
    </w:rPr>
  </w:style>
  <w:style w:type="paragraph" w:customStyle="1" w:styleId="3067">
    <w:name w:val="热电厂正文"/>
    <w:basedOn w:val="1"/>
    <w:qFormat/>
    <w:uiPriority w:val="0"/>
    <w:pPr>
      <w:spacing w:line="440" w:lineRule="exact"/>
      <w:ind w:firstLine="200" w:firstLineChars="200"/>
    </w:pPr>
    <w:rPr>
      <w:rFonts w:eastAsia="宋体" w:cs="黑体"/>
      <w:spacing w:val="-2"/>
      <w:kern w:val="0"/>
      <w:sz w:val="24"/>
    </w:rPr>
  </w:style>
  <w:style w:type="paragraph" w:customStyle="1" w:styleId="3068">
    <w:name w:val="左侧"/>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3069">
    <w:name w:val="样式77"/>
    <w:basedOn w:val="1"/>
    <w:qFormat/>
    <w:uiPriority w:val="0"/>
    <w:pPr>
      <w:keepNext/>
      <w:keepLines/>
      <w:tabs>
        <w:tab w:val="left" w:pos="2175"/>
      </w:tabs>
      <w:spacing w:beforeLines="50" w:line="360" w:lineRule="auto"/>
      <w:outlineLvl w:val="3"/>
    </w:pPr>
    <w:rPr>
      <w:rFonts w:ascii="黑体" w:hAnsi="Calibri" w:eastAsia="黑体" w:cs="Arial"/>
      <w:bCs/>
      <w:spacing w:val="-2"/>
      <w:kern w:val="0"/>
      <w:sz w:val="24"/>
    </w:rPr>
  </w:style>
  <w:style w:type="paragraph" w:customStyle="1" w:styleId="3070">
    <w:name w:val="正文图标题"/>
    <w:next w:val="7"/>
    <w:qFormat/>
    <w:uiPriority w:val="0"/>
    <w:pPr>
      <w:tabs>
        <w:tab w:val="left" w:pos="303"/>
        <w:tab w:val="left" w:pos="840"/>
      </w:tabs>
      <w:ind w:left="840" w:hanging="360"/>
      <w:jc w:val="center"/>
    </w:pPr>
    <w:rPr>
      <w:rFonts w:ascii="黑体" w:hAnsi="Times New Roman" w:eastAsia="黑体" w:cs="Times New Roman"/>
      <w:sz w:val="21"/>
      <w:lang w:val="en-US" w:eastAsia="zh-CN" w:bidi="ar-SA"/>
    </w:rPr>
  </w:style>
  <w:style w:type="paragraph" w:customStyle="1" w:styleId="3071">
    <w:name w:val="标准文本 居中 单倍行距 Char"/>
    <w:basedOn w:val="1"/>
    <w:qFormat/>
    <w:uiPriority w:val="0"/>
    <w:pPr>
      <w:adjustRightInd w:val="0"/>
      <w:snapToGrid w:val="0"/>
      <w:spacing w:line="480" w:lineRule="exact"/>
      <w:jc w:val="center"/>
    </w:pPr>
    <w:rPr>
      <w:rFonts w:ascii="宋体" w:hAnsi="Calibri" w:eastAsia="宋体" w:cs="宋体"/>
      <w:color w:val="000000"/>
      <w:spacing w:val="-2"/>
      <w:kern w:val="0"/>
      <w:sz w:val="24"/>
    </w:rPr>
  </w:style>
  <w:style w:type="paragraph" w:customStyle="1" w:styleId="3072">
    <w:name w:val="content-hd1"/>
    <w:basedOn w:val="1"/>
    <w:qFormat/>
    <w:uiPriority w:val="0"/>
    <w:pPr>
      <w:widowControl/>
      <w:pBdr>
        <w:left w:val="single" w:color="DDDDDD" w:sz="6"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073">
    <w:name w:val="样式 样式 样式 仿宋_GB2312 段前: 0.5 行 段后: 6 磅 行距: 1.5 倍行距 + 首行缩进:  2 字符 段..."/>
    <w:basedOn w:val="1"/>
    <w:qFormat/>
    <w:uiPriority w:val="0"/>
    <w:pPr>
      <w:spacing w:line="300" w:lineRule="auto"/>
    </w:pPr>
    <w:rPr>
      <w:rFonts w:cs="黑体"/>
      <w:spacing w:val="-2"/>
      <w:kern w:val="0"/>
    </w:rPr>
  </w:style>
  <w:style w:type="paragraph" w:customStyle="1" w:styleId="3074">
    <w:name w:val="Char5"/>
    <w:basedOn w:val="26"/>
    <w:qFormat/>
    <w:uiPriority w:val="0"/>
    <w:pPr>
      <w:adjustRightInd w:val="0"/>
      <w:spacing w:line="436" w:lineRule="exact"/>
      <w:ind w:left="357"/>
      <w:outlineLvl w:val="3"/>
    </w:pPr>
    <w:rPr>
      <w:rFonts w:ascii="Tahoma" w:hAnsi="Tahoma" w:eastAsia="宋体" w:cs="宋体"/>
      <w:b/>
      <w:sz w:val="24"/>
      <w:szCs w:val="28"/>
    </w:rPr>
  </w:style>
  <w:style w:type="paragraph" w:customStyle="1" w:styleId="3075">
    <w:name w:val="样式 标题 1 + 首行缩进:  2 字符 段前: 0.1 行"/>
    <w:basedOn w:val="3"/>
    <w:qFormat/>
    <w:uiPriority w:val="99"/>
    <w:pPr>
      <w:pageBreakBefore w:val="0"/>
      <w:spacing w:before="340" w:beforeLines="10" w:after="360" w:line="360" w:lineRule="auto"/>
      <w:ind w:left="0" w:firstLine="634" w:firstLineChars="200"/>
    </w:pPr>
    <w:rPr>
      <w:rFonts w:cs="宋体"/>
      <w:bCs/>
      <w:spacing w:val="-2"/>
      <w:w w:val="90"/>
      <w:kern w:val="0"/>
      <w:szCs w:val="36"/>
      <w:lang w:val="zh-CN"/>
    </w:rPr>
  </w:style>
  <w:style w:type="paragraph" w:customStyle="1" w:styleId="3076">
    <w:name w:val="编编本"/>
    <w:basedOn w:val="1"/>
    <w:qFormat/>
    <w:uiPriority w:val="0"/>
    <w:pPr>
      <w:tabs>
        <w:tab w:val="left" w:pos="1174"/>
      </w:tabs>
      <w:spacing w:beforeLines="30"/>
      <w:ind w:firstLine="454"/>
    </w:pPr>
    <w:rPr>
      <w:rFonts w:ascii="新宋体" w:hAnsi="Calibri" w:eastAsia="新宋体" w:cs="黑体"/>
      <w:spacing w:val="-2"/>
      <w:w w:val="90"/>
      <w:kern w:val="0"/>
      <w:sz w:val="22"/>
    </w:rPr>
  </w:style>
  <w:style w:type="paragraph" w:customStyle="1" w:styleId="3077">
    <w:name w:val="1标题1级"/>
    <w:basedOn w:val="1"/>
    <w:semiHidden/>
    <w:qFormat/>
    <w:uiPriority w:val="0"/>
    <w:pPr>
      <w:keepNext/>
      <w:snapToGrid w:val="0"/>
      <w:spacing w:line="420" w:lineRule="auto"/>
      <w:outlineLvl w:val="0"/>
    </w:pPr>
    <w:rPr>
      <w:rFonts w:eastAsia="黑体"/>
      <w:b/>
      <w:color w:val="000000"/>
      <w:kern w:val="28"/>
      <w:sz w:val="30"/>
      <w:szCs w:val="24"/>
    </w:rPr>
  </w:style>
  <w:style w:type="paragraph" w:customStyle="1" w:styleId="3078">
    <w:name w:val="Char Char1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079">
    <w:name w:val="附注，五宋"/>
    <w:qFormat/>
    <w:uiPriority w:val="0"/>
    <w:pPr>
      <w:keepNext/>
      <w:widowControl w:val="0"/>
      <w:adjustRightInd w:val="0"/>
      <w:spacing w:line="360" w:lineRule="exact"/>
      <w:ind w:firstLine="425"/>
      <w:jc w:val="both"/>
    </w:pPr>
    <w:rPr>
      <w:rFonts w:ascii="Times New Roman" w:hAnsi="Times New Roman" w:eastAsia="宋体" w:cs="Times New Roman"/>
      <w:spacing w:val="20"/>
      <w:lang w:val="en-US" w:eastAsia="zh-CN" w:bidi="ar-SA"/>
    </w:rPr>
  </w:style>
  <w:style w:type="paragraph" w:customStyle="1" w:styleId="3080">
    <w:name w:val="佛山正文"/>
    <w:basedOn w:val="1"/>
    <w:qFormat/>
    <w:uiPriority w:val="0"/>
    <w:pPr>
      <w:snapToGrid w:val="0"/>
      <w:spacing w:line="360" w:lineRule="auto"/>
      <w:ind w:firstLine="454" w:firstLineChars="216"/>
    </w:pPr>
    <w:rPr>
      <w:rFonts w:ascii="仿宋_GB2312" w:hAnsi="宋体" w:cs="黑体"/>
      <w:spacing w:val="-2"/>
      <w:kern w:val="0"/>
      <w:szCs w:val="21"/>
    </w:rPr>
  </w:style>
  <w:style w:type="paragraph" w:customStyle="1" w:styleId="3081">
    <w:name w:val="样式 样式 首行缩进:  2 字符 + 首行缩进:  2 字符"/>
    <w:basedOn w:val="1"/>
    <w:qFormat/>
    <w:uiPriority w:val="0"/>
    <w:pPr>
      <w:snapToGrid w:val="0"/>
      <w:spacing w:line="360" w:lineRule="auto"/>
      <w:ind w:firstLine="502" w:firstLineChars="200"/>
    </w:pPr>
    <w:rPr>
      <w:rFonts w:eastAsia="宋体" w:cs="宋体"/>
      <w:spacing w:val="-2"/>
      <w:kern w:val="0"/>
      <w:sz w:val="24"/>
    </w:rPr>
  </w:style>
  <w:style w:type="paragraph" w:customStyle="1" w:styleId="3082">
    <w:name w:val="样式 样式 样式 标题 3标题 33 + 段前: 0.5 行 + 段前: 0.5 行 + 段前: 6 磅 段后: 0.5 行"/>
    <w:basedOn w:val="1"/>
    <w:qFormat/>
    <w:uiPriority w:val="0"/>
    <w:pPr>
      <w:keepNext/>
      <w:keepLines/>
      <w:snapToGrid w:val="0"/>
      <w:outlineLvl w:val="2"/>
    </w:pPr>
    <w:rPr>
      <w:rFonts w:ascii="黑体" w:hAnsi="Calibri" w:eastAsia="黑体" w:cs="黑体"/>
      <w:color w:val="FF0000"/>
      <w:spacing w:val="-2"/>
      <w:kern w:val="0"/>
      <w:sz w:val="24"/>
    </w:rPr>
  </w:style>
  <w:style w:type="paragraph" w:customStyle="1" w:styleId="3083">
    <w:name w:val="xl340"/>
    <w:basedOn w:val="1"/>
    <w:qFormat/>
    <w:uiPriority w:val="0"/>
    <w:pPr>
      <w:spacing w:before="100" w:after="100"/>
      <w:jc w:val="center"/>
    </w:pPr>
    <w:rPr>
      <w:rFonts w:ascii="宋体" w:hAnsi="Calibri" w:eastAsia="宋体" w:cs="黑体"/>
      <w:spacing w:val="-2"/>
      <w:kern w:val="0"/>
      <w:sz w:val="24"/>
    </w:rPr>
  </w:style>
  <w:style w:type="paragraph" w:customStyle="1" w:styleId="3084">
    <w:name w:val="inputaa"/>
    <w:basedOn w:val="1"/>
    <w:qFormat/>
    <w:uiPriority w:val="0"/>
    <w:pPr>
      <w:widowControl/>
      <w:pBdr>
        <w:top w:val="threeDEmboss" w:color="FFFFFF" w:sz="6" w:space="0"/>
        <w:left w:val="threeDEmboss" w:color="FFFFFF" w:sz="6" w:space="0"/>
        <w:bottom w:val="threeDEmboss" w:color="auto" w:sz="6" w:space="0"/>
        <w:right w:val="threeDEmboss" w:color="auto" w:sz="6" w:space="0"/>
      </w:pBdr>
      <w:shd w:val="clear" w:color="auto" w:fill="CCCCCC"/>
      <w:spacing w:before="100" w:beforeAutospacing="1" w:after="100" w:afterAutospacing="1"/>
      <w:jc w:val="left"/>
    </w:pPr>
    <w:rPr>
      <w:rFonts w:eastAsia="Arial Unicode MS" w:cs="黑体"/>
      <w:spacing w:val="-2"/>
      <w:kern w:val="0"/>
      <w:sz w:val="18"/>
    </w:rPr>
  </w:style>
  <w:style w:type="paragraph" w:customStyle="1" w:styleId="3085">
    <w:name w:val="样式 标题 3 + 宋体"/>
    <w:basedOn w:val="6"/>
    <w:qFormat/>
    <w:uiPriority w:val="99"/>
    <w:pPr>
      <w:tabs>
        <w:tab w:val="left" w:pos="1080"/>
        <w:tab w:val="clear" w:pos="1789"/>
      </w:tabs>
      <w:spacing w:after="0" w:line="415" w:lineRule="auto"/>
      <w:ind w:left="0" w:right="19" w:rightChars="8" w:firstLine="0"/>
    </w:pPr>
    <w:rPr>
      <w:rFonts w:ascii="宋体" w:hAnsi="宋体" w:eastAsia="宋体"/>
      <w:kern w:val="28"/>
      <w:sz w:val="28"/>
      <w:szCs w:val="28"/>
    </w:rPr>
  </w:style>
  <w:style w:type="paragraph" w:customStyle="1" w:styleId="3086">
    <w:name w:val="数列"/>
    <w:basedOn w:val="5"/>
    <w:qFormat/>
    <w:uiPriority w:val="0"/>
    <w:pPr>
      <w:tabs>
        <w:tab w:val="left" w:pos="-425"/>
        <w:tab w:val="left" w:pos="1560"/>
      </w:tabs>
      <w:spacing w:line="440" w:lineRule="exact"/>
      <w:ind w:left="-850" w:firstLine="0"/>
    </w:pPr>
    <w:rPr>
      <w:rFonts w:hint="eastAsia" w:ascii="Calibri" w:hAnsi="Calibri" w:eastAsia="仿宋_GB2312"/>
      <w:spacing w:val="50"/>
      <w:sz w:val="28"/>
      <w:szCs w:val="22"/>
    </w:rPr>
  </w:style>
  <w:style w:type="paragraph" w:customStyle="1" w:styleId="3087">
    <w:name w:val="样式 标题 2 + 仿宋_GB2312 小三 行距: 1.5 倍行距"/>
    <w:basedOn w:val="4"/>
    <w:qFormat/>
    <w:uiPriority w:val="0"/>
    <w:pPr>
      <w:tabs>
        <w:tab w:val="left" w:pos="720"/>
        <w:tab w:val="left" w:pos="1476"/>
        <w:tab w:val="clear" w:pos="567"/>
      </w:tabs>
      <w:spacing w:before="0" w:after="0" w:line="410" w:lineRule="auto"/>
      <w:ind w:left="0" w:firstLine="0"/>
    </w:pPr>
    <w:rPr>
      <w:rFonts w:ascii="仿宋_GB2312" w:hAnsi="Arial Unicode MS" w:eastAsia="仿宋_GB2312" w:cs="宋体"/>
      <w:b/>
      <w:bCs/>
      <w:spacing w:val="-2"/>
      <w:sz w:val="30"/>
    </w:rPr>
  </w:style>
  <w:style w:type="paragraph" w:customStyle="1" w:styleId="3088">
    <w:name w:val="xl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089">
    <w:name w:val="许克亮标二"/>
    <w:qFormat/>
    <w:uiPriority w:val="0"/>
    <w:pPr>
      <w:adjustRightInd w:val="0"/>
      <w:snapToGrid w:val="0"/>
      <w:spacing w:line="360" w:lineRule="auto"/>
      <w:ind w:firstLine="561"/>
      <w:jc w:val="both"/>
    </w:pPr>
    <w:rPr>
      <w:rFonts w:ascii="Times New Roman" w:hAnsi="Times New Roman" w:eastAsia="宋体" w:cs="Times New Roman"/>
      <w:b/>
      <w:bCs/>
      <w:sz w:val="28"/>
      <w:szCs w:val="28"/>
      <w:lang w:val="en-US" w:eastAsia="zh-CN" w:bidi="ar-SA"/>
    </w:rPr>
  </w:style>
  <w:style w:type="paragraph" w:customStyle="1" w:styleId="3090">
    <w:name w:val="样式105"/>
    <w:basedOn w:val="3091"/>
    <w:qFormat/>
    <w:uiPriority w:val="0"/>
    <w:pPr>
      <w:tabs>
        <w:tab w:val="left" w:pos="540"/>
        <w:tab w:val="left" w:pos="2175"/>
      </w:tabs>
      <w:spacing w:beforeLines="0"/>
      <w:ind w:left="927" w:hanging="927"/>
      <w:outlineLvl w:val="1"/>
    </w:pPr>
    <w:rPr>
      <w:rFonts w:cs="Arial"/>
      <w:b/>
    </w:rPr>
  </w:style>
  <w:style w:type="paragraph" w:customStyle="1" w:styleId="3091">
    <w:name w:val="样式81"/>
    <w:basedOn w:val="1"/>
    <w:qFormat/>
    <w:uiPriority w:val="0"/>
    <w:pPr>
      <w:keepNext/>
      <w:keepLines/>
      <w:tabs>
        <w:tab w:val="left" w:pos="2175"/>
      </w:tabs>
      <w:spacing w:beforeLines="50" w:line="360" w:lineRule="auto"/>
      <w:outlineLvl w:val="2"/>
    </w:pPr>
    <w:rPr>
      <w:rFonts w:eastAsia="黑体" w:cs="黑体"/>
      <w:bCs/>
      <w:spacing w:val="-2"/>
      <w:kern w:val="0"/>
      <w:szCs w:val="28"/>
    </w:rPr>
  </w:style>
  <w:style w:type="paragraph" w:customStyle="1" w:styleId="3092">
    <w:name w:val="GH1文本_02条款"/>
    <w:qFormat/>
    <w:uiPriority w:val="0"/>
    <w:pPr>
      <w:widowControl w:val="0"/>
      <w:tabs>
        <w:tab w:val="left" w:pos="-2126"/>
        <w:tab w:val="left" w:pos="1588"/>
      </w:tabs>
      <w:spacing w:line="360" w:lineRule="auto"/>
      <w:ind w:left="-2551"/>
      <w:outlineLvl w:val="2"/>
    </w:pPr>
    <w:rPr>
      <w:rFonts w:ascii="Times New Roman" w:hAnsi="Times New Roman" w:eastAsia="宋体" w:cs="Times New Roman"/>
      <w:kern w:val="2"/>
      <w:sz w:val="28"/>
      <w:szCs w:val="24"/>
      <w:lang w:val="en-US" w:eastAsia="zh-CN" w:bidi="ar-SA"/>
    </w:rPr>
  </w:style>
  <w:style w:type="paragraph" w:customStyle="1" w:styleId="3093">
    <w:name w:val="Char Char Char Char Char Char Char Char Char Char Char Char Char1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094">
    <w:name w:val="Char Char1 Char Char Char Char Char Char Char"/>
    <w:basedOn w:val="1"/>
    <w:qFormat/>
    <w:uiPriority w:val="0"/>
    <w:rPr>
      <w:rFonts w:ascii="Calibri" w:hAnsi="Calibri" w:eastAsia="宋体" w:cs="黑体"/>
      <w:sz w:val="21"/>
      <w:szCs w:val="24"/>
    </w:rPr>
  </w:style>
  <w:style w:type="paragraph" w:customStyle="1" w:styleId="3095">
    <w:name w:val="正文标准 Char"/>
    <w:basedOn w:val="1"/>
    <w:qFormat/>
    <w:uiPriority w:val="0"/>
    <w:pPr>
      <w:ind w:firstLine="200" w:firstLineChars="200"/>
    </w:pPr>
    <w:rPr>
      <w:rFonts w:eastAsia="宋体" w:cs="黑体"/>
      <w:spacing w:val="-2"/>
      <w:kern w:val="0"/>
      <w:sz w:val="24"/>
    </w:rPr>
  </w:style>
  <w:style w:type="paragraph" w:customStyle="1" w:styleId="3096">
    <w:name w:val="样式 表题注 + 五号 左 段前: 3.6 磅2"/>
    <w:basedOn w:val="1"/>
    <w:qFormat/>
    <w:uiPriority w:val="0"/>
    <w:pPr>
      <w:keepNext/>
      <w:spacing w:before="72" w:after="160" w:line="0" w:lineRule="atLeast"/>
      <w:jc w:val="center"/>
    </w:pPr>
    <w:rPr>
      <w:rFonts w:ascii="宋体" w:hAnsi="Calibri" w:eastAsia="宋体" w:cs="黑体"/>
      <w:b/>
      <w:color w:val="000000"/>
      <w:spacing w:val="-2"/>
      <w:kern w:val="0"/>
      <w:sz w:val="24"/>
    </w:rPr>
  </w:style>
  <w:style w:type="paragraph" w:customStyle="1" w:styleId="3097">
    <w:name w:val="表格用字"/>
    <w:basedOn w:val="77"/>
    <w:qFormat/>
    <w:uiPriority w:val="0"/>
    <w:pPr>
      <w:spacing w:before="156" w:after="120" w:line="0" w:lineRule="atLeast"/>
      <w:jc w:val="both"/>
    </w:pPr>
    <w:rPr>
      <w:rFonts w:hint="eastAsia" w:ascii="宋体" w:hAnsi="宋体" w:eastAsia="仿宋_GB2312" w:cs="宋体"/>
      <w:sz w:val="24"/>
      <w:szCs w:val="22"/>
    </w:rPr>
  </w:style>
  <w:style w:type="paragraph" w:customStyle="1" w:styleId="3098">
    <w:name w:val="报告标题4"/>
    <w:basedOn w:val="556"/>
    <w:qFormat/>
    <w:uiPriority w:val="0"/>
    <w:pPr>
      <w:tabs>
        <w:tab w:val="left" w:pos="864"/>
        <w:tab w:val="left" w:pos="1476"/>
        <w:tab w:val="clear" w:pos="0"/>
        <w:tab w:val="clear" w:pos="567"/>
      </w:tabs>
      <w:spacing w:before="100" w:beforeLines="0"/>
      <w:ind w:left="864" w:hanging="864"/>
      <w:outlineLvl w:val="3"/>
    </w:pPr>
    <w:rPr>
      <w:rFonts w:cs="Arial"/>
      <w:szCs w:val="20"/>
    </w:rPr>
  </w:style>
  <w:style w:type="paragraph" w:customStyle="1" w:styleId="3099">
    <w:name w:val="正文41"/>
    <w:basedOn w:val="1"/>
    <w:qFormat/>
    <w:uiPriority w:val="0"/>
    <w:pPr>
      <w:adjustRightInd w:val="0"/>
      <w:spacing w:line="315" w:lineRule="atLeast"/>
      <w:jc w:val="left"/>
    </w:pPr>
    <w:rPr>
      <w:rFonts w:ascii="宋体" w:hAnsi="Calibri" w:eastAsia="宋体" w:cs="黑体"/>
      <w:spacing w:val="-2"/>
      <w:kern w:val="0"/>
    </w:rPr>
  </w:style>
  <w:style w:type="paragraph" w:customStyle="1" w:styleId="3100">
    <w:name w:val="徐萍自正文1"/>
    <w:basedOn w:val="1"/>
    <w:qFormat/>
    <w:uiPriority w:val="0"/>
    <w:pPr>
      <w:tabs>
        <w:tab w:val="left" w:pos="0"/>
      </w:tabs>
      <w:adjustRightInd w:val="0"/>
      <w:snapToGrid w:val="0"/>
      <w:ind w:firstLine="200" w:firstLineChars="200"/>
    </w:pPr>
    <w:rPr>
      <w:rFonts w:ascii="宋体" w:hAnsi="Calibri" w:eastAsia="宋体" w:cs="黑体"/>
      <w:bCs/>
      <w:color w:val="000000"/>
      <w:spacing w:val="-2"/>
      <w:kern w:val="24"/>
      <w:sz w:val="26"/>
    </w:rPr>
  </w:style>
  <w:style w:type="paragraph" w:customStyle="1" w:styleId="3101">
    <w:name w:val="正文文本缩进 21"/>
    <w:basedOn w:val="1"/>
    <w:qFormat/>
    <w:uiPriority w:val="0"/>
    <w:pPr>
      <w:adjustRightInd w:val="0"/>
      <w:ind w:firstLine="560"/>
    </w:pPr>
    <w:rPr>
      <w:rFonts w:eastAsia="宋体" w:cs="黑体"/>
      <w:spacing w:val="-2"/>
      <w:kern w:val="0"/>
    </w:rPr>
  </w:style>
  <w:style w:type="paragraph" w:customStyle="1" w:styleId="3102">
    <w:name w:val="马面的标题2"/>
    <w:basedOn w:val="4"/>
    <w:qFormat/>
    <w:uiPriority w:val="0"/>
    <w:pPr>
      <w:tabs>
        <w:tab w:val="clear" w:pos="567"/>
      </w:tabs>
      <w:spacing w:before="50" w:after="50" w:line="480" w:lineRule="exact"/>
      <w:ind w:left="0" w:firstLine="0"/>
      <w:jc w:val="left"/>
    </w:pPr>
    <w:rPr>
      <w:rFonts w:ascii="Arial" w:eastAsia="宋体" w:cs="宋体"/>
      <w:b/>
      <w:bCs/>
      <w:spacing w:val="-2"/>
      <w:szCs w:val="32"/>
    </w:rPr>
  </w:style>
  <w:style w:type="paragraph" w:customStyle="1" w:styleId="3103">
    <w:name w:val="图表题"/>
    <w:next w:val="1"/>
    <w:qFormat/>
    <w:uiPriority w:val="0"/>
    <w:pPr>
      <w:spacing w:before="156" w:after="156" w:line="360" w:lineRule="exact"/>
      <w:jc w:val="center"/>
    </w:pPr>
    <w:rPr>
      <w:rFonts w:ascii="宋体" w:hAnsi="Times New Roman" w:eastAsia="宋体" w:cs="Times New Roman"/>
      <w:b/>
      <w:sz w:val="24"/>
      <w:lang w:val="en-US" w:eastAsia="zh-CN" w:bidi="ar-SA"/>
    </w:rPr>
  </w:style>
  <w:style w:type="paragraph" w:customStyle="1" w:styleId="3104">
    <w:name w:val="样式 标题 4标题 4 Char Char标题 4 Char + 小四 加粗2"/>
    <w:basedOn w:val="7"/>
    <w:qFormat/>
    <w:uiPriority w:val="0"/>
    <w:pPr>
      <w:tabs>
        <w:tab w:val="left" w:pos="864"/>
        <w:tab w:val="left" w:pos="2153"/>
        <w:tab w:val="clear" w:pos="4008"/>
      </w:tabs>
      <w:adjustRightInd w:val="0"/>
      <w:snapToGrid w:val="0"/>
      <w:spacing w:beforeLines="50" w:line="520" w:lineRule="atLeast"/>
      <w:ind w:left="0" w:firstLine="0"/>
      <w:jc w:val="both"/>
    </w:pPr>
    <w:rPr>
      <w:rFonts w:ascii="Times New Roman" w:hAnsi="Times New Roman" w:eastAsia="宋体"/>
      <w:bCs/>
      <w:color w:val="auto"/>
      <w:spacing w:val="-2"/>
      <w:kern w:val="0"/>
      <w:sz w:val="21"/>
    </w:rPr>
  </w:style>
  <w:style w:type="paragraph" w:customStyle="1" w:styleId="3105">
    <w:name w:val="中气附件"/>
    <w:basedOn w:val="3"/>
    <w:qFormat/>
    <w:uiPriority w:val="0"/>
    <w:pPr>
      <w:pageBreakBefore w:val="0"/>
      <w:tabs>
        <w:tab w:val="clear" w:pos="1080"/>
      </w:tabs>
      <w:spacing w:before="240" w:line="360" w:lineRule="auto"/>
      <w:ind w:left="0" w:firstLine="200" w:firstLineChars="200"/>
      <w:jc w:val="right"/>
    </w:pPr>
    <w:rPr>
      <w:rFonts w:ascii="黑体" w:hAnsi="宋体" w:eastAsia="黑体" w:cs="Arial"/>
      <w:b w:val="0"/>
      <w:bCs/>
      <w:spacing w:val="-2"/>
      <w:sz w:val="32"/>
      <w:szCs w:val="44"/>
    </w:rPr>
  </w:style>
  <w:style w:type="paragraph" w:customStyle="1" w:styleId="3106">
    <w:name w:val="四号 行距: 固定值 25 磅"/>
    <w:basedOn w:val="1"/>
    <w:qFormat/>
    <w:uiPriority w:val="0"/>
    <w:pPr>
      <w:adjustRightInd w:val="0"/>
      <w:snapToGrid w:val="0"/>
      <w:spacing w:line="340" w:lineRule="exact"/>
      <w:ind w:firstLine="422" w:firstLineChars="200"/>
      <w:jc w:val="center"/>
    </w:pPr>
    <w:rPr>
      <w:rFonts w:ascii="宋体" w:hAnsi="宋体" w:eastAsia="宋体" w:cs="黑体"/>
      <w:b/>
      <w:spacing w:val="-2"/>
      <w:kern w:val="0"/>
      <w:szCs w:val="21"/>
      <w:lang w:val="zh-CN"/>
    </w:rPr>
  </w:style>
  <w:style w:type="paragraph" w:customStyle="1" w:styleId="3107">
    <w:name w:val="title2"/>
    <w:basedOn w:val="1"/>
    <w:qFormat/>
    <w:uiPriority w:val="0"/>
    <w:pPr>
      <w:widowControl/>
      <w:spacing w:line="240" w:lineRule="atLeast"/>
      <w:jc w:val="center"/>
    </w:pPr>
    <w:rPr>
      <w:rFonts w:ascii="宋体" w:hAnsi="Calibri" w:eastAsia="宋体" w:cs="宋体"/>
      <w:color w:val="000000"/>
      <w:spacing w:val="-2"/>
      <w:kern w:val="0"/>
      <w:sz w:val="18"/>
      <w:szCs w:val="18"/>
    </w:rPr>
  </w:style>
  <w:style w:type="paragraph" w:customStyle="1" w:styleId="3108">
    <w:name w:val="样式 标题 1标题 1环评标题 11一、标题 1 Char章 + Times New Roman 加粗 黑色 两..."/>
    <w:next w:val="85"/>
    <w:qFormat/>
    <w:uiPriority w:val="0"/>
    <w:pPr>
      <w:spacing w:before="156" w:after="156"/>
      <w:jc w:val="both"/>
    </w:pPr>
    <w:rPr>
      <w:rFonts w:ascii="Times New Roman" w:hAnsi="Times New Roman" w:eastAsia="黑体" w:cs="宋体"/>
      <w:b/>
      <w:bCs/>
      <w:color w:val="000000"/>
      <w:kern w:val="44"/>
      <w:sz w:val="30"/>
      <w:lang w:val="en-US" w:eastAsia="zh-CN" w:bidi="ar-SA"/>
    </w:rPr>
  </w:style>
  <w:style w:type="paragraph" w:customStyle="1" w:styleId="3109">
    <w:name w:val="质正文"/>
    <w:basedOn w:val="1"/>
    <w:qFormat/>
    <w:uiPriority w:val="0"/>
    <w:pPr>
      <w:adjustRightInd w:val="0"/>
      <w:snapToGrid w:val="0"/>
      <w:spacing w:line="360" w:lineRule="auto"/>
      <w:ind w:firstLine="200" w:firstLineChars="200"/>
    </w:pPr>
    <w:rPr>
      <w:rFonts w:ascii="宋体" w:eastAsia="宋体" w:cs="黑体"/>
      <w:spacing w:val="-2"/>
      <w:kern w:val="0"/>
      <w:sz w:val="24"/>
    </w:rPr>
  </w:style>
  <w:style w:type="paragraph" w:customStyle="1" w:styleId="3110">
    <w:name w:val="xl2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3111">
    <w:name w:val="p-r3"/>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12">
    <w:name w:val="表格内容1"/>
    <w:basedOn w:val="1"/>
    <w:qFormat/>
    <w:uiPriority w:val="0"/>
    <w:pPr>
      <w:tabs>
        <w:tab w:val="left" w:pos="1535"/>
        <w:tab w:val="left" w:pos="3105"/>
        <w:tab w:val="left" w:pos="3880"/>
        <w:tab w:val="center" w:pos="4153"/>
        <w:tab w:val="left" w:pos="4676"/>
        <w:tab w:val="left" w:pos="6247"/>
        <w:tab w:val="left" w:pos="7740"/>
        <w:tab w:val="right" w:pos="8306"/>
        <w:tab w:val="left" w:pos="9288"/>
      </w:tabs>
      <w:autoSpaceDE w:val="0"/>
      <w:autoSpaceDN w:val="0"/>
      <w:adjustRightInd w:val="0"/>
      <w:snapToGrid w:val="0"/>
      <w:jc w:val="center"/>
    </w:pPr>
    <w:rPr>
      <w:rFonts w:ascii="仿宋_GB2312" w:hAnsi="宋体" w:cs="黑体"/>
      <w:color w:val="FF0000"/>
      <w:spacing w:val="-2"/>
      <w:kern w:val="0"/>
      <w:szCs w:val="21"/>
    </w:rPr>
  </w:style>
  <w:style w:type="paragraph" w:customStyle="1" w:styleId="3113">
    <w:name w:val="样式 标题 2 + 宋体 四号"/>
    <w:basedOn w:val="4"/>
    <w:qFormat/>
    <w:uiPriority w:val="0"/>
    <w:pPr>
      <w:keepLines w:val="0"/>
      <w:tabs>
        <w:tab w:val="left" w:pos="1476"/>
        <w:tab w:val="clear" w:pos="567"/>
      </w:tabs>
      <w:adjustRightInd w:val="0"/>
      <w:snapToGrid w:val="0"/>
      <w:spacing w:before="0" w:beforeLines="50" w:after="0"/>
      <w:ind w:left="0" w:firstLine="0"/>
    </w:pPr>
    <w:rPr>
      <w:rFonts w:ascii="宋体" w:hAnsi="Arial Unicode MS" w:eastAsia="宋体" w:cs="宋体"/>
      <w:bCs/>
      <w:spacing w:val="-2"/>
      <w:szCs w:val="24"/>
    </w:rPr>
  </w:style>
  <w:style w:type="paragraph" w:customStyle="1" w:styleId="3114">
    <w:name w:val="参加人员"/>
    <w:basedOn w:val="1"/>
    <w:qFormat/>
    <w:uiPriority w:val="0"/>
    <w:rPr>
      <w:rFonts w:eastAsia="宋体" w:cs="黑体"/>
      <w:spacing w:val="-2"/>
      <w:kern w:val="0"/>
      <w:sz w:val="24"/>
    </w:rPr>
  </w:style>
  <w:style w:type="paragraph" w:customStyle="1" w:styleId="3115">
    <w:name w:val="中大3级标题"/>
    <w:basedOn w:val="6"/>
    <w:qFormat/>
    <w:uiPriority w:val="0"/>
    <w:pPr>
      <w:tabs>
        <w:tab w:val="left" w:pos="720"/>
        <w:tab w:val="left" w:pos="1022"/>
        <w:tab w:val="left" w:pos="1080"/>
        <w:tab w:val="clear" w:pos="1789"/>
      </w:tabs>
      <w:snapToGrid w:val="0"/>
      <w:spacing w:before="0" w:beforeLines="50" w:after="0" w:line="360" w:lineRule="auto"/>
      <w:ind w:left="0" w:firstLine="0"/>
    </w:pPr>
    <w:rPr>
      <w:rFonts w:hint="eastAsia" w:ascii="宋体" w:hAnsi="宋体" w:eastAsia="宋体" w:cs="宋体"/>
      <w:i/>
      <w:iCs/>
      <w:color w:val="000000"/>
      <w:spacing w:val="-2"/>
      <w:sz w:val="28"/>
      <w:szCs w:val="24"/>
    </w:rPr>
  </w:style>
  <w:style w:type="paragraph" w:customStyle="1" w:styleId="3116">
    <w:name w:val="正文  规划"/>
    <w:basedOn w:val="1"/>
    <w:qFormat/>
    <w:uiPriority w:val="0"/>
    <w:pPr>
      <w:adjustRightInd w:val="0"/>
      <w:spacing w:before="120" w:after="120"/>
      <w:ind w:firstLine="200" w:firstLineChars="200"/>
    </w:pPr>
    <w:rPr>
      <w:rFonts w:eastAsia="宋体" w:cs="宋体"/>
      <w:spacing w:val="-2"/>
      <w:kern w:val="0"/>
      <w:sz w:val="24"/>
    </w:rPr>
  </w:style>
  <w:style w:type="paragraph" w:customStyle="1" w:styleId="3117">
    <w:name w:val="hot-word-refresh"/>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18">
    <w:name w:val="col-sub1"/>
    <w:basedOn w:val="1"/>
    <w:qFormat/>
    <w:uiPriority w:val="0"/>
    <w:pPr>
      <w:widowControl/>
      <w:spacing w:before="100" w:beforeAutospacing="1" w:after="100" w:afterAutospacing="1"/>
      <w:ind w:left="-3675"/>
      <w:jc w:val="left"/>
    </w:pPr>
    <w:rPr>
      <w:rFonts w:ascii="宋体" w:hAnsi="Calibri" w:eastAsia="宋体" w:cs="宋体"/>
      <w:spacing w:val="-2"/>
      <w:kern w:val="0"/>
      <w:sz w:val="24"/>
      <w:szCs w:val="21"/>
    </w:rPr>
  </w:style>
  <w:style w:type="paragraph" w:customStyle="1" w:styleId="3119">
    <w:name w:val="Char Char Char Char Char Char Char Char Char2 Char Char Char Char Char Char Char Char Char Char"/>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120">
    <w:name w:val="上次保存者"/>
    <w:qFormat/>
    <w:uiPriority w:val="0"/>
    <w:pPr>
      <w:widowControl w:val="0"/>
      <w:jc w:val="both"/>
    </w:pPr>
    <w:rPr>
      <w:rFonts w:ascii="Times New Roman" w:hAnsi="Times New Roman" w:eastAsia="宋体" w:cs="Times New Roman"/>
      <w:lang w:val="en-US" w:eastAsia="zh-CN" w:bidi="ar-SA"/>
    </w:rPr>
  </w:style>
  <w:style w:type="paragraph" w:customStyle="1" w:styleId="3121">
    <w:name w:val="9"/>
    <w:basedOn w:val="1"/>
    <w:next w:val="52"/>
    <w:qFormat/>
    <w:uiPriority w:val="0"/>
    <w:pPr>
      <w:widowControl/>
      <w:spacing w:line="460" w:lineRule="exact"/>
      <w:ind w:firstLine="554" w:firstLineChars="231"/>
      <w:jc w:val="left"/>
    </w:pPr>
    <w:rPr>
      <w:rFonts w:ascii="宋体" w:hAnsi="宋体" w:eastAsia="宋体" w:cs="宋体"/>
      <w:spacing w:val="-2"/>
      <w:kern w:val="0"/>
      <w:sz w:val="24"/>
    </w:rPr>
  </w:style>
  <w:style w:type="paragraph" w:customStyle="1" w:styleId="3122">
    <w:name w:val="p-r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3">
    <w:name w:val="pad14"/>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4">
    <w:name w:val="样式 样式 样式 标题 2H2h2heading 2+ Indent: Left 0.25 in二级节名1.1  heading...1"/>
    <w:basedOn w:val="3125"/>
    <w:qFormat/>
    <w:uiPriority w:val="0"/>
    <w:pPr>
      <w:tabs>
        <w:tab w:val="left" w:pos="0"/>
        <w:tab w:val="left" w:pos="576"/>
        <w:tab w:val="left" w:pos="840"/>
      </w:tabs>
      <w:spacing w:before="240" w:beforeLines="0"/>
    </w:pPr>
  </w:style>
  <w:style w:type="paragraph" w:customStyle="1" w:styleId="3125">
    <w:name w:val="样式 样式 标题 2H2h2heading 2+ Indent: Left 0.25 in二级节名1.1  heading......1"/>
    <w:basedOn w:val="2937"/>
    <w:qFormat/>
    <w:uiPriority w:val="0"/>
    <w:pPr>
      <w:tabs>
        <w:tab w:val="left" w:pos="576"/>
        <w:tab w:val="clear" w:pos="0"/>
        <w:tab w:val="clear" w:pos="1476"/>
      </w:tabs>
      <w:ind w:left="576"/>
    </w:pPr>
  </w:style>
  <w:style w:type="paragraph" w:customStyle="1" w:styleId="3126">
    <w:name w:val="reason-ti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7">
    <w:name w:val="环境影响报告书"/>
    <w:basedOn w:val="1"/>
    <w:qFormat/>
    <w:uiPriority w:val="0"/>
    <w:pPr>
      <w:spacing w:beforeLines="100"/>
      <w:jc w:val="center"/>
    </w:pPr>
    <w:rPr>
      <w:rFonts w:eastAsia="楷体_GB2312" w:cs="黑体"/>
      <w:b/>
      <w:spacing w:val="-2"/>
      <w:kern w:val="0"/>
      <w:sz w:val="52"/>
    </w:rPr>
  </w:style>
  <w:style w:type="paragraph" w:customStyle="1" w:styleId="3128">
    <w:name w:val="1正文"/>
    <w:basedOn w:val="1"/>
    <w:qFormat/>
    <w:uiPriority w:val="0"/>
    <w:pPr>
      <w:ind w:firstLine="560" w:firstLineChars="200"/>
      <w:jc w:val="left"/>
    </w:pPr>
    <w:rPr>
      <w:rFonts w:ascii="宋体" w:hAnsi="宋体" w:eastAsia="宋体"/>
      <w:kern w:val="0"/>
    </w:rPr>
  </w:style>
  <w:style w:type="paragraph" w:customStyle="1" w:styleId="3129">
    <w:name w:val="xl20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3130">
    <w:name w:val="enc-tx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31">
    <w:name w:val="样式 样式1 + 居中"/>
    <w:basedOn w:val="1"/>
    <w:qFormat/>
    <w:uiPriority w:val="0"/>
    <w:pPr>
      <w:jc w:val="center"/>
    </w:pPr>
    <w:rPr>
      <w:rFonts w:eastAsia="宋体" w:cs="黑体"/>
      <w:spacing w:val="-2"/>
      <w:kern w:val="0"/>
    </w:rPr>
  </w:style>
  <w:style w:type="paragraph" w:customStyle="1" w:styleId="3132">
    <w:name w:val="Char Char Char Char Char Char1 Char1"/>
    <w:basedOn w:val="1"/>
    <w:qFormat/>
    <w:uiPriority w:val="0"/>
    <w:pPr>
      <w:snapToGrid w:val="0"/>
      <w:spacing w:line="440" w:lineRule="atLeast"/>
      <w:jc w:val="left"/>
    </w:pPr>
    <w:rPr>
      <w:rFonts w:ascii="宋体" w:hAnsi="宋体" w:eastAsia="Times New Roman" w:cs="黑体"/>
      <w:b/>
      <w:spacing w:val="-2"/>
      <w:kern w:val="0"/>
      <w:sz w:val="36"/>
    </w:rPr>
  </w:style>
  <w:style w:type="paragraph" w:customStyle="1" w:styleId="3133">
    <w:name w:val="Char Char Char Char Char Char Char Char Char1 Char1"/>
    <w:basedOn w:val="1"/>
    <w:qFormat/>
    <w:uiPriority w:val="0"/>
    <w:rPr>
      <w:rFonts w:ascii="宋体" w:hAnsi="宋体" w:eastAsia="宋体"/>
      <w:sz w:val="32"/>
    </w:rPr>
  </w:style>
  <w:style w:type="paragraph" w:customStyle="1" w:styleId="3134">
    <w:name w:val="Char Char Char Char Char Char Char1 Char Char Char1"/>
    <w:basedOn w:val="1"/>
    <w:qFormat/>
    <w:uiPriority w:val="0"/>
    <w:pPr>
      <w:widowControl/>
      <w:tabs>
        <w:tab w:val="left" w:pos="1404"/>
      </w:tabs>
      <w:spacing w:before="100" w:beforeAutospacing="1" w:after="100" w:afterAutospacing="1" w:line="360" w:lineRule="auto"/>
      <w:ind w:left="1403" w:hanging="420"/>
      <w:jc w:val="left"/>
    </w:pPr>
    <w:rPr>
      <w:rFonts w:ascii="ˎ̥" w:hAnsi="ˎ̥" w:cs="宋体"/>
      <w:color w:val="51585D"/>
      <w:spacing w:val="-2"/>
      <w:kern w:val="0"/>
      <w:sz w:val="32"/>
      <w:szCs w:val="18"/>
    </w:rPr>
  </w:style>
  <w:style w:type="paragraph" w:customStyle="1" w:styleId="3135">
    <w:name w:val="样式 标题 2Chapter Heading2nd levelh22Titre2l2H2Header 2UND...1"/>
    <w:basedOn w:val="4"/>
    <w:qFormat/>
    <w:uiPriority w:val="0"/>
    <w:pPr>
      <w:tabs>
        <w:tab w:val="left" w:pos="1476"/>
        <w:tab w:val="clear" w:pos="567"/>
      </w:tabs>
      <w:spacing w:before="0" w:after="0" w:line="360" w:lineRule="auto"/>
      <w:ind w:left="0" w:firstLine="0"/>
    </w:pPr>
    <w:rPr>
      <w:rFonts w:ascii="宋体" w:hAnsi="宋体" w:eastAsia="宋体" w:cs="宋体"/>
      <w:bCs/>
      <w:spacing w:val="-2"/>
      <w:kern w:val="0"/>
      <w:sz w:val="24"/>
    </w:rPr>
  </w:style>
  <w:style w:type="paragraph" w:customStyle="1" w:styleId="3136">
    <w:name w:val="Char Char Char Char Char Char Char Char Char Char Char Char Char1"/>
    <w:basedOn w:val="1"/>
    <w:qFormat/>
    <w:uiPriority w:val="0"/>
    <w:pPr>
      <w:widowControl/>
      <w:spacing w:after="160" w:line="240" w:lineRule="exact"/>
      <w:jc w:val="left"/>
    </w:pPr>
    <w:rPr>
      <w:rFonts w:ascii="Verdana" w:hAnsi="Verdana" w:eastAsia="宋体" w:cs="黑体"/>
      <w:kern w:val="0"/>
      <w:sz w:val="20"/>
      <w:lang w:eastAsia="en-US"/>
    </w:rPr>
  </w:style>
  <w:style w:type="paragraph" w:customStyle="1" w:styleId="3137">
    <w:name w:val="xl1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138">
    <w:name w:val="Char Char1 Char Char Char Char Char Char Char Char Char Char Char Char Char Char Char Char Char Char Char Char1 Char2"/>
    <w:basedOn w:val="1"/>
    <w:qFormat/>
    <w:uiPriority w:val="0"/>
    <w:pPr>
      <w:spacing w:line="360" w:lineRule="auto"/>
      <w:ind w:firstLine="200" w:firstLineChars="200"/>
    </w:pPr>
    <w:rPr>
      <w:rFonts w:ascii="宋体" w:hAnsi="宋体" w:eastAsia="宋体"/>
      <w:sz w:val="24"/>
      <w:szCs w:val="24"/>
    </w:rPr>
  </w:style>
  <w:style w:type="paragraph" w:customStyle="1" w:styleId="3139">
    <w:name w:val="样式1."/>
    <w:basedOn w:val="1"/>
    <w:qFormat/>
    <w:uiPriority w:val="0"/>
    <w:pPr>
      <w:adjustRightInd w:val="0"/>
      <w:snapToGrid w:val="0"/>
      <w:spacing w:line="460" w:lineRule="exact"/>
    </w:pPr>
    <w:rPr>
      <w:rFonts w:eastAsia="黑体" w:cs="黑体"/>
      <w:b/>
      <w:spacing w:val="-2"/>
      <w:kern w:val="0"/>
      <w:sz w:val="32"/>
    </w:rPr>
  </w:style>
  <w:style w:type="paragraph" w:customStyle="1" w:styleId="3140">
    <w:name w:val="样式 电镀正文 + 首行缩进:  2 字符"/>
    <w:basedOn w:val="3141"/>
    <w:qFormat/>
    <w:uiPriority w:val="0"/>
    <w:pPr>
      <w:spacing w:line="324" w:lineRule="auto"/>
    </w:pPr>
    <w:rPr>
      <w:rFonts w:hAnsi="Calibri" w:cs="Arial"/>
      <w:sz w:val="28"/>
    </w:rPr>
  </w:style>
  <w:style w:type="paragraph" w:customStyle="1" w:styleId="3141">
    <w:name w:val="电镀正文"/>
    <w:basedOn w:val="5"/>
    <w:qFormat/>
    <w:uiPriority w:val="0"/>
    <w:pPr>
      <w:spacing w:line="312" w:lineRule="auto"/>
      <w:ind w:firstLine="200" w:firstLineChars="200"/>
    </w:pPr>
    <w:rPr>
      <w:rFonts w:hint="eastAsia" w:ascii="宋体" w:hAnsi="宋体" w:cs="宋体"/>
      <w:spacing w:val="0"/>
      <w:szCs w:val="24"/>
    </w:rPr>
  </w:style>
  <w:style w:type="paragraph" w:customStyle="1" w:styleId="3142">
    <w:name w:val="word_more_con"/>
    <w:basedOn w:val="1"/>
    <w:qFormat/>
    <w:uiPriority w:val="0"/>
    <w:pPr>
      <w:widowControl/>
      <w:pBdr>
        <w:top w:val="single" w:color="DEDFE1" w:sz="6" w:space="5"/>
        <w:left w:val="single" w:color="DEDFE1" w:sz="6" w:space="8"/>
        <w:bottom w:val="single" w:color="DEDFE1" w:sz="6" w:space="5"/>
        <w:right w:val="single" w:color="DEDFE1" w:sz="6" w:space="30"/>
      </w:pBdr>
      <w:shd w:val="clear" w:color="auto" w:fill="FFFFFF"/>
      <w:spacing w:before="100" w:beforeAutospacing="1" w:after="100" w:afterAutospacing="1" w:line="300" w:lineRule="atLeast"/>
      <w:jc w:val="left"/>
    </w:pPr>
    <w:rPr>
      <w:rFonts w:ascii="宋体" w:hAnsi="Calibri" w:eastAsia="宋体" w:cs="宋体"/>
      <w:spacing w:val="-2"/>
      <w:kern w:val="0"/>
      <w:sz w:val="24"/>
      <w:szCs w:val="21"/>
    </w:rPr>
  </w:style>
  <w:style w:type="paragraph" w:customStyle="1" w:styleId="3143">
    <w:name w:val="自定义正文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3144">
    <w:name w:val="样式 (中文) 仿宋_GB2312 四号 黑色 首行缩进:  2 字符 行距: 固定值 23 磅"/>
    <w:basedOn w:val="1"/>
    <w:qFormat/>
    <w:uiPriority w:val="0"/>
    <w:pPr>
      <w:spacing w:before="120" w:line="400" w:lineRule="exact"/>
      <w:ind w:firstLine="200" w:firstLineChars="200"/>
    </w:pPr>
    <w:rPr>
      <w:rFonts w:eastAsia="宋体" w:cs="黑体"/>
      <w:color w:val="000000"/>
      <w:spacing w:val="-2"/>
      <w:kern w:val="0"/>
      <w:sz w:val="24"/>
    </w:rPr>
  </w:style>
  <w:style w:type="paragraph" w:customStyle="1" w:styleId="3145">
    <w:name w:val="Char Char1 Char Char Char Char Char Char Char Char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146">
    <w:name w:val="reader-word-layer reader-word-s1-22"/>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3147">
    <w:name w:val="标题附件2"/>
    <w:basedOn w:val="35"/>
    <w:qFormat/>
    <w:uiPriority w:val="0"/>
    <w:pPr>
      <w:spacing w:beforeLines="50"/>
      <w:ind w:firstLine="171" w:firstLineChars="171"/>
    </w:pPr>
    <w:rPr>
      <w:rFonts w:ascii="宋体" w:hAnsi="宋体" w:eastAsia="黑体" w:cs="宋体"/>
      <w:spacing w:val="-2"/>
      <w:sz w:val="28"/>
      <w:szCs w:val="24"/>
    </w:rPr>
  </w:style>
  <w:style w:type="paragraph" w:customStyle="1" w:styleId="3148">
    <w:name w:val="relation-split1"/>
    <w:basedOn w:val="1"/>
    <w:qFormat/>
    <w:uiPriority w:val="0"/>
    <w:pPr>
      <w:widowControl/>
      <w:spacing w:before="100" w:beforeAutospacing="1" w:after="100" w:afterAutospacing="1" w:line="210" w:lineRule="atLeast"/>
      <w:jc w:val="left"/>
    </w:pPr>
    <w:rPr>
      <w:rFonts w:ascii="宋体" w:hAnsi="Calibri" w:eastAsia="宋体" w:cs="宋体"/>
      <w:color w:val="999999"/>
      <w:spacing w:val="-2"/>
      <w:kern w:val="0"/>
      <w:szCs w:val="21"/>
    </w:rPr>
  </w:style>
  <w:style w:type="paragraph" w:customStyle="1" w:styleId="3149">
    <w:name w:val="btn-disabled"/>
    <w:basedOn w:val="1"/>
    <w:qFormat/>
    <w:uiPriority w:val="0"/>
    <w:pPr>
      <w:widowControl/>
      <w:pBdr>
        <w:top w:val="single" w:color="DDDDDD" w:sz="6" w:space="0"/>
        <w:left w:val="single" w:color="DDDDDD" w:sz="6" w:space="0"/>
        <w:bottom w:val="single" w:color="DDDDDD" w:sz="6" w:space="0"/>
        <w:right w:val="single" w:color="DDDDDD"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150">
    <w:name w:val="样式 段落样式 + (西文) 宋体 小四 黑色 Char"/>
    <w:basedOn w:val="1137"/>
    <w:qFormat/>
    <w:uiPriority w:val="0"/>
    <w:pPr>
      <w:topLinePunct/>
      <w:textAlignment w:val="auto"/>
    </w:pPr>
    <w:rPr>
      <w:color w:val="000000"/>
      <w:w w:val="100"/>
      <w:kern w:val="24"/>
      <w:szCs w:val="21"/>
    </w:rPr>
  </w:style>
  <w:style w:type="paragraph" w:customStyle="1" w:styleId="3151">
    <w:name w:val="CM103"/>
    <w:basedOn w:val="762"/>
    <w:next w:val="762"/>
    <w:qFormat/>
    <w:uiPriority w:val="0"/>
    <w:pPr>
      <w:spacing w:after="288"/>
    </w:pPr>
    <w:rPr>
      <w:rFonts w:ascii="黑体" w:hAnsi="Calibri" w:eastAsia="黑体" w:cs="黑体"/>
      <w:kern w:val="2"/>
      <w:sz w:val="24"/>
      <w:szCs w:val="24"/>
    </w:rPr>
  </w:style>
  <w:style w:type="paragraph" w:customStyle="1" w:styleId="3152">
    <w:name w:val="样式 标题 3 + 段前: 0.5 行 段后: 0.5 行 首行缩进:  0 字符"/>
    <w:basedOn w:val="6"/>
    <w:qFormat/>
    <w:uiPriority w:val="99"/>
    <w:pPr>
      <w:tabs>
        <w:tab w:val="left" w:pos="1080"/>
        <w:tab w:val="clear" w:pos="1789"/>
      </w:tabs>
      <w:spacing w:before="156" w:after="156" w:line="416" w:lineRule="auto"/>
      <w:ind w:left="0" w:firstLine="0"/>
    </w:pPr>
    <w:rPr>
      <w:rFonts w:ascii="Times New Roman" w:eastAsia="宋体" w:cs="宋体"/>
      <w:color w:val="FF0000"/>
      <w:kern w:val="28"/>
      <w:sz w:val="32"/>
    </w:rPr>
  </w:style>
  <w:style w:type="paragraph" w:customStyle="1" w:styleId="3153">
    <w:name w:val="样式 标题 2H2SeHead wsa21标题 1.1. + 段前: 4.65 磅 段后: 4.65 磅 行距:..."/>
    <w:basedOn w:val="4"/>
    <w:qFormat/>
    <w:uiPriority w:val="0"/>
    <w:pPr>
      <w:keepLines w:val="0"/>
      <w:tabs>
        <w:tab w:val="left" w:pos="1476"/>
        <w:tab w:val="clear" w:pos="567"/>
      </w:tabs>
      <w:spacing w:before="100" w:beforeAutospacing="1" w:after="120" w:line="360" w:lineRule="auto"/>
      <w:ind w:left="0" w:firstLine="0"/>
    </w:pPr>
    <w:rPr>
      <w:rFonts w:ascii="Arial" w:eastAsia="宋体" w:cs="宋体"/>
      <w:bCs/>
      <w:color w:val="000000"/>
      <w:spacing w:val="-2"/>
      <w:sz w:val="32"/>
    </w:rPr>
  </w:style>
  <w:style w:type="paragraph" w:customStyle="1" w:styleId="3154">
    <w:name w:val="正文 32"/>
    <w:basedOn w:val="1"/>
    <w:qFormat/>
    <w:uiPriority w:val="0"/>
    <w:pPr>
      <w:autoSpaceDE w:val="0"/>
      <w:autoSpaceDN w:val="0"/>
      <w:spacing w:line="288" w:lineRule="auto"/>
      <w:ind w:firstLine="567"/>
    </w:pPr>
    <w:rPr>
      <w:rFonts w:eastAsia="宋体" w:cs="黑体"/>
      <w:spacing w:val="-2"/>
      <w:kern w:val="0"/>
    </w:rPr>
  </w:style>
  <w:style w:type="paragraph" w:customStyle="1" w:styleId="3155">
    <w:name w:val="样式 首行缩进:  1 字符"/>
    <w:basedOn w:val="1"/>
    <w:qFormat/>
    <w:uiPriority w:val="0"/>
    <w:pPr>
      <w:spacing w:line="498" w:lineRule="atLeast"/>
      <w:ind w:firstLine="100" w:firstLineChars="100"/>
    </w:pPr>
    <w:rPr>
      <w:rFonts w:eastAsia="宋体" w:cs="黑体"/>
      <w:spacing w:val="-2"/>
      <w:kern w:val="0"/>
      <w:sz w:val="24"/>
    </w:rPr>
  </w:style>
  <w:style w:type="paragraph" w:customStyle="1" w:styleId="3156">
    <w:name w:val="麦志勤标题4"/>
    <w:basedOn w:val="7"/>
    <w:qFormat/>
    <w:uiPriority w:val="0"/>
    <w:pPr>
      <w:tabs>
        <w:tab w:val="left" w:pos="864"/>
        <w:tab w:val="left" w:pos="2153"/>
        <w:tab w:val="clear" w:pos="4008"/>
      </w:tabs>
      <w:adjustRightInd w:val="0"/>
      <w:snapToGrid w:val="0"/>
      <w:spacing w:beforeLines="100" w:line="300" w:lineRule="auto"/>
      <w:ind w:left="0" w:firstLine="0"/>
      <w:jc w:val="both"/>
    </w:pPr>
    <w:rPr>
      <w:rFonts w:ascii="黑体" w:hAnsi="黑体" w:eastAsia="宋体"/>
      <w:b w:val="0"/>
      <w:color w:val="auto"/>
      <w:spacing w:val="-2"/>
      <w:kern w:val="0"/>
      <w:sz w:val="30"/>
      <w:szCs w:val="24"/>
    </w:rPr>
  </w:style>
  <w:style w:type="paragraph" w:customStyle="1" w:styleId="3157">
    <w:name w:val="样式 小四 首行缩进:  0.85 厘米 行距: 1.5 倍行距"/>
    <w:basedOn w:val="1"/>
    <w:qFormat/>
    <w:uiPriority w:val="0"/>
    <w:pPr>
      <w:adjustRightInd w:val="0"/>
      <w:ind w:firstLine="480"/>
    </w:pPr>
    <w:rPr>
      <w:rFonts w:eastAsia="宋体" w:cs="宋体"/>
      <w:spacing w:val="-2"/>
      <w:kern w:val="0"/>
      <w:sz w:val="24"/>
    </w:rPr>
  </w:style>
  <w:style w:type="paragraph" w:customStyle="1" w:styleId="3158">
    <w:name w:val="报告样式"/>
    <w:basedOn w:val="1"/>
    <w:next w:val="456"/>
    <w:qFormat/>
    <w:uiPriority w:val="0"/>
    <w:rPr>
      <w:rFonts w:eastAsia="宋体" w:cs="黑体"/>
      <w:spacing w:val="-2"/>
      <w:kern w:val="0"/>
      <w:sz w:val="24"/>
    </w:rPr>
  </w:style>
  <w:style w:type="paragraph" w:customStyle="1" w:styleId="3159">
    <w:name w:val="样式 标题3"/>
    <w:basedOn w:val="6"/>
    <w:qFormat/>
    <w:uiPriority w:val="0"/>
    <w:pPr>
      <w:tabs>
        <w:tab w:val="left" w:pos="720"/>
        <w:tab w:val="left" w:pos="1022"/>
        <w:tab w:val="left" w:pos="1080"/>
        <w:tab w:val="clear" w:pos="1789"/>
      </w:tabs>
      <w:spacing w:before="0" w:beforeLines="50" w:after="0" w:line="360" w:lineRule="auto"/>
      <w:ind w:left="720" w:hanging="420"/>
    </w:pPr>
    <w:rPr>
      <w:rFonts w:hint="eastAsia" w:ascii="宋体" w:hAnsi="宋体" w:eastAsia="宋体" w:cs="宋体"/>
      <w:bCs w:val="0"/>
      <w:i/>
      <w:iCs/>
      <w:color w:val="000000"/>
      <w:spacing w:val="-2"/>
      <w:szCs w:val="24"/>
    </w:rPr>
  </w:style>
  <w:style w:type="paragraph" w:customStyle="1" w:styleId="3160">
    <w:name w:val="五级无标题条"/>
    <w:basedOn w:val="1"/>
    <w:qFormat/>
    <w:uiPriority w:val="0"/>
    <w:pPr>
      <w:tabs>
        <w:tab w:val="left" w:pos="1296"/>
      </w:tabs>
      <w:ind w:left="1296" w:hanging="1296"/>
    </w:pPr>
    <w:rPr>
      <w:rFonts w:eastAsia="宋体" w:cs="黑体"/>
      <w:spacing w:val="-2"/>
      <w:kern w:val="0"/>
    </w:rPr>
  </w:style>
  <w:style w:type="paragraph" w:customStyle="1" w:styleId="3161">
    <w:name w:val="表格格式"/>
    <w:next w:val="1"/>
    <w:qFormat/>
    <w:uiPriority w:val="0"/>
    <w:pPr>
      <w:adjustRightInd w:val="0"/>
      <w:snapToGrid w:val="0"/>
      <w:jc w:val="center"/>
    </w:pPr>
    <w:rPr>
      <w:rFonts w:ascii="Times New Roman" w:hAnsi="Times New Roman" w:eastAsia="宋体" w:cs="Times New Roman"/>
      <w:color w:val="000000"/>
      <w:sz w:val="21"/>
      <w:lang w:val="en-US" w:eastAsia="zh-CN" w:bidi="ar-SA"/>
    </w:rPr>
  </w:style>
  <w:style w:type="paragraph" w:customStyle="1" w:styleId="3162">
    <w:name w:val="普通(网站)11"/>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163">
    <w:name w:val="11号线正文首行缩进2字符"/>
    <w:basedOn w:val="1"/>
    <w:qFormat/>
    <w:uiPriority w:val="0"/>
    <w:pPr>
      <w:spacing w:line="500" w:lineRule="exact"/>
      <w:ind w:firstLine="200" w:firstLineChars="200"/>
    </w:pPr>
    <w:rPr>
      <w:rFonts w:ascii="宋体" w:hAnsi="Calibri" w:eastAsia="宋体" w:cs="宋体"/>
      <w:spacing w:val="-2"/>
      <w:kern w:val="0"/>
      <w:szCs w:val="28"/>
    </w:rPr>
  </w:style>
  <w:style w:type="paragraph" w:customStyle="1" w:styleId="3164">
    <w:name w:val="Char Char Char Char Char Char Char Char Char Char Char Char Char Char Char"/>
    <w:basedOn w:val="1"/>
    <w:semiHidden/>
    <w:qFormat/>
    <w:uiPriority w:val="99"/>
    <w:pPr>
      <w:widowControl/>
      <w:spacing w:after="160" w:line="240" w:lineRule="exact"/>
      <w:ind w:firstLine="200"/>
      <w:jc w:val="left"/>
    </w:pPr>
    <w:rPr>
      <w:rFonts w:ascii="Tahoma" w:hAnsi="Tahoma" w:eastAsia="宋体"/>
      <w:kern w:val="0"/>
      <w:sz w:val="20"/>
      <w:lang w:eastAsia="en-US"/>
    </w:rPr>
  </w:style>
  <w:style w:type="paragraph" w:customStyle="1" w:styleId="3165">
    <w:name w:val="标题4 + 加粗"/>
    <w:basedOn w:val="5"/>
    <w:qFormat/>
    <w:uiPriority w:val="0"/>
    <w:pPr>
      <w:spacing w:before="120" w:beforeLines="50" w:after="120" w:afterLines="50" w:line="240" w:lineRule="auto"/>
      <w:ind w:firstLine="0"/>
      <w:outlineLvl w:val="3"/>
    </w:pPr>
    <w:rPr>
      <w:rFonts w:ascii="Times New Roman" w:hAnsi="Times New Roman" w:cs="Times New Roman"/>
      <w:b/>
      <w:spacing w:val="0"/>
      <w:sz w:val="21"/>
      <w:szCs w:val="24"/>
    </w:rPr>
  </w:style>
  <w:style w:type="paragraph" w:customStyle="1" w:styleId="3166">
    <w:name w:val="MTDisplayEquation"/>
    <w:basedOn w:val="1"/>
    <w:next w:val="1"/>
    <w:qFormat/>
    <w:uiPriority w:val="0"/>
    <w:pPr>
      <w:tabs>
        <w:tab w:val="center" w:pos="4160"/>
        <w:tab w:val="right" w:pos="8320"/>
      </w:tabs>
      <w:spacing w:line="360" w:lineRule="auto"/>
      <w:ind w:firstLine="480" w:firstLineChars="200"/>
    </w:pPr>
    <w:rPr>
      <w:rFonts w:eastAsia="宋体" w:cs="黑体"/>
      <w:spacing w:val="-2"/>
      <w:kern w:val="0"/>
      <w:sz w:val="24"/>
    </w:rPr>
  </w:style>
  <w:style w:type="paragraph" w:customStyle="1" w:styleId="3167">
    <w:name w:val="uc-id1"/>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168">
    <w:name w:val="Char Char Char Char Char Char1 Char Char Char Char2"/>
    <w:basedOn w:val="1"/>
    <w:qFormat/>
    <w:uiPriority w:val="0"/>
    <w:rPr>
      <w:rFonts w:eastAsia="宋体"/>
      <w:sz w:val="24"/>
      <w:szCs w:val="24"/>
    </w:rPr>
  </w:style>
  <w:style w:type="paragraph" w:customStyle="1" w:styleId="3169">
    <w:name w:val="bk-dialog-accept"/>
    <w:basedOn w:val="1"/>
    <w:qFormat/>
    <w:uiPriority w:val="0"/>
    <w:pPr>
      <w:widowControl/>
      <w:spacing w:before="100" w:beforeAutospacing="1" w:after="100" w:afterAutospacing="1"/>
      <w:ind w:right="150"/>
      <w:jc w:val="left"/>
    </w:pPr>
    <w:rPr>
      <w:rFonts w:ascii="宋体" w:hAnsi="Calibri" w:eastAsia="宋体" w:cs="宋体"/>
      <w:spacing w:val="-2"/>
      <w:kern w:val="0"/>
      <w:szCs w:val="21"/>
    </w:rPr>
  </w:style>
  <w:style w:type="paragraph" w:customStyle="1" w:styleId="3170">
    <w:name w:val="样式 标题 2 + 非加粗"/>
    <w:basedOn w:val="4"/>
    <w:qFormat/>
    <w:uiPriority w:val="0"/>
    <w:pPr>
      <w:tabs>
        <w:tab w:val="left" w:pos="1476"/>
        <w:tab w:val="clear" w:pos="567"/>
      </w:tabs>
      <w:spacing w:before="260" w:after="260" w:line="312" w:lineRule="auto"/>
      <w:ind w:left="840" w:hanging="420"/>
      <w:jc w:val="left"/>
    </w:pPr>
    <w:rPr>
      <w:rFonts w:ascii="宋体" w:hAnsi="宋体" w:cs="宋体"/>
      <w:b/>
      <w:bCs/>
      <w:spacing w:val="-2"/>
      <w:sz w:val="24"/>
      <w:szCs w:val="24"/>
    </w:rPr>
  </w:style>
  <w:style w:type="paragraph" w:customStyle="1" w:styleId="3171">
    <w:name w:val="本文标题4"/>
    <w:basedOn w:val="7"/>
    <w:qFormat/>
    <w:uiPriority w:val="0"/>
    <w:pPr>
      <w:tabs>
        <w:tab w:val="left" w:pos="0"/>
        <w:tab w:val="left" w:pos="864"/>
        <w:tab w:val="left" w:pos="2153"/>
        <w:tab w:val="clear" w:pos="4008"/>
      </w:tabs>
      <w:adjustRightInd w:val="0"/>
      <w:spacing w:line="440" w:lineRule="exact"/>
      <w:ind w:left="120" w:firstLine="0"/>
      <w:jc w:val="left"/>
    </w:pPr>
    <w:rPr>
      <w:rFonts w:ascii="Times New Roman" w:hAnsi="Times New Roman" w:eastAsia="宋体"/>
      <w:b w:val="0"/>
      <w:color w:val="auto"/>
      <w:spacing w:val="-2"/>
      <w:kern w:val="0"/>
      <w:szCs w:val="24"/>
    </w:rPr>
  </w:style>
  <w:style w:type="paragraph" w:customStyle="1" w:styleId="3172">
    <w:name w:val="text_dir"/>
    <w:basedOn w:val="1"/>
    <w:qFormat/>
    <w:uiPriority w:val="0"/>
    <w:pPr>
      <w:widowControl/>
      <w:pBdr>
        <w:top w:val="single" w:color="DEDFE1" w:sz="6" w:space="0"/>
        <w:left w:val="single" w:color="DEDFE1" w:sz="6" w:space="0"/>
        <w:bottom w:val="single" w:color="DEDFE1" w:sz="6" w:space="0"/>
        <w:right w:val="single" w:color="DEDFE1" w:sz="6" w:space="0"/>
      </w:pBdr>
      <w:shd w:val="clear" w:color="auto" w:fill="FFFFFF"/>
      <w:spacing w:after="450"/>
      <w:jc w:val="left"/>
    </w:pPr>
    <w:rPr>
      <w:rFonts w:ascii="宋体" w:hAnsi="Calibri" w:eastAsia="宋体" w:cs="宋体"/>
      <w:spacing w:val="-2"/>
      <w:kern w:val="0"/>
      <w:sz w:val="24"/>
      <w:szCs w:val="21"/>
    </w:rPr>
  </w:style>
  <w:style w:type="paragraph" w:customStyle="1" w:styleId="3173">
    <w:name w:val="- 页码 -"/>
    <w:qFormat/>
    <w:uiPriority w:val="0"/>
    <w:pPr>
      <w:widowControl w:val="0"/>
      <w:jc w:val="both"/>
    </w:pPr>
    <w:rPr>
      <w:rFonts w:ascii="Times New Roman" w:hAnsi="Times New Roman" w:eastAsia="宋体" w:cs="Times New Roman"/>
      <w:lang w:val="en-US" w:eastAsia="zh-CN" w:bidi="ar-SA"/>
    </w:rPr>
  </w:style>
  <w:style w:type="paragraph" w:customStyle="1" w:styleId="3174">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175">
    <w:name w:val="样式 样式 标题 2 + 段前: 1 行 段后: 1 行 + 段前: 1 行 段后: 1 行"/>
    <w:basedOn w:val="3010"/>
    <w:qFormat/>
    <w:uiPriority w:val="99"/>
    <w:pPr>
      <w:spacing w:beforeLines="50" w:afterLines="50"/>
    </w:pPr>
  </w:style>
  <w:style w:type="paragraph" w:customStyle="1" w:styleId="3176">
    <w:name w:val="Char Char Char Char Char Char1 Char Char Char Char1"/>
    <w:basedOn w:val="1"/>
    <w:qFormat/>
    <w:uiPriority w:val="0"/>
    <w:rPr>
      <w:rFonts w:ascii="Tahoma" w:hAnsi="Tahoma" w:eastAsia="宋体" w:cs="黑体"/>
      <w:spacing w:val="-2"/>
      <w:kern w:val="0"/>
      <w:sz w:val="24"/>
    </w:rPr>
  </w:style>
  <w:style w:type="paragraph" w:customStyle="1" w:styleId="3177">
    <w:name w:val="封面正文"/>
    <w:qFormat/>
    <w:uiPriority w:val="0"/>
    <w:pPr>
      <w:jc w:val="both"/>
    </w:pPr>
    <w:rPr>
      <w:rFonts w:ascii="Times New Roman" w:hAnsi="Times New Roman" w:eastAsia="宋体" w:cs="Times New Roman"/>
      <w:lang w:val="en-US" w:eastAsia="zh-CN" w:bidi="ar-SA"/>
    </w:rPr>
  </w:style>
  <w:style w:type="paragraph" w:customStyle="1" w:styleId="3178">
    <w:name w:val="enc-content"/>
    <w:basedOn w:val="1"/>
    <w:qFormat/>
    <w:uiPriority w:val="0"/>
    <w:pPr>
      <w:widowControl/>
      <w:shd w:val="clear" w:color="auto" w:fill="FDFEFF"/>
      <w:spacing w:before="100" w:beforeAutospacing="1" w:after="100" w:afterAutospacing="1"/>
      <w:jc w:val="left"/>
    </w:pPr>
    <w:rPr>
      <w:rFonts w:ascii="宋体" w:hAnsi="Calibri" w:eastAsia="宋体" w:cs="宋体"/>
      <w:spacing w:val="-2"/>
      <w:kern w:val="0"/>
      <w:sz w:val="24"/>
      <w:szCs w:val="21"/>
    </w:rPr>
  </w:style>
  <w:style w:type="paragraph" w:customStyle="1" w:styleId="3179">
    <w:name w:val="中大3级"/>
    <w:basedOn w:val="4"/>
    <w:qFormat/>
    <w:uiPriority w:val="0"/>
    <w:pPr>
      <w:keepLines w:val="0"/>
      <w:tabs>
        <w:tab w:val="left" w:pos="0"/>
        <w:tab w:val="left" w:pos="709"/>
        <w:tab w:val="left" w:pos="1476"/>
        <w:tab w:val="clear" w:pos="567"/>
      </w:tabs>
      <w:adjustRightInd w:val="0"/>
      <w:snapToGrid w:val="0"/>
      <w:spacing w:before="0" w:beforeLines="50" w:after="0" w:line="360" w:lineRule="auto"/>
      <w:ind w:left="0" w:firstLine="0"/>
      <w:outlineLvl w:val="2"/>
    </w:pPr>
    <w:rPr>
      <w:rFonts w:ascii="宋体" w:hAnsi="宋体" w:eastAsia="宋体" w:cs="宋体"/>
      <w:b/>
      <w:spacing w:val="-2"/>
      <w:kern w:val="0"/>
      <w:szCs w:val="28"/>
    </w:rPr>
  </w:style>
  <w:style w:type="paragraph" w:customStyle="1" w:styleId="3180">
    <w:name w:val="小四宋居中1.0"/>
    <w:basedOn w:val="1"/>
    <w:next w:val="1"/>
    <w:qFormat/>
    <w:uiPriority w:val="0"/>
    <w:pPr>
      <w:spacing w:line="240" w:lineRule="exact"/>
      <w:jc w:val="center"/>
    </w:pPr>
    <w:rPr>
      <w:rFonts w:ascii="仿宋_GB2312" w:hAnsi="Calibri" w:cs="黑体"/>
      <w:spacing w:val="-2"/>
      <w:kern w:val="0"/>
      <w:sz w:val="24"/>
    </w:rPr>
  </w:style>
  <w:style w:type="paragraph" w:customStyle="1" w:styleId="3181">
    <w:name w:val="样式 标题 4Subsection + 首行缩进:  2 字符"/>
    <w:basedOn w:val="7"/>
    <w:qFormat/>
    <w:uiPriority w:val="0"/>
    <w:pPr>
      <w:tabs>
        <w:tab w:val="left" w:pos="864"/>
        <w:tab w:val="left" w:pos="1680"/>
        <w:tab w:val="left" w:pos="2153"/>
        <w:tab w:val="clear" w:pos="4008"/>
      </w:tabs>
      <w:snapToGrid w:val="0"/>
      <w:spacing w:line="360" w:lineRule="auto"/>
      <w:ind w:left="1680" w:hanging="420"/>
      <w:jc w:val="both"/>
    </w:pPr>
    <w:rPr>
      <w:rFonts w:ascii="Cambria" w:hAnsi="Cambria" w:eastAsia="宋体"/>
      <w:bCs/>
      <w:color w:val="auto"/>
      <w:spacing w:val="-2"/>
      <w:kern w:val="0"/>
      <w:szCs w:val="24"/>
    </w:rPr>
  </w:style>
  <w:style w:type="paragraph" w:customStyle="1" w:styleId="3182">
    <w:name w:val="表格文字3"/>
    <w:basedOn w:val="764"/>
    <w:qFormat/>
    <w:uiPriority w:val="0"/>
    <w:pPr>
      <w:keepNext w:val="0"/>
      <w:keepLines w:val="0"/>
      <w:tabs>
        <w:tab w:val="clear" w:pos="0"/>
        <w:tab w:val="clear" w:pos="277"/>
        <w:tab w:val="clear" w:pos="600"/>
        <w:tab w:val="clear" w:pos="780"/>
        <w:tab w:val="clear" w:pos="2517"/>
      </w:tabs>
      <w:spacing w:before="0" w:beforeLines="10"/>
      <w:jc w:val="both"/>
      <w:textAlignment w:val="auto"/>
    </w:pPr>
    <w:rPr>
      <w:rFonts w:hint="eastAsia" w:hAnsi="宋体" w:cs="宋体"/>
      <w:sz w:val="24"/>
    </w:rPr>
  </w:style>
  <w:style w:type="paragraph" w:customStyle="1" w:styleId="3183">
    <w:name w:val="样式 Tahoma 小四 段前: 7.9 磅1"/>
    <w:basedOn w:val="1"/>
    <w:qFormat/>
    <w:uiPriority w:val="99"/>
    <w:pPr>
      <w:spacing w:before="158"/>
      <w:ind w:firstLine="420" w:firstLineChars="175"/>
    </w:pPr>
    <w:rPr>
      <w:rFonts w:ascii="Tahoma" w:eastAsia="宋体" w:cs="宋体"/>
      <w:kern w:val="28"/>
      <w:sz w:val="32"/>
    </w:rPr>
  </w:style>
  <w:style w:type="paragraph" w:customStyle="1" w:styleId="3184">
    <w:name w:val="ysh表格"/>
    <w:basedOn w:val="1"/>
    <w:qFormat/>
    <w:uiPriority w:val="0"/>
    <w:pPr>
      <w:jc w:val="center"/>
    </w:pPr>
    <w:rPr>
      <w:rFonts w:ascii="宋体" w:hAnsi="Calibri" w:eastAsia="宋体" w:cs="黑体"/>
      <w:spacing w:val="-2"/>
      <w:kern w:val="0"/>
      <w:sz w:val="24"/>
      <w:szCs w:val="21"/>
    </w:rPr>
  </w:style>
  <w:style w:type="paragraph" w:customStyle="1" w:styleId="3185">
    <w:name w:val="yz"/>
    <w:basedOn w:val="34"/>
    <w:qFormat/>
    <w:uiPriority w:val="0"/>
    <w:pPr>
      <w:tabs>
        <w:tab w:val="left" w:pos="900"/>
      </w:tabs>
      <w:spacing w:after="0"/>
      <w:ind w:firstLine="446" w:firstLineChars="200"/>
    </w:pPr>
    <w:rPr>
      <w:rFonts w:ascii="宋体" w:hAnsi="宋体" w:eastAsia="宋体" w:cs="宋体"/>
      <w:i/>
      <w:iCs/>
      <w:color w:val="000000"/>
      <w:sz w:val="21"/>
      <w:szCs w:val="24"/>
    </w:rPr>
  </w:style>
  <w:style w:type="paragraph" w:customStyle="1" w:styleId="3186">
    <w:name w:val="j"/>
    <w:basedOn w:val="1"/>
    <w:semiHidden/>
    <w:qFormat/>
    <w:uiPriority w:val="0"/>
    <w:pPr>
      <w:spacing w:line="360" w:lineRule="auto"/>
    </w:pPr>
  </w:style>
  <w:style w:type="paragraph" w:customStyle="1" w:styleId="3187">
    <w:name w:val="样式 标题 2 + 四号"/>
    <w:basedOn w:val="4"/>
    <w:qFormat/>
    <w:uiPriority w:val="99"/>
    <w:pPr>
      <w:spacing w:after="120"/>
      <w:ind w:left="0" w:firstLine="0"/>
    </w:pPr>
    <w:rPr>
      <w:rFonts w:ascii="宋体" w:hAnsi="宋体" w:eastAsia="宋体"/>
      <w:b/>
      <w:bCs/>
      <w:kern w:val="44"/>
      <w:sz w:val="32"/>
      <w:szCs w:val="32"/>
    </w:rPr>
  </w:style>
  <w:style w:type="paragraph" w:customStyle="1" w:styleId="3188">
    <w:name w:val="declea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89">
    <w:name w:val="样式 标题 3 + (中文) 黑体 四号 段前: 6 磅 段后: 6 磅 行距: 多倍行距 1.73 字行"/>
    <w:basedOn w:val="6"/>
    <w:qFormat/>
    <w:uiPriority w:val="0"/>
    <w:pPr>
      <w:tabs>
        <w:tab w:val="left" w:pos="0"/>
        <w:tab w:val="left" w:pos="1022"/>
        <w:tab w:val="left" w:pos="1080"/>
        <w:tab w:val="clear" w:pos="1789"/>
      </w:tabs>
      <w:spacing w:before="0" w:after="0" w:line="560" w:lineRule="exact"/>
      <w:ind w:left="0" w:firstLine="0"/>
      <w:jc w:val="left"/>
    </w:pPr>
    <w:rPr>
      <w:rFonts w:hint="eastAsia" w:ascii="黑体" w:hAnsi="Arial Unicode MS" w:eastAsia="宋体" w:cs="宋体"/>
      <w:b w:val="0"/>
      <w:bCs w:val="0"/>
      <w:i/>
      <w:iCs/>
      <w:color w:val="000000"/>
      <w:spacing w:val="-2"/>
    </w:rPr>
  </w:style>
  <w:style w:type="paragraph" w:customStyle="1" w:styleId="3190">
    <w:name w:val="5正文"/>
    <w:basedOn w:val="1"/>
    <w:qFormat/>
    <w:uiPriority w:val="0"/>
    <w:pPr>
      <w:tabs>
        <w:tab w:val="left" w:pos="4500"/>
      </w:tabs>
      <w:spacing w:line="360" w:lineRule="auto"/>
      <w:ind w:firstLine="480" w:firstLineChars="200"/>
    </w:pPr>
    <w:rPr>
      <w:rFonts w:ascii="宋体" w:hAnsi="宋体" w:eastAsia="宋体" w:cs="黑体"/>
      <w:bCs/>
      <w:spacing w:val="-2"/>
      <w:kern w:val="0"/>
      <w:sz w:val="24"/>
    </w:rPr>
  </w:style>
  <w:style w:type="paragraph" w:customStyle="1" w:styleId="3191">
    <w:name w:val="样式 样式 正文内容 + 首行缩进:  1.92 字符 + 首行缩进:  1.92 字符"/>
    <w:basedOn w:val="1"/>
    <w:qFormat/>
    <w:uiPriority w:val="0"/>
    <w:pPr>
      <w:spacing w:before="100" w:beforeAutospacing="1" w:after="100" w:afterAutospacing="1"/>
      <w:ind w:firstLine="192" w:firstLineChars="192"/>
    </w:pPr>
    <w:rPr>
      <w:rFonts w:eastAsia="宋体" w:cs="宋体"/>
      <w:spacing w:val="-2"/>
      <w:kern w:val="0"/>
      <w:sz w:val="24"/>
    </w:rPr>
  </w:style>
  <w:style w:type="paragraph" w:customStyle="1" w:styleId="3192">
    <w:name w:val="even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93">
    <w:name w:val="项目符号2"/>
    <w:basedOn w:val="3194"/>
    <w:qFormat/>
    <w:uiPriority w:val="0"/>
    <w:pPr>
      <w:tabs>
        <w:tab w:val="left" w:pos="360"/>
        <w:tab w:val="left" w:pos="720"/>
      </w:tabs>
      <w:overflowPunct/>
      <w:snapToGrid/>
      <w:spacing w:line="312" w:lineRule="auto"/>
      <w:ind w:left="850" w:hanging="425"/>
    </w:pPr>
    <w:rPr>
      <w:rFonts w:ascii="宋体" w:hAnsi="宋体" w:eastAsia="宋体"/>
      <w:b/>
      <w:color w:val="000000"/>
      <w:sz w:val="24"/>
    </w:rPr>
  </w:style>
  <w:style w:type="paragraph" w:customStyle="1" w:styleId="3194">
    <w:name w:val="项目符号1"/>
    <w:basedOn w:val="1"/>
    <w:qFormat/>
    <w:uiPriority w:val="0"/>
    <w:pPr>
      <w:tabs>
        <w:tab w:val="left" w:pos="720"/>
      </w:tabs>
      <w:overflowPunct w:val="0"/>
      <w:snapToGrid w:val="0"/>
      <w:spacing w:line="480" w:lineRule="exact"/>
      <w:ind w:left="720" w:hanging="720"/>
    </w:pPr>
    <w:rPr>
      <w:rFonts w:ascii="Arial" w:hAnsi="Arial" w:cs="黑体"/>
      <w:spacing w:val="-2"/>
      <w:kern w:val="0"/>
    </w:rPr>
  </w:style>
  <w:style w:type="paragraph" w:customStyle="1" w:styleId="3195">
    <w:name w:val="样式 标题 3 + 左侧:  0 厘米 悬挂缩进: 7.2 字符 段前: 4.65 磅 段后: 6 磅 行距: 固定值 ..."/>
    <w:basedOn w:val="6"/>
    <w:qFormat/>
    <w:uiPriority w:val="0"/>
    <w:pPr>
      <w:tabs>
        <w:tab w:val="left" w:pos="1022"/>
        <w:tab w:val="left" w:pos="1080"/>
        <w:tab w:val="left" w:pos="4621"/>
        <w:tab w:val="clear" w:pos="1789"/>
      </w:tabs>
      <w:spacing w:before="93" w:after="156" w:line="440" w:lineRule="exact"/>
      <w:ind w:left="720" w:hanging="720"/>
    </w:pPr>
    <w:rPr>
      <w:rFonts w:hint="eastAsia" w:ascii="宋体" w:hAnsi="宋体" w:eastAsia="宋体" w:cs="宋体"/>
      <w:bCs w:val="0"/>
      <w:i/>
      <w:iCs/>
      <w:color w:val="000000"/>
      <w:spacing w:val="-2"/>
      <w:sz w:val="26"/>
      <w:szCs w:val="24"/>
    </w:rPr>
  </w:style>
  <w:style w:type="paragraph" w:customStyle="1" w:styleId="3196">
    <w:name w:val="普通(网站)14"/>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197">
    <w:name w:val="中大表格标题"/>
    <w:basedOn w:val="1"/>
    <w:qFormat/>
    <w:uiPriority w:val="0"/>
    <w:pPr>
      <w:adjustRightInd w:val="0"/>
      <w:spacing w:line="315" w:lineRule="atLeast"/>
    </w:pPr>
    <w:rPr>
      <w:rFonts w:eastAsia="宋体" w:cs="黑体"/>
      <w:spacing w:val="-2"/>
      <w:kern w:val="0"/>
      <w:sz w:val="24"/>
    </w:rPr>
  </w:style>
  <w:style w:type="paragraph" w:customStyle="1" w:styleId="3198">
    <w:name w:val="报价书"/>
    <w:qFormat/>
    <w:uiPriority w:val="99"/>
    <w:rPr>
      <w:rFonts w:ascii="宋体" w:hAnsi="宋体" w:eastAsia="宋体" w:cs="Times New Roman"/>
      <w:kern w:val="2"/>
      <w:sz w:val="44"/>
      <w:szCs w:val="44"/>
      <w:lang w:val="en-US" w:eastAsia="zh-CN" w:bidi="ar-SA"/>
    </w:rPr>
  </w:style>
  <w:style w:type="paragraph" w:customStyle="1" w:styleId="3199">
    <w:name w:val="un"/>
    <w:basedOn w:val="1"/>
    <w:qFormat/>
    <w:uiPriority w:val="0"/>
    <w:pPr>
      <w:widowControl/>
      <w:spacing w:before="100" w:beforeAutospacing="1" w:after="100" w:afterAutospacing="1" w:line="450" w:lineRule="atLeast"/>
      <w:jc w:val="left"/>
    </w:pPr>
    <w:rPr>
      <w:rFonts w:ascii="宋体" w:hAnsi="宋体" w:eastAsia="宋体" w:cs="黑体"/>
      <w:color w:val="000000"/>
      <w:spacing w:val="-2"/>
      <w:kern w:val="0"/>
      <w:sz w:val="18"/>
      <w:szCs w:val="18"/>
    </w:rPr>
  </w:style>
  <w:style w:type="paragraph" w:customStyle="1" w:styleId="3200">
    <w:name w:val="标准"/>
    <w:basedOn w:val="1"/>
    <w:qFormat/>
    <w:uiPriority w:val="0"/>
    <w:pPr>
      <w:tabs>
        <w:tab w:val="left" w:pos="720"/>
      </w:tabs>
      <w:adjustRightInd w:val="0"/>
      <w:spacing w:line="312" w:lineRule="atLeast"/>
      <w:textAlignment w:val="baseline"/>
    </w:pPr>
    <w:rPr>
      <w:rFonts w:eastAsia="宋体"/>
      <w:kern w:val="0"/>
      <w:sz w:val="21"/>
    </w:rPr>
  </w:style>
  <w:style w:type="paragraph" w:customStyle="1" w:styleId="3201">
    <w:name w:val="样式 小四 段前: 12 磅 行距: 1.5 倍行距"/>
    <w:basedOn w:val="1"/>
    <w:qFormat/>
    <w:uiPriority w:val="0"/>
    <w:pPr>
      <w:ind w:firstLine="200" w:firstLineChars="200"/>
    </w:pPr>
    <w:rPr>
      <w:rFonts w:eastAsia="宋体" w:cs="黑体"/>
      <w:color w:val="FF0000"/>
      <w:spacing w:val="-2"/>
      <w:kern w:val="0"/>
      <w:sz w:val="24"/>
    </w:rPr>
  </w:style>
  <w:style w:type="paragraph" w:customStyle="1" w:styleId="3202">
    <w:name w:val="检索3"/>
    <w:basedOn w:val="3203"/>
    <w:qFormat/>
    <w:uiPriority w:val="0"/>
    <w:pPr>
      <w:ind w:left="737"/>
    </w:pPr>
    <w:rPr>
      <w:color w:val="800000"/>
    </w:rPr>
  </w:style>
  <w:style w:type="paragraph" w:customStyle="1" w:styleId="3203">
    <w:name w:val="检索1"/>
    <w:qFormat/>
    <w:uiPriority w:val="0"/>
    <w:pPr>
      <w:widowControl w:val="0"/>
      <w:kinsoku w:val="0"/>
      <w:wordWrap w:val="0"/>
      <w:overflowPunct w:val="0"/>
      <w:autoSpaceDE w:val="0"/>
      <w:autoSpaceDN w:val="0"/>
      <w:adjustRightInd w:val="0"/>
      <w:spacing w:line="240" w:lineRule="atLeast"/>
      <w:ind w:left="170" w:hanging="170"/>
      <w:jc w:val="both"/>
    </w:pPr>
    <w:rPr>
      <w:rFonts w:ascii="Times New Roman" w:hAnsi="Times New Roman" w:eastAsia="宋体" w:cs="Times New Roman"/>
      <w:color w:val="000000"/>
      <w:lang w:val="en-US" w:eastAsia="zh-CN" w:bidi="ar-SA"/>
    </w:rPr>
  </w:style>
  <w:style w:type="paragraph" w:customStyle="1" w:styleId="3204">
    <w:name w:val="样式 标题 4标题 14 + 加粗 无下划线 自动设置 段前: 3 磅 段后: 10 磅3"/>
    <w:basedOn w:val="7"/>
    <w:next w:val="2985"/>
    <w:qFormat/>
    <w:uiPriority w:val="0"/>
    <w:pPr>
      <w:keepLines w:val="0"/>
      <w:tabs>
        <w:tab w:val="left" w:pos="1680"/>
        <w:tab w:val="left" w:pos="2153"/>
        <w:tab w:val="clear" w:pos="4008"/>
      </w:tabs>
      <w:adjustRightInd w:val="0"/>
      <w:snapToGrid w:val="0"/>
      <w:spacing w:before="60" w:after="200" w:line="240" w:lineRule="auto"/>
      <w:ind w:left="0" w:firstLine="0"/>
      <w:jc w:val="both"/>
    </w:pPr>
    <w:rPr>
      <w:rFonts w:ascii="Times New Roman" w:hAnsi="Times New Roman" w:eastAsia="宋体" w:cs="宋体"/>
      <w:bCs/>
      <w:color w:val="auto"/>
      <w:spacing w:val="-2"/>
      <w:szCs w:val="24"/>
    </w:rPr>
  </w:style>
  <w:style w:type="paragraph" w:customStyle="1" w:styleId="3205">
    <w:name w:val="content-ft1"/>
    <w:basedOn w:val="1"/>
    <w:qFormat/>
    <w:uiPriority w:val="0"/>
    <w:pPr>
      <w:widowControl/>
      <w:pBdr>
        <w:top w:val="single" w:color="DDDDDD" w:sz="6" w:space="12"/>
        <w:left w:val="single" w:color="DDDDDD" w:sz="6" w:space="15"/>
        <w:bottom w:val="single" w:color="DDDDDD" w:sz="6" w:space="8"/>
        <w:right w:val="single" w:color="DDDDDD" w:sz="6" w:space="23"/>
      </w:pBdr>
      <w:shd w:val="clear" w:color="auto" w:fill="FFFFFF"/>
      <w:spacing w:before="60"/>
      <w:ind w:right="45"/>
      <w:jc w:val="left"/>
    </w:pPr>
    <w:rPr>
      <w:rFonts w:ascii="宋体" w:hAnsi="Calibri" w:eastAsia="宋体" w:cs="宋体"/>
      <w:spacing w:val="-2"/>
      <w:kern w:val="0"/>
      <w:sz w:val="18"/>
      <w:szCs w:val="18"/>
    </w:rPr>
  </w:style>
  <w:style w:type="paragraph" w:customStyle="1" w:styleId="3206">
    <w:name w:val="soqiang"/>
    <w:basedOn w:val="1"/>
    <w:qFormat/>
    <w:uiPriority w:val="0"/>
    <w:pPr>
      <w:pBdr>
        <w:top w:val="single" w:color="auto" w:sz="4" w:space="1"/>
        <w:left w:val="single" w:color="auto" w:sz="4" w:space="4"/>
        <w:bottom w:val="single" w:color="auto" w:sz="4" w:space="1"/>
        <w:right w:val="single" w:color="auto" w:sz="4" w:space="4"/>
      </w:pBdr>
      <w:spacing w:line="360" w:lineRule="auto"/>
      <w:ind w:firstLine="200" w:firstLineChars="200"/>
    </w:pPr>
    <w:rPr>
      <w:rFonts w:eastAsia="宋体" w:cs="黑体"/>
      <w:spacing w:val="-2"/>
      <w:kern w:val="0"/>
      <w:szCs w:val="21"/>
    </w:rPr>
  </w:style>
  <w:style w:type="paragraph" w:customStyle="1" w:styleId="3207">
    <w:name w:val="样式 (符号) Bookman Old Style 小四 首行缩进:  0.85 厘米 行距: 1.5 倍行距"/>
    <w:basedOn w:val="1"/>
    <w:qFormat/>
    <w:uiPriority w:val="0"/>
    <w:pPr>
      <w:ind w:firstLine="482"/>
    </w:pPr>
    <w:rPr>
      <w:rFonts w:eastAsia="宋体" w:cs="黑体"/>
      <w:spacing w:val="-2"/>
      <w:kern w:val="0"/>
      <w:sz w:val="24"/>
    </w:rPr>
  </w:style>
  <w:style w:type="paragraph" w:customStyle="1" w:styleId="3208">
    <w:name w:val="CY－正文"/>
    <w:basedOn w:val="1"/>
    <w:qFormat/>
    <w:uiPriority w:val="0"/>
    <w:pPr>
      <w:spacing w:line="360" w:lineRule="auto"/>
      <w:ind w:firstLine="200" w:firstLineChars="200"/>
    </w:pPr>
    <w:rPr>
      <w:rFonts w:eastAsia="宋体" w:cs="黑体"/>
      <w:spacing w:val="-2"/>
      <w:kern w:val="0"/>
    </w:rPr>
  </w:style>
  <w:style w:type="paragraph" w:customStyle="1" w:styleId="3209">
    <w:name w:val="样式 正文首行缩进 2 + 首行缩进:  2 字符 段前: 0.5 行 段后: 0.5 行"/>
    <w:basedOn w:val="87"/>
    <w:qFormat/>
    <w:uiPriority w:val="0"/>
    <w:pPr>
      <w:spacing w:after="0" w:line="300" w:lineRule="auto"/>
      <w:ind w:left="0" w:leftChars="0" w:firstLine="0" w:firstLineChars="0"/>
    </w:pPr>
    <w:rPr>
      <w:rFonts w:ascii="宋体" w:hAnsi="宋体" w:eastAsia="宋体" w:cs="宋体"/>
      <w:sz w:val="18"/>
      <w:szCs w:val="24"/>
    </w:rPr>
  </w:style>
  <w:style w:type="paragraph" w:customStyle="1" w:styleId="3210">
    <w:name w:val="8.2.2.1"/>
    <w:basedOn w:val="1"/>
    <w:qFormat/>
    <w:uiPriority w:val="0"/>
    <w:pPr>
      <w:tabs>
        <w:tab w:val="left" w:pos="0"/>
        <w:tab w:val="left" w:pos="425"/>
      </w:tabs>
      <w:spacing w:line="312" w:lineRule="auto"/>
      <w:ind w:left="425" w:hanging="425"/>
    </w:pPr>
    <w:rPr>
      <w:rFonts w:eastAsia="宋体" w:cs="黑体"/>
      <w:spacing w:val="-2"/>
      <w:kern w:val="0"/>
      <w:sz w:val="24"/>
    </w:rPr>
  </w:style>
  <w:style w:type="paragraph" w:customStyle="1" w:styleId="3211">
    <w:name w:val="Char Char Char1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212">
    <w:name w:val="newstd"/>
    <w:basedOn w:val="1"/>
    <w:qFormat/>
    <w:uiPriority w:val="0"/>
    <w:pPr>
      <w:spacing w:before="100" w:beforeAutospacing="1" w:after="100" w:afterAutospacing="1"/>
    </w:pPr>
    <w:rPr>
      <w:rFonts w:ascii="宋体" w:hAnsi="Calibri" w:eastAsia="宋体" w:cs="黑体"/>
      <w:color w:val="DE1808"/>
      <w:spacing w:val="-2"/>
      <w:kern w:val="0"/>
      <w:sz w:val="24"/>
    </w:rPr>
  </w:style>
  <w:style w:type="paragraph" w:customStyle="1" w:styleId="3213">
    <w:name w:val="2级别"/>
    <w:basedOn w:val="1029"/>
    <w:qFormat/>
    <w:uiPriority w:val="0"/>
    <w:pPr>
      <w:keepNext/>
      <w:keepLines/>
      <w:tabs>
        <w:tab w:val="left" w:pos="576"/>
      </w:tabs>
      <w:spacing w:before="120" w:after="120" w:line="360" w:lineRule="auto"/>
      <w:ind w:left="840" w:hanging="420"/>
    </w:pPr>
    <w:rPr>
      <w:rFonts w:hint="eastAsia" w:ascii="黑体" w:hAnsi="Arial" w:eastAsia="黑体"/>
      <w:color w:val="000000"/>
      <w:spacing w:val="-2"/>
      <w:szCs w:val="28"/>
    </w:rPr>
  </w:style>
  <w:style w:type="paragraph" w:customStyle="1" w:styleId="3214">
    <w:name w:val="Char Char Char1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215">
    <w:name w:val="relation-control-enter-open2"/>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216">
    <w:name w:val="b-ent-section-expan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17">
    <w:name w:val="正文文本缩进 212"/>
    <w:basedOn w:val="1"/>
    <w:qFormat/>
    <w:uiPriority w:val="0"/>
    <w:pPr>
      <w:adjustRightInd w:val="0"/>
      <w:spacing w:after="120" w:line="400" w:lineRule="exact"/>
      <w:ind w:firstLine="200" w:firstLineChars="200"/>
    </w:pPr>
    <w:rPr>
      <w:rFonts w:ascii="宋体" w:hAnsi="Calibri" w:eastAsia="宋体" w:cs="黑体"/>
      <w:spacing w:val="16"/>
      <w:kern w:val="0"/>
      <w:sz w:val="24"/>
    </w:rPr>
  </w:style>
  <w:style w:type="paragraph" w:customStyle="1" w:styleId="3218">
    <w:name w:val="样式 样式 样式 样式 样式 样式 标题 2 + 段前: 1 行 段后: 1 行 + 段前: 1 行 段后: 1 行 + Tim..."/>
    <w:basedOn w:val="1"/>
    <w:qFormat/>
    <w:uiPriority w:val="99"/>
    <w:pPr>
      <w:keepNext/>
      <w:keepLines/>
      <w:spacing w:before="120" w:beforeLines="100" w:after="120" w:afterLines="100"/>
      <w:outlineLvl w:val="1"/>
    </w:pPr>
    <w:rPr>
      <w:rFonts w:eastAsia="宋体" w:cs="宋体"/>
      <w:b/>
      <w:bCs/>
      <w:kern w:val="0"/>
      <w:sz w:val="32"/>
    </w:rPr>
  </w:style>
  <w:style w:type="paragraph" w:customStyle="1" w:styleId="3219">
    <w:name w:val="CM87"/>
    <w:basedOn w:val="762"/>
    <w:next w:val="762"/>
    <w:qFormat/>
    <w:uiPriority w:val="0"/>
    <w:pPr>
      <w:spacing w:line="468" w:lineRule="atLeast"/>
    </w:pPr>
    <w:rPr>
      <w:rFonts w:ascii="仿宋_GB2312" w:hAnsi="Calibri" w:eastAsia="仿宋_GB2312" w:cs="仿宋_GB2312"/>
      <w:kern w:val="2"/>
      <w:sz w:val="24"/>
      <w:szCs w:val="24"/>
    </w:rPr>
  </w:style>
  <w:style w:type="paragraph" w:customStyle="1" w:styleId="3220">
    <w:name w:val="样式 样式 标题 3 + 黑体 四号 段前: 0 磅 段后: 0 磅 行距: 1.5 倍行距 + 段前: 0.5 行"/>
    <w:basedOn w:val="1"/>
    <w:qFormat/>
    <w:uiPriority w:val="0"/>
    <w:pPr>
      <w:keepNext/>
      <w:keepLines/>
      <w:spacing w:beforeLines="50"/>
      <w:outlineLvl w:val="2"/>
    </w:pPr>
    <w:rPr>
      <w:rFonts w:ascii="黑体" w:hAnsi="Calibri" w:eastAsia="黑体" w:cs="宋体"/>
      <w:b/>
      <w:bCs/>
      <w:spacing w:val="-2"/>
      <w:kern w:val="0"/>
      <w:sz w:val="24"/>
      <w:lang w:val="zh-CN"/>
    </w:rPr>
  </w:style>
  <w:style w:type="paragraph" w:customStyle="1" w:styleId="3221">
    <w:name w:val="样式 标题 2标题 21标题 121标题 1.1节标题 1.14.1 + Arial 四号 段前: 0.5 行..."/>
    <w:basedOn w:val="4"/>
    <w:qFormat/>
    <w:uiPriority w:val="0"/>
    <w:pPr>
      <w:tabs>
        <w:tab w:val="left" w:pos="1476"/>
        <w:tab w:val="clear" w:pos="567"/>
      </w:tabs>
      <w:spacing w:before="0" w:beforeLines="50" w:after="0" w:line="360" w:lineRule="auto"/>
      <w:ind w:left="840" w:hanging="420"/>
      <w:jc w:val="left"/>
    </w:pPr>
    <w:rPr>
      <w:rFonts w:ascii="Arial" w:hAnsi="宋体" w:eastAsia="宋体" w:cs="宋体"/>
      <w:bCs/>
      <w:spacing w:val="-2"/>
      <w:kern w:val="0"/>
      <w:sz w:val="24"/>
    </w:rPr>
  </w:style>
  <w:style w:type="paragraph" w:customStyle="1" w:styleId="3222">
    <w:name w:val="b-ent-toc-bottom"/>
    <w:basedOn w:val="1"/>
    <w:qFormat/>
    <w:uiPriority w:val="0"/>
    <w:pPr>
      <w:widowControl/>
      <w:pBdr>
        <w:top w:val="single" w:color="FFFFFF" w:sz="48" w:space="0"/>
      </w:pBdr>
      <w:shd w:val="clear" w:color="auto" w:fill="F9F9F9"/>
      <w:spacing w:before="100" w:beforeAutospacing="1" w:after="100" w:afterAutospacing="1"/>
      <w:jc w:val="left"/>
    </w:pPr>
    <w:rPr>
      <w:rFonts w:ascii="宋体" w:hAnsi="Calibri" w:eastAsia="宋体" w:cs="宋体"/>
      <w:spacing w:val="-2"/>
      <w:kern w:val="0"/>
      <w:sz w:val="24"/>
      <w:szCs w:val="21"/>
    </w:rPr>
  </w:style>
  <w:style w:type="paragraph" w:customStyle="1" w:styleId="3223">
    <w:name w:val="Char Char Char Char Char Char Char Char Char Char4"/>
    <w:basedOn w:val="1"/>
    <w:qFormat/>
    <w:uiPriority w:val="0"/>
    <w:pPr>
      <w:spacing w:line="360" w:lineRule="auto"/>
      <w:ind w:firstLine="200" w:firstLineChars="200"/>
    </w:pPr>
    <w:rPr>
      <w:rFonts w:ascii="宋体" w:hAnsi="宋体" w:eastAsia="宋体" w:cs="宋体"/>
      <w:sz w:val="24"/>
      <w:szCs w:val="24"/>
    </w:rPr>
  </w:style>
  <w:style w:type="paragraph" w:customStyle="1" w:styleId="3224">
    <w:name w:val="ref"/>
    <w:basedOn w:val="1"/>
    <w:qFormat/>
    <w:uiPriority w:val="0"/>
    <w:pPr>
      <w:widowControl/>
      <w:pBdr>
        <w:top w:val="dashed" w:color="CCCCCC" w:sz="6" w:space="8"/>
      </w:pBdr>
      <w:spacing w:before="100" w:beforeAutospacing="1" w:after="100" w:afterAutospacing="1"/>
      <w:jc w:val="left"/>
    </w:pPr>
    <w:rPr>
      <w:rFonts w:ascii="宋体" w:hAnsi="Calibri" w:eastAsia="宋体" w:cs="宋体"/>
      <w:spacing w:val="-2"/>
      <w:kern w:val="0"/>
      <w:sz w:val="24"/>
      <w:szCs w:val="21"/>
    </w:rPr>
  </w:style>
  <w:style w:type="paragraph" w:customStyle="1" w:styleId="3225">
    <w:name w:val="Char Char Char Char Char Char Char Char Char Char Char Char1"/>
    <w:basedOn w:val="1"/>
    <w:qFormat/>
    <w:uiPriority w:val="0"/>
    <w:pPr>
      <w:spacing w:line="360" w:lineRule="auto"/>
      <w:ind w:firstLine="200" w:firstLineChars="200"/>
    </w:pPr>
    <w:rPr>
      <w:rFonts w:eastAsia="宋体"/>
      <w:sz w:val="21"/>
      <w:szCs w:val="24"/>
    </w:rPr>
  </w:style>
  <w:style w:type="paragraph" w:customStyle="1" w:styleId="3226">
    <w:name w:val="mstheme-vert-navtxt-gs"/>
    <w:basedOn w:val="1"/>
    <w:qFormat/>
    <w:uiPriority w:val="0"/>
    <w:pPr>
      <w:spacing w:before="100" w:beforeAutospacing="1" w:after="100" w:afterAutospacing="1"/>
    </w:pPr>
    <w:rPr>
      <w:rFonts w:eastAsia="宋体" w:cs="黑体"/>
      <w:color w:val="000000"/>
      <w:spacing w:val="-2"/>
      <w:kern w:val="0"/>
      <w:sz w:val="24"/>
    </w:rPr>
  </w:style>
  <w:style w:type="paragraph" w:customStyle="1" w:styleId="3227">
    <w:name w:val="可研-表格正文"/>
    <w:basedOn w:val="1"/>
    <w:qFormat/>
    <w:uiPriority w:val="0"/>
    <w:rPr>
      <w:rFonts w:ascii="宋体" w:eastAsia="宋体"/>
      <w:sz w:val="24"/>
      <w:szCs w:val="24"/>
    </w:rPr>
  </w:style>
  <w:style w:type="paragraph" w:customStyle="1" w:styleId="3228">
    <w:name w:val="b-bt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29">
    <w:name w:val="三级无标题条"/>
    <w:basedOn w:val="1"/>
    <w:qFormat/>
    <w:uiPriority w:val="0"/>
    <w:pPr>
      <w:tabs>
        <w:tab w:val="left" w:pos="1008"/>
      </w:tabs>
      <w:ind w:left="1008" w:hanging="1008"/>
    </w:pPr>
    <w:rPr>
      <w:rFonts w:eastAsia="宋体" w:cs="黑体"/>
      <w:spacing w:val="-2"/>
      <w:kern w:val="0"/>
    </w:rPr>
  </w:style>
  <w:style w:type="paragraph" w:customStyle="1" w:styleId="3230">
    <w:name w:val="dot"/>
    <w:basedOn w:val="1"/>
    <w:qFormat/>
    <w:uiPriority w:val="0"/>
    <w:pPr>
      <w:widowControl/>
      <w:shd w:val="clear" w:color="auto" w:fill="BCBCBC"/>
      <w:spacing w:after="75"/>
      <w:ind w:right="75"/>
      <w:jc w:val="left"/>
    </w:pPr>
    <w:rPr>
      <w:rFonts w:ascii="宋体" w:hAnsi="Calibri" w:eastAsia="宋体" w:cs="宋体"/>
      <w:spacing w:val="-2"/>
      <w:kern w:val="0"/>
      <w:sz w:val="24"/>
      <w:szCs w:val="21"/>
    </w:rPr>
  </w:style>
  <w:style w:type="paragraph" w:customStyle="1" w:styleId="3231">
    <w:name w:val="正文61"/>
    <w:basedOn w:val="1"/>
    <w:qFormat/>
    <w:uiPriority w:val="0"/>
    <w:pPr>
      <w:adjustRightInd w:val="0"/>
      <w:spacing w:line="315" w:lineRule="atLeast"/>
      <w:jc w:val="left"/>
    </w:pPr>
    <w:rPr>
      <w:rFonts w:ascii="宋体" w:hAnsi="Calibri" w:eastAsia="宋体" w:cs="黑体"/>
      <w:spacing w:val="-2"/>
      <w:kern w:val="0"/>
      <w:sz w:val="24"/>
    </w:rPr>
  </w:style>
  <w:style w:type="paragraph" w:customStyle="1" w:styleId="3232">
    <w:name w:val="样式 样式 一大点 + 四号 段前: 0.5 行 段后: 0.5 行 + 段前: 0.5 行 段后: 0.5 行"/>
    <w:basedOn w:val="1"/>
    <w:qFormat/>
    <w:uiPriority w:val="0"/>
    <w:pPr>
      <w:keepNext/>
      <w:keepLines/>
      <w:widowControl/>
      <w:overflowPunct w:val="0"/>
      <w:adjustRightInd w:val="0"/>
      <w:snapToGrid w:val="0"/>
      <w:spacing w:beforeLines="50"/>
      <w:ind w:firstLine="200" w:firstLineChars="200"/>
      <w:jc w:val="left"/>
      <w:outlineLvl w:val="5"/>
    </w:pPr>
    <w:rPr>
      <w:rFonts w:ascii="Arial" w:hAnsi="Arial" w:eastAsia="黑体" w:cs="宋体"/>
      <w:b/>
      <w:bCs/>
      <w:spacing w:val="20"/>
      <w:kern w:val="0"/>
    </w:rPr>
  </w:style>
  <w:style w:type="paragraph" w:customStyle="1" w:styleId="3233">
    <w:name w:val="dialog-content-inne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34">
    <w:name w:val="表题1"/>
    <w:next w:val="7"/>
    <w:qFormat/>
    <w:uiPriority w:val="0"/>
    <w:pPr>
      <w:keepNext/>
      <w:keepLines/>
      <w:widowControl w:val="0"/>
      <w:topLinePunct/>
      <w:autoSpaceDE w:val="0"/>
      <w:autoSpaceDN w:val="0"/>
      <w:adjustRightInd w:val="0"/>
      <w:spacing w:line="360" w:lineRule="auto"/>
      <w:jc w:val="center"/>
    </w:pPr>
    <w:rPr>
      <w:rFonts w:ascii="Times New Roman" w:hAnsi="Times New Roman" w:eastAsia="仿宋体" w:cs="Times New Roman"/>
      <w:sz w:val="28"/>
      <w:lang w:val="en-US" w:eastAsia="zh-CN" w:bidi="ar-SA"/>
    </w:rPr>
  </w:style>
  <w:style w:type="paragraph" w:customStyle="1" w:styleId="3235">
    <w:name w:val="正文21"/>
    <w:basedOn w:val="1"/>
    <w:qFormat/>
    <w:uiPriority w:val="0"/>
    <w:pPr>
      <w:adjustRightInd w:val="0"/>
      <w:spacing w:line="500" w:lineRule="exact"/>
      <w:jc w:val="center"/>
      <w:outlineLvl w:val="0"/>
    </w:pPr>
    <w:rPr>
      <w:rFonts w:eastAsia="楷体_GB2312" w:cs="黑体"/>
      <w:spacing w:val="-2"/>
      <w:kern w:val="0"/>
    </w:rPr>
  </w:style>
  <w:style w:type="paragraph" w:customStyle="1" w:styleId="3236">
    <w:name w:val="标题1YHY"/>
    <w:basedOn w:val="2385"/>
    <w:next w:val="2767"/>
    <w:qFormat/>
    <w:uiPriority w:val="0"/>
    <w:pPr>
      <w:widowControl/>
      <w:tabs>
        <w:tab w:val="left" w:pos="360"/>
        <w:tab w:val="left" w:pos="1080"/>
      </w:tabs>
      <w:spacing w:before="0" w:beforeLines="50" w:after="0" w:line="360" w:lineRule="auto"/>
      <w:jc w:val="left"/>
    </w:pPr>
    <w:rPr>
      <w:rFonts w:ascii="Times New Roman" w:hAnsi="Times New Roman" w:cs="宋体"/>
      <w:b/>
    </w:rPr>
  </w:style>
  <w:style w:type="paragraph" w:customStyle="1" w:styleId="3237">
    <w:name w:val="正文首行缩进0.85"/>
    <w:basedOn w:val="1"/>
    <w:qFormat/>
    <w:uiPriority w:val="0"/>
    <w:pPr>
      <w:tabs>
        <w:tab w:val="left" w:pos="900"/>
      </w:tabs>
      <w:ind w:firstLine="200" w:firstLineChars="200"/>
    </w:pPr>
    <w:rPr>
      <w:rFonts w:eastAsia="宋体" w:cs="黑体"/>
      <w:color w:val="000000"/>
      <w:spacing w:val="-2"/>
      <w:kern w:val="0"/>
      <w:sz w:val="24"/>
      <w:lang w:val="zh-CN"/>
    </w:rPr>
  </w:style>
  <w:style w:type="paragraph" w:customStyle="1" w:styleId="3238">
    <w:name w:val="正文缩进2字符"/>
    <w:basedOn w:val="1"/>
    <w:qFormat/>
    <w:uiPriority w:val="0"/>
    <w:pPr>
      <w:autoSpaceDE w:val="0"/>
      <w:autoSpaceDN w:val="0"/>
      <w:adjustRightInd w:val="0"/>
      <w:snapToGrid w:val="0"/>
      <w:ind w:firstLine="200" w:firstLineChars="200"/>
    </w:pPr>
    <w:rPr>
      <w:rFonts w:eastAsia="宋体" w:cs="黑体"/>
      <w:spacing w:val="-2"/>
      <w:kern w:val="0"/>
      <w:sz w:val="24"/>
    </w:rPr>
  </w:style>
  <w:style w:type="paragraph" w:customStyle="1" w:styleId="3239">
    <w:name w:val="样式129"/>
    <w:basedOn w:val="1"/>
    <w:qFormat/>
    <w:uiPriority w:val="0"/>
    <w:pPr>
      <w:adjustRightInd w:val="0"/>
      <w:spacing w:line="260" w:lineRule="exact"/>
      <w:jc w:val="center"/>
    </w:pPr>
    <w:rPr>
      <w:rFonts w:eastAsia="宋体" w:cs="黑体"/>
      <w:bCs/>
      <w:color w:val="000000"/>
      <w:spacing w:val="-2"/>
      <w:kern w:val="0"/>
      <w:sz w:val="20"/>
      <w:szCs w:val="13"/>
    </w:rPr>
  </w:style>
  <w:style w:type="paragraph" w:customStyle="1" w:styleId="3240">
    <w:name w:val="表格32"/>
    <w:basedOn w:val="1"/>
    <w:qFormat/>
    <w:uiPriority w:val="0"/>
    <w:pPr>
      <w:adjustRightInd w:val="0"/>
      <w:ind w:firstLine="200" w:firstLineChars="200"/>
      <w:jc w:val="center"/>
    </w:pPr>
    <w:rPr>
      <w:rFonts w:cs="黑体"/>
      <w:spacing w:val="-2"/>
      <w:kern w:val="0"/>
      <w:sz w:val="24"/>
    </w:rPr>
  </w:style>
  <w:style w:type="paragraph" w:customStyle="1" w:styleId="3241">
    <w:name w:val="reader-word-layer reader-word-s2-2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242">
    <w:name w:val="我的标题4"/>
    <w:basedOn w:val="746"/>
    <w:qFormat/>
    <w:uiPriority w:val="0"/>
    <w:pPr>
      <w:ind w:firstLine="0" w:firstLineChars="0"/>
    </w:pPr>
    <w:rPr>
      <w:rFonts w:hint="eastAsia" w:ascii="宋体" w:hAnsi="宋体" w:eastAsia="宋体" w:cs="宋体"/>
      <w:b/>
      <w:szCs w:val="20"/>
    </w:rPr>
  </w:style>
  <w:style w:type="paragraph" w:customStyle="1" w:styleId="3243">
    <w:name w:val="4级标题"/>
    <w:basedOn w:val="1390"/>
    <w:qFormat/>
    <w:uiPriority w:val="0"/>
    <w:pPr>
      <w:spacing w:line="240" w:lineRule="auto"/>
      <w:ind w:firstLine="0" w:firstLineChars="0"/>
    </w:pPr>
    <w:rPr>
      <w:rFonts w:hAnsi="Calibri" w:cs="隶书"/>
      <w:spacing w:val="-2"/>
      <w:kern w:val="0"/>
      <w:sz w:val="28"/>
      <w:szCs w:val="21"/>
    </w:rPr>
  </w:style>
  <w:style w:type="paragraph" w:customStyle="1" w:styleId="3244">
    <w:name w:val="题注-彭林"/>
    <w:basedOn w:val="22"/>
    <w:qFormat/>
    <w:uiPriority w:val="0"/>
    <w:pPr>
      <w:keepNext/>
      <w:adjustRightInd w:val="0"/>
      <w:snapToGrid w:val="0"/>
      <w:spacing w:before="120" w:after="120" w:line="360" w:lineRule="auto"/>
      <w:jc w:val="center"/>
    </w:pPr>
    <w:rPr>
      <w:rFonts w:ascii="Times New Roman" w:hAnsi="Times New Roman" w:eastAsia="宋体"/>
      <w:color w:val="000000"/>
      <w:sz w:val="24"/>
      <w:szCs w:val="24"/>
    </w:rPr>
  </w:style>
  <w:style w:type="paragraph" w:customStyle="1" w:styleId="3245">
    <w:name w:val="Char Char4 Char Char Char Char"/>
    <w:basedOn w:val="1"/>
    <w:qFormat/>
    <w:uiPriority w:val="0"/>
    <w:pPr>
      <w:ind w:firstLine="200" w:firstLineChars="200"/>
    </w:pPr>
    <w:rPr>
      <w:rFonts w:ascii="宋体" w:hAnsi="Calibri" w:eastAsia="宋体" w:cs="宋体"/>
      <w:spacing w:val="-2"/>
      <w:kern w:val="0"/>
      <w:sz w:val="24"/>
    </w:rPr>
  </w:style>
  <w:style w:type="paragraph" w:customStyle="1" w:styleId="3246">
    <w:name w:val="样式 目录 1 + 首行缩进:  1.28 字符"/>
    <w:basedOn w:val="60"/>
    <w:qFormat/>
    <w:uiPriority w:val="99"/>
    <w:pPr>
      <w:widowControl/>
      <w:tabs>
        <w:tab w:val="right" w:leader="dot" w:pos="8296"/>
        <w:tab w:val="clear" w:pos="1120"/>
        <w:tab w:val="clear" w:pos="8767"/>
      </w:tabs>
      <w:ind w:left="1" w:leftChars="-199" w:hanging="265" w:hangingChars="265"/>
      <w:jc w:val="both"/>
    </w:pPr>
    <w:rPr>
      <w:rFonts w:ascii="Times New Roman" w:hAnsi="Times New Roman" w:cs="宋体"/>
      <w:bCs w:val="0"/>
      <w:caps w:val="0"/>
      <w:kern w:val="44"/>
      <w:szCs w:val="20"/>
    </w:rPr>
  </w:style>
  <w:style w:type="paragraph" w:customStyle="1" w:styleId="3247">
    <w:name w:val="正文31"/>
    <w:qFormat/>
    <w:uiPriority w:val="0"/>
    <w:pPr>
      <w:widowControl w:val="0"/>
      <w:adjustRightInd w:val="0"/>
      <w:spacing w:line="315" w:lineRule="atLeast"/>
    </w:pPr>
    <w:rPr>
      <w:rFonts w:ascii="宋体" w:hAnsi="Times New Roman" w:eastAsia="宋体" w:cs="Times New Roman"/>
      <w:sz w:val="24"/>
      <w:lang w:val="en-US" w:eastAsia="zh-CN" w:bidi="ar-SA"/>
    </w:rPr>
  </w:style>
  <w:style w:type="paragraph" w:customStyle="1" w:styleId="3248">
    <w:name w:val="box2-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49">
    <w:name w:val="holder21"/>
    <w:basedOn w:val="1"/>
    <w:qFormat/>
    <w:uiPriority w:val="0"/>
    <w:pPr>
      <w:widowControl/>
      <w:pBdr>
        <w:left w:val="single" w:color="DEDFE1" w:sz="6" w:space="0"/>
        <w:bottom w:val="single" w:color="DEDFE1" w:sz="6" w:space="15"/>
        <w:right w:val="single" w:color="DEDFE1" w:sz="6" w:space="0"/>
      </w:pBdr>
      <w:spacing w:after="150" w:line="450" w:lineRule="atLeast"/>
      <w:ind w:left="60" w:right="60"/>
      <w:jc w:val="left"/>
    </w:pPr>
    <w:rPr>
      <w:rFonts w:ascii="宋体" w:hAnsi="Calibri" w:eastAsia="宋体" w:cs="宋体"/>
      <w:b/>
      <w:bCs/>
      <w:vanish/>
      <w:spacing w:val="-2"/>
      <w:kern w:val="0"/>
      <w:sz w:val="24"/>
      <w:szCs w:val="21"/>
    </w:rPr>
  </w:style>
  <w:style w:type="paragraph" w:customStyle="1" w:styleId="3250">
    <w:name w:val="样式 标题 3标题 13 + 黑色 段前: 4 磅 段后: 10 磅 行距: 单倍行距"/>
    <w:basedOn w:val="1"/>
    <w:qFormat/>
    <w:uiPriority w:val="0"/>
    <w:rPr>
      <w:rFonts w:eastAsia="宋体" w:cs="黑体"/>
      <w:spacing w:val="-2"/>
      <w:kern w:val="0"/>
    </w:rPr>
  </w:style>
  <w:style w:type="paragraph" w:customStyle="1" w:styleId="3251">
    <w:name w:val="小标题7"/>
    <w:basedOn w:val="5"/>
    <w:qFormat/>
    <w:uiPriority w:val="0"/>
    <w:pPr>
      <w:tabs>
        <w:tab w:val="left" w:pos="3874"/>
      </w:tabs>
      <w:spacing w:beforeLines="20" w:line="240" w:lineRule="auto"/>
      <w:ind w:left="3874" w:right="567" w:firstLine="200" w:firstLineChars="200"/>
    </w:pPr>
    <w:rPr>
      <w:rFonts w:hint="eastAsia" w:ascii="Calibri" w:hAnsi="Calibri"/>
      <w:spacing w:val="0"/>
      <w:sz w:val="28"/>
      <w:szCs w:val="22"/>
    </w:rPr>
  </w:style>
  <w:style w:type="paragraph" w:customStyle="1" w:styleId="3252">
    <w:name w:val="页面"/>
    <w:qFormat/>
    <w:uiPriority w:val="0"/>
    <w:pPr>
      <w:widowControl w:val="0"/>
      <w:adjustRightInd w:val="0"/>
      <w:jc w:val="center"/>
    </w:pPr>
    <w:rPr>
      <w:rFonts w:ascii="Times New Roman" w:hAnsi="Times New Roman" w:eastAsia="宋体" w:cs="Times New Roman"/>
      <w:sz w:val="28"/>
      <w:lang w:val="en-US" w:eastAsia="zh-CN" w:bidi="ar-SA"/>
    </w:rPr>
  </w:style>
  <w:style w:type="paragraph" w:customStyle="1" w:styleId="3253">
    <w:name w:val="注："/>
    <w:next w:val="7"/>
    <w:qFormat/>
    <w:uiPriority w:val="0"/>
    <w:pPr>
      <w:widowControl w:val="0"/>
      <w:tabs>
        <w:tab w:val="left" w:pos="303"/>
        <w:tab w:val="left" w:pos="480"/>
      </w:tabs>
      <w:autoSpaceDE w:val="0"/>
      <w:autoSpaceDN w:val="0"/>
      <w:ind w:left="480" w:hanging="480"/>
      <w:jc w:val="both"/>
    </w:pPr>
    <w:rPr>
      <w:rFonts w:ascii="宋体" w:hAnsi="Times New Roman" w:eastAsia="宋体" w:cs="Times New Roman"/>
      <w:sz w:val="18"/>
      <w:lang w:val="en-US" w:eastAsia="zh-CN" w:bidi="ar-SA"/>
    </w:rPr>
  </w:style>
  <w:style w:type="paragraph" w:customStyle="1" w:styleId="3254">
    <w:name w:val="Char Char Char Char Char Char Char Char Char Char Char Char Char Char Char Char2"/>
    <w:basedOn w:val="1"/>
    <w:qFormat/>
    <w:uiPriority w:val="0"/>
    <w:pPr>
      <w:spacing w:line="360" w:lineRule="auto"/>
      <w:ind w:firstLine="200" w:firstLineChars="200"/>
    </w:pPr>
    <w:rPr>
      <w:rFonts w:ascii="宋体" w:hAnsi="宋体" w:eastAsia="宋体" w:cs="宋体"/>
      <w:sz w:val="24"/>
      <w:szCs w:val="24"/>
    </w:rPr>
  </w:style>
  <w:style w:type="paragraph" w:customStyle="1" w:styleId="3255">
    <w:name w:val="标题12"/>
    <w:basedOn w:val="3"/>
    <w:next w:val="5"/>
    <w:qFormat/>
    <w:uiPriority w:val="0"/>
    <w:pPr>
      <w:spacing w:before="156" w:beforeLines="50" w:after="312" w:afterLines="100" w:line="360" w:lineRule="auto"/>
      <w:ind w:left="432" w:hanging="432"/>
    </w:pPr>
    <w:rPr>
      <w:bCs/>
      <w:sz w:val="32"/>
      <w:szCs w:val="44"/>
    </w:rPr>
  </w:style>
  <w:style w:type="paragraph" w:customStyle="1" w:styleId="3256">
    <w:name w:val="样式 (西文) 仿宋_GB2312 (中文) 仿宋_GB2312"/>
    <w:basedOn w:val="1"/>
    <w:qFormat/>
    <w:uiPriority w:val="0"/>
    <w:pPr>
      <w:spacing w:line="300" w:lineRule="auto"/>
    </w:pPr>
    <w:rPr>
      <w:rFonts w:ascii="仿宋_GB2312" w:hAnsi="Calibri" w:cs="黑体"/>
      <w:spacing w:val="-2"/>
      <w:kern w:val="0"/>
      <w:szCs w:val="30"/>
    </w:rPr>
  </w:style>
  <w:style w:type="paragraph" w:customStyle="1" w:styleId="3257">
    <w:name w:val="lemma-top-link-divider"/>
    <w:basedOn w:val="1"/>
    <w:qFormat/>
    <w:uiPriority w:val="0"/>
    <w:pPr>
      <w:widowControl/>
      <w:pBdr>
        <w:left w:val="dotted" w:color="808080" w:sz="6" w:space="0"/>
      </w:pBdr>
      <w:spacing w:before="100" w:beforeAutospacing="1" w:after="100" w:afterAutospacing="1"/>
      <w:jc w:val="left"/>
    </w:pPr>
    <w:rPr>
      <w:rFonts w:ascii="宋体" w:hAnsi="Calibri" w:eastAsia="宋体" w:cs="宋体"/>
      <w:vanish/>
      <w:spacing w:val="-2"/>
      <w:kern w:val="0"/>
      <w:sz w:val="24"/>
      <w:szCs w:val="21"/>
    </w:rPr>
  </w:style>
  <w:style w:type="paragraph" w:customStyle="1" w:styleId="3258">
    <w:name w:val="表格，内容"/>
    <w:basedOn w:val="1"/>
    <w:qFormat/>
    <w:uiPriority w:val="0"/>
    <w:pPr>
      <w:jc w:val="center"/>
    </w:pPr>
    <w:rPr>
      <w:rFonts w:eastAsia="宋体" w:cs="黑体"/>
      <w:spacing w:val="10"/>
      <w:kern w:val="44"/>
    </w:rPr>
  </w:style>
  <w:style w:type="paragraph" w:customStyle="1" w:styleId="3259">
    <w:name w:val="自制正文1"/>
    <w:basedOn w:val="1"/>
    <w:next w:val="1"/>
    <w:qFormat/>
    <w:uiPriority w:val="0"/>
    <w:pPr>
      <w:adjustRightInd w:val="0"/>
      <w:snapToGrid w:val="0"/>
      <w:spacing w:line="360" w:lineRule="auto"/>
      <w:ind w:firstLine="200" w:firstLineChars="200"/>
    </w:pPr>
    <w:rPr>
      <w:rFonts w:eastAsia="宋体" w:cs="黑体"/>
      <w:spacing w:val="-2"/>
      <w:kern w:val="0"/>
      <w:sz w:val="24"/>
    </w:rPr>
  </w:style>
  <w:style w:type="paragraph" w:customStyle="1" w:styleId="3260">
    <w:name w:val="dxj图名"/>
    <w:basedOn w:val="1"/>
    <w:qFormat/>
    <w:uiPriority w:val="0"/>
    <w:pPr>
      <w:adjustRightInd w:val="0"/>
      <w:snapToGrid w:val="0"/>
      <w:spacing w:beforeLines="50" w:afterLines="50" w:line="360" w:lineRule="auto"/>
      <w:jc w:val="center"/>
    </w:pPr>
    <w:rPr>
      <w:rFonts w:eastAsia="黑体"/>
      <w:color w:val="000000"/>
      <w:kern w:val="0"/>
      <w:sz w:val="24"/>
      <w:szCs w:val="21"/>
    </w:rPr>
  </w:style>
  <w:style w:type="paragraph" w:customStyle="1" w:styleId="3261">
    <w:name w:val="summer正文编辑样式2"/>
    <w:basedOn w:val="1"/>
    <w:qFormat/>
    <w:uiPriority w:val="0"/>
    <w:pPr>
      <w:spacing w:line="360" w:lineRule="auto"/>
      <w:ind w:firstLine="200" w:firstLineChars="200"/>
    </w:pPr>
    <w:rPr>
      <w:rFonts w:eastAsia="宋体" w:cs="宋体"/>
      <w:spacing w:val="-2"/>
      <w:kern w:val="0"/>
      <w:sz w:val="24"/>
    </w:rPr>
  </w:style>
  <w:style w:type="paragraph" w:customStyle="1" w:styleId="3262">
    <w:name w:val="样式 标题 2章宋三一、标题 1.1Title 22 headlinehheadlineS&amp;R2ERMH2...1"/>
    <w:basedOn w:val="4"/>
    <w:qFormat/>
    <w:uiPriority w:val="0"/>
    <w:pPr>
      <w:keepLines w:val="0"/>
      <w:tabs>
        <w:tab w:val="left" w:pos="0"/>
        <w:tab w:val="left" w:pos="1476"/>
        <w:tab w:val="clear" w:pos="567"/>
      </w:tabs>
      <w:adjustRightInd w:val="0"/>
      <w:snapToGrid w:val="0"/>
      <w:spacing w:before="0" w:beforeLines="30" w:after="0"/>
      <w:ind w:left="0" w:firstLine="0"/>
    </w:pPr>
    <w:rPr>
      <w:rFonts w:ascii="Arial" w:eastAsia="宋体" w:cs="宋体"/>
      <w:b/>
      <w:spacing w:val="-2"/>
      <w:sz w:val="24"/>
      <w:szCs w:val="28"/>
    </w:rPr>
  </w:style>
  <w:style w:type="paragraph" w:customStyle="1" w:styleId="3263">
    <w:name w:val="小标题（3黑）"/>
    <w:basedOn w:val="3"/>
    <w:qFormat/>
    <w:uiPriority w:val="0"/>
    <w:pPr>
      <w:pageBreakBefore w:val="0"/>
      <w:widowControl/>
      <w:suppressLineNumbers/>
      <w:tabs>
        <w:tab w:val="left" w:pos="1260"/>
        <w:tab w:val="clear" w:pos="1080"/>
      </w:tabs>
      <w:adjustRightInd w:val="0"/>
      <w:snapToGrid w:val="0"/>
      <w:spacing w:before="0" w:after="0" w:line="500" w:lineRule="exact"/>
      <w:ind w:left="1260" w:firstLine="567"/>
      <w:jc w:val="both"/>
    </w:pPr>
    <w:rPr>
      <w:rFonts w:ascii="仿宋_GB2312" w:hAnsi="宋体" w:eastAsia="黑体" w:cs="宋体"/>
      <w:spacing w:val="-2"/>
      <w:sz w:val="32"/>
    </w:rPr>
  </w:style>
  <w:style w:type="paragraph" w:customStyle="1" w:styleId="3264">
    <w:name w:val="enc-wrap"/>
    <w:basedOn w:val="1"/>
    <w:qFormat/>
    <w:uiPriority w:val="0"/>
    <w:pPr>
      <w:widowControl/>
      <w:pBdr>
        <w:top w:val="single" w:color="BBE0F3" w:sz="12" w:space="0"/>
        <w:left w:val="single" w:color="BBE0F3" w:sz="12" w:space="0"/>
        <w:bottom w:val="single" w:color="BBE0F3" w:sz="12" w:space="0"/>
        <w:right w:val="single" w:color="BBE0F3" w:sz="12" w:space="0"/>
      </w:pBdr>
      <w:spacing w:before="100" w:beforeAutospacing="1" w:after="100" w:afterAutospacing="1"/>
      <w:jc w:val="left"/>
    </w:pPr>
    <w:rPr>
      <w:rFonts w:ascii="宋体" w:hAnsi="Calibri" w:eastAsia="宋体" w:cs="宋体"/>
      <w:spacing w:val="-2"/>
      <w:kern w:val="0"/>
      <w:sz w:val="24"/>
      <w:szCs w:val="21"/>
    </w:rPr>
  </w:style>
  <w:style w:type="paragraph" w:customStyle="1" w:styleId="3265">
    <w:name w:val="样式正文首行缩进"/>
    <w:basedOn w:val="1"/>
    <w:qFormat/>
    <w:uiPriority w:val="0"/>
    <w:pPr>
      <w:spacing w:line="500" w:lineRule="exact"/>
      <w:ind w:firstLine="567"/>
    </w:pPr>
    <w:rPr>
      <w:rFonts w:eastAsia="宋体" w:cs="黑体"/>
      <w:spacing w:val="-2"/>
      <w:kern w:val="0"/>
      <w:szCs w:val="28"/>
    </w:rPr>
  </w:style>
  <w:style w:type="paragraph" w:customStyle="1" w:styleId="3266">
    <w:name w:val="节名"/>
    <w:basedOn w:val="1"/>
    <w:qFormat/>
    <w:uiPriority w:val="0"/>
    <w:pPr>
      <w:adjustRightInd w:val="0"/>
      <w:spacing w:line="360" w:lineRule="auto"/>
    </w:pPr>
    <w:rPr>
      <w:rFonts w:eastAsia="黑体" w:cs="黑体"/>
      <w:b/>
      <w:spacing w:val="-2"/>
      <w:kern w:val="0"/>
    </w:rPr>
  </w:style>
  <w:style w:type="paragraph" w:customStyle="1" w:styleId="3267">
    <w:name w:val="Char1 Char Char Char1 Char Char Char"/>
    <w:basedOn w:val="1"/>
    <w:qFormat/>
    <w:uiPriority w:val="0"/>
    <w:pPr>
      <w:ind w:firstLine="200" w:firstLineChars="200"/>
    </w:pPr>
    <w:rPr>
      <w:rFonts w:ascii="宋体" w:hAnsi="Calibri" w:eastAsia="宋体" w:cs="宋体"/>
      <w:spacing w:val="-2"/>
      <w:kern w:val="0"/>
      <w:sz w:val="24"/>
    </w:rPr>
  </w:style>
  <w:style w:type="character" w:customStyle="1" w:styleId="3268">
    <w:name w:val="z-窗体底端 Char3"/>
    <w:semiHidden/>
    <w:qFormat/>
    <w:uiPriority w:val="99"/>
    <w:rPr>
      <w:rFonts w:ascii="Arial" w:hAnsi="Arial" w:eastAsia="仿宋_GB2312" w:cs="Arial"/>
      <w:vanish/>
      <w:sz w:val="16"/>
      <w:szCs w:val="16"/>
    </w:rPr>
  </w:style>
  <w:style w:type="paragraph" w:customStyle="1" w:styleId="3269">
    <w:name w:val="框图1"/>
    <w:basedOn w:val="1"/>
    <w:qFormat/>
    <w:uiPriority w:val="0"/>
    <w:pPr>
      <w:spacing w:line="324" w:lineRule="auto"/>
      <w:ind w:right="262"/>
      <w:jc w:val="center"/>
    </w:pPr>
    <w:rPr>
      <w:rFonts w:eastAsia="宋体" w:cs="黑体"/>
      <w:spacing w:val="-2"/>
      <w:kern w:val="0"/>
      <w:sz w:val="24"/>
    </w:rPr>
  </w:style>
  <w:style w:type="paragraph" w:customStyle="1" w:styleId="3270">
    <w:name w:val="Char Char Char Char Char Char Char Char Char3"/>
    <w:basedOn w:val="1"/>
    <w:qFormat/>
    <w:uiPriority w:val="0"/>
    <w:rPr>
      <w:rFonts w:eastAsia="宋体"/>
      <w:sz w:val="21"/>
      <w:szCs w:val="24"/>
    </w:rPr>
  </w:style>
  <w:style w:type="paragraph" w:customStyle="1" w:styleId="3271">
    <w:name w:val="Char Char Char Char Char Char3"/>
    <w:basedOn w:val="1"/>
    <w:qFormat/>
    <w:uiPriority w:val="0"/>
    <w:rPr>
      <w:rFonts w:eastAsia="宋体"/>
      <w:sz w:val="21"/>
      <w:szCs w:val="21"/>
    </w:rPr>
  </w:style>
  <w:style w:type="paragraph" w:customStyle="1" w:styleId="3272">
    <w:name w:val="样式 标题 3 + 左侧:  0 毫米 首行缩进:  0 毫米 行距: 最小值 25 磅2"/>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273">
    <w:name w:val="Char Char Char Char Char Char Char Char Char Char Char Char Char Char Char Char Char Char Char Char Char Char Char Char Char4"/>
    <w:basedOn w:val="1"/>
    <w:qFormat/>
    <w:uiPriority w:val="0"/>
    <w:pPr>
      <w:spacing w:line="360" w:lineRule="auto"/>
      <w:ind w:firstLine="200" w:firstLineChars="200"/>
    </w:pPr>
    <w:rPr>
      <w:rFonts w:ascii="宋体" w:hAnsi="宋体" w:eastAsia="宋体" w:cs="宋体"/>
      <w:sz w:val="24"/>
      <w:szCs w:val="24"/>
    </w:rPr>
  </w:style>
  <w:style w:type="paragraph" w:customStyle="1" w:styleId="3274">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w:hAnsi="Arial" w:eastAsia="宋体" w:cs="Arial"/>
      <w:b/>
      <w:bCs/>
      <w:spacing w:val="-2"/>
      <w:kern w:val="0"/>
      <w:sz w:val="20"/>
    </w:rPr>
  </w:style>
  <w:style w:type="paragraph" w:customStyle="1" w:styleId="3275">
    <w:name w:val="标题3首行缩进2字符"/>
    <w:basedOn w:val="6"/>
    <w:next w:val="3276"/>
    <w:qFormat/>
    <w:uiPriority w:val="0"/>
    <w:pPr>
      <w:tabs>
        <w:tab w:val="left" w:pos="1022"/>
        <w:tab w:val="left" w:pos="1080"/>
        <w:tab w:val="clear" w:pos="1789"/>
      </w:tabs>
      <w:spacing w:before="0" w:beforeLines="50" w:after="0" w:line="360" w:lineRule="auto"/>
      <w:ind w:left="0" w:firstLine="200" w:firstLineChars="200"/>
    </w:pPr>
    <w:rPr>
      <w:rFonts w:hint="eastAsia" w:ascii="宋体" w:hAnsi="宋体" w:eastAsia="宋体" w:cs="宋体"/>
      <w:bCs w:val="0"/>
      <w:i/>
      <w:iCs/>
      <w:color w:val="000000"/>
      <w:spacing w:val="-2"/>
      <w:sz w:val="21"/>
    </w:rPr>
  </w:style>
  <w:style w:type="paragraph" w:customStyle="1" w:styleId="3276">
    <w:name w:val="正文首行缩进2字符"/>
    <w:basedOn w:val="1"/>
    <w:qFormat/>
    <w:uiPriority w:val="0"/>
    <w:pPr>
      <w:spacing w:line="360" w:lineRule="auto"/>
      <w:ind w:firstLine="200" w:firstLineChars="200"/>
    </w:pPr>
    <w:rPr>
      <w:rFonts w:eastAsia="宋体" w:cs="宋体"/>
      <w:spacing w:val="-2"/>
      <w:kern w:val="0"/>
      <w:sz w:val="24"/>
    </w:rPr>
  </w:style>
  <w:style w:type="paragraph" w:customStyle="1" w:styleId="3277">
    <w:name w:val="dxj标题3"/>
    <w:basedOn w:val="6"/>
    <w:qFormat/>
    <w:uiPriority w:val="0"/>
    <w:pPr>
      <w:tabs>
        <w:tab w:val="left" w:pos="1080"/>
        <w:tab w:val="clear" w:pos="1789"/>
      </w:tabs>
      <w:spacing w:before="0" w:after="0" w:line="360" w:lineRule="auto"/>
      <w:ind w:left="0" w:firstLine="0"/>
    </w:pPr>
    <w:rPr>
      <w:rFonts w:ascii="Times New Roman" w:eastAsia="黑体"/>
      <w:b w:val="0"/>
      <w:szCs w:val="32"/>
    </w:rPr>
  </w:style>
  <w:style w:type="paragraph" w:customStyle="1" w:styleId="3278">
    <w:name w:val="_Style 49"/>
    <w:basedOn w:val="1"/>
    <w:next w:val="5"/>
    <w:qFormat/>
    <w:uiPriority w:val="0"/>
    <w:pPr>
      <w:spacing w:line="440" w:lineRule="exact"/>
      <w:ind w:firstLine="420" w:firstLineChars="200"/>
    </w:pPr>
    <w:rPr>
      <w:rFonts w:eastAsia="宋体" w:cs="黑体"/>
      <w:spacing w:val="-2"/>
      <w:kern w:val="0"/>
      <w:sz w:val="24"/>
    </w:rPr>
  </w:style>
  <w:style w:type="paragraph" w:customStyle="1" w:styleId="3279">
    <w:name w:val="样式 标题 3 + 首行缩进:  2 字符 段前: 0.1 行"/>
    <w:basedOn w:val="6"/>
    <w:qFormat/>
    <w:uiPriority w:val="99"/>
    <w:pPr>
      <w:tabs>
        <w:tab w:val="left" w:pos="1080"/>
        <w:tab w:val="clear" w:pos="1789"/>
      </w:tabs>
      <w:spacing w:before="260" w:beforeLines="100" w:after="260" w:afterLines="100"/>
      <w:ind w:left="0" w:firstLine="0"/>
      <w:jc w:val="left"/>
    </w:pPr>
    <w:rPr>
      <w:rFonts w:ascii="Times New Roman" w:eastAsia="宋体" w:cs="宋体"/>
      <w:spacing w:val="-2"/>
      <w:kern w:val="24"/>
      <w:sz w:val="28"/>
      <w:szCs w:val="28"/>
    </w:rPr>
  </w:style>
  <w:style w:type="paragraph" w:customStyle="1" w:styleId="3280">
    <w:name w:val="样式 表格文字居中 Char + 自动设置"/>
    <w:qFormat/>
    <w:uiPriority w:val="0"/>
    <w:pPr>
      <w:tabs>
        <w:tab w:val="left" w:pos="628"/>
        <w:tab w:val="left" w:pos="1727"/>
        <w:tab w:val="left" w:pos="1884"/>
        <w:tab w:val="left" w:pos="2660"/>
        <w:tab w:val="left" w:pos="5460"/>
      </w:tabs>
    </w:pPr>
    <w:rPr>
      <w:rFonts w:ascii="Times New Roman" w:hAnsi="Times New Roman" w:eastAsia="宋体" w:cs="Times New Roman"/>
      <w:color w:val="000000"/>
      <w:lang w:val="en-US" w:eastAsia="zh-CN" w:bidi="ar-SA"/>
    </w:rPr>
  </w:style>
  <w:style w:type="paragraph" w:customStyle="1" w:styleId="3281">
    <w:name w:val="样式 标题2YHY + 黑色 段前: 0.5 行 段后: 0.5 行"/>
    <w:basedOn w:val="1"/>
    <w:qFormat/>
    <w:uiPriority w:val="0"/>
    <w:pPr>
      <w:keepNext/>
      <w:keepLines/>
      <w:spacing w:beforeLines="50" w:line="360" w:lineRule="auto"/>
      <w:outlineLvl w:val="1"/>
    </w:pPr>
    <w:rPr>
      <w:rFonts w:ascii="Arial" w:hAnsi="Arial" w:eastAsia="黑体" w:cs="宋体"/>
      <w:b/>
      <w:bCs/>
      <w:color w:val="000000"/>
      <w:spacing w:val="-2"/>
      <w:kern w:val="0"/>
    </w:rPr>
  </w:style>
  <w:style w:type="paragraph" w:customStyle="1" w:styleId="3282">
    <w:name w:val="Char Char Char Char Char Char Char Char Char Char Char1 Char"/>
    <w:basedOn w:val="1"/>
    <w:qFormat/>
    <w:uiPriority w:val="0"/>
    <w:rPr>
      <w:rFonts w:eastAsia="宋体" w:cs="黑体"/>
      <w:spacing w:val="-2"/>
      <w:kern w:val="0"/>
      <w:sz w:val="24"/>
    </w:rPr>
  </w:style>
  <w:style w:type="paragraph" w:customStyle="1" w:styleId="3283">
    <w:name w:val="表格题目"/>
    <w:basedOn w:val="1"/>
    <w:qFormat/>
    <w:uiPriority w:val="0"/>
    <w:pPr>
      <w:adjustRightInd w:val="0"/>
      <w:spacing w:beforeLines="50"/>
      <w:ind w:left="224" w:leftChars="224" w:firstLine="797" w:firstLineChars="797"/>
    </w:pPr>
    <w:rPr>
      <w:rFonts w:ascii="宋体" w:hAnsi="Calibri" w:eastAsia="宋体" w:cs="黑体"/>
      <w:b/>
      <w:bCs/>
      <w:spacing w:val="-2"/>
      <w:kern w:val="0"/>
      <w:sz w:val="24"/>
    </w:rPr>
  </w:style>
  <w:style w:type="paragraph" w:customStyle="1" w:styleId="3284">
    <w:name w:val="_Style 90"/>
    <w:basedOn w:val="1"/>
    <w:next w:val="77"/>
    <w:qFormat/>
    <w:uiPriority w:val="0"/>
    <w:pPr>
      <w:ind w:firstLine="200" w:firstLineChars="200"/>
    </w:pPr>
    <w:rPr>
      <w:rFonts w:eastAsia="宋体" w:cs="黑体"/>
      <w:spacing w:val="-2"/>
      <w:kern w:val="0"/>
      <w:sz w:val="24"/>
    </w:rPr>
  </w:style>
  <w:style w:type="paragraph" w:customStyle="1" w:styleId="3285">
    <w:name w:val="explai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86">
    <w:name w:val="page-current1"/>
    <w:basedOn w:val="1"/>
    <w:qFormat/>
    <w:uiPriority w:val="0"/>
    <w:pPr>
      <w:widowControl/>
      <w:spacing w:before="100" w:beforeAutospacing="1" w:after="100" w:afterAutospacing="1"/>
      <w:jc w:val="left"/>
    </w:pPr>
    <w:rPr>
      <w:rFonts w:ascii="宋体" w:hAnsi="Calibri" w:eastAsia="宋体" w:cs="宋体"/>
      <w:b/>
      <w:bCs/>
      <w:color w:val="000000"/>
      <w:spacing w:val="-2"/>
      <w:kern w:val="0"/>
      <w:sz w:val="24"/>
      <w:szCs w:val="21"/>
    </w:rPr>
  </w:style>
  <w:style w:type="paragraph" w:customStyle="1" w:styleId="3287">
    <w:name w:val="正文修改样式"/>
    <w:basedOn w:val="71"/>
    <w:qFormat/>
    <w:uiPriority w:val="0"/>
    <w:pPr>
      <w:spacing w:beforeLines="50" w:line="360" w:lineRule="auto"/>
      <w:ind w:firstLine="480"/>
    </w:pPr>
    <w:rPr>
      <w:rFonts w:hint="eastAsia"/>
      <w:szCs w:val="21"/>
    </w:rPr>
  </w:style>
  <w:style w:type="paragraph" w:customStyle="1" w:styleId="3288">
    <w:name w:val="正文段落S"/>
    <w:basedOn w:val="1"/>
    <w:qFormat/>
    <w:uiPriority w:val="0"/>
    <w:pPr>
      <w:spacing w:line="360" w:lineRule="auto"/>
      <w:ind w:firstLine="480" w:firstLineChars="200"/>
    </w:pPr>
    <w:rPr>
      <w:rFonts w:ascii="宋体" w:hAnsi="宋体" w:eastAsia="宋体"/>
      <w:kern w:val="0"/>
      <w:sz w:val="24"/>
      <w:szCs w:val="24"/>
    </w:rPr>
  </w:style>
  <w:style w:type="paragraph" w:customStyle="1" w:styleId="3289">
    <w:name w:val="样式 标题 1 + 三号 行距: 最小值 24 磅"/>
    <w:basedOn w:val="3"/>
    <w:qFormat/>
    <w:uiPriority w:val="0"/>
    <w:pPr>
      <w:pageBreakBefore w:val="0"/>
      <w:tabs>
        <w:tab w:val="left" w:pos="885"/>
        <w:tab w:val="clear" w:pos="1080"/>
      </w:tabs>
      <w:spacing w:before="340" w:after="330" w:line="480" w:lineRule="atLeast"/>
      <w:ind w:left="885" w:hanging="360"/>
      <w:jc w:val="both"/>
    </w:pPr>
    <w:rPr>
      <w:rFonts w:ascii="宋体" w:hAnsi="宋体" w:cs="宋体"/>
      <w:bCs/>
      <w:spacing w:val="-2"/>
      <w:sz w:val="44"/>
      <w:szCs w:val="44"/>
    </w:rPr>
  </w:style>
  <w:style w:type="paragraph" w:customStyle="1" w:styleId="3290">
    <w:name w:val="样式 表中文字 + 两端对齐"/>
    <w:basedOn w:val="1"/>
    <w:qFormat/>
    <w:uiPriority w:val="0"/>
    <w:pPr>
      <w:shd w:val="clear" w:color="auto" w:fill="FFFFFF"/>
      <w:tabs>
        <w:tab w:val="left" w:pos="3286"/>
        <w:tab w:val="left" w:pos="8362"/>
      </w:tabs>
      <w:spacing w:line="320" w:lineRule="exact"/>
    </w:pPr>
    <w:rPr>
      <w:rFonts w:ascii="Arial" w:hAnsi="Arial" w:eastAsia="楷体_GB2312" w:cs="宋体"/>
      <w:color w:val="000000"/>
      <w:spacing w:val="-2"/>
      <w:kern w:val="0"/>
      <w:szCs w:val="21"/>
    </w:rPr>
  </w:style>
  <w:style w:type="paragraph" w:customStyle="1" w:styleId="3291">
    <w:name w:val="text_pic1"/>
    <w:basedOn w:val="1"/>
    <w:qFormat/>
    <w:uiPriority w:val="0"/>
    <w:pPr>
      <w:widowControl/>
      <w:pBdr>
        <w:top w:val="single" w:color="E8E8E8" w:sz="6" w:space="4"/>
        <w:left w:val="single" w:color="E8E8E8" w:sz="6" w:space="4"/>
        <w:bottom w:val="single" w:color="E8E8E8" w:sz="6" w:space="4"/>
        <w:right w:val="single" w:color="E8E8E8" w:sz="6" w:space="4"/>
      </w:pBdr>
      <w:shd w:val="clear" w:color="auto" w:fill="F6F6F6"/>
      <w:spacing w:before="75" w:after="75"/>
      <w:ind w:left="75" w:right="75"/>
      <w:jc w:val="center"/>
    </w:pPr>
    <w:rPr>
      <w:rFonts w:ascii="宋体" w:hAnsi="Calibri" w:eastAsia="宋体" w:cs="宋体"/>
      <w:spacing w:val="-2"/>
      <w:kern w:val="0"/>
      <w:sz w:val="24"/>
      <w:szCs w:val="21"/>
    </w:rPr>
  </w:style>
  <w:style w:type="paragraph" w:customStyle="1" w:styleId="3292">
    <w:name w:val="表心"/>
    <w:basedOn w:val="1"/>
    <w:qFormat/>
    <w:uiPriority w:val="0"/>
    <w:pPr>
      <w:jc w:val="left"/>
    </w:pPr>
    <w:rPr>
      <w:rFonts w:eastAsia="宋体" w:cs="黑体"/>
      <w:color w:val="000000"/>
      <w:spacing w:val="-2"/>
      <w:kern w:val="0"/>
      <w:sz w:val="24"/>
    </w:rPr>
  </w:style>
  <w:style w:type="paragraph" w:customStyle="1" w:styleId="3293">
    <w:name w:val="表格文字（居中）"/>
    <w:basedOn w:val="1"/>
    <w:qFormat/>
    <w:uiPriority w:val="0"/>
    <w:pPr>
      <w:jc w:val="center"/>
    </w:pPr>
    <w:rPr>
      <w:rFonts w:eastAsia="宋体" w:cs="黑体"/>
      <w:spacing w:val="-2"/>
      <w:kern w:val="0"/>
      <w:sz w:val="24"/>
    </w:rPr>
  </w:style>
  <w:style w:type="paragraph" w:customStyle="1" w:styleId="3294">
    <w:name w:val="lemma-category-table"/>
    <w:basedOn w:val="1"/>
    <w:qFormat/>
    <w:uiPriority w:val="0"/>
    <w:pPr>
      <w:widowControl/>
      <w:pBdr>
        <w:top w:val="single" w:color="C6E1F5" w:sz="6" w:space="0"/>
        <w:left w:val="single" w:color="C6E1F5" w:sz="6" w:space="0"/>
        <w:bottom w:val="single" w:color="C6E1F5" w:sz="6" w:space="0"/>
        <w:right w:val="single" w:color="C6E1F5" w:sz="6" w:space="0"/>
      </w:pBdr>
      <w:spacing w:before="100" w:beforeAutospacing="1" w:after="100" w:afterAutospacing="1"/>
      <w:jc w:val="left"/>
    </w:pPr>
    <w:rPr>
      <w:rFonts w:ascii="宋体" w:hAnsi="Calibri" w:eastAsia="宋体" w:cs="宋体"/>
      <w:spacing w:val="-2"/>
      <w:kern w:val="0"/>
      <w:sz w:val="18"/>
      <w:szCs w:val="18"/>
    </w:rPr>
  </w:style>
  <w:style w:type="paragraph" w:customStyle="1" w:styleId="3295">
    <w:name w:val="userinfo-side"/>
    <w:basedOn w:val="1"/>
    <w:qFormat/>
    <w:uiPriority w:val="0"/>
    <w:pPr>
      <w:widowControl/>
      <w:shd w:val="clear" w:color="auto" w:fill="E9F3F6"/>
      <w:spacing w:after="150" w:line="330" w:lineRule="atLeast"/>
      <w:ind w:left="-195"/>
      <w:jc w:val="left"/>
    </w:pPr>
    <w:rPr>
      <w:rFonts w:ascii="宋体" w:hAnsi="Calibri" w:eastAsia="宋体" w:cs="宋体"/>
      <w:color w:val="333333"/>
      <w:spacing w:val="-2"/>
      <w:kern w:val="0"/>
      <w:sz w:val="24"/>
      <w:szCs w:val="21"/>
    </w:rPr>
  </w:style>
  <w:style w:type="paragraph" w:customStyle="1" w:styleId="3296">
    <w:name w:val="样式 标题 2标题 21标题 121 + Times New Roman 小三 段前: 0 磅 段后: 0 磅 行..."/>
    <w:basedOn w:val="4"/>
    <w:qFormat/>
    <w:uiPriority w:val="0"/>
    <w:pPr>
      <w:tabs>
        <w:tab w:val="left" w:pos="1058"/>
        <w:tab w:val="left" w:pos="1476"/>
        <w:tab w:val="clear" w:pos="567"/>
      </w:tabs>
      <w:spacing w:before="0" w:after="0" w:line="500" w:lineRule="exact"/>
      <w:ind w:left="1058" w:hanging="420"/>
    </w:pPr>
    <w:rPr>
      <w:rFonts w:ascii="宋体" w:hAnsi="宋体" w:cs="宋体"/>
      <w:b/>
      <w:bCs/>
      <w:spacing w:val="-2"/>
      <w:sz w:val="30"/>
    </w:rPr>
  </w:style>
  <w:style w:type="paragraph" w:customStyle="1" w:styleId="3297">
    <w:name w:val="马面的标题4"/>
    <w:basedOn w:val="7"/>
    <w:qFormat/>
    <w:uiPriority w:val="0"/>
    <w:pPr>
      <w:tabs>
        <w:tab w:val="left" w:pos="2153"/>
        <w:tab w:val="clear" w:pos="4008"/>
      </w:tabs>
      <w:spacing w:before="50" w:after="50" w:line="480" w:lineRule="exact"/>
      <w:ind w:left="0" w:firstLine="0"/>
      <w:jc w:val="left"/>
    </w:pPr>
    <w:rPr>
      <w:rFonts w:ascii="Cambria" w:hAnsi="Cambria" w:eastAsia="宋体"/>
      <w:i/>
      <w:color w:val="auto"/>
      <w:spacing w:val="-2"/>
      <w:szCs w:val="24"/>
    </w:rPr>
  </w:style>
  <w:style w:type="paragraph" w:customStyle="1" w:styleId="3298">
    <w:name w:val="正文（GHY)"/>
    <w:basedOn w:val="1"/>
    <w:qFormat/>
    <w:uiPriority w:val="99"/>
    <w:pPr>
      <w:spacing w:before="120" w:after="120" w:line="360" w:lineRule="auto"/>
      <w:ind w:firstLine="496" w:firstLineChars="200"/>
      <w:jc w:val="left"/>
    </w:pPr>
    <w:rPr>
      <w:rFonts w:cs="宋体"/>
      <w:spacing w:val="4"/>
      <w:kern w:val="28"/>
      <w:sz w:val="24"/>
      <w:szCs w:val="28"/>
    </w:rPr>
  </w:style>
  <w:style w:type="paragraph" w:customStyle="1" w:styleId="3299">
    <w:name w:val="Char Char Char Char Char Char Char Char Char1 Char Char Char Char"/>
    <w:basedOn w:val="1"/>
    <w:qFormat/>
    <w:uiPriority w:val="0"/>
    <w:pPr>
      <w:snapToGrid w:val="0"/>
      <w:spacing w:line="440" w:lineRule="atLeast"/>
      <w:jc w:val="left"/>
    </w:pPr>
    <w:rPr>
      <w:rFonts w:ascii="宋体" w:eastAsia="Times New Roman" w:cs="黑体"/>
      <w:b/>
      <w:spacing w:val="-2"/>
      <w:kern w:val="0"/>
      <w:sz w:val="36"/>
    </w:rPr>
  </w:style>
  <w:style w:type="paragraph" w:customStyle="1" w:styleId="3300">
    <w:name w:val="share"/>
    <w:basedOn w:val="1"/>
    <w:qFormat/>
    <w:uiPriority w:val="0"/>
    <w:pPr>
      <w:widowControl/>
      <w:pBdr>
        <w:top w:val="single" w:color="DDDDDD" w:sz="6" w:space="0"/>
        <w:left w:val="single" w:color="DDDDDD" w:sz="6" w:space="0"/>
        <w:bottom w:val="single" w:color="DDDDDD" w:sz="6" w:space="0"/>
        <w:right w:val="single" w:color="DDDDDD" w:sz="6" w:space="0"/>
      </w:pBdr>
      <w:shd w:val="clear" w:color="auto" w:fill="FAFAFA"/>
      <w:spacing w:before="100" w:beforeAutospacing="1" w:after="450" w:line="630" w:lineRule="atLeast"/>
      <w:jc w:val="left"/>
    </w:pPr>
    <w:rPr>
      <w:rFonts w:ascii="宋体" w:hAnsi="Calibri" w:eastAsia="宋体" w:cs="宋体"/>
      <w:color w:val="999999"/>
      <w:spacing w:val="-2"/>
      <w:kern w:val="0"/>
      <w:sz w:val="18"/>
      <w:szCs w:val="18"/>
    </w:rPr>
  </w:style>
  <w:style w:type="paragraph" w:customStyle="1" w:styleId="3301">
    <w:name w:val="Char Char Char Char Char Char Char Char Char Char Char Char Char Char Char Char Char Char Char"/>
    <w:basedOn w:val="1"/>
    <w:qFormat/>
    <w:uiPriority w:val="0"/>
    <w:rPr>
      <w:rFonts w:eastAsia="宋体" w:cs="黑体"/>
      <w:spacing w:val="-2"/>
      <w:kern w:val="0"/>
      <w:sz w:val="24"/>
    </w:rPr>
  </w:style>
  <w:style w:type="paragraph" w:customStyle="1" w:styleId="3302">
    <w:name w:val="mb1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03">
    <w:name w:val="hd3"/>
    <w:basedOn w:val="1"/>
    <w:qFormat/>
    <w:uiPriority w:val="0"/>
    <w:pPr>
      <w:widowControl/>
      <w:shd w:val="clear" w:color="auto" w:fill="F7F9FA"/>
      <w:spacing w:before="100" w:beforeAutospacing="1" w:after="100" w:afterAutospacing="1"/>
      <w:jc w:val="left"/>
    </w:pPr>
    <w:rPr>
      <w:rFonts w:ascii="宋体" w:hAnsi="Calibri" w:eastAsia="宋体" w:cs="宋体"/>
      <w:b/>
      <w:bCs/>
      <w:color w:val="5B5F65"/>
      <w:spacing w:val="-2"/>
      <w:kern w:val="0"/>
      <w:sz w:val="24"/>
      <w:szCs w:val="21"/>
    </w:rPr>
  </w:style>
  <w:style w:type="paragraph" w:customStyle="1" w:styleId="3304">
    <w:name w:val="text"/>
    <w:basedOn w:val="1"/>
    <w:qFormat/>
    <w:uiPriority w:val="0"/>
    <w:pPr>
      <w:spacing w:before="100" w:beforeAutospacing="1" w:after="100" w:afterAutospacing="1" w:line="400" w:lineRule="atLeast"/>
    </w:pPr>
    <w:rPr>
      <w:rFonts w:ascii="宋体" w:hAnsi="Calibri" w:eastAsia="宋体" w:cs="黑体"/>
      <w:color w:val="FFFFCC"/>
      <w:spacing w:val="-2"/>
      <w:kern w:val="0"/>
      <w:sz w:val="24"/>
    </w:rPr>
  </w:style>
  <w:style w:type="paragraph" w:customStyle="1" w:styleId="3305">
    <w:name w:val="样式 标题 3 + 段前: 0.1 行"/>
    <w:basedOn w:val="6"/>
    <w:qFormat/>
    <w:uiPriority w:val="0"/>
    <w:pPr>
      <w:keepNext w:val="0"/>
      <w:keepLines w:val="0"/>
      <w:tabs>
        <w:tab w:val="left" w:pos="480"/>
        <w:tab w:val="left" w:pos="1022"/>
        <w:tab w:val="left" w:pos="1080"/>
        <w:tab w:val="clear" w:pos="1789"/>
      </w:tabs>
      <w:adjustRightInd w:val="0"/>
      <w:snapToGrid w:val="0"/>
      <w:spacing w:before="0" w:beforeLines="10" w:after="0" w:line="460" w:lineRule="exact"/>
      <w:ind w:left="1260" w:hanging="420" w:firstLineChars="200"/>
      <w:jc w:val="left"/>
    </w:pPr>
    <w:rPr>
      <w:rFonts w:hint="eastAsia" w:ascii="宋体" w:hAnsi="宋体" w:eastAsia="宋体" w:cs="宋体"/>
      <w:b w:val="0"/>
      <w:i/>
      <w:iCs/>
      <w:color w:val="000000"/>
      <w:spacing w:val="-2"/>
    </w:rPr>
  </w:style>
  <w:style w:type="paragraph" w:customStyle="1" w:styleId="3306">
    <w:name w:val="11号线正文缩进4字符"/>
    <w:basedOn w:val="1"/>
    <w:qFormat/>
    <w:uiPriority w:val="0"/>
    <w:pPr>
      <w:spacing w:line="500" w:lineRule="exact"/>
      <w:ind w:left="200" w:leftChars="200" w:firstLine="200" w:firstLineChars="200"/>
    </w:pPr>
    <w:rPr>
      <w:rFonts w:ascii="宋体" w:hAnsi="Calibri" w:eastAsia="宋体" w:cs="宋体"/>
      <w:spacing w:val="-2"/>
      <w:kern w:val="0"/>
      <w:szCs w:val="28"/>
    </w:rPr>
  </w:style>
  <w:style w:type="paragraph" w:customStyle="1" w:styleId="3307">
    <w:name w:val="样式 (中文) 黑体"/>
    <w:basedOn w:val="1"/>
    <w:qFormat/>
    <w:uiPriority w:val="0"/>
    <w:pPr>
      <w:spacing w:line="480" w:lineRule="exact"/>
      <w:ind w:firstLine="567"/>
    </w:pPr>
    <w:rPr>
      <w:rFonts w:eastAsia="黑体" w:cs="黑体"/>
      <w:spacing w:val="-2"/>
      <w:kern w:val="0"/>
      <w:sz w:val="24"/>
    </w:rPr>
  </w:style>
  <w:style w:type="paragraph" w:customStyle="1" w:styleId="3308">
    <w:name w:val="标题0"/>
    <w:basedOn w:val="85"/>
    <w:qFormat/>
    <w:uiPriority w:val="0"/>
    <w:pPr>
      <w:keepNext w:val="0"/>
      <w:keepLines w:val="0"/>
      <w:tabs>
        <w:tab w:val="clear" w:pos="1080"/>
        <w:tab w:val="clear" w:pos="1789"/>
      </w:tabs>
      <w:spacing w:line="300" w:lineRule="auto"/>
      <w:outlineLvl w:val="0"/>
    </w:pPr>
    <w:rPr>
      <w:rFonts w:ascii="Arial" w:hAnsi="Arial" w:eastAsia="宋体"/>
      <w:bCs w:val="0"/>
      <w:color w:val="auto"/>
      <w:szCs w:val="20"/>
    </w:rPr>
  </w:style>
  <w:style w:type="paragraph" w:customStyle="1" w:styleId="3309">
    <w:name w:val="lemma-relation-table"/>
    <w:basedOn w:val="1"/>
    <w:qFormat/>
    <w:uiPriority w:val="0"/>
    <w:pPr>
      <w:widowControl/>
      <w:pBdr>
        <w:top w:val="single" w:color="DCEEFC" w:sz="6" w:space="2"/>
        <w:left w:val="single" w:color="DCEEFC" w:sz="6" w:space="2"/>
        <w:bottom w:val="single" w:color="DCEEFC" w:sz="6" w:space="2"/>
        <w:right w:val="single" w:color="DCEEFC" w:sz="6" w:space="2"/>
      </w:pBdr>
      <w:spacing w:before="100" w:beforeAutospacing="1" w:after="150" w:line="450" w:lineRule="atLeast"/>
      <w:jc w:val="left"/>
    </w:pPr>
    <w:rPr>
      <w:rFonts w:ascii="宋体" w:hAnsi="Calibri" w:eastAsia="宋体" w:cs="宋体"/>
      <w:spacing w:val="-2"/>
      <w:kern w:val="0"/>
      <w:sz w:val="18"/>
      <w:szCs w:val="18"/>
    </w:rPr>
  </w:style>
  <w:style w:type="paragraph" w:customStyle="1" w:styleId="3310">
    <w:name w:val="样式 样式 样式 样式 标题 1 + 左侧:  2 字符 + 左  0 字符 + 段前: 0.5 行 段后: 0.5 行 + 段..."/>
    <w:basedOn w:val="1"/>
    <w:qFormat/>
    <w:uiPriority w:val="0"/>
    <w:pPr>
      <w:keepNext/>
      <w:keepLines/>
      <w:spacing w:beforeLines="10"/>
      <w:outlineLvl w:val="0"/>
    </w:pPr>
    <w:rPr>
      <w:rFonts w:eastAsia="宋体" w:cs="宋体"/>
      <w:b/>
      <w:bCs/>
      <w:spacing w:val="-2"/>
      <w:kern w:val="44"/>
    </w:rPr>
  </w:style>
  <w:style w:type="paragraph" w:customStyle="1" w:styleId="3311">
    <w:name w:val="Char Char Char Char7"/>
    <w:basedOn w:val="1"/>
    <w:qFormat/>
    <w:uiPriority w:val="0"/>
    <w:pPr>
      <w:spacing w:line="360" w:lineRule="auto"/>
      <w:ind w:firstLine="200" w:firstLineChars="200"/>
    </w:pPr>
    <w:rPr>
      <w:rFonts w:ascii="宋体" w:hAnsi="宋体" w:eastAsia="宋体" w:cs="宋体"/>
      <w:sz w:val="24"/>
      <w:szCs w:val="24"/>
    </w:rPr>
  </w:style>
  <w:style w:type="paragraph" w:customStyle="1" w:styleId="3312">
    <w:name w:val="setting-optio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13">
    <w:name w:val="Char Char Char Char Char Char Char Char1"/>
    <w:basedOn w:val="1"/>
    <w:qFormat/>
    <w:uiPriority w:val="0"/>
    <w:rPr>
      <w:rFonts w:eastAsia="宋体" w:cs="黑体"/>
      <w:spacing w:val="-2"/>
      <w:kern w:val="0"/>
      <w:sz w:val="24"/>
      <w:szCs w:val="21"/>
    </w:rPr>
  </w:style>
  <w:style w:type="paragraph" w:customStyle="1" w:styleId="3314">
    <w:name w:val="reader-word-layer reader-word-s2-5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315">
    <w:name w:val="册除格式 Char Char"/>
    <w:qFormat/>
    <w:uiPriority w:val="0"/>
    <w:pPr>
      <w:snapToGrid w:val="0"/>
      <w:spacing w:line="360" w:lineRule="auto"/>
      <w:ind w:firstLine="482"/>
    </w:pPr>
    <w:rPr>
      <w:rFonts w:ascii="黑体" w:hAnsi="黑体" w:eastAsia="宋体" w:cs="Arial"/>
      <w:spacing w:val="4"/>
      <w:kern w:val="18"/>
      <w:sz w:val="24"/>
      <w:szCs w:val="28"/>
      <w:lang w:val="en-US" w:eastAsia="zh-CN" w:bidi="ar-SA"/>
    </w:rPr>
  </w:style>
  <w:style w:type="paragraph" w:customStyle="1" w:styleId="3316">
    <w:name w:val="edit_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17">
    <w:name w:val="注:"/>
    <w:qFormat/>
    <w:uiPriority w:val="0"/>
    <w:rPr>
      <w:rFonts w:ascii="Times New Roman" w:hAnsi="Times New Roman" w:eastAsia="宋体" w:cs="Times New Roman"/>
      <w:szCs w:val="21"/>
      <w:lang w:val="en-US" w:eastAsia="zh-CN" w:bidi="ar-SA"/>
    </w:rPr>
  </w:style>
  <w:style w:type="paragraph" w:customStyle="1" w:styleId="3318">
    <w:name w:val="字母编号列项（一级）"/>
    <w:qFormat/>
    <w:uiPriority w:val="0"/>
    <w:pPr>
      <w:ind w:left="200" w:leftChars="200" w:hanging="420" w:hangingChars="200"/>
      <w:jc w:val="both"/>
    </w:pPr>
    <w:rPr>
      <w:rFonts w:ascii="宋体" w:hAnsi="Times New Roman" w:eastAsia="宋体" w:cs="Times New Roman"/>
      <w:sz w:val="21"/>
      <w:lang w:val="en-US" w:eastAsia="zh-CN" w:bidi="ar-SA"/>
    </w:rPr>
  </w:style>
  <w:style w:type="paragraph" w:customStyle="1" w:styleId="3319">
    <w:name w:val="自动表格内部"/>
    <w:basedOn w:val="1"/>
    <w:qFormat/>
    <w:uiPriority w:val="0"/>
    <w:pPr>
      <w:adjustRightInd w:val="0"/>
      <w:snapToGrid w:val="0"/>
      <w:jc w:val="center"/>
    </w:pPr>
    <w:rPr>
      <w:rFonts w:eastAsia="宋体" w:cs="黑体"/>
      <w:spacing w:val="-2"/>
      <w:kern w:val="0"/>
      <w:szCs w:val="21"/>
    </w:rPr>
  </w:style>
  <w:style w:type="paragraph" w:customStyle="1" w:styleId="3320">
    <w:name w:val="样式 标题 4H4Subsection + 黑色"/>
    <w:basedOn w:val="7"/>
    <w:qFormat/>
    <w:uiPriority w:val="0"/>
    <w:pPr>
      <w:tabs>
        <w:tab w:val="left" w:pos="-480"/>
        <w:tab w:val="left" w:pos="864"/>
        <w:tab w:val="left" w:pos="2153"/>
        <w:tab w:val="clear" w:pos="4008"/>
      </w:tabs>
      <w:adjustRightInd w:val="0"/>
      <w:snapToGrid w:val="0"/>
      <w:spacing w:line="360" w:lineRule="auto"/>
      <w:ind w:left="0" w:firstLine="200" w:firstLineChars="200"/>
      <w:jc w:val="both"/>
    </w:pPr>
    <w:rPr>
      <w:rFonts w:ascii="Times New Roman" w:hAnsi="Times New Roman" w:eastAsia="宋体"/>
      <w:bCs/>
      <w:spacing w:val="-2"/>
      <w:kern w:val="0"/>
      <w:szCs w:val="28"/>
    </w:rPr>
  </w:style>
  <w:style w:type="paragraph" w:customStyle="1" w:styleId="3321">
    <w:name w:val="xl20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322">
    <w:name w:val="样式 标题 3标题 13 + 四号"/>
    <w:basedOn w:val="6"/>
    <w:qFormat/>
    <w:uiPriority w:val="0"/>
    <w:pPr>
      <w:tabs>
        <w:tab w:val="left" w:pos="1022"/>
        <w:tab w:val="left" w:pos="1080"/>
        <w:tab w:val="left" w:pos="1202"/>
        <w:tab w:val="clear" w:pos="1789"/>
      </w:tabs>
      <w:spacing w:before="260" w:after="260" w:line="412" w:lineRule="auto"/>
      <w:ind w:left="1202" w:hanging="420"/>
    </w:pPr>
    <w:rPr>
      <w:rFonts w:hint="eastAsia" w:ascii="宋体" w:hAnsi="宋体" w:eastAsia="宋体" w:cs="宋体"/>
      <w:bCs w:val="0"/>
      <w:i/>
      <w:iCs/>
      <w:color w:val="000000"/>
      <w:spacing w:val="-2"/>
      <w:sz w:val="28"/>
      <w:szCs w:val="24"/>
    </w:rPr>
  </w:style>
  <w:style w:type="paragraph" w:customStyle="1" w:styleId="3323">
    <w:name w:val="myhome-tri"/>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24">
    <w:name w:val="附录"/>
    <w:basedOn w:val="1"/>
    <w:qFormat/>
    <w:uiPriority w:val="0"/>
    <w:pPr>
      <w:spacing w:before="120" w:after="120"/>
      <w:ind w:left="567" w:hanging="567"/>
      <w:jc w:val="center"/>
    </w:pPr>
    <w:rPr>
      <w:rFonts w:eastAsia="楷体_GB2312" w:cs="黑体"/>
      <w:b/>
      <w:bCs/>
      <w:spacing w:val="60"/>
      <w:kern w:val="0"/>
    </w:rPr>
  </w:style>
  <w:style w:type="character" w:customStyle="1" w:styleId="3325">
    <w:name w:val="z-窗体顶端 Char3"/>
    <w:semiHidden/>
    <w:qFormat/>
    <w:uiPriority w:val="99"/>
    <w:rPr>
      <w:rFonts w:ascii="Arial" w:hAnsi="Arial" w:eastAsia="仿宋_GB2312" w:cs="Arial"/>
      <w:vanish/>
      <w:kern w:val="2"/>
      <w:sz w:val="16"/>
      <w:szCs w:val="16"/>
    </w:rPr>
  </w:style>
  <w:style w:type="paragraph" w:customStyle="1" w:styleId="3326">
    <w:name w:val="Char Char Char Char Char Char Char Char Char1 Char Char Char Char Char Char Char Char Char Char1"/>
    <w:basedOn w:val="1"/>
    <w:qFormat/>
    <w:uiPriority w:val="0"/>
    <w:rPr>
      <w:rFonts w:ascii="宋体" w:hAnsi="宋体" w:eastAsia="宋体" w:cs="Courier New"/>
      <w:sz w:val="32"/>
      <w:szCs w:val="32"/>
    </w:rPr>
  </w:style>
  <w:style w:type="paragraph" w:customStyle="1" w:styleId="3327">
    <w:name w:val="catalog-holder"/>
    <w:basedOn w:val="1"/>
    <w:qFormat/>
    <w:uiPriority w:val="0"/>
    <w:pPr>
      <w:widowControl/>
      <w:shd w:val="clear" w:color="auto" w:fill="FAFAFA"/>
      <w:spacing w:before="100" w:beforeAutospacing="1" w:after="100" w:afterAutospacing="1" w:line="300" w:lineRule="atLeast"/>
      <w:ind w:firstLine="150"/>
      <w:jc w:val="left"/>
    </w:pPr>
    <w:rPr>
      <w:rFonts w:ascii="宋体" w:hAnsi="Calibri" w:eastAsia="宋体" w:cs="宋体"/>
      <w:color w:val="136EC2"/>
      <w:spacing w:val="-2"/>
      <w:kern w:val="0"/>
      <w:sz w:val="18"/>
      <w:szCs w:val="18"/>
    </w:rPr>
  </w:style>
  <w:style w:type="paragraph" w:customStyle="1" w:styleId="3328">
    <w:name w:val="表后段落"/>
    <w:basedOn w:val="1"/>
    <w:next w:val="1"/>
    <w:qFormat/>
    <w:uiPriority w:val="0"/>
    <w:pPr>
      <w:spacing w:before="240"/>
      <w:ind w:firstLine="200" w:firstLineChars="200"/>
    </w:pPr>
    <w:rPr>
      <w:rFonts w:ascii="Arial" w:hAnsi="Arial" w:eastAsia="宋体" w:cs="黑体"/>
      <w:spacing w:val="-2"/>
      <w:kern w:val="0"/>
      <w:sz w:val="24"/>
    </w:rPr>
  </w:style>
  <w:style w:type="paragraph" w:customStyle="1" w:styleId="3329">
    <w:name w:val="h"/>
    <w:basedOn w:val="1"/>
    <w:next w:val="5"/>
    <w:qFormat/>
    <w:uiPriority w:val="0"/>
    <w:pPr>
      <w:keepNext/>
      <w:keepLines/>
      <w:adjustRightInd w:val="0"/>
      <w:spacing w:line="360" w:lineRule="auto"/>
      <w:jc w:val="left"/>
      <w:outlineLvl w:val="3"/>
    </w:pPr>
    <w:rPr>
      <w:rFonts w:eastAsia="宋体" w:cs="黑体"/>
      <w:spacing w:val="-2"/>
      <w:kern w:val="0"/>
      <w:sz w:val="24"/>
    </w:rPr>
  </w:style>
  <w:style w:type="paragraph" w:customStyle="1" w:styleId="3330">
    <w:name w:val="样式 标题 2标题2 + 首行缩进:  2 字符 段前: 0.1 行"/>
    <w:basedOn w:val="4"/>
    <w:qFormat/>
    <w:uiPriority w:val="99"/>
    <w:pPr>
      <w:spacing w:after="120" w:line="360" w:lineRule="auto"/>
      <w:ind w:left="0" w:firstLine="0"/>
      <w:jc w:val="left"/>
    </w:pPr>
    <w:rPr>
      <w:rFonts w:ascii="Times New Roman" w:hAnsi="Times New Roman" w:eastAsia="宋体" w:cs="宋体"/>
      <w:b/>
      <w:bCs/>
      <w:spacing w:val="-2"/>
      <w:w w:val="95"/>
      <w:kern w:val="0"/>
      <w:sz w:val="32"/>
      <w:szCs w:val="32"/>
    </w:rPr>
  </w:style>
  <w:style w:type="paragraph" w:customStyle="1" w:styleId="3331">
    <w:name w:val="正文仿宋小四"/>
    <w:basedOn w:val="1"/>
    <w:qFormat/>
    <w:uiPriority w:val="0"/>
    <w:pPr>
      <w:adjustRightInd w:val="0"/>
      <w:snapToGrid w:val="0"/>
      <w:ind w:firstLine="200" w:firstLineChars="200"/>
    </w:pPr>
    <w:rPr>
      <w:rFonts w:cs="黑体"/>
      <w:spacing w:val="-2"/>
      <w:kern w:val="0"/>
      <w:sz w:val="24"/>
    </w:rPr>
  </w:style>
  <w:style w:type="paragraph" w:customStyle="1" w:styleId="3332">
    <w:name w:val="Char Char4 Char Char Char Char2"/>
    <w:basedOn w:val="1"/>
    <w:qFormat/>
    <w:uiPriority w:val="0"/>
    <w:rPr>
      <w:rFonts w:eastAsia="宋体" w:cs="黑体"/>
      <w:spacing w:val="-2"/>
      <w:kern w:val="0"/>
      <w:sz w:val="24"/>
    </w:rPr>
  </w:style>
  <w:style w:type="paragraph" w:customStyle="1" w:styleId="3333">
    <w:name w:val="b-ent-toc-action"/>
    <w:basedOn w:val="1"/>
    <w:qFormat/>
    <w:uiPriority w:val="0"/>
    <w:pPr>
      <w:widowControl/>
      <w:ind w:left="75" w:right="75"/>
      <w:jc w:val="left"/>
    </w:pPr>
    <w:rPr>
      <w:rFonts w:ascii="宋体" w:hAnsi="Calibri" w:eastAsia="宋体" w:cs="宋体"/>
      <w:spacing w:val="-2"/>
      <w:kern w:val="0"/>
      <w:sz w:val="24"/>
      <w:szCs w:val="21"/>
    </w:rPr>
  </w:style>
  <w:style w:type="paragraph" w:customStyle="1" w:styleId="3334">
    <w:name w:val="样式 样式 首行缩进:  2 字符 + 五号 加粗 首行缩进:  2 字符"/>
    <w:basedOn w:val="1"/>
    <w:qFormat/>
    <w:uiPriority w:val="0"/>
    <w:pPr>
      <w:spacing w:line="360" w:lineRule="auto"/>
      <w:ind w:firstLine="480" w:firstLineChars="200"/>
    </w:pPr>
    <w:rPr>
      <w:rFonts w:hAnsi="宋体" w:eastAsia="宋体" w:cs="黑体"/>
      <w:bCs/>
      <w:color w:val="000000"/>
      <w:spacing w:val="-2"/>
      <w:kern w:val="0"/>
      <w:sz w:val="24"/>
    </w:rPr>
  </w:style>
  <w:style w:type="paragraph" w:customStyle="1" w:styleId="3335">
    <w:name w:val="正文缩进2字 Char Char Char Char"/>
    <w:qFormat/>
    <w:uiPriority w:val="0"/>
    <w:pPr>
      <w:snapToGrid w:val="0"/>
      <w:spacing w:beforeLines="50" w:line="360" w:lineRule="auto"/>
      <w:ind w:firstLine="200" w:firstLineChars="200"/>
    </w:pPr>
    <w:rPr>
      <w:rFonts w:ascii="Times New Roman" w:hAnsi="Times New Roman" w:eastAsia="宋体" w:cs="Times New Roman"/>
      <w:lang w:val="en-US" w:eastAsia="zh-CN" w:bidi="ar-SA"/>
    </w:rPr>
  </w:style>
  <w:style w:type="paragraph" w:customStyle="1" w:styleId="3336">
    <w:name w:val="dxj表后"/>
    <w:basedOn w:val="2155"/>
    <w:qFormat/>
    <w:uiPriority w:val="0"/>
    <w:pPr>
      <w:keepLines/>
      <w:spacing w:line="280" w:lineRule="exact"/>
      <w:ind w:firstLine="0" w:firstLineChars="0"/>
    </w:pPr>
    <w:rPr>
      <w:sz w:val="18"/>
    </w:rPr>
  </w:style>
  <w:style w:type="paragraph" w:customStyle="1" w:styleId="3337">
    <w:name w:val="mr8"/>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38">
    <w:name w:val="正文 2"/>
    <w:basedOn w:val="1"/>
    <w:qFormat/>
    <w:uiPriority w:val="0"/>
    <w:pPr>
      <w:autoSpaceDE w:val="0"/>
      <w:autoSpaceDN w:val="0"/>
      <w:spacing w:line="300" w:lineRule="auto"/>
      <w:ind w:firstLine="510"/>
    </w:pPr>
    <w:rPr>
      <w:rFonts w:eastAsia="楷体_GB2312" w:cs="黑体"/>
      <w:spacing w:val="-2"/>
      <w:kern w:val="0"/>
      <w:sz w:val="24"/>
    </w:rPr>
  </w:style>
  <w:style w:type="paragraph" w:customStyle="1" w:styleId="3339">
    <w:name w:val="entries-box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40">
    <w:name w:val="xl208"/>
    <w:basedOn w:val="1"/>
    <w:qFormat/>
    <w:uiPriority w:val="0"/>
    <w:pPr>
      <w:widowControl/>
      <w:pBdr>
        <w:bottom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341">
    <w:name w:val="样式43"/>
    <w:basedOn w:val="1"/>
    <w:qFormat/>
    <w:uiPriority w:val="0"/>
    <w:pPr>
      <w:keepNext/>
      <w:keepLines/>
      <w:spacing w:beforeLines="50" w:line="360" w:lineRule="auto"/>
      <w:outlineLvl w:val="0"/>
    </w:pPr>
    <w:rPr>
      <w:rFonts w:eastAsia="黑体" w:cs="黑体"/>
      <w:b/>
      <w:bCs/>
      <w:spacing w:val="-2"/>
      <w:kern w:val="44"/>
      <w:sz w:val="30"/>
      <w:szCs w:val="30"/>
    </w:rPr>
  </w:style>
  <w:style w:type="paragraph" w:customStyle="1" w:styleId="3342">
    <w:name w:val="目录2"/>
    <w:basedOn w:val="1"/>
    <w:qFormat/>
    <w:uiPriority w:val="0"/>
    <w:pPr>
      <w:widowControl/>
      <w:tabs>
        <w:tab w:val="left" w:leader="dot" w:pos="7370"/>
      </w:tabs>
      <w:spacing w:line="317" w:lineRule="atLeast"/>
      <w:ind w:firstLine="209"/>
    </w:pPr>
    <w:rPr>
      <w:rFonts w:eastAsia="宋体" w:cs="黑体"/>
      <w:color w:val="000000"/>
      <w:spacing w:val="-2"/>
      <w:kern w:val="0"/>
      <w:u w:color="000000"/>
    </w:rPr>
  </w:style>
  <w:style w:type="paragraph" w:customStyle="1" w:styleId="3343">
    <w:name w:val="Char Char Char3 Char1"/>
    <w:basedOn w:val="1"/>
    <w:qFormat/>
    <w:uiPriority w:val="0"/>
    <w:rPr>
      <w:rFonts w:eastAsia="宋体"/>
      <w:sz w:val="21"/>
    </w:rPr>
  </w:style>
  <w:style w:type="paragraph" w:customStyle="1" w:styleId="3344">
    <w:name w:val="Char Char Char1 Char Char Char Char Char Char Char Char Char1 Char Char Char Char1"/>
    <w:basedOn w:val="1"/>
    <w:qFormat/>
    <w:uiPriority w:val="0"/>
    <w:rPr>
      <w:rFonts w:eastAsia="宋体"/>
      <w:sz w:val="21"/>
      <w:szCs w:val="24"/>
    </w:rPr>
  </w:style>
  <w:style w:type="paragraph" w:customStyle="1" w:styleId="3345">
    <w:name w:val="command"/>
    <w:basedOn w:val="1"/>
    <w:qFormat/>
    <w:uiPriority w:val="0"/>
    <w:pPr>
      <w:widowControl/>
      <w:spacing w:before="100" w:beforeAutospacing="1" w:after="100" w:afterAutospacing="1"/>
      <w:jc w:val="center"/>
    </w:pPr>
    <w:rPr>
      <w:rFonts w:ascii="宋体" w:hAnsi="Calibri" w:eastAsia="宋体" w:cs="宋体"/>
      <w:spacing w:val="-2"/>
      <w:kern w:val="0"/>
      <w:sz w:val="24"/>
      <w:szCs w:val="21"/>
    </w:rPr>
  </w:style>
  <w:style w:type="paragraph" w:customStyle="1" w:styleId="3346">
    <w:name w:val="font22"/>
    <w:basedOn w:val="1"/>
    <w:qFormat/>
    <w:uiPriority w:val="0"/>
    <w:pPr>
      <w:spacing w:before="100" w:beforeAutospacing="1" w:after="100" w:afterAutospacing="1"/>
    </w:pPr>
    <w:rPr>
      <w:rFonts w:eastAsia="宋体" w:cs="黑体"/>
      <w:spacing w:val="-2"/>
      <w:kern w:val="0"/>
      <w:sz w:val="24"/>
    </w:rPr>
  </w:style>
  <w:style w:type="paragraph" w:customStyle="1" w:styleId="3347">
    <w:name w:val="页面 3"/>
    <w:basedOn w:val="1"/>
    <w:qFormat/>
    <w:uiPriority w:val="0"/>
    <w:pPr>
      <w:jc w:val="center"/>
    </w:pPr>
    <w:rPr>
      <w:rFonts w:eastAsia="隶书" w:cs="黑体"/>
      <w:spacing w:val="-2"/>
      <w:kern w:val="0"/>
      <w:sz w:val="52"/>
    </w:rPr>
  </w:style>
  <w:style w:type="paragraph" w:customStyle="1" w:styleId="3348">
    <w:name w:val="Char Char Char Char Char Char Char Char Char Char Char Char Char Char Char Char Char Char Char Char Char Char4"/>
    <w:basedOn w:val="1"/>
    <w:next w:val="1"/>
    <w:qFormat/>
    <w:uiPriority w:val="0"/>
    <w:pPr>
      <w:spacing w:line="360" w:lineRule="auto"/>
      <w:ind w:firstLine="200" w:firstLineChars="200"/>
      <w:jc w:val="center"/>
    </w:pPr>
    <w:rPr>
      <w:rFonts w:eastAsia="宋体"/>
      <w:sz w:val="21"/>
      <w:szCs w:val="24"/>
    </w:rPr>
  </w:style>
  <w:style w:type="paragraph" w:customStyle="1" w:styleId="3349">
    <w:name w:val="dxj标题4"/>
    <w:basedOn w:val="7"/>
    <w:qFormat/>
    <w:uiPriority w:val="0"/>
    <w:pPr>
      <w:tabs>
        <w:tab w:val="left" w:pos="2153"/>
        <w:tab w:val="clear" w:pos="4008"/>
      </w:tabs>
      <w:spacing w:line="360" w:lineRule="auto"/>
      <w:ind w:left="0" w:firstLine="0"/>
      <w:jc w:val="left"/>
    </w:pPr>
    <w:rPr>
      <w:rFonts w:ascii="Times New Roman" w:hAnsi="Times New Roman" w:eastAsia="Times New Roman"/>
      <w:b w:val="0"/>
      <w:bCs/>
      <w:color w:val="auto"/>
      <w:szCs w:val="28"/>
    </w:rPr>
  </w:style>
  <w:style w:type="paragraph" w:customStyle="1" w:styleId="3350">
    <w:name w:val="正文7"/>
    <w:qFormat/>
    <w:uiPriority w:val="0"/>
    <w:pPr>
      <w:widowControl w:val="0"/>
      <w:adjustRightInd w:val="0"/>
      <w:spacing w:line="315" w:lineRule="atLeast"/>
    </w:pPr>
    <w:rPr>
      <w:rFonts w:ascii="宋体" w:hAnsi="Times New Roman" w:eastAsia="宋体" w:cs="Times New Roman"/>
      <w:sz w:val="24"/>
      <w:lang w:val="en-US" w:eastAsia="zh-CN" w:bidi="ar-SA"/>
    </w:rPr>
  </w:style>
  <w:style w:type="paragraph" w:customStyle="1" w:styleId="3351">
    <w:name w:val="列出段落11"/>
    <w:basedOn w:val="1"/>
    <w:qFormat/>
    <w:uiPriority w:val="0"/>
    <w:pPr>
      <w:spacing w:before="120" w:after="120"/>
      <w:ind w:firstLine="420" w:firstLineChars="200"/>
    </w:pPr>
    <w:rPr>
      <w:rFonts w:eastAsia="宋体"/>
      <w:kern w:val="28"/>
      <w:sz w:val="32"/>
      <w:szCs w:val="32"/>
    </w:rPr>
  </w:style>
  <w:style w:type="paragraph" w:customStyle="1" w:styleId="3352">
    <w:name w:val="AFTERTITLE"/>
    <w:basedOn w:val="1"/>
    <w:qFormat/>
    <w:uiPriority w:val="0"/>
    <w:pPr>
      <w:widowControl/>
      <w:spacing w:line="360" w:lineRule="atLeast"/>
      <w:jc w:val="center"/>
    </w:pPr>
    <w:rPr>
      <w:rFonts w:eastAsia="宋体" w:cs="黑体"/>
      <w:b/>
      <w:caps/>
      <w:spacing w:val="-2"/>
      <w:kern w:val="0"/>
      <w:sz w:val="24"/>
      <w:lang w:eastAsia="en-US"/>
    </w:rPr>
  </w:style>
  <w:style w:type="paragraph" w:customStyle="1" w:styleId="3353">
    <w:name w:val="川岛插图"/>
    <w:basedOn w:val="1"/>
    <w:qFormat/>
    <w:uiPriority w:val="0"/>
    <w:pPr>
      <w:ind w:firstLine="200" w:firstLineChars="200"/>
      <w:jc w:val="center"/>
    </w:pPr>
    <w:rPr>
      <w:rFonts w:eastAsia="宋体" w:cs="黑体"/>
      <w:color w:val="000000"/>
      <w:spacing w:val="-2"/>
      <w:kern w:val="0"/>
      <w:sz w:val="24"/>
    </w:rPr>
  </w:style>
  <w:style w:type="paragraph" w:customStyle="1" w:styleId="3354">
    <w:name w:val="标题2－0909"/>
    <w:basedOn w:val="4"/>
    <w:qFormat/>
    <w:uiPriority w:val="0"/>
    <w:pPr>
      <w:keepLines w:val="0"/>
      <w:tabs>
        <w:tab w:val="left" w:pos="1378"/>
        <w:tab w:val="left" w:pos="1476"/>
        <w:tab w:val="clear" w:pos="567"/>
      </w:tabs>
      <w:adjustRightInd w:val="0"/>
      <w:snapToGrid w:val="0"/>
      <w:spacing w:before="0" w:beforeLines="50" w:after="0"/>
      <w:ind w:left="1378" w:hanging="420"/>
    </w:pPr>
    <w:rPr>
      <w:rFonts w:ascii="宋体" w:hAnsi="宋体" w:cs="宋体"/>
      <w:b/>
      <w:spacing w:val="-2"/>
      <w:kern w:val="0"/>
      <w:szCs w:val="24"/>
    </w:rPr>
  </w:style>
  <w:style w:type="paragraph" w:customStyle="1" w:styleId="3355">
    <w:name w:val="Char Char Char Char Char Char Char Char Char Char Char Char Char Char Char Char Char Char 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356">
    <w:name w:val="GH1_03一、标题"/>
    <w:next w:val="1"/>
    <w:qFormat/>
    <w:uiPriority w:val="0"/>
    <w:pPr>
      <w:keepNext/>
      <w:spacing w:line="360" w:lineRule="auto"/>
      <w:jc w:val="both"/>
      <w:outlineLvl w:val="2"/>
    </w:pPr>
    <w:rPr>
      <w:rFonts w:ascii="Times New Roman" w:hAnsi="Times New Roman" w:eastAsia="黑体" w:cs="Times New Roman"/>
      <w:b/>
      <w:sz w:val="32"/>
      <w:szCs w:val="24"/>
      <w:lang w:val="en-US" w:eastAsia="zh-CN" w:bidi="ar-SA"/>
    </w:rPr>
  </w:style>
  <w:style w:type="paragraph" w:customStyle="1" w:styleId="3357">
    <w:name w:val="Char4 Char Char Char1"/>
    <w:basedOn w:val="1"/>
    <w:qFormat/>
    <w:uiPriority w:val="0"/>
    <w:pPr>
      <w:widowControl/>
      <w:snapToGrid w:val="0"/>
      <w:spacing w:after="160" w:line="300" w:lineRule="auto"/>
      <w:jc w:val="left"/>
    </w:pPr>
    <w:rPr>
      <w:rFonts w:ascii="仿宋_GB2312" w:hAnsi="Verdana"/>
      <w:b/>
      <w:kern w:val="0"/>
      <w:szCs w:val="28"/>
      <w:lang w:eastAsia="en-US"/>
    </w:rPr>
  </w:style>
  <w:style w:type="paragraph" w:customStyle="1" w:styleId="3358">
    <w:name w:val="日期11"/>
    <w:basedOn w:val="1"/>
    <w:next w:val="1"/>
    <w:qFormat/>
    <w:uiPriority w:val="0"/>
    <w:pPr>
      <w:autoSpaceDE w:val="0"/>
      <w:autoSpaceDN w:val="0"/>
      <w:adjustRightInd w:val="0"/>
    </w:pPr>
    <w:rPr>
      <w:rFonts w:eastAsia="宋体" w:cs="黑体"/>
      <w:spacing w:val="5"/>
      <w:kern w:val="0"/>
      <w:sz w:val="24"/>
    </w:rPr>
  </w:style>
  <w:style w:type="paragraph" w:customStyle="1" w:styleId="3359">
    <w:name w:val="字元 字元 Char Char 字元 字元13"/>
    <w:basedOn w:val="1"/>
    <w:qFormat/>
    <w:uiPriority w:val="0"/>
    <w:rPr>
      <w:rFonts w:eastAsia="宋体" w:cs="黑体"/>
      <w:spacing w:val="-2"/>
      <w:kern w:val="0"/>
      <w:sz w:val="24"/>
    </w:rPr>
  </w:style>
  <w:style w:type="paragraph" w:customStyle="1" w:styleId="3360">
    <w:name w:val="table-title1"/>
    <w:basedOn w:val="1"/>
    <w:qFormat/>
    <w:uiPriority w:val="0"/>
    <w:pPr>
      <w:widowControl/>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361">
    <w:name w:val="样式 样式 标题 2标题 21标题 121标题 2 Char1 Char节H2节标题 1.1节标题 1.1 Char... + ..."/>
    <w:basedOn w:val="1"/>
    <w:qFormat/>
    <w:uiPriority w:val="0"/>
    <w:pPr>
      <w:widowControl/>
      <w:adjustRightInd w:val="0"/>
      <w:spacing w:before="156" w:after="156" w:line="460" w:lineRule="exact"/>
      <w:jc w:val="left"/>
      <w:outlineLvl w:val="1"/>
    </w:pPr>
    <w:rPr>
      <w:rFonts w:eastAsia="黑体" w:cs="宋体"/>
      <w:b/>
      <w:bCs/>
      <w:color w:val="000000"/>
      <w:spacing w:val="-2"/>
      <w:kern w:val="0"/>
    </w:rPr>
  </w:style>
  <w:style w:type="paragraph" w:customStyle="1" w:styleId="3362">
    <w:name w:val="样式72"/>
    <w:basedOn w:val="1"/>
    <w:qFormat/>
    <w:uiPriority w:val="0"/>
    <w:pPr>
      <w:keepNext/>
      <w:keepLines/>
      <w:spacing w:beforeLines="50" w:line="360" w:lineRule="auto"/>
      <w:outlineLvl w:val="1"/>
    </w:pPr>
    <w:rPr>
      <w:rFonts w:ascii="黑体" w:hAnsi="Calibri" w:eastAsia="黑体" w:cs="黑体"/>
      <w:bCs/>
      <w:spacing w:val="-2"/>
      <w:kern w:val="0"/>
      <w:sz w:val="30"/>
      <w:szCs w:val="30"/>
    </w:rPr>
  </w:style>
  <w:style w:type="paragraph" w:customStyle="1" w:styleId="3363">
    <w:name w:val="标题 0"/>
    <w:basedOn w:val="4"/>
    <w:qFormat/>
    <w:uiPriority w:val="0"/>
    <w:pPr>
      <w:tabs>
        <w:tab w:val="left" w:pos="1476"/>
        <w:tab w:val="clear" w:pos="567"/>
      </w:tabs>
      <w:adjustRightInd w:val="0"/>
      <w:snapToGrid w:val="0"/>
      <w:spacing w:before="0" w:beforeLines="10" w:after="260" w:line="410" w:lineRule="auto"/>
      <w:ind w:left="840" w:firstLine="200" w:firstLineChars="200"/>
    </w:pPr>
    <w:rPr>
      <w:rFonts w:ascii="Arial" w:cs="宋体"/>
      <w:b/>
      <w:bCs/>
      <w:color w:val="FF0000"/>
      <w:spacing w:val="-2"/>
      <w:kern w:val="0"/>
      <w:sz w:val="24"/>
      <w:szCs w:val="32"/>
    </w:rPr>
  </w:style>
  <w:style w:type="paragraph" w:customStyle="1" w:styleId="3364">
    <w:name w:val="main-body"/>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65">
    <w:name w:val="样式 (符号) 宋体 二号 加粗 黑色 居中 行距: 1.5 倍行距"/>
    <w:basedOn w:val="85"/>
    <w:qFormat/>
    <w:uiPriority w:val="0"/>
    <w:pPr>
      <w:keepNext w:val="0"/>
      <w:keepLines w:val="0"/>
      <w:tabs>
        <w:tab w:val="clear" w:pos="1080"/>
        <w:tab w:val="clear" w:pos="1789"/>
      </w:tabs>
      <w:adjustRightInd w:val="0"/>
      <w:spacing w:before="240" w:after="60" w:line="360" w:lineRule="auto"/>
      <w:jc w:val="center"/>
      <w:outlineLvl w:val="0"/>
    </w:pPr>
    <w:rPr>
      <w:rFonts w:ascii="Arial" w:hAnsi="Arial" w:eastAsia="宋体" w:cs="宋体"/>
      <w:color w:val="000000"/>
      <w:sz w:val="44"/>
      <w:szCs w:val="20"/>
    </w:rPr>
  </w:style>
  <w:style w:type="paragraph" w:customStyle="1" w:styleId="3366">
    <w:name w:val="样式 纯文本 + 黑体"/>
    <w:basedOn w:val="46"/>
    <w:qFormat/>
    <w:uiPriority w:val="0"/>
    <w:pPr>
      <w:tabs>
        <w:tab w:val="left" w:pos="1620"/>
      </w:tabs>
    </w:pPr>
    <w:rPr>
      <w:rFonts w:ascii="黑体" w:hAnsi="黑体" w:cs="宋体"/>
      <w:bCs/>
      <w:kern w:val="0"/>
      <w:sz w:val="24"/>
      <w:szCs w:val="24"/>
    </w:rPr>
  </w:style>
  <w:style w:type="paragraph" w:customStyle="1" w:styleId="3367">
    <w:name w:val="xl19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eastAsia="宋体" w:cs="宋体"/>
      <w:b/>
      <w:bCs/>
      <w:color w:val="008000"/>
      <w:spacing w:val="-2"/>
      <w:kern w:val="0"/>
      <w:sz w:val="24"/>
    </w:rPr>
  </w:style>
  <w:style w:type="paragraph" w:customStyle="1" w:styleId="3368">
    <w:name w:val="图标题"/>
    <w:basedOn w:val="1"/>
    <w:qFormat/>
    <w:uiPriority w:val="0"/>
    <w:pPr>
      <w:jc w:val="center"/>
    </w:pPr>
    <w:rPr>
      <w:rFonts w:eastAsia="宋体" w:cs="黑体"/>
      <w:spacing w:val="-2"/>
      <w:kern w:val="0"/>
      <w:sz w:val="24"/>
    </w:rPr>
  </w:style>
  <w:style w:type="paragraph" w:customStyle="1" w:styleId="3369">
    <w:name w:val="样式 标题 1第一标题 + 段前: 0.3 行 段后: 0.3 行"/>
    <w:basedOn w:val="3"/>
    <w:qFormat/>
    <w:uiPriority w:val="0"/>
    <w:pPr>
      <w:keepNext w:val="0"/>
      <w:keepLines w:val="0"/>
      <w:pageBreakBefore w:val="0"/>
      <w:tabs>
        <w:tab w:val="left" w:pos="1340"/>
        <w:tab w:val="clear" w:pos="1080"/>
      </w:tabs>
      <w:autoSpaceDE w:val="0"/>
      <w:autoSpaceDN w:val="0"/>
      <w:adjustRightInd w:val="0"/>
      <w:spacing w:before="0" w:beforeLines="50" w:after="0" w:line="240" w:lineRule="auto"/>
      <w:ind w:left="1340" w:hanging="420"/>
      <w:jc w:val="both"/>
    </w:pPr>
    <w:rPr>
      <w:rFonts w:ascii="宋体" w:hAnsi="宋体" w:eastAsia="黑体" w:cs="宋体"/>
      <w:b w:val="0"/>
      <w:spacing w:val="-2"/>
      <w:kern w:val="0"/>
      <w:sz w:val="32"/>
      <w:lang w:val="zh-CN"/>
    </w:rPr>
  </w:style>
  <w:style w:type="paragraph" w:customStyle="1" w:styleId="3370">
    <w:name w:val="Char1 Char Char Char3"/>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3371">
    <w:name w:val="user-card"/>
    <w:basedOn w:val="1"/>
    <w:qFormat/>
    <w:uiPriority w:val="0"/>
    <w:pPr>
      <w:widowControl/>
      <w:pBdr>
        <w:top w:val="single" w:color="B3DAFF" w:sz="6" w:space="0"/>
        <w:left w:val="single" w:color="B3DAFF" w:sz="6" w:space="0"/>
        <w:bottom w:val="single" w:color="B3DAFF" w:sz="6" w:space="0"/>
        <w:right w:val="single" w:color="B3DAFF" w:sz="6" w:space="0"/>
      </w:pBdr>
      <w:shd w:val="clear" w:color="auto" w:fill="F7FCFF"/>
      <w:spacing w:before="100" w:beforeAutospacing="1" w:after="100" w:afterAutospacing="1"/>
      <w:jc w:val="left"/>
    </w:pPr>
    <w:rPr>
      <w:rFonts w:ascii="Arial" w:hAnsi="Arial" w:eastAsia="宋体" w:cs="Arial"/>
      <w:spacing w:val="-2"/>
      <w:kern w:val="0"/>
      <w:sz w:val="18"/>
      <w:szCs w:val="18"/>
    </w:rPr>
  </w:style>
  <w:style w:type="paragraph" w:customStyle="1" w:styleId="3372">
    <w:name w:val="reader-word-layer reader-word-s1-17"/>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3373">
    <w:name w:val="图注"/>
    <w:basedOn w:val="1"/>
    <w:qFormat/>
    <w:uiPriority w:val="0"/>
    <w:pPr>
      <w:spacing w:before="120" w:after="120"/>
      <w:jc w:val="center"/>
    </w:pPr>
    <w:rPr>
      <w:rFonts w:eastAsia="黑体" w:cs="黑体"/>
      <w:b/>
      <w:spacing w:val="-2"/>
      <w:kern w:val="0"/>
    </w:rPr>
  </w:style>
  <w:style w:type="paragraph" w:customStyle="1" w:styleId="3374">
    <w:name w:val="风险评价正文"/>
    <w:basedOn w:val="1"/>
    <w:qFormat/>
    <w:uiPriority w:val="0"/>
    <w:pPr>
      <w:spacing w:line="324" w:lineRule="auto"/>
      <w:ind w:firstLine="200" w:firstLineChars="200"/>
    </w:pPr>
    <w:rPr>
      <w:rFonts w:eastAsia="宋体" w:cs="黑体"/>
      <w:color w:val="000000"/>
      <w:spacing w:val="8"/>
      <w:kern w:val="0"/>
      <w:sz w:val="24"/>
    </w:rPr>
  </w:style>
  <w:style w:type="paragraph" w:customStyle="1" w:styleId="3375">
    <w:name w:val="p17"/>
    <w:basedOn w:val="1"/>
    <w:qFormat/>
    <w:uiPriority w:val="0"/>
    <w:pPr>
      <w:widowControl/>
      <w:ind w:left="480"/>
    </w:pPr>
    <w:rPr>
      <w:rFonts w:eastAsia="宋体" w:cs="黑体"/>
      <w:kern w:val="0"/>
      <w:szCs w:val="28"/>
    </w:rPr>
  </w:style>
  <w:style w:type="paragraph" w:customStyle="1" w:styleId="3376">
    <w:name w:val="1文章"/>
    <w:basedOn w:val="1"/>
    <w:qFormat/>
    <w:uiPriority w:val="0"/>
    <w:pPr>
      <w:snapToGrid w:val="0"/>
      <w:spacing w:line="360" w:lineRule="auto"/>
      <w:ind w:firstLine="573"/>
      <w:outlineLvl w:val="4"/>
    </w:pPr>
    <w:rPr>
      <w:rFonts w:cs="黑体"/>
      <w:spacing w:val="-2"/>
      <w:kern w:val="0"/>
    </w:rPr>
  </w:style>
  <w:style w:type="paragraph" w:customStyle="1" w:styleId="3377">
    <w:name w:val="t_edit21"/>
    <w:basedOn w:val="1"/>
    <w:qFormat/>
    <w:uiPriority w:val="0"/>
    <w:pPr>
      <w:widowControl/>
      <w:spacing w:before="120"/>
      <w:ind w:right="75"/>
      <w:jc w:val="left"/>
    </w:pPr>
    <w:rPr>
      <w:rFonts w:ascii="Arial" w:hAnsi="Arial" w:eastAsia="宋体" w:cs="Arial"/>
      <w:b/>
      <w:bCs/>
      <w:spacing w:val="-2"/>
      <w:kern w:val="0"/>
      <w:szCs w:val="21"/>
    </w:rPr>
  </w:style>
  <w:style w:type="paragraph" w:customStyle="1" w:styleId="3378">
    <w:name w:val="样式 Tahoma 小四 段前: 7.9 磅"/>
    <w:basedOn w:val="1"/>
    <w:qFormat/>
    <w:uiPriority w:val="99"/>
    <w:pPr>
      <w:spacing w:before="158"/>
      <w:ind w:firstLine="420" w:firstLineChars="175"/>
    </w:pPr>
    <w:rPr>
      <w:rFonts w:ascii="Tahoma" w:hAnsi="Tahoma" w:eastAsia="宋体" w:cs="宋体"/>
      <w:kern w:val="28"/>
      <w:sz w:val="32"/>
    </w:rPr>
  </w:style>
  <w:style w:type="paragraph" w:customStyle="1" w:styleId="3379">
    <w:name w:val="文本文字"/>
    <w:basedOn w:val="1"/>
    <w:qFormat/>
    <w:uiPriority w:val="0"/>
    <w:pPr>
      <w:overflowPunct w:val="0"/>
      <w:autoSpaceDE w:val="0"/>
      <w:autoSpaceDN w:val="0"/>
      <w:adjustRightInd w:val="0"/>
      <w:spacing w:line="240" w:lineRule="atLeast"/>
    </w:pPr>
    <w:rPr>
      <w:rFonts w:cs="黑体"/>
      <w:spacing w:val="-2"/>
      <w:kern w:val="0"/>
    </w:rPr>
  </w:style>
  <w:style w:type="paragraph" w:customStyle="1" w:styleId="3380">
    <w:name w:val="戚标题2"/>
    <w:basedOn w:val="4"/>
    <w:qFormat/>
    <w:uiPriority w:val="0"/>
    <w:pPr>
      <w:keepNext w:val="0"/>
      <w:keepLines w:val="0"/>
      <w:tabs>
        <w:tab w:val="left" w:pos="0"/>
        <w:tab w:val="left" w:pos="1476"/>
        <w:tab w:val="clear" w:pos="567"/>
      </w:tabs>
      <w:adjustRightInd w:val="0"/>
      <w:snapToGrid w:val="0"/>
      <w:spacing w:before="0" w:beforeLines="50" w:after="0" w:line="440" w:lineRule="exact"/>
      <w:ind w:left="0" w:firstLine="0"/>
    </w:pPr>
    <w:rPr>
      <w:rFonts w:hAnsi="Arial Unicode MS" w:cs="宋体"/>
      <w:bCs/>
      <w:spacing w:val="-2"/>
      <w:szCs w:val="30"/>
    </w:rPr>
  </w:style>
  <w:style w:type="paragraph" w:customStyle="1" w:styleId="3381">
    <w:name w:val="样式 正文文字缩进 2 + (符号) 宋体 小四 首行缩进:  2 字符"/>
    <w:basedOn w:val="52"/>
    <w:qFormat/>
    <w:uiPriority w:val="0"/>
    <w:pPr>
      <w:ind w:firstLine="425"/>
    </w:pPr>
    <w:rPr>
      <w:rFonts w:ascii="Arial" w:hAnsi="Arial" w:eastAsia="黑体" w:cs="宋体"/>
      <w:sz w:val="30"/>
      <w:szCs w:val="24"/>
    </w:rPr>
  </w:style>
  <w:style w:type="paragraph" w:customStyle="1" w:styleId="3382">
    <w:name w:val="usercard-info1"/>
    <w:basedOn w:val="1"/>
    <w:qFormat/>
    <w:uiPriority w:val="0"/>
    <w:pPr>
      <w:widowControl/>
      <w:spacing w:before="100" w:beforeAutospacing="1" w:after="100" w:afterAutospacing="1" w:line="300" w:lineRule="atLeast"/>
      <w:jc w:val="left"/>
    </w:pPr>
    <w:rPr>
      <w:rFonts w:ascii="宋体" w:hAnsi="Calibri" w:eastAsia="宋体" w:cs="宋体"/>
      <w:color w:val="F27200"/>
      <w:spacing w:val="-2"/>
      <w:kern w:val="0"/>
      <w:sz w:val="24"/>
      <w:szCs w:val="21"/>
    </w:rPr>
  </w:style>
  <w:style w:type="paragraph" w:customStyle="1" w:styleId="3383">
    <w:name w:val="自动更正"/>
    <w:qFormat/>
    <w:uiPriority w:val="0"/>
    <w:pPr>
      <w:widowControl w:val="0"/>
      <w:jc w:val="both"/>
    </w:pPr>
    <w:rPr>
      <w:rFonts w:ascii="Times New Roman" w:hAnsi="Times New Roman" w:eastAsia="宋体" w:cs="Times New Roman"/>
      <w:lang w:val="en-US" w:eastAsia="zh-CN" w:bidi="ar-SA"/>
    </w:rPr>
  </w:style>
  <w:style w:type="paragraph" w:customStyle="1" w:styleId="3384">
    <w:name w:val="样式20（注解）"/>
    <w:basedOn w:val="826"/>
    <w:qFormat/>
    <w:uiPriority w:val="0"/>
    <w:pPr>
      <w:overflowPunct w:val="0"/>
      <w:autoSpaceDE w:val="0"/>
      <w:autoSpaceDN w:val="0"/>
      <w:snapToGrid w:val="0"/>
      <w:ind w:firstLine="0"/>
      <w:textAlignment w:val="auto"/>
    </w:pPr>
    <w:rPr>
      <w:rFonts w:ascii="宋体" w:hAnsi="宋体" w:cs="黑体"/>
      <w:kern w:val="2"/>
      <w:sz w:val="20"/>
      <w:szCs w:val="21"/>
    </w:rPr>
  </w:style>
  <w:style w:type="paragraph" w:customStyle="1" w:styleId="3385">
    <w:name w:val="Char Char Char Char Char Char2 Char Char Char Char1"/>
    <w:basedOn w:val="1"/>
    <w:qFormat/>
    <w:uiPriority w:val="0"/>
    <w:rPr>
      <w:rFonts w:eastAsia="宋体"/>
      <w:sz w:val="21"/>
      <w:szCs w:val="24"/>
    </w:rPr>
  </w:style>
  <w:style w:type="paragraph" w:customStyle="1" w:styleId="3386">
    <w:name w:val="Char Char Char Char Char Char Char Char Char Char1 Char Char Char Char Char Char Char Char Char Char"/>
    <w:basedOn w:val="1"/>
    <w:qFormat/>
    <w:uiPriority w:val="0"/>
    <w:rPr>
      <w:rFonts w:eastAsia="宋体" w:cs="黑体"/>
      <w:spacing w:val="-2"/>
      <w:kern w:val="0"/>
      <w:sz w:val="24"/>
    </w:rPr>
  </w:style>
  <w:style w:type="paragraph" w:customStyle="1" w:styleId="3387">
    <w:name w:val="标题三"/>
    <w:basedOn w:val="1"/>
    <w:qFormat/>
    <w:uiPriority w:val="0"/>
    <w:pPr>
      <w:snapToGrid w:val="0"/>
      <w:spacing w:beforeLines="50" w:line="460" w:lineRule="exact"/>
      <w:ind w:firstLine="200" w:firstLineChars="200"/>
      <w:outlineLvl w:val="2"/>
    </w:pPr>
    <w:rPr>
      <w:rFonts w:eastAsia="楷体_GB2312" w:cs="黑体"/>
      <w:b/>
      <w:spacing w:val="-2"/>
      <w:kern w:val="0"/>
      <w:szCs w:val="28"/>
    </w:rPr>
  </w:style>
  <w:style w:type="paragraph" w:customStyle="1" w:styleId="3388">
    <w:name w:val="样式 标题 3 + 首行缩进:  2 字符 段前: 0.5 行 段后: 0.5 行"/>
    <w:basedOn w:val="6"/>
    <w:qFormat/>
    <w:uiPriority w:val="99"/>
    <w:pPr>
      <w:tabs>
        <w:tab w:val="left" w:pos="1080"/>
        <w:tab w:val="clear" w:pos="1789"/>
      </w:tabs>
      <w:spacing w:before="156" w:after="156" w:line="416" w:lineRule="auto"/>
      <w:ind w:left="0" w:firstLine="0"/>
    </w:pPr>
    <w:rPr>
      <w:rFonts w:ascii="Times New Roman" w:eastAsia="宋体" w:cs="宋体"/>
      <w:b w:val="0"/>
      <w:kern w:val="28"/>
      <w:sz w:val="32"/>
      <w:szCs w:val="32"/>
    </w:rPr>
  </w:style>
  <w:style w:type="paragraph" w:customStyle="1" w:styleId="3389">
    <w:name w:val="样式 表格文字左对齐 + 段后: 0.5 行"/>
    <w:basedOn w:val="1"/>
    <w:qFormat/>
    <w:uiPriority w:val="0"/>
    <w:pPr>
      <w:spacing w:line="400" w:lineRule="exact"/>
    </w:pPr>
    <w:rPr>
      <w:rFonts w:ascii="Arial" w:hAnsi="Arial" w:eastAsia="楷体_GB2312" w:cs="宋体"/>
      <w:spacing w:val="-2"/>
      <w:kern w:val="0"/>
      <w:sz w:val="24"/>
    </w:rPr>
  </w:style>
  <w:style w:type="paragraph" w:customStyle="1" w:styleId="3390">
    <w:name w:val="xl1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3391">
    <w:name w:val="样式 正文文本缩进 2 + 黑色 行距: 固定值 12 磅"/>
    <w:basedOn w:val="52"/>
    <w:qFormat/>
    <w:uiPriority w:val="0"/>
    <w:pPr>
      <w:adjustRightInd w:val="0"/>
      <w:ind w:firstLine="425"/>
      <w:jc w:val="center"/>
    </w:pPr>
    <w:rPr>
      <w:rFonts w:ascii="Arial" w:hAnsi="Arial" w:eastAsia="黑体" w:cs="宋体"/>
      <w:b/>
      <w:color w:val="3366FF"/>
      <w:sz w:val="30"/>
      <w:szCs w:val="24"/>
    </w:rPr>
  </w:style>
  <w:style w:type="paragraph" w:customStyle="1" w:styleId="3392">
    <w:name w:val="maintext"/>
    <w:basedOn w:val="1"/>
    <w:qFormat/>
    <w:uiPriority w:val="0"/>
    <w:pPr>
      <w:widowControl/>
      <w:spacing w:before="100" w:beforeAutospacing="1" w:after="100" w:afterAutospacing="1"/>
      <w:jc w:val="left"/>
    </w:pPr>
    <w:rPr>
      <w:rFonts w:eastAsia="宋体" w:cs="楷体_GB2312"/>
      <w:color w:val="000000"/>
      <w:spacing w:val="-2"/>
      <w:kern w:val="0"/>
      <w:sz w:val="24"/>
    </w:rPr>
  </w:style>
  <w:style w:type="paragraph" w:customStyle="1" w:styleId="3393">
    <w:name w:val="tdh"/>
    <w:basedOn w:val="1"/>
    <w:qFormat/>
    <w:uiPriority w:val="0"/>
    <w:pPr>
      <w:widowControl/>
      <w:spacing w:before="100" w:beforeAutospacing="1" w:after="100" w:afterAutospacing="1" w:line="360" w:lineRule="auto"/>
      <w:jc w:val="left"/>
    </w:pPr>
    <w:rPr>
      <w:rFonts w:eastAsia="Arial Unicode MS" w:cs="黑体"/>
      <w:spacing w:val="30"/>
      <w:kern w:val="0"/>
      <w:sz w:val="18"/>
    </w:rPr>
  </w:style>
  <w:style w:type="paragraph" w:customStyle="1" w:styleId="3394">
    <w:name w:val="z"/>
    <w:basedOn w:val="3"/>
    <w:qFormat/>
    <w:uiPriority w:val="0"/>
    <w:pPr>
      <w:keepNext w:val="0"/>
      <w:keepLines w:val="0"/>
      <w:pageBreakBefore w:val="0"/>
      <w:tabs>
        <w:tab w:val="left" w:pos="960"/>
        <w:tab w:val="clear" w:pos="1080"/>
      </w:tabs>
      <w:snapToGrid w:val="0"/>
      <w:spacing w:before="0" w:beforeLines="100" w:after="0" w:line="360" w:lineRule="auto"/>
      <w:ind w:left="200" w:leftChars="200" w:hanging="200" w:hangingChars="200"/>
      <w:jc w:val="both"/>
    </w:pPr>
    <w:rPr>
      <w:rFonts w:ascii="宋体" w:hAnsi="宋体" w:cs="宋体"/>
      <w:b w:val="0"/>
      <w:bCs/>
      <w:spacing w:val="-2"/>
      <w:sz w:val="28"/>
      <w:szCs w:val="28"/>
    </w:rPr>
  </w:style>
  <w:style w:type="paragraph" w:customStyle="1" w:styleId="3395">
    <w:name w:val="默认段落字体 Para Char Char Char Char Char Char Char Char Char Char Char Char Char Char Char Char Char Char Char Char Char Char Char Char Char Char Char Char Char Char Char"/>
    <w:basedOn w:val="1"/>
    <w:qFormat/>
    <w:uiPriority w:val="0"/>
    <w:pPr>
      <w:spacing w:line="520" w:lineRule="exact"/>
      <w:jc w:val="center"/>
    </w:pPr>
    <w:rPr>
      <w:rFonts w:ascii="Arial" w:hAnsi="Arial" w:cs="黑体"/>
      <w:spacing w:val="-2"/>
      <w:kern w:val="0"/>
      <w:szCs w:val="28"/>
    </w:rPr>
  </w:style>
  <w:style w:type="paragraph" w:customStyle="1" w:styleId="3396">
    <w:name w:val="四号 1.5倍行距 宋体 Timenewrome"/>
    <w:basedOn w:val="1"/>
    <w:next w:val="1"/>
    <w:qFormat/>
    <w:uiPriority w:val="0"/>
    <w:rPr>
      <w:rFonts w:eastAsia="宋体" w:cs="黑体"/>
      <w:spacing w:val="-2"/>
      <w:kern w:val="0"/>
      <w:szCs w:val="21"/>
    </w:rPr>
  </w:style>
  <w:style w:type="paragraph" w:customStyle="1" w:styleId="3397">
    <w:name w:val="填表内容"/>
    <w:basedOn w:val="1"/>
    <w:qFormat/>
    <w:uiPriority w:val="0"/>
    <w:pPr>
      <w:adjustRightInd w:val="0"/>
      <w:spacing w:line="480" w:lineRule="exact"/>
      <w:ind w:firstLine="560" w:firstLineChars="200"/>
      <w:jc w:val="left"/>
    </w:pPr>
    <w:rPr>
      <w:rFonts w:ascii="楷体_GB2312" w:eastAsia="楷体_GB2312" w:cs="黑体"/>
      <w:spacing w:val="-2"/>
      <w:kern w:val="0"/>
    </w:rPr>
  </w:style>
  <w:style w:type="paragraph" w:customStyle="1" w:styleId="3398">
    <w:name w:val="样式80"/>
    <w:basedOn w:val="3362"/>
    <w:qFormat/>
    <w:uiPriority w:val="0"/>
    <w:rPr>
      <w:rFonts w:ascii="Times New Roman" w:hAnsi="Times New Roman"/>
    </w:rPr>
  </w:style>
  <w:style w:type="paragraph" w:customStyle="1" w:styleId="3399">
    <w:name w:val="条文本"/>
    <w:basedOn w:val="5"/>
    <w:qFormat/>
    <w:uiPriority w:val="0"/>
    <w:pPr>
      <w:spacing w:beforeLines="30" w:line="240" w:lineRule="auto"/>
      <w:ind w:left="723" w:leftChars="723" w:firstLine="0"/>
    </w:pPr>
    <w:rPr>
      <w:rFonts w:hint="eastAsia" w:ascii="新宋体" w:hAnsi="Calibri" w:eastAsia="新宋体"/>
      <w:spacing w:val="0"/>
      <w:w w:val="90"/>
      <w:sz w:val="22"/>
      <w:szCs w:val="22"/>
    </w:rPr>
  </w:style>
  <w:style w:type="paragraph" w:customStyle="1" w:styleId="3400">
    <w:name w:val="中气二级"/>
    <w:basedOn w:val="1"/>
    <w:next w:val="1"/>
    <w:qFormat/>
    <w:uiPriority w:val="0"/>
    <w:pPr>
      <w:keepNext/>
      <w:keepLines/>
      <w:spacing w:beforeLines="50" w:line="360" w:lineRule="auto"/>
      <w:ind w:left="540"/>
      <w:jc w:val="left"/>
      <w:outlineLvl w:val="1"/>
    </w:pPr>
    <w:rPr>
      <w:rFonts w:ascii="Arial" w:hAnsi="Arial" w:eastAsia="黑体" w:cs="宋体"/>
      <w:bCs/>
      <w:spacing w:val="-2"/>
      <w:kern w:val="0"/>
      <w:sz w:val="30"/>
    </w:rPr>
  </w:style>
  <w:style w:type="paragraph" w:customStyle="1" w:styleId="3401">
    <w:name w:val="表格五中"/>
    <w:qFormat/>
    <w:uiPriority w:val="0"/>
    <w:pPr>
      <w:adjustRightInd w:val="0"/>
      <w:snapToGrid w:val="0"/>
      <w:spacing w:line="240" w:lineRule="atLeast"/>
      <w:jc w:val="center"/>
    </w:pPr>
    <w:rPr>
      <w:rFonts w:ascii="Calibri" w:hAnsi="Calibri" w:eastAsia="宋体" w:cs="Arial"/>
      <w:kern w:val="2"/>
      <w:sz w:val="21"/>
      <w:szCs w:val="22"/>
      <w:lang w:val="en-US" w:eastAsia="zh-CN" w:bidi="ar-SA"/>
    </w:rPr>
  </w:style>
  <w:style w:type="paragraph" w:customStyle="1" w:styleId="3402">
    <w:name w:val="xl19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color w:val="008000"/>
      <w:spacing w:val="-2"/>
      <w:kern w:val="0"/>
      <w:sz w:val="24"/>
    </w:rPr>
  </w:style>
  <w:style w:type="paragraph" w:customStyle="1" w:styleId="3403">
    <w:name w:val="正文4"/>
    <w:basedOn w:val="34"/>
    <w:qFormat/>
    <w:uiPriority w:val="0"/>
    <w:pPr>
      <w:spacing w:after="0" w:line="360" w:lineRule="auto"/>
      <w:ind w:firstLine="200" w:firstLineChars="200"/>
    </w:pPr>
    <w:rPr>
      <w:rFonts w:ascii="宋体" w:hAnsi="宋体" w:eastAsia="宋体" w:cs="宋体"/>
      <w:i/>
      <w:iCs/>
      <w:color w:val="000000"/>
      <w:sz w:val="21"/>
      <w:szCs w:val="24"/>
    </w:rPr>
  </w:style>
  <w:style w:type="paragraph" w:customStyle="1" w:styleId="3404">
    <w:name w:val="icon-lemma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05">
    <w:name w:val="样式101"/>
    <w:basedOn w:val="1"/>
    <w:qFormat/>
    <w:uiPriority w:val="0"/>
    <w:pPr>
      <w:spacing w:beforeLines="50" w:line="480" w:lineRule="exact"/>
    </w:pPr>
    <w:rPr>
      <w:rFonts w:eastAsia="宋体" w:cs="黑体"/>
      <w:b/>
      <w:spacing w:val="-2"/>
      <w:kern w:val="0"/>
    </w:rPr>
  </w:style>
  <w:style w:type="paragraph" w:customStyle="1" w:styleId="3406">
    <w:name w:val="样式 标题 3 + 左侧:  0 毫米 悬挂缩进: 7.09 字符 行距: 最小值 25 磅"/>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709"/>
    </w:pPr>
    <w:rPr>
      <w:rFonts w:hint="eastAsia" w:ascii="宋体" w:hAnsi="宋体" w:eastAsia="宋体" w:cs="宋体"/>
      <w:i/>
      <w:iCs/>
      <w:color w:val="000000"/>
      <w:spacing w:val="4"/>
      <w:sz w:val="28"/>
    </w:rPr>
  </w:style>
  <w:style w:type="paragraph" w:customStyle="1" w:styleId="3407">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3408">
    <w:name w:val="麦志勤标题一"/>
    <w:basedOn w:val="3"/>
    <w:qFormat/>
    <w:uiPriority w:val="0"/>
    <w:pPr>
      <w:keepNext w:val="0"/>
      <w:keepLines w:val="0"/>
      <w:pageBreakBefore w:val="0"/>
      <w:tabs>
        <w:tab w:val="left" w:pos="0"/>
        <w:tab w:val="clear" w:pos="1080"/>
      </w:tabs>
      <w:adjustRightInd w:val="0"/>
      <w:snapToGrid w:val="0"/>
      <w:spacing w:before="0" w:beforeLines="100" w:after="0" w:line="300" w:lineRule="auto"/>
      <w:ind w:left="0" w:firstLine="200" w:firstLineChars="200"/>
      <w:jc w:val="both"/>
    </w:pPr>
    <w:rPr>
      <w:rFonts w:ascii="黑体" w:hAnsi="宋体" w:eastAsia="黑体" w:cs="Arial"/>
      <w:bCs/>
      <w:color w:val="000000"/>
      <w:spacing w:val="-2"/>
      <w:kern w:val="0"/>
      <w:sz w:val="44"/>
      <w:szCs w:val="44"/>
    </w:rPr>
  </w:style>
  <w:style w:type="paragraph" w:customStyle="1" w:styleId="3409">
    <w:name w:val="纯文本13"/>
    <w:basedOn w:val="1"/>
    <w:qFormat/>
    <w:uiPriority w:val="0"/>
    <w:pPr>
      <w:adjustRightInd w:val="0"/>
    </w:pPr>
    <w:rPr>
      <w:rFonts w:eastAsia="宋体" w:cs="黑体"/>
      <w:spacing w:val="-2"/>
      <w:kern w:val="0"/>
      <w:sz w:val="24"/>
    </w:rPr>
  </w:style>
  <w:style w:type="paragraph" w:customStyle="1" w:styleId="3410">
    <w:name w:val="xl174"/>
    <w:basedOn w:val="1"/>
    <w:qFormat/>
    <w:uiPriority w:val="0"/>
    <w:pPr>
      <w:widowControl/>
      <w:pBdr>
        <w:right w:val="single" w:color="auto" w:sz="8" w:space="0"/>
      </w:pBdr>
      <w:spacing w:before="100" w:beforeAutospacing="1" w:after="100" w:afterAutospacing="1"/>
      <w:jc w:val="left"/>
    </w:pPr>
    <w:rPr>
      <w:rFonts w:ascii="宋体" w:hAnsi="宋体" w:eastAsia="宋体" w:cs="宋体"/>
      <w:spacing w:val="-2"/>
      <w:kern w:val="0"/>
      <w:sz w:val="24"/>
    </w:rPr>
  </w:style>
  <w:style w:type="paragraph" w:customStyle="1" w:styleId="3411">
    <w:name w:val="CM26"/>
    <w:basedOn w:val="762"/>
    <w:next w:val="762"/>
    <w:qFormat/>
    <w:uiPriority w:val="0"/>
    <w:pPr>
      <w:spacing w:line="468" w:lineRule="atLeast"/>
    </w:pPr>
    <w:rPr>
      <w:rFonts w:ascii="仿宋_GB2312" w:hAnsi="Calibri" w:eastAsia="仿宋_GB2312" w:cs="仿宋_GB2312"/>
      <w:kern w:val="2"/>
      <w:sz w:val="24"/>
      <w:szCs w:val="24"/>
    </w:rPr>
  </w:style>
  <w:style w:type="paragraph" w:customStyle="1" w:styleId="3412">
    <w:name w:val="polysemy-item-c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13">
    <w:name w:val="样式 正文缩进 +"/>
    <w:basedOn w:val="5"/>
    <w:qFormat/>
    <w:uiPriority w:val="0"/>
    <w:pPr>
      <w:adjustRightInd w:val="0"/>
      <w:spacing w:after="120" w:line="360" w:lineRule="auto"/>
      <w:ind w:firstLine="567"/>
    </w:pPr>
    <w:rPr>
      <w:rFonts w:hint="eastAsia" w:ascii="Calibri" w:hAnsi="Calibri"/>
      <w:spacing w:val="0"/>
      <w:sz w:val="28"/>
      <w:szCs w:val="24"/>
    </w:rPr>
  </w:style>
  <w:style w:type="paragraph" w:customStyle="1" w:styleId="3414">
    <w:name w:val="第三节"/>
    <w:basedOn w:val="1"/>
    <w:qFormat/>
    <w:uiPriority w:val="0"/>
    <w:pPr>
      <w:spacing w:before="240" w:line="360" w:lineRule="auto"/>
      <w:jc w:val="left"/>
    </w:pPr>
    <w:rPr>
      <w:rFonts w:ascii="黑体" w:hAnsi="Calibri" w:eastAsia="黑体" w:cs="黑体"/>
      <w:spacing w:val="-2"/>
      <w:kern w:val="0"/>
      <w:sz w:val="32"/>
    </w:rPr>
  </w:style>
  <w:style w:type="paragraph" w:customStyle="1" w:styleId="3415">
    <w:name w:val="作者"/>
    <w:qFormat/>
    <w:uiPriority w:val="0"/>
    <w:pPr>
      <w:widowControl w:val="0"/>
      <w:jc w:val="both"/>
    </w:pPr>
    <w:rPr>
      <w:rFonts w:ascii="Times New Roman" w:hAnsi="Times New Roman" w:eastAsia="宋体" w:cs="Times New Roman"/>
      <w:lang w:val="en-US" w:eastAsia="zh-CN" w:bidi="ar-SA"/>
    </w:rPr>
  </w:style>
  <w:style w:type="paragraph" w:customStyle="1" w:styleId="3416">
    <w:name w:val="xiaohui"/>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17">
    <w:name w:val="Char Char1 Char Char Char1"/>
    <w:basedOn w:val="1"/>
    <w:qFormat/>
    <w:uiPriority w:val="0"/>
    <w:rPr>
      <w:rFonts w:eastAsia="宋体"/>
      <w:kern w:val="0"/>
      <w:sz w:val="20"/>
    </w:rPr>
  </w:style>
  <w:style w:type="paragraph" w:customStyle="1" w:styleId="3418">
    <w:name w:val="CM8"/>
    <w:basedOn w:val="1"/>
    <w:next w:val="1"/>
    <w:qFormat/>
    <w:uiPriority w:val="0"/>
    <w:pPr>
      <w:autoSpaceDE w:val="0"/>
      <w:autoSpaceDN w:val="0"/>
      <w:adjustRightInd w:val="0"/>
      <w:spacing w:after="320"/>
      <w:jc w:val="left"/>
    </w:pPr>
    <w:rPr>
      <w:rFonts w:ascii="TTE1CFADF8t00" w:hAnsi="Calibri" w:eastAsia="TTE1CFADF8t00" w:cs="黑体"/>
      <w:spacing w:val="-2"/>
      <w:kern w:val="0"/>
      <w:sz w:val="24"/>
    </w:rPr>
  </w:style>
  <w:style w:type="paragraph" w:customStyle="1" w:styleId="3419">
    <w:name w:val="card-pic-handle"/>
    <w:basedOn w:val="1"/>
    <w:qFormat/>
    <w:uiPriority w:val="0"/>
    <w:pPr>
      <w:widowControl/>
      <w:pBdr>
        <w:top w:val="single" w:color="FFFFFF" w:sz="6" w:space="0"/>
        <w:left w:val="single" w:color="FFFFFF" w:sz="6" w:space="0"/>
        <w:bottom w:val="single" w:color="FFFFFF" w:sz="6" w:space="0"/>
        <w:right w:val="single" w:color="FFFFFF" w:sz="6" w:space="0"/>
      </w:pBdr>
      <w:spacing w:before="100" w:beforeAutospacing="1" w:after="100" w:afterAutospacing="1"/>
      <w:jc w:val="left"/>
    </w:pPr>
    <w:rPr>
      <w:rFonts w:ascii="宋体" w:hAnsi="Calibri" w:eastAsia="宋体" w:cs="宋体"/>
      <w:spacing w:val="-2"/>
      <w:kern w:val="0"/>
      <w:sz w:val="2"/>
      <w:szCs w:val="2"/>
    </w:rPr>
  </w:style>
  <w:style w:type="paragraph" w:customStyle="1" w:styleId="3420">
    <w:name w:val="relation-control-enter-close1"/>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character" w:customStyle="1" w:styleId="3421">
    <w:name w:val="引用 Char3"/>
    <w:qFormat/>
    <w:uiPriority w:val="29"/>
    <w:rPr>
      <w:rFonts w:eastAsia="仿宋_GB2312"/>
      <w:i/>
      <w:iCs/>
      <w:color w:val="000000"/>
      <w:kern w:val="2"/>
      <w:sz w:val="28"/>
    </w:rPr>
  </w:style>
  <w:style w:type="paragraph" w:customStyle="1" w:styleId="3422">
    <w:name w:val="引用1"/>
    <w:basedOn w:val="1"/>
    <w:next w:val="1"/>
    <w:qFormat/>
    <w:uiPriority w:val="0"/>
    <w:pPr>
      <w:spacing w:line="360" w:lineRule="auto"/>
      <w:ind w:firstLine="200" w:firstLineChars="200"/>
    </w:pPr>
    <w:rPr>
      <w:rFonts w:eastAsia="宋体" w:cs="黑体"/>
      <w:i/>
      <w:iCs/>
      <w:color w:val="000000"/>
      <w:spacing w:val="-2"/>
      <w:kern w:val="0"/>
      <w:sz w:val="24"/>
    </w:rPr>
  </w:style>
  <w:style w:type="paragraph" w:customStyle="1" w:styleId="3423">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80"/>
      <w:spacing w:val="-2"/>
      <w:kern w:val="0"/>
      <w:sz w:val="24"/>
    </w:rPr>
  </w:style>
  <w:style w:type="paragraph" w:customStyle="1" w:styleId="3424">
    <w:name w:val="Definition Term"/>
    <w:basedOn w:val="1"/>
    <w:next w:val="1"/>
    <w:qFormat/>
    <w:uiPriority w:val="0"/>
    <w:pPr>
      <w:autoSpaceDE w:val="0"/>
      <w:autoSpaceDN w:val="0"/>
      <w:adjustRightInd w:val="0"/>
      <w:jc w:val="left"/>
    </w:pPr>
    <w:rPr>
      <w:rFonts w:eastAsia="宋体" w:cs="黑体"/>
      <w:spacing w:val="-2"/>
      <w:kern w:val="0"/>
      <w:sz w:val="24"/>
    </w:rPr>
  </w:style>
  <w:style w:type="paragraph" w:customStyle="1" w:styleId="3425">
    <w:name w:val="标题2+黑体+四"/>
    <w:basedOn w:val="4"/>
    <w:qFormat/>
    <w:uiPriority w:val="0"/>
    <w:pPr>
      <w:keepNext w:val="0"/>
      <w:keepLines w:val="0"/>
      <w:widowControl/>
      <w:tabs>
        <w:tab w:val="left" w:pos="1476"/>
        <w:tab w:val="clear" w:pos="567"/>
      </w:tabs>
      <w:adjustRightInd w:val="0"/>
      <w:spacing w:before="100" w:after="100" w:line="360" w:lineRule="auto"/>
      <w:ind w:left="840" w:hanging="420"/>
      <w:jc w:val="left"/>
    </w:pPr>
    <w:rPr>
      <w:rFonts w:hAnsi="宋体" w:cs="宋体"/>
      <w:spacing w:val="-2"/>
      <w:kern w:val="0"/>
      <w:szCs w:val="28"/>
    </w:rPr>
  </w:style>
  <w:style w:type="paragraph" w:customStyle="1" w:styleId="3426">
    <w:name w:val="2中大2级标题"/>
    <w:basedOn w:val="4"/>
    <w:qFormat/>
    <w:uiPriority w:val="0"/>
    <w:pPr>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spacing w:val="-2"/>
      <w:kern w:val="0"/>
      <w:sz w:val="30"/>
    </w:rPr>
  </w:style>
  <w:style w:type="paragraph" w:customStyle="1" w:styleId="3427">
    <w:name w:val="PP 行"/>
    <w:basedOn w:val="59"/>
    <w:qFormat/>
    <w:uiPriority w:val="0"/>
    <w:pPr>
      <w:snapToGrid/>
      <w:spacing w:line="240" w:lineRule="auto"/>
      <w:ind w:left="2100" w:firstLine="0" w:firstLineChars="0"/>
    </w:pPr>
    <w:rPr>
      <w:rFonts w:ascii="宋体" w:hAnsi="宋体" w:cs="宋体"/>
      <w:kern w:val="2"/>
      <w:szCs w:val="20"/>
    </w:rPr>
  </w:style>
  <w:style w:type="paragraph" w:customStyle="1" w:styleId="3428">
    <w:name w:val="表体宋旭峰"/>
    <w:basedOn w:val="1"/>
    <w:qFormat/>
    <w:uiPriority w:val="0"/>
    <w:pPr>
      <w:tabs>
        <w:tab w:val="left" w:pos="3685"/>
      </w:tabs>
      <w:overflowPunct w:val="0"/>
      <w:snapToGrid w:val="0"/>
      <w:spacing w:line="280" w:lineRule="exact"/>
      <w:jc w:val="center"/>
    </w:pPr>
    <w:rPr>
      <w:rFonts w:ascii="宋体" w:hAnsi="Calibri" w:eastAsia="宋体" w:cs="Courier New"/>
      <w:spacing w:val="-2"/>
      <w:kern w:val="0"/>
      <w:sz w:val="18"/>
      <w:szCs w:val="18"/>
    </w:rPr>
  </w:style>
  <w:style w:type="paragraph" w:customStyle="1" w:styleId="3429">
    <w:name w:val="p-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30">
    <w:name w:val="uc-i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31">
    <w:name w:val="样式 毕二级 + 段前: 0.5 行 段后: 0.5 行1"/>
    <w:basedOn w:val="3432"/>
    <w:qFormat/>
    <w:uiPriority w:val="0"/>
    <w:pPr>
      <w:tabs>
        <w:tab w:val="left" w:pos="426"/>
      </w:tabs>
      <w:spacing w:beforeLines="0"/>
      <w:ind w:left="426"/>
    </w:pPr>
    <w:rPr>
      <w:rFonts w:cs="宋体"/>
    </w:rPr>
  </w:style>
  <w:style w:type="paragraph" w:customStyle="1" w:styleId="3432">
    <w:name w:val="毕二级"/>
    <w:basedOn w:val="1"/>
    <w:qFormat/>
    <w:uiPriority w:val="0"/>
    <w:pPr>
      <w:spacing w:beforeLines="50" w:line="360" w:lineRule="auto"/>
      <w:jc w:val="left"/>
    </w:pPr>
    <w:rPr>
      <w:rFonts w:eastAsia="黑体" w:cs="黑体"/>
      <w:spacing w:val="-2"/>
      <w:kern w:val="0"/>
      <w:sz w:val="30"/>
    </w:rPr>
  </w:style>
  <w:style w:type="paragraph" w:customStyle="1" w:styleId="3433">
    <w:name w:val="reader-word-layer reader-word-s2-2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434">
    <w:name w:val="样式 标题1YHY + 段前: 0.5 行 段后: 0.5 行"/>
    <w:basedOn w:val="1"/>
    <w:qFormat/>
    <w:uiPriority w:val="0"/>
    <w:pPr>
      <w:keepNext/>
      <w:keepLines/>
      <w:widowControl/>
      <w:spacing w:beforeLines="50" w:line="360" w:lineRule="auto"/>
      <w:jc w:val="left"/>
      <w:outlineLvl w:val="0"/>
    </w:pPr>
    <w:rPr>
      <w:rFonts w:eastAsia="黑体" w:cs="宋体"/>
      <w:b/>
      <w:bCs/>
      <w:spacing w:val="-2"/>
      <w:kern w:val="44"/>
      <w:sz w:val="30"/>
    </w:rPr>
  </w:style>
  <w:style w:type="paragraph" w:customStyle="1" w:styleId="3435">
    <w:name w:val="Char Char210"/>
    <w:basedOn w:val="1"/>
    <w:qFormat/>
    <w:uiPriority w:val="0"/>
    <w:pPr>
      <w:tabs>
        <w:tab w:val="left" w:pos="630"/>
      </w:tabs>
      <w:spacing w:beforeLines="50" w:line="360" w:lineRule="auto"/>
      <w:ind w:left="630" w:hanging="432"/>
      <w:jc w:val="left"/>
    </w:pPr>
    <w:rPr>
      <w:rFonts w:ascii="宋体" w:hAnsi="宋体" w:eastAsia="黑体" w:cs="宋体"/>
      <w:spacing w:val="-2"/>
      <w:kern w:val="0"/>
      <w:szCs w:val="30"/>
    </w:rPr>
  </w:style>
  <w:style w:type="paragraph" w:customStyle="1" w:styleId="3436">
    <w:name w:val="07子目"/>
    <w:basedOn w:val="1"/>
    <w:qFormat/>
    <w:uiPriority w:val="0"/>
    <w:pPr>
      <w:tabs>
        <w:tab w:val="left" w:pos="-2126"/>
        <w:tab w:val="left" w:pos="360"/>
      </w:tabs>
      <w:spacing w:before="60" w:after="60" w:line="360" w:lineRule="auto"/>
      <w:ind w:left="-2551"/>
    </w:pPr>
    <w:rPr>
      <w:rFonts w:eastAsia="宋体" w:cs="黑体"/>
      <w:spacing w:val="-2"/>
      <w:kern w:val="0"/>
      <w:sz w:val="24"/>
    </w:rPr>
  </w:style>
  <w:style w:type="paragraph" w:customStyle="1" w:styleId="3437">
    <w:name w:val="样式 样式 (西文) 仿宋_GB2312 (中文) 仿宋_GB2312 + (西文) Times New Roman 首行缩进...1"/>
    <w:basedOn w:val="3256"/>
    <w:qFormat/>
    <w:uiPriority w:val="0"/>
    <w:rPr>
      <w:rFonts w:ascii="Times New Roman" w:hAnsi="Times New Roman"/>
      <w:szCs w:val="20"/>
    </w:rPr>
  </w:style>
  <w:style w:type="paragraph" w:customStyle="1" w:styleId="3438">
    <w:name w:val="relation-control-enter-edit1"/>
    <w:basedOn w:val="1"/>
    <w:qFormat/>
    <w:uiPriority w:val="0"/>
    <w:pPr>
      <w:widowControl/>
      <w:spacing w:before="100" w:beforeAutospacing="1" w:after="100" w:afterAutospacing="1"/>
      <w:ind w:left="45"/>
      <w:jc w:val="left"/>
    </w:pPr>
    <w:rPr>
      <w:rFonts w:ascii="宋体" w:hAnsi="Calibri" w:eastAsia="宋体" w:cs="宋体"/>
      <w:spacing w:val="-2"/>
      <w:kern w:val="0"/>
      <w:sz w:val="24"/>
      <w:szCs w:val="21"/>
    </w:rPr>
  </w:style>
  <w:style w:type="paragraph" w:customStyle="1" w:styleId="3439">
    <w:name w:val="第一标题"/>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440">
    <w:name w:val="表格内容5"/>
    <w:basedOn w:val="1"/>
    <w:next w:val="1"/>
    <w:qFormat/>
    <w:uiPriority w:val="0"/>
    <w:pPr>
      <w:spacing w:before="40" w:after="60" w:line="200" w:lineRule="atLeast"/>
    </w:pPr>
    <w:rPr>
      <w:rFonts w:ascii="Arial" w:hAnsi="Arial" w:cs="黑体"/>
      <w:spacing w:val="-2"/>
      <w:kern w:val="0"/>
      <w:sz w:val="24"/>
    </w:rPr>
  </w:style>
  <w:style w:type="paragraph" w:customStyle="1" w:styleId="3441">
    <w:name w:val="font23"/>
    <w:basedOn w:val="1"/>
    <w:qFormat/>
    <w:uiPriority w:val="0"/>
    <w:pPr>
      <w:spacing w:before="100" w:beforeAutospacing="1" w:after="100" w:afterAutospacing="1"/>
    </w:pPr>
    <w:rPr>
      <w:rFonts w:eastAsia="宋体" w:cs="黑体"/>
      <w:spacing w:val="-2"/>
      <w:kern w:val="0"/>
      <w:sz w:val="24"/>
    </w:rPr>
  </w:style>
  <w:style w:type="paragraph" w:customStyle="1" w:styleId="3442">
    <w:name w:val="dialog-content-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43">
    <w:name w:val="z-窗体顶端11"/>
    <w:basedOn w:val="1"/>
    <w:next w:val="1"/>
    <w:qFormat/>
    <w:uiPriority w:val="0"/>
    <w:pPr>
      <w:widowControl/>
      <w:pBdr>
        <w:bottom w:val="single" w:color="auto" w:sz="6" w:space="1"/>
      </w:pBdr>
      <w:jc w:val="center"/>
    </w:pPr>
    <w:rPr>
      <w:rFonts w:ascii="Arial" w:hAnsi="Arial" w:eastAsia="宋体" w:cs="Arial"/>
      <w:vanish/>
      <w:spacing w:val="-2"/>
      <w:kern w:val="0"/>
      <w:sz w:val="16"/>
      <w:szCs w:val="16"/>
    </w:rPr>
  </w:style>
  <w:style w:type="paragraph" w:customStyle="1" w:styleId="3444">
    <w:name w:val="批注框文本3"/>
    <w:basedOn w:val="1"/>
    <w:qFormat/>
    <w:uiPriority w:val="0"/>
    <w:rPr>
      <w:rFonts w:eastAsia="宋体" w:cs="黑体"/>
      <w:spacing w:val="-2"/>
      <w:kern w:val="0"/>
      <w:sz w:val="18"/>
      <w:szCs w:val="18"/>
    </w:rPr>
  </w:style>
  <w:style w:type="paragraph" w:customStyle="1" w:styleId="3445">
    <w:name w:val="请勿折叠！"/>
    <w:qFormat/>
    <w:uiPriority w:val="0"/>
    <w:pPr>
      <w:widowControl w:val="0"/>
      <w:jc w:val="both"/>
    </w:pPr>
    <w:rPr>
      <w:rFonts w:ascii="Times New Roman" w:hAnsi="Times New Roman" w:eastAsia="宋体" w:cs="Times New Roman"/>
      <w:lang w:val="en-US" w:eastAsia="zh-CN" w:bidi="ar-SA"/>
    </w:rPr>
  </w:style>
  <w:style w:type="paragraph" w:customStyle="1" w:styleId="3446">
    <w:name w:val="中气表头"/>
    <w:basedOn w:val="1"/>
    <w:qFormat/>
    <w:uiPriority w:val="0"/>
    <w:pPr>
      <w:jc w:val="center"/>
    </w:pPr>
    <w:rPr>
      <w:rFonts w:eastAsia="黑体" w:cs="黑体"/>
      <w:b/>
      <w:spacing w:val="-2"/>
      <w:kern w:val="0"/>
      <w:szCs w:val="21"/>
    </w:rPr>
  </w:style>
  <w:style w:type="paragraph" w:customStyle="1" w:styleId="3447">
    <w:name w:val="Char Char Char Char Char Char Char Char Char Char Char Char Char1 Char Char Char Char Char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448">
    <w:name w:val="样式 标题 3条标题1.1.1ReHead 3 WSAh3BSH-3H3b33rd levell3CT标题...1"/>
    <w:basedOn w:val="6"/>
    <w:qFormat/>
    <w:uiPriority w:val="0"/>
    <w:pPr>
      <w:tabs>
        <w:tab w:val="left" w:pos="1022"/>
        <w:tab w:val="left" w:pos="1080"/>
        <w:tab w:val="clear" w:pos="1789"/>
      </w:tabs>
      <w:spacing w:before="260" w:line="360" w:lineRule="auto"/>
      <w:ind w:left="0" w:firstLine="0"/>
    </w:pPr>
    <w:rPr>
      <w:rFonts w:hint="eastAsia" w:ascii="宋体" w:hAnsi="Arial Unicode MS" w:eastAsia="宋体" w:cs="宋体"/>
      <w:b w:val="0"/>
      <w:i/>
      <w:iCs/>
      <w:color w:val="000000"/>
      <w:spacing w:val="-2"/>
      <w:sz w:val="28"/>
      <w:szCs w:val="24"/>
    </w:rPr>
  </w:style>
  <w:style w:type="paragraph" w:customStyle="1" w:styleId="3449">
    <w:name w:val="注解"/>
    <w:basedOn w:val="1"/>
    <w:qFormat/>
    <w:uiPriority w:val="0"/>
    <w:pPr>
      <w:adjustRightInd w:val="0"/>
      <w:snapToGrid w:val="0"/>
      <w:ind w:left="624" w:right="170" w:hanging="454"/>
    </w:pPr>
    <w:rPr>
      <w:rFonts w:ascii="宋体" w:hAnsi="Calibri" w:eastAsia="宋体" w:cs="黑体"/>
      <w:color w:val="000000"/>
      <w:spacing w:val="-2"/>
      <w:kern w:val="0"/>
      <w:sz w:val="15"/>
    </w:rPr>
  </w:style>
  <w:style w:type="paragraph" w:customStyle="1" w:styleId="3450">
    <w:name w:val="样式 小五 居中 首行缩进:  2 字符"/>
    <w:basedOn w:val="1"/>
    <w:qFormat/>
    <w:uiPriority w:val="0"/>
    <w:pPr>
      <w:jc w:val="center"/>
    </w:pPr>
    <w:rPr>
      <w:rFonts w:eastAsia="宋体" w:cs="黑体"/>
      <w:spacing w:val="-2"/>
      <w:kern w:val="0"/>
      <w:sz w:val="18"/>
    </w:rPr>
  </w:style>
  <w:style w:type="paragraph" w:customStyle="1" w:styleId="3451">
    <w:name w:val="样式 标题 4 + 左侧:  2 字符"/>
    <w:basedOn w:val="7"/>
    <w:qFormat/>
    <w:uiPriority w:val="0"/>
    <w:pPr>
      <w:tabs>
        <w:tab w:val="left" w:pos="864"/>
        <w:tab w:val="left" w:pos="2153"/>
        <w:tab w:val="clear" w:pos="4008"/>
      </w:tabs>
      <w:adjustRightInd w:val="0"/>
      <w:snapToGrid w:val="0"/>
      <w:spacing w:line="240" w:lineRule="auto"/>
      <w:ind w:left="200" w:leftChars="200" w:firstLine="0"/>
      <w:jc w:val="both"/>
    </w:pPr>
    <w:rPr>
      <w:rFonts w:ascii="Times New Roman" w:hAnsi="Times New Roman" w:cs="宋体"/>
      <w:b w:val="0"/>
      <w:bCs/>
      <w:color w:val="auto"/>
      <w:spacing w:val="-2"/>
      <w:kern w:val="0"/>
    </w:rPr>
  </w:style>
  <w:style w:type="paragraph" w:customStyle="1" w:styleId="3452">
    <w:name w:val="码头表"/>
    <w:basedOn w:val="1"/>
    <w:qFormat/>
    <w:uiPriority w:val="0"/>
    <w:pPr>
      <w:spacing w:line="0" w:lineRule="atLeast"/>
      <w:ind w:left="-50" w:leftChars="-50" w:right="-50" w:rightChars="-50"/>
      <w:jc w:val="center"/>
    </w:pPr>
    <w:rPr>
      <w:rFonts w:ascii="宋体" w:hAnsi="宋体" w:eastAsia="宋体" w:cs="黑体"/>
      <w:color w:val="FF0000"/>
      <w:spacing w:val="-2"/>
      <w:kern w:val="0"/>
      <w:szCs w:val="21"/>
      <w:lang w:val="zh-CN"/>
    </w:rPr>
  </w:style>
  <w:style w:type="paragraph" w:customStyle="1" w:styleId="3453">
    <w:name w:val="b-ent-toc-actions"/>
    <w:basedOn w:val="1"/>
    <w:qFormat/>
    <w:uiPriority w:val="0"/>
    <w:pPr>
      <w:widowControl/>
      <w:spacing w:before="45"/>
      <w:jc w:val="left"/>
    </w:pPr>
    <w:rPr>
      <w:rFonts w:ascii="宋体" w:hAnsi="Calibri" w:eastAsia="宋体" w:cs="宋体"/>
      <w:spacing w:val="-2"/>
      <w:kern w:val="0"/>
      <w:sz w:val="24"/>
      <w:szCs w:val="21"/>
    </w:rPr>
  </w:style>
  <w:style w:type="paragraph" w:customStyle="1" w:styleId="3454">
    <w:name w:val="表标题1"/>
    <w:basedOn w:val="1"/>
    <w:next w:val="1"/>
    <w:qFormat/>
    <w:uiPriority w:val="0"/>
    <w:pPr>
      <w:spacing w:beforeLines="50" w:after="120" w:line="300" w:lineRule="auto"/>
      <w:jc w:val="center"/>
    </w:pPr>
    <w:rPr>
      <w:rFonts w:eastAsia="宋体" w:cs="黑体"/>
      <w:spacing w:val="-2"/>
      <w:kern w:val="0"/>
      <w:sz w:val="24"/>
    </w:rPr>
  </w:style>
  <w:style w:type="paragraph" w:customStyle="1" w:styleId="3455">
    <w:name w:val="环调标题1"/>
    <w:basedOn w:val="3"/>
    <w:qFormat/>
    <w:uiPriority w:val="0"/>
    <w:pPr>
      <w:pageBreakBefore w:val="0"/>
      <w:tabs>
        <w:tab w:val="clear" w:pos="1080"/>
      </w:tabs>
      <w:snapToGrid w:val="0"/>
      <w:spacing w:before="0" w:beforeLines="100" w:after="0" w:line="360" w:lineRule="auto"/>
      <w:ind w:left="0" w:firstLine="200" w:firstLineChars="200"/>
      <w:jc w:val="both"/>
    </w:pPr>
    <w:rPr>
      <w:rFonts w:ascii="Calibri" w:hAnsi="Calibri" w:cs="Arial"/>
      <w:bCs/>
      <w:spacing w:val="-2"/>
      <w:sz w:val="32"/>
      <w:szCs w:val="32"/>
    </w:rPr>
  </w:style>
  <w:style w:type="paragraph" w:customStyle="1" w:styleId="3456">
    <w:name w:val="文本框文字1"/>
    <w:qFormat/>
    <w:uiPriority w:val="0"/>
    <w:pPr>
      <w:jc w:val="center"/>
    </w:pPr>
    <w:rPr>
      <w:rFonts w:ascii="Times New Roman" w:hAnsi="Times New Roman" w:eastAsia="宋体" w:cs="Times New Roman"/>
      <w:sz w:val="24"/>
      <w:lang w:val="en-US" w:eastAsia="zh-CN" w:bidi="ar-SA"/>
    </w:rPr>
  </w:style>
  <w:style w:type="paragraph" w:customStyle="1" w:styleId="3457">
    <w:name w:val="message-board-box"/>
    <w:basedOn w:val="1"/>
    <w:qFormat/>
    <w:uiPriority w:val="0"/>
    <w:pPr>
      <w:widowControl/>
      <w:shd w:val="clear" w:color="auto" w:fill="FF0000"/>
      <w:spacing w:before="100" w:beforeAutospacing="1" w:after="100" w:afterAutospacing="1"/>
      <w:jc w:val="left"/>
    </w:pPr>
    <w:rPr>
      <w:rFonts w:ascii="宋体" w:hAnsi="Calibri" w:eastAsia="宋体" w:cs="宋体"/>
      <w:spacing w:val="-2"/>
      <w:kern w:val="0"/>
      <w:sz w:val="24"/>
      <w:szCs w:val="21"/>
    </w:rPr>
  </w:style>
  <w:style w:type="paragraph" w:customStyle="1" w:styleId="3458">
    <w:name w:val="编号1."/>
    <w:basedOn w:val="1"/>
    <w:qFormat/>
    <w:uiPriority w:val="0"/>
    <w:pPr>
      <w:tabs>
        <w:tab w:val="left" w:pos="547"/>
        <w:tab w:val="left" w:pos="1080"/>
      </w:tabs>
      <w:spacing w:line="480" w:lineRule="atLeast"/>
      <w:ind w:firstLine="547"/>
    </w:pPr>
    <w:rPr>
      <w:rFonts w:eastAsia="宋体" w:cs="黑体"/>
      <w:spacing w:val="-2"/>
      <w:kern w:val="0"/>
    </w:rPr>
  </w:style>
  <w:style w:type="paragraph" w:customStyle="1" w:styleId="3459">
    <w:name w:val="progressbar1"/>
    <w:basedOn w:val="1"/>
    <w:qFormat/>
    <w:uiPriority w:val="0"/>
    <w:pPr>
      <w:widowControl/>
      <w:spacing w:before="45" w:after="100" w:afterAutospacing="1"/>
      <w:jc w:val="left"/>
    </w:pPr>
    <w:rPr>
      <w:rFonts w:ascii="宋体" w:hAnsi="Calibri" w:eastAsia="宋体" w:cs="宋体"/>
      <w:spacing w:val="-2"/>
      <w:kern w:val="0"/>
      <w:sz w:val="24"/>
      <w:szCs w:val="21"/>
    </w:rPr>
  </w:style>
  <w:style w:type="paragraph" w:customStyle="1" w:styleId="3460">
    <w:name w:val="xl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461">
    <w:name w:val="p24"/>
    <w:basedOn w:val="1"/>
    <w:qFormat/>
    <w:uiPriority w:val="0"/>
    <w:pPr>
      <w:widowControl/>
      <w:ind w:firstLine="538"/>
    </w:pPr>
    <w:rPr>
      <w:rFonts w:eastAsia="宋体" w:cs="黑体"/>
      <w:kern w:val="0"/>
      <w:szCs w:val="28"/>
    </w:rPr>
  </w:style>
  <w:style w:type="paragraph" w:customStyle="1" w:styleId="3462">
    <w:name w:val="14"/>
    <w:basedOn w:val="1"/>
    <w:qFormat/>
    <w:uiPriority w:val="0"/>
    <w:pPr>
      <w:widowControl/>
      <w:spacing w:after="160" w:line="240" w:lineRule="exact"/>
      <w:jc w:val="left"/>
    </w:pPr>
    <w:rPr>
      <w:rFonts w:eastAsia="宋体" w:cs="黑体"/>
      <w:spacing w:val="-2"/>
      <w:kern w:val="0"/>
    </w:rPr>
  </w:style>
  <w:style w:type="paragraph" w:customStyle="1" w:styleId="3463">
    <w:name w:val="样式 标题 3标题 3 Char Char标题 3 Char1H3Heading 3 - old标题 3 Char C..."/>
    <w:basedOn w:val="6"/>
    <w:qFormat/>
    <w:uiPriority w:val="0"/>
    <w:pPr>
      <w:tabs>
        <w:tab w:val="left" w:pos="1022"/>
        <w:tab w:val="left" w:pos="1080"/>
        <w:tab w:val="left" w:pos="4621"/>
        <w:tab w:val="clear" w:pos="1789"/>
      </w:tabs>
      <w:spacing w:before="240"/>
      <w:ind w:left="1476" w:hanging="1476"/>
    </w:pPr>
    <w:rPr>
      <w:rFonts w:hint="eastAsia" w:ascii="Arial" w:hAnsi="Arial" w:eastAsia="楷体_GB2312" w:cs="宋体"/>
      <w:b w:val="0"/>
      <w:i/>
      <w:iCs/>
      <w:color w:val="000000"/>
      <w:spacing w:val="-2"/>
      <w:sz w:val="32"/>
      <w:szCs w:val="24"/>
    </w:rPr>
  </w:style>
  <w:style w:type="paragraph" w:customStyle="1" w:styleId="3464">
    <w:name w:val="基准页眉样式"/>
    <w:basedOn w:val="34"/>
    <w:qFormat/>
    <w:uiPriority w:val="0"/>
    <w:pPr>
      <w:keepLines/>
      <w:widowControl/>
      <w:tabs>
        <w:tab w:val="center" w:pos="-18551"/>
        <w:tab w:val="right" w:pos="4320"/>
      </w:tabs>
      <w:spacing w:after="0" w:line="240" w:lineRule="atLeast"/>
      <w:jc w:val="center"/>
    </w:pPr>
    <w:rPr>
      <w:rFonts w:ascii="Garamond" w:hAnsi="Garamond" w:eastAsia="宋体" w:cs="宋体"/>
      <w:i/>
      <w:iCs/>
      <w:smallCaps/>
      <w:color w:val="000000"/>
      <w:spacing w:val="15"/>
      <w:sz w:val="21"/>
      <w:szCs w:val="24"/>
    </w:rPr>
  </w:style>
  <w:style w:type="paragraph" w:customStyle="1" w:styleId="3465">
    <w:name w:val="码头正文"/>
    <w:basedOn w:val="5"/>
    <w:qFormat/>
    <w:uiPriority w:val="0"/>
    <w:pPr>
      <w:spacing w:line="360" w:lineRule="auto"/>
      <w:ind w:firstLine="480" w:firstLineChars="200"/>
    </w:pPr>
    <w:rPr>
      <w:rFonts w:hint="eastAsia" w:ascii="宋体" w:hAnsi="Times New Roman" w:cs="宋体"/>
      <w:spacing w:val="0"/>
      <w:kern w:val="0"/>
      <w:szCs w:val="24"/>
      <w:u w:color="000000"/>
    </w:rPr>
  </w:style>
  <w:style w:type="paragraph" w:customStyle="1" w:styleId="3466">
    <w:name w:val="p9"/>
    <w:basedOn w:val="1"/>
    <w:qFormat/>
    <w:uiPriority w:val="0"/>
    <w:pPr>
      <w:widowControl/>
      <w:spacing w:before="100" w:beforeAutospacing="1" w:after="100" w:afterAutospacing="1" w:line="320" w:lineRule="atLeast"/>
      <w:jc w:val="left"/>
    </w:pPr>
    <w:rPr>
      <w:rFonts w:ascii="Arial Unicode MS" w:hAnsi="Arial Unicode MS" w:eastAsia="Arial Unicode MS" w:cs="黑体"/>
      <w:spacing w:val="-2"/>
      <w:kern w:val="0"/>
      <w:sz w:val="18"/>
    </w:rPr>
  </w:style>
  <w:style w:type="paragraph" w:customStyle="1" w:styleId="3467">
    <w:name w:val="湛宝表格"/>
    <w:basedOn w:val="1"/>
    <w:qFormat/>
    <w:uiPriority w:val="0"/>
    <w:pPr>
      <w:adjustRightInd w:val="0"/>
      <w:jc w:val="center"/>
    </w:pPr>
    <w:rPr>
      <w:rFonts w:eastAsia="Times New Roman" w:cs="黑体"/>
      <w:spacing w:val="10"/>
      <w:kern w:val="0"/>
      <w:sz w:val="24"/>
    </w:rPr>
  </w:style>
  <w:style w:type="paragraph" w:customStyle="1" w:styleId="3468">
    <w:name w:val="mstheme-navtxtnext"/>
    <w:basedOn w:val="1"/>
    <w:qFormat/>
    <w:uiPriority w:val="0"/>
    <w:pPr>
      <w:spacing w:before="100" w:beforeAutospacing="1" w:after="100" w:afterAutospacing="1"/>
    </w:pPr>
    <w:rPr>
      <w:rFonts w:eastAsia="宋体" w:cs="黑体"/>
      <w:color w:val="000000"/>
      <w:spacing w:val="-2"/>
      <w:kern w:val="0"/>
      <w:sz w:val="24"/>
    </w:rPr>
  </w:style>
  <w:style w:type="paragraph" w:customStyle="1" w:styleId="3469">
    <w:name w:val="关于:"/>
    <w:qFormat/>
    <w:uiPriority w:val="0"/>
    <w:pPr>
      <w:widowControl w:val="0"/>
      <w:jc w:val="both"/>
    </w:pPr>
    <w:rPr>
      <w:rFonts w:ascii="Times New Roman" w:hAnsi="Times New Roman" w:eastAsia="宋体" w:cs="Times New Roman"/>
      <w:lang w:val="en-US" w:eastAsia="zh-CN" w:bidi="ar-SA"/>
    </w:rPr>
  </w:style>
  <w:style w:type="paragraph" w:customStyle="1" w:styleId="3470">
    <w:name w:val="质标4"/>
    <w:basedOn w:val="1"/>
    <w:qFormat/>
    <w:uiPriority w:val="0"/>
    <w:pPr>
      <w:adjustRightInd w:val="0"/>
      <w:snapToGrid w:val="0"/>
      <w:spacing w:line="360" w:lineRule="auto"/>
    </w:pPr>
    <w:rPr>
      <w:rFonts w:ascii="楷体_GB2312" w:eastAsia="楷体_GB2312" w:cs="黑体"/>
      <w:spacing w:val="-2"/>
      <w:kern w:val="0"/>
    </w:rPr>
  </w:style>
  <w:style w:type="paragraph" w:customStyle="1" w:styleId="3471">
    <w:name w:val="xl19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472">
    <w:name w:val="样式84"/>
    <w:basedOn w:val="871"/>
    <w:qFormat/>
    <w:uiPriority w:val="0"/>
    <w:pPr>
      <w:widowControl/>
      <w:overflowPunct w:val="0"/>
      <w:autoSpaceDE w:val="0"/>
      <w:autoSpaceDN w:val="0"/>
      <w:adjustRightInd w:val="0"/>
      <w:snapToGrid w:val="0"/>
      <w:spacing w:beforeLines="50" w:line="240" w:lineRule="auto"/>
      <w:ind w:firstLine="0"/>
      <w:jc w:val="center"/>
    </w:pPr>
    <w:rPr>
      <w:rFonts w:hint="eastAsia" w:ascii="黑体" w:hAnsi="宋体" w:cs="宋体"/>
      <w:b/>
      <w:bCs/>
      <w:color w:val="000000"/>
      <w:spacing w:val="0"/>
      <w:sz w:val="21"/>
      <w:szCs w:val="21"/>
      <w:lang w:val="zh-CN"/>
    </w:rPr>
  </w:style>
  <w:style w:type="paragraph" w:customStyle="1" w:styleId="3473">
    <w:name w:val="正文1 加粗"/>
    <w:basedOn w:val="3023"/>
    <w:qFormat/>
    <w:uiPriority w:val="0"/>
    <w:pPr>
      <w:tabs>
        <w:tab w:val="left" w:pos="360"/>
      </w:tabs>
      <w:adjustRightInd/>
      <w:spacing w:before="93" w:after="0" w:line="240" w:lineRule="auto"/>
      <w:ind w:firstLine="200" w:firstLineChars="200"/>
    </w:pPr>
    <w:rPr>
      <w:rFonts w:hAnsi="宋体" w:cs="宋体"/>
      <w:b/>
      <w:spacing w:val="0"/>
      <w:szCs w:val="28"/>
    </w:rPr>
  </w:style>
  <w:style w:type="paragraph" w:customStyle="1" w:styleId="3474">
    <w:name w:val="样式 标题 2Se标题 21标题 121标题 2 Char1 Char节H2节标题 1.1节标题 1.1 Ch...2"/>
    <w:basedOn w:val="4"/>
    <w:qFormat/>
    <w:uiPriority w:val="0"/>
    <w:pPr>
      <w:tabs>
        <w:tab w:val="left" w:pos="1476"/>
        <w:tab w:val="clear" w:pos="567"/>
      </w:tabs>
      <w:spacing w:before="156" w:after="156"/>
      <w:ind w:left="50" w:leftChars="50" w:right="50" w:rightChars="50" w:hanging="420"/>
      <w:jc w:val="left"/>
    </w:pPr>
    <w:rPr>
      <w:rFonts w:ascii="宋体" w:hAnsi="宋体" w:eastAsia="宋体" w:cs="宋体"/>
      <w:b/>
      <w:bCs/>
      <w:spacing w:val="-2"/>
      <w:szCs w:val="28"/>
    </w:rPr>
  </w:style>
  <w:style w:type="paragraph" w:customStyle="1" w:styleId="3475">
    <w:name w:val="p-top"/>
    <w:basedOn w:val="1"/>
    <w:qFormat/>
    <w:uiPriority w:val="0"/>
    <w:pPr>
      <w:widowControl/>
      <w:shd w:val="clear" w:color="auto" w:fill="709CD2"/>
      <w:spacing w:before="100" w:beforeAutospacing="1" w:after="100" w:afterAutospacing="1"/>
      <w:jc w:val="left"/>
    </w:pPr>
    <w:rPr>
      <w:rFonts w:ascii="宋体" w:hAnsi="Calibri" w:eastAsia="宋体" w:cs="宋体"/>
      <w:spacing w:val="-2"/>
      <w:kern w:val="0"/>
      <w:sz w:val="24"/>
      <w:szCs w:val="21"/>
    </w:rPr>
  </w:style>
  <w:style w:type="paragraph" w:customStyle="1" w:styleId="3476">
    <w:name w:val="表中"/>
    <w:basedOn w:val="1"/>
    <w:qFormat/>
    <w:uiPriority w:val="0"/>
    <w:pPr>
      <w:adjustRightInd w:val="0"/>
      <w:snapToGrid w:val="0"/>
      <w:jc w:val="center"/>
    </w:pPr>
    <w:rPr>
      <w:rFonts w:eastAsia="宋体" w:cs="黑体"/>
      <w:spacing w:val="-2"/>
      <w:kern w:val="0"/>
    </w:rPr>
  </w:style>
  <w:style w:type="paragraph" w:customStyle="1" w:styleId="3477">
    <w:name w:val="中大4级3"/>
    <w:basedOn w:val="3179"/>
    <w:qFormat/>
    <w:uiPriority w:val="0"/>
    <w:pPr>
      <w:tabs>
        <w:tab w:val="left" w:pos="993"/>
        <w:tab w:val="clear" w:pos="0"/>
        <w:tab w:val="clear" w:pos="709"/>
        <w:tab w:val="clear" w:pos="1476"/>
      </w:tabs>
      <w:spacing w:beforeLines="0"/>
      <w:outlineLvl w:val="3"/>
    </w:pPr>
    <w:rPr>
      <w:sz w:val="24"/>
      <w:szCs w:val="24"/>
    </w:rPr>
  </w:style>
  <w:style w:type="paragraph" w:customStyle="1" w:styleId="3478">
    <w:name w:val="说明-表格-注"/>
    <w:basedOn w:val="1"/>
    <w:qFormat/>
    <w:uiPriority w:val="0"/>
    <w:pPr>
      <w:spacing w:line="0" w:lineRule="atLeast"/>
      <w:ind w:left="189" w:leftChars="189" w:right="374" w:firstLine="7" w:firstLineChars="7"/>
    </w:pPr>
    <w:rPr>
      <w:rFonts w:eastAsia="宋体" w:cs="黑体"/>
      <w:spacing w:val="-2"/>
      <w:kern w:val="0"/>
      <w:sz w:val="18"/>
    </w:rPr>
  </w:style>
  <w:style w:type="paragraph" w:customStyle="1" w:styleId="3479">
    <w:name w:val="headline-11"/>
    <w:basedOn w:val="1"/>
    <w:qFormat/>
    <w:uiPriority w:val="0"/>
    <w:pPr>
      <w:widowControl/>
      <w:pBdr>
        <w:bottom w:val="single" w:color="DEDFE1" w:sz="6" w:space="5"/>
      </w:pBdr>
      <w:spacing w:after="150" w:line="360" w:lineRule="atLeast"/>
      <w:jc w:val="left"/>
    </w:pPr>
    <w:rPr>
      <w:rFonts w:ascii="宋体" w:hAnsi="Calibri" w:eastAsia="宋体" w:cs="宋体"/>
      <w:b/>
      <w:bCs/>
      <w:spacing w:val="-2"/>
      <w:kern w:val="0"/>
      <w:sz w:val="27"/>
      <w:szCs w:val="27"/>
    </w:rPr>
  </w:style>
  <w:style w:type="paragraph" w:customStyle="1" w:styleId="3480">
    <w:name w:val="low-lh"/>
    <w:basedOn w:val="1"/>
    <w:qFormat/>
    <w:uiPriority w:val="0"/>
    <w:pPr>
      <w:widowControl/>
      <w:spacing w:before="100" w:beforeAutospacing="1" w:after="100" w:afterAutospacing="1"/>
      <w:jc w:val="left"/>
    </w:pPr>
    <w:rPr>
      <w:rFonts w:ascii="宋体" w:hAnsi="Calibri" w:eastAsia="宋体" w:cs="宋体"/>
      <w:spacing w:val="-2"/>
      <w:kern w:val="0"/>
      <w:szCs w:val="21"/>
    </w:rPr>
  </w:style>
  <w:style w:type="paragraph" w:customStyle="1" w:styleId="3481">
    <w:name w:val="样式 标题 2H21节标题H21SeHead wsa2 + 行距: 固定值 26 磅"/>
    <w:basedOn w:val="4"/>
    <w:qFormat/>
    <w:uiPriority w:val="0"/>
    <w:pPr>
      <w:keepLines w:val="0"/>
      <w:tabs>
        <w:tab w:val="left" w:pos="0"/>
        <w:tab w:val="left" w:pos="1191"/>
        <w:tab w:val="left" w:pos="1476"/>
        <w:tab w:val="clear" w:pos="567"/>
      </w:tabs>
      <w:adjustRightInd w:val="0"/>
      <w:snapToGrid w:val="0"/>
      <w:spacing w:before="0" w:beforeLines="50" w:after="0" w:line="520" w:lineRule="exact"/>
      <w:ind w:left="0" w:firstLine="471"/>
    </w:pPr>
    <w:rPr>
      <w:rFonts w:ascii="宋体" w:hAnsi="宋体" w:cs="宋体"/>
      <w:bCs/>
      <w:spacing w:val="-2"/>
      <w:sz w:val="30"/>
      <w:szCs w:val="30"/>
    </w:rPr>
  </w:style>
  <w:style w:type="paragraph" w:customStyle="1" w:styleId="3482">
    <w:name w:val="Char Char Char Char Char Char1 Char Char Char Char Char Char Char"/>
    <w:basedOn w:val="1"/>
    <w:qFormat/>
    <w:uiPriority w:val="0"/>
    <w:rPr>
      <w:rFonts w:eastAsia="宋体" w:cs="黑体"/>
      <w:spacing w:val="-2"/>
      <w:kern w:val="0"/>
      <w:sz w:val="24"/>
    </w:rPr>
  </w:style>
  <w:style w:type="paragraph" w:customStyle="1" w:styleId="3483">
    <w:name w:val="content-hd-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84">
    <w:name w:val="F正文"/>
    <w:qFormat/>
    <w:uiPriority w:val="0"/>
    <w:pPr>
      <w:widowControl w:val="0"/>
      <w:adjustRightInd w:val="0"/>
      <w:spacing w:line="360" w:lineRule="atLeast"/>
    </w:pPr>
    <w:rPr>
      <w:rFonts w:ascii="Times New Roman" w:hAnsi="Times New Roman" w:eastAsia="宋体" w:cs="Times New Roman"/>
      <w:spacing w:val="12"/>
      <w:sz w:val="24"/>
      <w:lang w:val="en-US" w:eastAsia="zh-CN" w:bidi="ar-SA"/>
    </w:rPr>
  </w:style>
  <w:style w:type="paragraph" w:customStyle="1" w:styleId="3485">
    <w:name w:val="样式 标题 4 + 段后: 7.8 磅"/>
    <w:basedOn w:val="7"/>
    <w:qFormat/>
    <w:uiPriority w:val="0"/>
    <w:pPr>
      <w:keepNext w:val="0"/>
      <w:keepLines w:val="0"/>
      <w:tabs>
        <w:tab w:val="left" w:pos="780"/>
        <w:tab w:val="left" w:pos="2153"/>
        <w:tab w:val="clear" w:pos="4008"/>
      </w:tabs>
      <w:adjustRightInd w:val="0"/>
      <w:snapToGrid w:val="0"/>
      <w:spacing w:beforeLines="10" w:after="156" w:line="460" w:lineRule="exact"/>
      <w:ind w:left="200" w:leftChars="200" w:hanging="360" w:hangingChars="200"/>
      <w:jc w:val="left"/>
    </w:pPr>
    <w:rPr>
      <w:rFonts w:ascii="Times New Roman" w:hAnsi="Times New Roman" w:eastAsia="宋体" w:cs="宋体"/>
      <w:b w:val="0"/>
      <w:color w:val="auto"/>
      <w:spacing w:val="-2"/>
      <w:kern w:val="0"/>
      <w:szCs w:val="24"/>
    </w:rPr>
  </w:style>
  <w:style w:type="paragraph" w:customStyle="1" w:styleId="3486">
    <w:name w:val="card-info-inner"/>
    <w:basedOn w:val="1"/>
    <w:qFormat/>
    <w:uiPriority w:val="0"/>
    <w:pPr>
      <w:widowControl/>
      <w:pBdr>
        <w:bottom w:val="single" w:color="DEDFE1"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487">
    <w:name w:val="一般内容"/>
    <w:basedOn w:val="1"/>
    <w:qFormat/>
    <w:uiPriority w:val="0"/>
    <w:pPr>
      <w:adjustRightInd w:val="0"/>
      <w:spacing w:beforeLines="50" w:line="400" w:lineRule="atLeast"/>
      <w:ind w:left="851"/>
    </w:pPr>
    <w:rPr>
      <w:rFonts w:eastAsia="宋体" w:cs="黑体"/>
      <w:spacing w:val="-2"/>
      <w:kern w:val="0"/>
      <w:sz w:val="24"/>
    </w:rPr>
  </w:style>
  <w:style w:type="paragraph" w:customStyle="1" w:styleId="3488">
    <w:name w:val="样式 (符号) 宋体 左 段前: 0.1 行"/>
    <w:basedOn w:val="1"/>
    <w:qFormat/>
    <w:uiPriority w:val="0"/>
    <w:pPr>
      <w:adjustRightInd w:val="0"/>
      <w:snapToGrid w:val="0"/>
      <w:spacing w:line="460" w:lineRule="exact"/>
      <w:ind w:firstLine="480" w:firstLineChars="200"/>
    </w:pPr>
    <w:rPr>
      <w:rFonts w:eastAsia="宋体" w:cs="宋体"/>
      <w:color w:val="0000FF"/>
      <w:spacing w:val="-2"/>
      <w:kern w:val="0"/>
      <w:sz w:val="24"/>
    </w:rPr>
  </w:style>
  <w:style w:type="paragraph" w:customStyle="1" w:styleId="3489">
    <w:name w:val="正文6"/>
    <w:basedOn w:val="34"/>
    <w:qFormat/>
    <w:uiPriority w:val="0"/>
    <w:pPr>
      <w:spacing w:after="0" w:line="360" w:lineRule="auto"/>
      <w:ind w:firstLine="200" w:firstLineChars="200"/>
    </w:pPr>
    <w:rPr>
      <w:rFonts w:ascii="宋体" w:hAnsi="宋体" w:eastAsia="宋体" w:cs="宋体"/>
      <w:i/>
      <w:iCs/>
      <w:color w:val="000000"/>
      <w:sz w:val="21"/>
      <w:szCs w:val="24"/>
    </w:rPr>
  </w:style>
  <w:style w:type="paragraph" w:customStyle="1" w:styleId="3490">
    <w:name w:val="样式 样式 (西文) 仿宋_GB2312 (中文) 仿宋_GB2312 黑色 悬挂缩进: 3 字符 段前: 0.5 行 行距....."/>
    <w:basedOn w:val="1"/>
    <w:qFormat/>
    <w:uiPriority w:val="0"/>
    <w:pPr>
      <w:spacing w:line="300" w:lineRule="auto"/>
      <w:ind w:left="200" w:leftChars="200" w:hanging="300" w:hangingChars="300"/>
    </w:pPr>
    <w:rPr>
      <w:rFonts w:ascii="仿宋_GB2312" w:hAnsi="Calibri" w:cs="黑体"/>
      <w:color w:val="000000"/>
      <w:spacing w:val="-2"/>
      <w:kern w:val="0"/>
    </w:rPr>
  </w:style>
  <w:style w:type="paragraph" w:customStyle="1" w:styleId="3491">
    <w:name w:val="2152793030"/>
    <w:basedOn w:val="1"/>
    <w:qFormat/>
    <w:uiPriority w:val="0"/>
    <w:pPr>
      <w:adjustRightInd w:val="0"/>
      <w:spacing w:line="420" w:lineRule="atLeast"/>
      <w:ind w:firstLine="200" w:firstLineChars="200"/>
    </w:pPr>
    <w:rPr>
      <w:rFonts w:ascii="宋体" w:hAnsi="Calibri" w:eastAsia="宋体" w:cs="黑体"/>
      <w:spacing w:val="20"/>
      <w:kern w:val="0"/>
      <w:sz w:val="24"/>
    </w:rPr>
  </w:style>
  <w:style w:type="paragraph" w:customStyle="1" w:styleId="3492">
    <w:name w:val="图编号"/>
    <w:basedOn w:val="46"/>
    <w:qFormat/>
    <w:uiPriority w:val="0"/>
    <w:pPr>
      <w:tabs>
        <w:tab w:val="left" w:pos="1140"/>
      </w:tabs>
      <w:spacing w:before="300" w:after="300"/>
      <w:ind w:left="1140" w:hanging="600"/>
      <w:jc w:val="center"/>
    </w:pPr>
    <w:rPr>
      <w:rFonts w:hAnsi="Calibri" w:cs="宋体"/>
      <w:sz w:val="24"/>
      <w:szCs w:val="24"/>
    </w:rPr>
  </w:style>
  <w:style w:type="paragraph" w:customStyle="1" w:styleId="3493">
    <w:name w:val="样式 样式 样式 标题 23号宋体居中2倍行距 + (西文) Times New Roman (中文) 宋体 三号 居中 行距:...2"/>
    <w:basedOn w:val="1"/>
    <w:qFormat/>
    <w:uiPriority w:val="0"/>
    <w:pPr>
      <w:keepNext/>
      <w:tabs>
        <w:tab w:val="left" w:pos="1575"/>
      </w:tabs>
      <w:snapToGrid w:val="0"/>
      <w:spacing w:beforeLines="50" w:line="520" w:lineRule="exact"/>
      <w:outlineLvl w:val="1"/>
    </w:pPr>
    <w:rPr>
      <w:rFonts w:eastAsia="宋体" w:cs="黑体"/>
      <w:b/>
      <w:bCs/>
      <w:spacing w:val="-2"/>
      <w:kern w:val="0"/>
      <w:szCs w:val="28"/>
    </w:rPr>
  </w:style>
  <w:style w:type="paragraph" w:customStyle="1" w:styleId="3494">
    <w:name w:val="普通(Web)"/>
    <w:basedOn w:val="1"/>
    <w:qFormat/>
    <w:uiPriority w:val="0"/>
    <w:pPr>
      <w:spacing w:before="100" w:beforeAutospacing="1" w:after="100" w:afterAutospacing="1"/>
    </w:pPr>
    <w:rPr>
      <w:rFonts w:eastAsia="宋体" w:cs="黑体"/>
      <w:spacing w:val="-2"/>
      <w:kern w:val="0"/>
      <w:sz w:val="24"/>
    </w:rPr>
  </w:style>
  <w:style w:type="paragraph" w:customStyle="1" w:styleId="3495">
    <w:name w:val="entries-box"/>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96">
    <w:name w:val="p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97">
    <w:name w:val="正文2002"/>
    <w:basedOn w:val="1"/>
    <w:qFormat/>
    <w:uiPriority w:val="0"/>
    <w:pPr>
      <w:adjustRightInd w:val="0"/>
      <w:spacing w:line="312" w:lineRule="atLeast"/>
      <w:jc w:val="center"/>
    </w:pPr>
    <w:rPr>
      <w:rFonts w:ascii="楷体_GB2312" w:hAnsi="Calibri" w:eastAsia="楷体_GB2312" w:cs="黑体"/>
      <w:b/>
      <w:bCs/>
      <w:spacing w:val="-2"/>
      <w:kern w:val="0"/>
      <w:sz w:val="44"/>
    </w:rPr>
  </w:style>
  <w:style w:type="paragraph" w:customStyle="1" w:styleId="3498">
    <w:name w:val="标题 1YHY"/>
    <w:basedOn w:val="3"/>
    <w:qFormat/>
    <w:uiPriority w:val="0"/>
    <w:pPr>
      <w:pageBreakBefore w:val="0"/>
      <w:tabs>
        <w:tab w:val="clear" w:pos="1080"/>
      </w:tabs>
      <w:spacing w:before="0" w:beforeLines="50" w:after="0" w:line="360" w:lineRule="auto"/>
      <w:ind w:left="0" w:firstLine="0"/>
      <w:jc w:val="both"/>
    </w:pPr>
    <w:rPr>
      <w:rFonts w:ascii="宋体" w:hAnsi="宋体" w:eastAsia="黑体" w:cs="宋体"/>
      <w:color w:val="000000"/>
      <w:spacing w:val="-2"/>
      <w:sz w:val="30"/>
      <w:szCs w:val="30"/>
    </w:rPr>
  </w:style>
  <w:style w:type="paragraph" w:customStyle="1" w:styleId="3499">
    <w:name w:val="一级无标题条"/>
    <w:basedOn w:val="1"/>
    <w:qFormat/>
    <w:uiPriority w:val="0"/>
    <w:pPr>
      <w:ind w:left="720" w:hanging="720"/>
    </w:pPr>
    <w:rPr>
      <w:rFonts w:eastAsia="宋体" w:cs="黑体"/>
      <w:spacing w:val="-2"/>
      <w:kern w:val="0"/>
    </w:rPr>
  </w:style>
  <w:style w:type="paragraph" w:customStyle="1" w:styleId="3500">
    <w:name w:val="报告样式4"/>
    <w:basedOn w:val="5"/>
    <w:qFormat/>
    <w:uiPriority w:val="0"/>
    <w:pPr>
      <w:spacing w:line="240" w:lineRule="auto"/>
      <w:ind w:firstLine="200" w:firstLineChars="200"/>
    </w:pPr>
    <w:rPr>
      <w:rFonts w:hint="eastAsia" w:ascii="Calibri" w:hAnsi="Calibri"/>
      <w:bCs/>
      <w:spacing w:val="0"/>
      <w:sz w:val="28"/>
      <w:szCs w:val="22"/>
    </w:rPr>
  </w:style>
  <w:style w:type="paragraph" w:customStyle="1" w:styleId="3501">
    <w:name w:val="许克亮标一"/>
    <w:qFormat/>
    <w:uiPriority w:val="0"/>
    <w:pPr>
      <w:adjustRightInd w:val="0"/>
      <w:snapToGrid w:val="0"/>
      <w:spacing w:line="360" w:lineRule="auto"/>
      <w:ind w:firstLine="561"/>
      <w:jc w:val="both"/>
    </w:pPr>
    <w:rPr>
      <w:rFonts w:ascii="Times New Roman" w:hAnsi="Times New Roman" w:eastAsia="黑体" w:cs="Times New Roman"/>
      <w:b/>
      <w:bCs/>
      <w:sz w:val="28"/>
      <w:szCs w:val="28"/>
      <w:lang w:val="en-US" w:eastAsia="zh-CN" w:bidi="ar-SA"/>
    </w:rPr>
  </w:style>
  <w:style w:type="paragraph" w:customStyle="1" w:styleId="3502">
    <w:name w:val="Char Char112"/>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503">
    <w:name w:val="标题正4"/>
    <w:basedOn w:val="1"/>
    <w:qFormat/>
    <w:uiPriority w:val="0"/>
    <w:pPr>
      <w:spacing w:line="300" w:lineRule="exact"/>
      <w:jc w:val="center"/>
    </w:pPr>
    <w:rPr>
      <w:rFonts w:eastAsia="宋体" w:cs="黑体"/>
      <w:color w:val="000000"/>
      <w:spacing w:val="-2"/>
      <w:kern w:val="0"/>
      <w:sz w:val="24"/>
    </w:rPr>
  </w:style>
  <w:style w:type="paragraph" w:customStyle="1" w:styleId="3504">
    <w:name w:val="样式 标题 1文章 + 段前: 0.5 行 段后: 0.5 行"/>
    <w:basedOn w:val="3505"/>
    <w:next w:val="1"/>
    <w:qFormat/>
    <w:uiPriority w:val="0"/>
    <w:pPr>
      <w:tabs>
        <w:tab w:val="left" w:pos="0"/>
        <w:tab w:val="left" w:pos="1407"/>
      </w:tabs>
      <w:autoSpaceDN w:val="0"/>
      <w:adjustRightInd w:val="0"/>
      <w:spacing w:line="520" w:lineRule="exact"/>
      <w:ind w:left="1386" w:firstLine="200" w:firstLineChars="200"/>
      <w:contextualSpacing/>
      <w:jc w:val="left"/>
    </w:pPr>
    <w:rPr>
      <w:rFonts w:ascii="黑体" w:eastAsia="黑体"/>
      <w:b w:val="0"/>
      <w:kern w:val="2"/>
      <w:szCs w:val="20"/>
    </w:rPr>
  </w:style>
  <w:style w:type="paragraph" w:customStyle="1" w:styleId="3505">
    <w:name w:val="标题 1文章"/>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506">
    <w:name w:val="燕山正文"/>
    <w:basedOn w:val="1"/>
    <w:qFormat/>
    <w:uiPriority w:val="0"/>
    <w:pPr>
      <w:tabs>
        <w:tab w:val="left" w:pos="4680"/>
      </w:tabs>
      <w:adjustRightInd w:val="0"/>
      <w:snapToGrid w:val="0"/>
      <w:spacing w:line="360" w:lineRule="auto"/>
      <w:ind w:firstLine="560" w:firstLineChars="200"/>
      <w:jc w:val="left"/>
    </w:pPr>
    <w:rPr>
      <w:rFonts w:ascii="宋体" w:hAnsi="宋体" w:eastAsia="宋体" w:cs="宋体"/>
      <w:color w:val="000000"/>
      <w:szCs w:val="28"/>
    </w:rPr>
  </w:style>
  <w:style w:type="paragraph" w:customStyle="1" w:styleId="3507">
    <w:name w:val="STANDARD 2"/>
    <w:basedOn w:val="1"/>
    <w:qFormat/>
    <w:uiPriority w:val="0"/>
    <w:pPr>
      <w:widowControl/>
      <w:ind w:left="1020"/>
      <w:jc w:val="left"/>
    </w:pPr>
    <w:rPr>
      <w:rFonts w:ascii="宋体" w:hAnsi="宋体" w:eastAsia="宋体" w:cs="宋体"/>
      <w:spacing w:val="-2"/>
      <w:kern w:val="0"/>
      <w:sz w:val="24"/>
      <w:lang w:val="fr-FR" w:eastAsia="fr-FR"/>
    </w:rPr>
  </w:style>
  <w:style w:type="paragraph" w:customStyle="1" w:styleId="3508">
    <w:name w:val="gotouc-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09">
    <w:name w:val="文件名"/>
    <w:qFormat/>
    <w:uiPriority w:val="0"/>
    <w:pPr>
      <w:widowControl w:val="0"/>
      <w:jc w:val="both"/>
    </w:pPr>
    <w:rPr>
      <w:rFonts w:ascii="Times New Roman" w:hAnsi="Times New Roman" w:eastAsia="宋体" w:cs="Times New Roman"/>
      <w:lang w:val="en-US" w:eastAsia="zh-CN" w:bidi="ar-SA"/>
    </w:rPr>
  </w:style>
  <w:style w:type="paragraph" w:customStyle="1" w:styleId="3510">
    <w:name w:val="xl178"/>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80"/>
      <w:spacing w:val="-2"/>
      <w:kern w:val="0"/>
      <w:sz w:val="24"/>
    </w:rPr>
  </w:style>
  <w:style w:type="paragraph" w:customStyle="1" w:styleId="3511">
    <w:name w:val="样式 毕二级 + 段前: 0.5 行 段后: 0.5 行"/>
    <w:basedOn w:val="1"/>
    <w:qFormat/>
    <w:uiPriority w:val="0"/>
    <w:pPr>
      <w:tabs>
        <w:tab w:val="left" w:pos="432"/>
      </w:tabs>
      <w:spacing w:before="120" w:after="120" w:line="360" w:lineRule="auto"/>
      <w:ind w:left="432" w:hanging="432"/>
    </w:pPr>
    <w:rPr>
      <w:rFonts w:eastAsia="宋体" w:cs="宋体"/>
      <w:bCs/>
      <w:spacing w:val="-2"/>
      <w:kern w:val="0"/>
      <w:sz w:val="24"/>
    </w:rPr>
  </w:style>
  <w:style w:type="paragraph" w:customStyle="1" w:styleId="3512">
    <w:name w:val="000 正文 首行缩进2字符"/>
    <w:basedOn w:val="1"/>
    <w:qFormat/>
    <w:uiPriority w:val="0"/>
    <w:pPr>
      <w:adjustRightInd w:val="0"/>
      <w:spacing w:line="288" w:lineRule="auto"/>
      <w:ind w:firstLine="200" w:firstLineChars="200"/>
    </w:pPr>
    <w:rPr>
      <w:rFonts w:eastAsia="宋体" w:cs="宋体"/>
      <w:spacing w:val="-2"/>
      <w:kern w:val="0"/>
      <w:sz w:val="18"/>
    </w:rPr>
  </w:style>
  <w:style w:type="paragraph" w:customStyle="1" w:styleId="3513">
    <w:name w:val="样式 报告 + 首行缩进:  2 字符"/>
    <w:basedOn w:val="1"/>
    <w:qFormat/>
    <w:uiPriority w:val="0"/>
    <w:pPr>
      <w:widowControl/>
      <w:overflowPunct w:val="0"/>
      <w:autoSpaceDE w:val="0"/>
      <w:autoSpaceDN w:val="0"/>
      <w:adjustRightInd w:val="0"/>
      <w:spacing w:before="120" w:after="120" w:line="400" w:lineRule="atLeast"/>
      <w:ind w:firstLine="200" w:firstLineChars="200"/>
    </w:pPr>
    <w:rPr>
      <w:rFonts w:ascii="宋体" w:hAnsi="宋体" w:eastAsia="宋体" w:cs="宋体"/>
      <w:spacing w:val="-2"/>
      <w:sz w:val="24"/>
      <w:szCs w:val="24"/>
    </w:rPr>
  </w:style>
  <w:style w:type="paragraph" w:customStyle="1" w:styleId="3514">
    <w:name w:val="表格_正文"/>
    <w:qFormat/>
    <w:uiPriority w:val="0"/>
    <w:pPr>
      <w:snapToGrid w:val="0"/>
      <w:spacing w:before="60" w:after="60"/>
      <w:jc w:val="center"/>
    </w:pPr>
    <w:rPr>
      <w:rFonts w:ascii="Times New Roman" w:hAnsi="Times New Roman" w:eastAsia="宋体" w:cs="Times New Roman"/>
      <w:sz w:val="21"/>
      <w:lang w:val="en-US" w:eastAsia="zh-CN" w:bidi="ar-SA"/>
    </w:rPr>
  </w:style>
  <w:style w:type="paragraph" w:customStyle="1" w:styleId="3515">
    <w:name w:val="文件册号"/>
    <w:basedOn w:val="1"/>
    <w:next w:val="1"/>
    <w:qFormat/>
    <w:uiPriority w:val="0"/>
    <w:pPr>
      <w:spacing w:line="800" w:lineRule="atLeast"/>
      <w:jc w:val="center"/>
    </w:pPr>
    <w:rPr>
      <w:rFonts w:eastAsia="宋体" w:cs="黑体"/>
      <w:spacing w:val="-2"/>
      <w:kern w:val="0"/>
      <w:sz w:val="52"/>
      <w:szCs w:val="52"/>
    </w:rPr>
  </w:style>
  <w:style w:type="paragraph" w:customStyle="1" w:styleId="3516">
    <w:name w:val="环调标题"/>
    <w:basedOn w:val="3"/>
    <w:qFormat/>
    <w:uiPriority w:val="0"/>
    <w:pPr>
      <w:pageBreakBefore w:val="0"/>
      <w:tabs>
        <w:tab w:val="clear" w:pos="1080"/>
      </w:tabs>
      <w:snapToGrid w:val="0"/>
      <w:spacing w:before="0" w:beforeLines="100" w:after="0" w:line="360" w:lineRule="auto"/>
      <w:ind w:left="0" w:firstLine="200" w:firstLineChars="200"/>
    </w:pPr>
    <w:rPr>
      <w:rFonts w:ascii="Calibri" w:hAnsi="Calibri" w:cs="Arial"/>
      <w:bCs/>
      <w:spacing w:val="-2"/>
      <w:szCs w:val="36"/>
    </w:rPr>
  </w:style>
  <w:style w:type="paragraph" w:customStyle="1" w:styleId="3517">
    <w:name w:val="myhome-hover"/>
    <w:basedOn w:val="1"/>
    <w:qFormat/>
    <w:uiPriority w:val="0"/>
    <w:pPr>
      <w:widowControl/>
      <w:pBdr>
        <w:top w:val="single" w:color="999999" w:sz="6" w:space="0"/>
        <w:left w:val="single" w:color="999999" w:sz="6" w:space="0"/>
        <w:bottom w:val="single" w:color="999999" w:sz="6" w:space="0"/>
        <w:right w:val="single" w:color="999999"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518">
    <w:name w:val="敬启者："/>
    <w:qFormat/>
    <w:uiPriority w:val="0"/>
    <w:pPr>
      <w:widowControl w:val="0"/>
      <w:jc w:val="both"/>
    </w:pPr>
    <w:rPr>
      <w:rFonts w:ascii="Times New Roman" w:hAnsi="Times New Roman" w:eastAsia="宋体" w:cs="Times New Roman"/>
      <w:lang w:val="en-US" w:eastAsia="zh-CN" w:bidi="ar-SA"/>
    </w:rPr>
  </w:style>
  <w:style w:type="paragraph" w:customStyle="1" w:styleId="3519">
    <w:name w:val="样式 节标题 + 首行缩进:  2 字符"/>
    <w:basedOn w:val="1"/>
    <w:qFormat/>
    <w:uiPriority w:val="0"/>
    <w:pPr>
      <w:adjustRightInd w:val="0"/>
      <w:snapToGrid w:val="0"/>
      <w:spacing w:line="360" w:lineRule="auto"/>
      <w:ind w:left="-108"/>
      <w:jc w:val="left"/>
      <w:outlineLvl w:val="2"/>
    </w:pPr>
    <w:rPr>
      <w:rFonts w:ascii="宋体" w:hAnsi="宋体" w:eastAsia="黑体" w:cs="宋体"/>
      <w:b/>
      <w:bCs/>
      <w:spacing w:val="-2"/>
      <w:kern w:val="0"/>
      <w:szCs w:val="28"/>
    </w:rPr>
  </w:style>
  <w:style w:type="paragraph" w:customStyle="1" w:styleId="3520">
    <w:name w:val="样式 表格文字 + 左侧:  -0.5 字符"/>
    <w:basedOn w:val="46"/>
    <w:qFormat/>
    <w:uiPriority w:val="0"/>
    <w:pPr>
      <w:ind w:left="6" w:hanging="6" w:hangingChars="6"/>
      <w:jc w:val="left"/>
    </w:pPr>
    <w:rPr>
      <w:rFonts w:hAnsi="Calibri" w:eastAsia="仿宋_GB2312" w:cs="宋体"/>
      <w:bCs/>
      <w:sz w:val="24"/>
      <w:szCs w:val="24"/>
    </w:rPr>
  </w:style>
  <w:style w:type="paragraph" w:customStyle="1" w:styleId="3521">
    <w:name w:val="样式119"/>
    <w:basedOn w:val="1"/>
    <w:qFormat/>
    <w:uiPriority w:val="0"/>
    <w:pPr>
      <w:keepNext/>
      <w:keepLines/>
      <w:tabs>
        <w:tab w:val="left" w:pos="570"/>
        <w:tab w:val="left" w:pos="1135"/>
      </w:tabs>
      <w:adjustRightInd w:val="0"/>
      <w:spacing w:before="156" w:after="156" w:line="360" w:lineRule="auto"/>
      <w:ind w:left="1135" w:hanging="1418"/>
      <w:outlineLvl w:val="2"/>
    </w:pPr>
    <w:rPr>
      <w:rFonts w:ascii="宋体" w:hAnsi="Calibri" w:eastAsia="宋体" w:cs="Arial"/>
      <w:b/>
      <w:color w:val="000000"/>
      <w:spacing w:val="-2"/>
      <w:kern w:val="0"/>
      <w:sz w:val="24"/>
      <w:szCs w:val="32"/>
    </w:rPr>
  </w:style>
  <w:style w:type="paragraph" w:customStyle="1" w:styleId="3522">
    <w:name w:val="样式 样式 段前: 4.65 磅 行距: 多倍行距 1.15 字行 + 首行缩进:  2 字符"/>
    <w:basedOn w:val="1"/>
    <w:qFormat/>
    <w:uiPriority w:val="0"/>
    <w:pPr>
      <w:spacing w:before="93" w:line="312" w:lineRule="auto"/>
      <w:ind w:firstLine="200" w:firstLineChars="200"/>
    </w:pPr>
    <w:rPr>
      <w:rFonts w:eastAsia="宋体" w:cs="宋体"/>
      <w:spacing w:val="-2"/>
      <w:kern w:val="0"/>
      <w:sz w:val="24"/>
    </w:rPr>
  </w:style>
  <w:style w:type="paragraph" w:customStyle="1" w:styleId="3523">
    <w:name w:val="piece1"/>
    <w:basedOn w:val="1"/>
    <w:qFormat/>
    <w:uiPriority w:val="0"/>
    <w:pPr>
      <w:widowControl/>
      <w:pBdr>
        <w:bottom w:val="dotted" w:color="B8D6E6"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524">
    <w:name w:val="样式 样式 题注 + 加粗 + Times New Roman 行距: 单倍行距"/>
    <w:basedOn w:val="1"/>
    <w:qFormat/>
    <w:uiPriority w:val="0"/>
    <w:pPr>
      <w:adjustRightInd w:val="0"/>
      <w:spacing w:before="152" w:after="160"/>
      <w:jc w:val="center"/>
    </w:pPr>
    <w:rPr>
      <w:rFonts w:eastAsia="黑体" w:cs="宋体"/>
      <w:spacing w:val="-2"/>
      <w:kern w:val="0"/>
      <w:sz w:val="24"/>
    </w:rPr>
  </w:style>
  <w:style w:type="paragraph" w:customStyle="1" w:styleId="3525">
    <w:name w:val="纸短情长，再祈珍重！"/>
    <w:qFormat/>
    <w:uiPriority w:val="0"/>
    <w:pPr>
      <w:widowControl w:val="0"/>
      <w:jc w:val="both"/>
    </w:pPr>
    <w:rPr>
      <w:rFonts w:ascii="Times New Roman" w:hAnsi="Times New Roman" w:eastAsia="宋体" w:cs="Times New Roman"/>
      <w:lang w:val="en-US" w:eastAsia="zh-CN" w:bidi="ar-SA"/>
    </w:rPr>
  </w:style>
  <w:style w:type="paragraph" w:customStyle="1" w:styleId="3526">
    <w:name w:val="分标题"/>
    <w:basedOn w:val="1"/>
    <w:qFormat/>
    <w:uiPriority w:val="0"/>
    <w:pPr>
      <w:keepNext/>
      <w:keepLines/>
      <w:suppressLineNumbers/>
      <w:autoSpaceDE w:val="0"/>
      <w:autoSpaceDN w:val="0"/>
      <w:adjustRightInd w:val="0"/>
      <w:spacing w:after="120" w:line="400" w:lineRule="atLeast"/>
      <w:ind w:left="851"/>
    </w:pPr>
    <w:rPr>
      <w:rFonts w:ascii="宋体" w:hAnsi="Calibri" w:eastAsia="宋体" w:cs="黑体"/>
      <w:b/>
      <w:bCs/>
      <w:spacing w:val="-2"/>
      <w:kern w:val="0"/>
      <w:sz w:val="24"/>
      <w:u w:val="single"/>
    </w:rPr>
  </w:style>
  <w:style w:type="paragraph" w:customStyle="1" w:styleId="3527">
    <w:name w:val="仿宋体"/>
    <w:basedOn w:val="1"/>
    <w:qFormat/>
    <w:uiPriority w:val="0"/>
    <w:pPr>
      <w:widowControl/>
      <w:spacing w:line="844" w:lineRule="atLeast"/>
      <w:ind w:firstLine="419"/>
    </w:pPr>
    <w:rPr>
      <w:rFonts w:cs="黑体"/>
      <w:color w:val="000000"/>
      <w:spacing w:val="-2"/>
      <w:kern w:val="0"/>
      <w:sz w:val="31"/>
      <w:u w:color="000000"/>
    </w:rPr>
  </w:style>
  <w:style w:type="character" w:customStyle="1" w:styleId="3528">
    <w:name w:val="明显引用 Char1"/>
    <w:qFormat/>
    <w:uiPriority w:val="0"/>
    <w:rPr>
      <w:rFonts w:eastAsia="仿宋_GB2312"/>
      <w:b/>
      <w:bCs/>
      <w:i/>
      <w:iCs/>
      <w:color w:val="4F81BD"/>
      <w:kern w:val="2"/>
      <w:sz w:val="28"/>
    </w:rPr>
  </w:style>
  <w:style w:type="paragraph" w:customStyle="1" w:styleId="3529">
    <w:name w:val="8.7表头"/>
    <w:basedOn w:val="1"/>
    <w:qFormat/>
    <w:uiPriority w:val="0"/>
    <w:pPr>
      <w:spacing w:line="460" w:lineRule="exact"/>
      <w:jc w:val="center"/>
    </w:pPr>
    <w:rPr>
      <w:rFonts w:eastAsia="宋体" w:cs="宋体"/>
      <w:b/>
      <w:bCs/>
      <w:spacing w:val="-2"/>
      <w:kern w:val="0"/>
    </w:rPr>
  </w:style>
  <w:style w:type="paragraph" w:customStyle="1" w:styleId="3530">
    <w:name w:val="正文 宋体 小四 行距: 1.5 倍行距"/>
    <w:basedOn w:val="1"/>
    <w:qFormat/>
    <w:uiPriority w:val="0"/>
    <w:pPr>
      <w:spacing w:line="360" w:lineRule="auto"/>
      <w:ind w:firstLine="480" w:firstLineChars="200"/>
    </w:pPr>
    <w:rPr>
      <w:rFonts w:ascii="宋体" w:eastAsia="宋体" w:cs="宋体"/>
      <w:spacing w:val="-2"/>
      <w:kern w:val="0"/>
      <w:sz w:val="24"/>
    </w:rPr>
  </w:style>
  <w:style w:type="paragraph" w:customStyle="1" w:styleId="3531">
    <w:name w:val="样式 标题 2 + 行距: 单倍行距"/>
    <w:basedOn w:val="4"/>
    <w:qFormat/>
    <w:uiPriority w:val="0"/>
    <w:pPr>
      <w:keepLines w:val="0"/>
      <w:tabs>
        <w:tab w:val="left" w:pos="1476"/>
        <w:tab w:val="clear" w:pos="567"/>
      </w:tabs>
      <w:adjustRightInd w:val="0"/>
      <w:snapToGrid w:val="0"/>
      <w:spacing w:before="0" w:beforeLines="50" w:after="0"/>
      <w:ind w:left="0" w:firstLine="0"/>
    </w:pPr>
    <w:rPr>
      <w:rFonts w:ascii="Arial" w:cs="宋体"/>
      <w:spacing w:val="-2"/>
      <w:szCs w:val="24"/>
    </w:rPr>
  </w:style>
  <w:style w:type="paragraph" w:customStyle="1" w:styleId="3532">
    <w:name w:val="p-body-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33">
    <w:name w:val="xl18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FF"/>
      <w:spacing w:val="-2"/>
      <w:kern w:val="0"/>
      <w:sz w:val="24"/>
    </w:rPr>
  </w:style>
  <w:style w:type="paragraph" w:customStyle="1" w:styleId="3534">
    <w:name w:val="带括号的正文"/>
    <w:basedOn w:val="1"/>
    <w:next w:val="1"/>
    <w:qFormat/>
    <w:uiPriority w:val="0"/>
    <w:pPr>
      <w:adjustRightInd w:val="0"/>
      <w:snapToGrid w:val="0"/>
      <w:ind w:firstLine="200" w:firstLineChars="200"/>
    </w:pPr>
    <w:rPr>
      <w:rFonts w:eastAsia="宋体" w:cs="黑体"/>
      <w:spacing w:val="-2"/>
      <w:kern w:val="0"/>
      <w:sz w:val="24"/>
      <w:szCs w:val="28"/>
    </w:rPr>
  </w:style>
  <w:style w:type="paragraph" w:customStyle="1" w:styleId="3535">
    <w:name w:val="样式 11.5 磅 行距: 1.5 倍行距4"/>
    <w:basedOn w:val="1"/>
    <w:qFormat/>
    <w:uiPriority w:val="0"/>
    <w:pPr>
      <w:ind w:firstLine="200" w:firstLineChars="200"/>
    </w:pPr>
    <w:rPr>
      <w:rFonts w:eastAsia="宋体" w:cs="宋体"/>
      <w:spacing w:val="-2"/>
      <w:kern w:val="0"/>
      <w:sz w:val="24"/>
    </w:rPr>
  </w:style>
  <w:style w:type="paragraph" w:customStyle="1" w:styleId="3536">
    <w:name w:val="mb1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37">
    <w:name w:val="Char1 Char Char Char2"/>
    <w:basedOn w:val="1"/>
    <w:qFormat/>
    <w:uiPriority w:val="0"/>
    <w:rPr>
      <w:rFonts w:eastAsia="宋体" w:cs="黑体"/>
      <w:spacing w:val="-2"/>
      <w:kern w:val="0"/>
    </w:rPr>
  </w:style>
  <w:style w:type="paragraph" w:customStyle="1" w:styleId="3538">
    <w:name w:val="样式 标题 2 + 左 段前: 0磅 段后: 7.8 磅 行距: 1.5 倍行距"/>
    <w:basedOn w:val="4"/>
    <w:qFormat/>
    <w:uiPriority w:val="0"/>
    <w:pPr>
      <w:keepLines w:val="0"/>
      <w:tabs>
        <w:tab w:val="left" w:pos="0"/>
        <w:tab w:val="left" w:pos="1476"/>
        <w:tab w:val="clear" w:pos="567"/>
      </w:tabs>
      <w:spacing w:before="156" w:after="156" w:line="360" w:lineRule="auto"/>
      <w:ind w:left="0" w:firstLine="0"/>
    </w:pPr>
    <w:rPr>
      <w:rFonts w:hAnsi="黑体" w:eastAsia="宋体" w:cs="宋体"/>
      <w:b/>
      <w:bCs/>
      <w:spacing w:val="-2"/>
      <w:sz w:val="32"/>
    </w:rPr>
  </w:style>
  <w:style w:type="paragraph" w:customStyle="1" w:styleId="3539">
    <w:name w:val="样式 标题 31.1.1条标题 3 Char Char标题 3 Char标3§1.1.1.. (1.1.1)- ...1"/>
    <w:basedOn w:val="1"/>
    <w:qFormat/>
    <w:uiPriority w:val="0"/>
    <w:pPr>
      <w:tabs>
        <w:tab w:val="left" w:pos="0"/>
        <w:tab w:val="left" w:pos="1418"/>
      </w:tabs>
      <w:spacing w:line="312" w:lineRule="auto"/>
      <w:ind w:left="1418" w:hanging="567"/>
    </w:pPr>
    <w:rPr>
      <w:rFonts w:eastAsia="宋体" w:cs="黑体"/>
      <w:spacing w:val="-2"/>
      <w:kern w:val="0"/>
      <w:sz w:val="24"/>
    </w:rPr>
  </w:style>
  <w:style w:type="paragraph" w:customStyle="1" w:styleId="3540">
    <w:name w:val="u正文"/>
    <w:basedOn w:val="1"/>
    <w:qFormat/>
    <w:uiPriority w:val="0"/>
    <w:pPr>
      <w:spacing w:line="360" w:lineRule="auto"/>
      <w:ind w:firstLine="200" w:firstLineChars="200"/>
    </w:pPr>
    <w:rPr>
      <w:rFonts w:eastAsia="宋体" w:cs="黑体"/>
      <w:kern w:val="0"/>
      <w:sz w:val="24"/>
    </w:rPr>
  </w:style>
  <w:style w:type="paragraph" w:customStyle="1" w:styleId="3541">
    <w:name w:val="1.1.1.1样式 标题 4"/>
    <w:basedOn w:val="7"/>
    <w:qFormat/>
    <w:uiPriority w:val="0"/>
    <w:pPr>
      <w:tabs>
        <w:tab w:val="left" w:pos="864"/>
        <w:tab w:val="left" w:pos="2153"/>
        <w:tab w:val="clear" w:pos="4008"/>
      </w:tabs>
      <w:spacing w:after="163" w:line="360" w:lineRule="auto"/>
      <w:ind w:left="1680" w:hanging="420"/>
      <w:jc w:val="both"/>
    </w:pPr>
    <w:rPr>
      <w:rFonts w:ascii="Times New Roman" w:hAnsi="Times New Roman" w:eastAsia="宋体" w:cs="宋体"/>
      <w:b w:val="0"/>
      <w:color w:val="auto"/>
      <w:spacing w:val="-2"/>
      <w:szCs w:val="24"/>
    </w:rPr>
  </w:style>
  <w:style w:type="paragraph" w:customStyle="1" w:styleId="3542">
    <w:name w:val="注×："/>
    <w:qFormat/>
    <w:uiPriority w:val="0"/>
    <w:pPr>
      <w:widowControl w:val="0"/>
      <w:tabs>
        <w:tab w:val="left" w:pos="303"/>
        <w:tab w:val="left" w:pos="630"/>
        <w:tab w:val="left" w:pos="840"/>
      </w:tabs>
      <w:autoSpaceDE w:val="0"/>
      <w:autoSpaceDN w:val="0"/>
      <w:ind w:left="303" w:hanging="360"/>
      <w:jc w:val="both"/>
    </w:pPr>
    <w:rPr>
      <w:rFonts w:ascii="宋体" w:hAnsi="Times New Roman" w:eastAsia="宋体" w:cs="Times New Roman"/>
      <w:sz w:val="18"/>
      <w:lang w:val="en-US" w:eastAsia="zh-CN" w:bidi="ar-SA"/>
    </w:rPr>
  </w:style>
  <w:style w:type="paragraph" w:customStyle="1" w:styleId="3543">
    <w:name w:val="第几节"/>
    <w:basedOn w:val="1"/>
    <w:qFormat/>
    <w:uiPriority w:val="0"/>
    <w:pPr>
      <w:spacing w:beforeLines="50"/>
      <w:ind w:firstLine="480"/>
      <w:jc w:val="center"/>
    </w:pPr>
    <w:rPr>
      <w:rFonts w:eastAsia="黑体" w:cs="黑体"/>
      <w:b/>
      <w:bCs/>
      <w:color w:val="000000"/>
      <w:spacing w:val="-2"/>
      <w:kern w:val="0"/>
      <w:sz w:val="30"/>
      <w:szCs w:val="30"/>
    </w:rPr>
  </w:style>
  <w:style w:type="paragraph" w:customStyle="1" w:styleId="3544">
    <w:name w:val="责任页"/>
    <w:basedOn w:val="1"/>
    <w:qFormat/>
    <w:uiPriority w:val="0"/>
    <w:pPr>
      <w:spacing w:line="300" w:lineRule="auto"/>
    </w:pPr>
    <w:rPr>
      <w:rFonts w:eastAsia="宋体" w:cs="黑体"/>
      <w:spacing w:val="-2"/>
      <w:kern w:val="0"/>
    </w:rPr>
  </w:style>
  <w:style w:type="paragraph" w:customStyle="1" w:styleId="3545">
    <w:name w:val="报告表格内文"/>
    <w:basedOn w:val="39"/>
    <w:qFormat/>
    <w:uiPriority w:val="0"/>
    <w:pPr>
      <w:tabs>
        <w:tab w:val="left" w:pos="0"/>
        <w:tab w:val="clear" w:pos="3360"/>
      </w:tabs>
      <w:adjustRightInd w:val="0"/>
      <w:spacing w:line="400" w:lineRule="exact"/>
      <w:ind w:left="0" w:right="0" w:firstLine="0"/>
      <w:jc w:val="center"/>
    </w:pPr>
    <w:rPr>
      <w:rFonts w:cs="黑体"/>
      <w:bCs/>
      <w:color w:val="000000"/>
      <w:spacing w:val="-2"/>
      <w:kern w:val="0"/>
      <w:sz w:val="21"/>
    </w:rPr>
  </w:style>
  <w:style w:type="paragraph" w:customStyle="1" w:styleId="3546">
    <w:name w:val="样式 标题 1 + 宋体 四号 黑色"/>
    <w:basedOn w:val="3"/>
    <w:qFormat/>
    <w:uiPriority w:val="0"/>
    <w:pPr>
      <w:keepLines w:val="0"/>
      <w:tabs>
        <w:tab w:val="clear" w:pos="1080"/>
      </w:tabs>
      <w:spacing w:after="360" w:line="240" w:lineRule="auto"/>
      <w:ind w:left="0" w:firstLine="0"/>
    </w:pPr>
    <w:rPr>
      <w:rFonts w:ascii="宋体" w:hAnsi="宋体" w:eastAsia="黑体" w:cs="宋体"/>
      <w:bCs/>
      <w:color w:val="000000"/>
      <w:spacing w:val="-2"/>
      <w:sz w:val="28"/>
      <w:szCs w:val="48"/>
    </w:rPr>
  </w:style>
  <w:style w:type="paragraph" w:customStyle="1" w:styleId="3547">
    <w:name w:val="页面 7"/>
    <w:basedOn w:val="1"/>
    <w:qFormat/>
    <w:uiPriority w:val="0"/>
    <w:pPr>
      <w:autoSpaceDE w:val="0"/>
      <w:autoSpaceDN w:val="0"/>
      <w:spacing w:before="120" w:after="120"/>
      <w:jc w:val="center"/>
    </w:pPr>
    <w:rPr>
      <w:rFonts w:eastAsia="宋体" w:cs="黑体"/>
      <w:spacing w:val="-2"/>
      <w:kern w:val="0"/>
      <w:sz w:val="32"/>
    </w:rPr>
  </w:style>
  <w:style w:type="paragraph" w:customStyle="1" w:styleId="3548">
    <w:name w:val="正文文本 212"/>
    <w:basedOn w:val="1"/>
    <w:qFormat/>
    <w:uiPriority w:val="0"/>
    <w:pPr>
      <w:overflowPunct w:val="0"/>
      <w:autoSpaceDE w:val="0"/>
      <w:autoSpaceDN w:val="0"/>
      <w:adjustRightInd w:val="0"/>
      <w:ind w:left="991" w:hanging="567"/>
    </w:pPr>
    <w:rPr>
      <w:rFonts w:ascii="宋体" w:hAnsi="Calibri" w:eastAsia="宋体" w:cs="黑体"/>
      <w:spacing w:val="-2"/>
      <w:kern w:val="0"/>
    </w:rPr>
  </w:style>
  <w:style w:type="paragraph" w:customStyle="1" w:styleId="3549">
    <w:name w:val="节标题"/>
    <w:basedOn w:val="1"/>
    <w:next w:val="1"/>
    <w:qFormat/>
    <w:uiPriority w:val="0"/>
    <w:pPr>
      <w:tabs>
        <w:tab w:val="center" w:pos="3920"/>
      </w:tabs>
      <w:spacing w:before="139" w:after="139" w:line="520" w:lineRule="exact"/>
      <w:jc w:val="center"/>
      <w:outlineLvl w:val="3"/>
    </w:pPr>
    <w:rPr>
      <w:rFonts w:eastAsia="华文新魏" w:cs="黑体"/>
      <w:b/>
      <w:spacing w:val="-2"/>
      <w:kern w:val="0"/>
      <w:sz w:val="32"/>
    </w:rPr>
  </w:style>
  <w:style w:type="paragraph" w:customStyle="1" w:styleId="3550">
    <w:name w:val="1.1"/>
    <w:qFormat/>
    <w:uiPriority w:val="0"/>
    <w:pPr>
      <w:widowControl w:val="0"/>
      <w:tabs>
        <w:tab w:val="left" w:pos="855"/>
      </w:tabs>
      <w:ind w:left="855" w:hanging="855"/>
      <w:jc w:val="both"/>
    </w:pPr>
    <w:rPr>
      <w:rFonts w:ascii="Times New Roman" w:hAnsi="Times New Roman" w:eastAsia="宋体" w:cs="Times New Roman"/>
      <w:kern w:val="2"/>
      <w:sz w:val="24"/>
      <w:lang w:val="en-US" w:eastAsia="zh-CN" w:bidi="ar-SA"/>
    </w:rPr>
  </w:style>
  <w:style w:type="paragraph" w:customStyle="1" w:styleId="3551">
    <w:name w:val="表格 33"/>
    <w:basedOn w:val="1"/>
    <w:qFormat/>
    <w:uiPriority w:val="0"/>
    <w:pPr>
      <w:autoSpaceDE w:val="0"/>
      <w:autoSpaceDN w:val="0"/>
      <w:adjustRightInd w:val="0"/>
      <w:jc w:val="center"/>
    </w:pPr>
    <w:rPr>
      <w:rFonts w:eastAsia="楷体" w:cs="黑体"/>
      <w:spacing w:val="-2"/>
      <w:kern w:val="0"/>
      <w:sz w:val="24"/>
    </w:rPr>
  </w:style>
  <w:style w:type="paragraph" w:customStyle="1" w:styleId="3552">
    <w:name w:val="Char4"/>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553">
    <w:name w:val="tip-block"/>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54">
    <w:name w:val="扉页"/>
    <w:basedOn w:val="1"/>
    <w:qFormat/>
    <w:uiPriority w:val="0"/>
    <w:pPr>
      <w:spacing w:line="400" w:lineRule="exact"/>
      <w:ind w:firstLine="2258" w:firstLineChars="1071"/>
      <w:jc w:val="left"/>
    </w:pPr>
    <w:rPr>
      <w:rFonts w:eastAsia="宋体" w:cs="宋体"/>
      <w:bCs/>
      <w:spacing w:val="-2"/>
      <w:kern w:val="0"/>
      <w:sz w:val="30"/>
    </w:rPr>
  </w:style>
  <w:style w:type="paragraph" w:customStyle="1" w:styleId="3555">
    <w:name w:val="样式68"/>
    <w:basedOn w:val="1"/>
    <w:qFormat/>
    <w:uiPriority w:val="0"/>
    <w:pPr>
      <w:spacing w:line="360" w:lineRule="auto"/>
      <w:ind w:right="-40"/>
      <w:jc w:val="center"/>
    </w:pPr>
    <w:rPr>
      <w:rFonts w:ascii="宋体" w:hAnsi="宋体" w:eastAsia="宋体" w:cs="黑体"/>
      <w:b/>
      <w:bCs/>
      <w:spacing w:val="-2"/>
      <w:kern w:val="0"/>
      <w:szCs w:val="21"/>
    </w:rPr>
  </w:style>
  <w:style w:type="paragraph" w:customStyle="1" w:styleId="3556">
    <w:name w:val="icon-growup-task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57">
    <w:name w:val="CM126"/>
    <w:basedOn w:val="1"/>
    <w:next w:val="1"/>
    <w:qFormat/>
    <w:uiPriority w:val="0"/>
    <w:pPr>
      <w:autoSpaceDE w:val="0"/>
      <w:autoSpaceDN w:val="0"/>
      <w:adjustRightInd w:val="0"/>
      <w:spacing w:after="285"/>
      <w:jc w:val="left"/>
    </w:pPr>
    <w:rPr>
      <w:rFonts w:ascii="仿宋_GB2312" w:hAnsi="Calibri" w:cs="黑体"/>
      <w:spacing w:val="-2"/>
      <w:kern w:val="0"/>
      <w:sz w:val="24"/>
    </w:rPr>
  </w:style>
  <w:style w:type="paragraph" w:customStyle="1" w:styleId="3558">
    <w:name w:val="Char Char Char Char Char Char Char2"/>
    <w:basedOn w:val="1"/>
    <w:qFormat/>
    <w:uiPriority w:val="0"/>
    <w:pPr>
      <w:widowControl/>
      <w:spacing w:after="160" w:line="240" w:lineRule="exact"/>
      <w:jc w:val="left"/>
    </w:pPr>
    <w:rPr>
      <w:rFonts w:ascii="Verdana" w:hAnsi="Verdana" w:eastAsia="宋体" w:cs="黑体"/>
      <w:spacing w:val="-2"/>
      <w:kern w:val="0"/>
      <w:sz w:val="20"/>
      <w:szCs w:val="32"/>
      <w:lang w:eastAsia="en-US"/>
    </w:rPr>
  </w:style>
  <w:style w:type="paragraph" w:customStyle="1" w:styleId="3559">
    <w:name w:val="myhome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60">
    <w:name w:val="表格式"/>
    <w:basedOn w:val="67"/>
    <w:qFormat/>
    <w:uiPriority w:val="0"/>
    <w:pPr>
      <w:autoSpaceDE/>
      <w:autoSpaceDN/>
      <w:adjustRightInd/>
      <w:spacing w:line="360" w:lineRule="exact"/>
      <w:ind w:left="3360" w:firstLine="0" w:firstLineChars="0"/>
      <w:jc w:val="both"/>
      <w:textAlignment w:val="auto"/>
    </w:pPr>
    <w:rPr>
      <w:rFonts w:ascii="Times New Roman" w:cs="黑体"/>
      <w:spacing w:val="-2"/>
      <w:sz w:val="28"/>
    </w:rPr>
  </w:style>
  <w:style w:type="paragraph" w:customStyle="1" w:styleId="3561">
    <w:name w:val="search-btn1"/>
    <w:basedOn w:val="1"/>
    <w:qFormat/>
    <w:uiPriority w:val="0"/>
    <w:pPr>
      <w:widowControl/>
      <w:spacing w:line="330" w:lineRule="atLeast"/>
      <w:ind w:right="45"/>
      <w:jc w:val="left"/>
    </w:pPr>
    <w:rPr>
      <w:rFonts w:ascii="宋体" w:hAnsi="Calibri" w:eastAsia="宋体" w:cs="宋体"/>
      <w:spacing w:val="-2"/>
      <w:kern w:val="0"/>
      <w:sz w:val="18"/>
      <w:szCs w:val="18"/>
    </w:rPr>
  </w:style>
  <w:style w:type="paragraph" w:customStyle="1" w:styleId="3562">
    <w:name w:val="rs-icon1"/>
    <w:basedOn w:val="1"/>
    <w:qFormat/>
    <w:uiPriority w:val="0"/>
    <w:pPr>
      <w:widowControl/>
      <w:spacing w:before="100" w:beforeAutospacing="1" w:after="100" w:afterAutospacing="1" w:line="405" w:lineRule="atLeast"/>
      <w:jc w:val="left"/>
    </w:pPr>
    <w:rPr>
      <w:rFonts w:ascii="宋体" w:hAnsi="Calibri" w:eastAsia="宋体" w:cs="宋体"/>
      <w:spacing w:val="-2"/>
      <w:kern w:val="0"/>
      <w:sz w:val="24"/>
      <w:szCs w:val="21"/>
    </w:rPr>
  </w:style>
  <w:style w:type="paragraph" w:customStyle="1" w:styleId="3563">
    <w:name w:val="表标题3"/>
    <w:basedOn w:val="1"/>
    <w:qFormat/>
    <w:uiPriority w:val="0"/>
    <w:pPr>
      <w:keepNext/>
      <w:adjustRightInd w:val="0"/>
      <w:spacing w:before="180" w:after="120" w:line="397" w:lineRule="atLeast"/>
      <w:ind w:firstLine="200" w:firstLineChars="200"/>
      <w:jc w:val="center"/>
    </w:pPr>
    <w:rPr>
      <w:rFonts w:eastAsia="宋体" w:cs="黑体"/>
      <w:b/>
      <w:spacing w:val="-2"/>
      <w:kern w:val="0"/>
      <w:sz w:val="24"/>
    </w:rPr>
  </w:style>
  <w:style w:type="paragraph" w:customStyle="1" w:styleId="3564">
    <w:name w:val="样式 首行缩进:  2 字符 行距: 固定值 23 磅"/>
    <w:basedOn w:val="1"/>
    <w:qFormat/>
    <w:uiPriority w:val="0"/>
    <w:pPr>
      <w:spacing w:line="400" w:lineRule="exact"/>
      <w:ind w:firstLine="200" w:firstLineChars="200"/>
    </w:pPr>
    <w:rPr>
      <w:rFonts w:eastAsia="宋体" w:cs="黑体"/>
      <w:spacing w:val="-2"/>
      <w:kern w:val="0"/>
      <w:sz w:val="24"/>
    </w:rPr>
  </w:style>
  <w:style w:type="paragraph" w:customStyle="1" w:styleId="3565">
    <w:name w:val="参考:"/>
    <w:qFormat/>
    <w:uiPriority w:val="0"/>
    <w:pPr>
      <w:widowControl w:val="0"/>
      <w:jc w:val="both"/>
    </w:pPr>
    <w:rPr>
      <w:rFonts w:ascii="Times New Roman" w:hAnsi="Times New Roman" w:eastAsia="宋体" w:cs="Times New Roman"/>
      <w:lang w:val="en-US" w:eastAsia="zh-CN" w:bidi="ar-SA"/>
    </w:rPr>
  </w:style>
  <w:style w:type="paragraph" w:customStyle="1" w:styleId="3566">
    <w:name w:val="样式 宋体 小四 两端对齐 首行缩进:  0.85 厘米 行距: 1.5 倍行距"/>
    <w:basedOn w:val="1"/>
    <w:qFormat/>
    <w:uiPriority w:val="0"/>
    <w:pPr>
      <w:widowControl/>
      <w:spacing w:line="360" w:lineRule="auto"/>
      <w:ind w:firstLine="482"/>
    </w:pPr>
    <w:rPr>
      <w:rFonts w:eastAsia="宋体" w:cs="黑体"/>
      <w:spacing w:val="-2"/>
      <w:kern w:val="0"/>
      <w:sz w:val="24"/>
    </w:rPr>
  </w:style>
  <w:style w:type="paragraph" w:customStyle="1" w:styleId="3567">
    <w:name w:val="10.3.11"/>
    <w:basedOn w:val="1"/>
    <w:qFormat/>
    <w:uiPriority w:val="0"/>
    <w:pPr>
      <w:adjustRightInd w:val="0"/>
      <w:snapToGrid w:val="0"/>
      <w:spacing w:line="336" w:lineRule="auto"/>
      <w:ind w:firstLine="200" w:firstLineChars="200"/>
    </w:pPr>
    <w:rPr>
      <w:rFonts w:ascii="宋体" w:eastAsia="宋体" w:cs="黑体"/>
      <w:spacing w:val="-2"/>
      <w:kern w:val="0"/>
      <w:szCs w:val="28"/>
    </w:rPr>
  </w:style>
  <w:style w:type="paragraph" w:customStyle="1" w:styleId="3568">
    <w:name w:val="more_righ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69">
    <w:name w:val="enc-ti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70">
    <w:name w:val="表格，五宋"/>
    <w:qFormat/>
    <w:uiPriority w:val="0"/>
    <w:pPr>
      <w:adjustRightInd w:val="0"/>
      <w:spacing w:line="360" w:lineRule="exact"/>
      <w:jc w:val="center"/>
    </w:pPr>
    <w:rPr>
      <w:rFonts w:ascii="Times New Roman" w:hAnsi="Times New Roman" w:eastAsia="宋体" w:cs="Times New Roman"/>
      <w:lang w:val="en-US" w:eastAsia="zh-CN" w:bidi="ar-SA"/>
    </w:rPr>
  </w:style>
  <w:style w:type="paragraph" w:customStyle="1" w:styleId="3571">
    <w:name w:val="myhom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72">
    <w:name w:val="Char Char2 Char Char Char Char Char Char Char"/>
    <w:basedOn w:val="1"/>
    <w:qFormat/>
    <w:uiPriority w:val="0"/>
    <w:pPr>
      <w:ind w:firstLine="200" w:firstLineChars="200"/>
    </w:pPr>
    <w:rPr>
      <w:rFonts w:ascii="宋体" w:hAnsi="Calibri" w:eastAsia="宋体" w:cs="宋体"/>
      <w:spacing w:val="-2"/>
      <w:kern w:val="0"/>
      <w:sz w:val="24"/>
    </w:rPr>
  </w:style>
  <w:style w:type="paragraph" w:customStyle="1" w:styleId="3573">
    <w:name w:val="样式100"/>
    <w:basedOn w:val="1"/>
    <w:qFormat/>
    <w:uiPriority w:val="0"/>
    <w:pPr>
      <w:spacing w:beforeLines="50"/>
    </w:pPr>
    <w:rPr>
      <w:rFonts w:eastAsia="宋体" w:cs="黑体"/>
      <w:b/>
      <w:spacing w:val="-2"/>
      <w:kern w:val="0"/>
      <w:sz w:val="32"/>
      <w:szCs w:val="32"/>
    </w:rPr>
  </w:style>
  <w:style w:type="paragraph" w:customStyle="1" w:styleId="3574">
    <w:name w:val="strong1"/>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575">
    <w:name w:val="段标题"/>
    <w:basedOn w:val="1"/>
    <w:next w:val="1"/>
    <w:qFormat/>
    <w:uiPriority w:val="0"/>
    <w:pPr>
      <w:ind w:firstLine="200" w:firstLineChars="200"/>
      <w:jc w:val="left"/>
      <w:outlineLvl w:val="2"/>
    </w:pPr>
    <w:rPr>
      <w:rFonts w:ascii="宋体" w:hAnsi="宋体" w:eastAsia="宋体" w:cs="黑体"/>
      <w:bCs/>
      <w:spacing w:val="-2"/>
      <w:kern w:val="0"/>
      <w:szCs w:val="28"/>
    </w:rPr>
  </w:style>
  <w:style w:type="paragraph" w:customStyle="1" w:styleId="3576">
    <w:name w:val="xiaohui1"/>
    <w:basedOn w:val="1"/>
    <w:qFormat/>
    <w:uiPriority w:val="0"/>
    <w:pPr>
      <w:widowControl/>
      <w:ind w:right="-390"/>
      <w:jc w:val="left"/>
    </w:pPr>
    <w:rPr>
      <w:rFonts w:ascii="宋体" w:hAnsi="Calibri" w:eastAsia="宋体" w:cs="宋体"/>
      <w:spacing w:val="-2"/>
      <w:kern w:val="0"/>
      <w:sz w:val="24"/>
      <w:szCs w:val="21"/>
    </w:rPr>
  </w:style>
  <w:style w:type="paragraph" w:customStyle="1" w:styleId="3577">
    <w:name w:val="1图名"/>
    <w:basedOn w:val="1"/>
    <w:qFormat/>
    <w:uiPriority w:val="0"/>
    <w:pPr>
      <w:spacing w:line="360" w:lineRule="auto"/>
      <w:ind w:firstLine="560" w:firstLineChars="200"/>
      <w:jc w:val="center"/>
    </w:pPr>
    <w:rPr>
      <w:rFonts w:eastAsia="宋体" w:cs="宋体"/>
      <w:spacing w:val="-2"/>
      <w:kern w:val="0"/>
    </w:rPr>
  </w:style>
  <w:style w:type="paragraph" w:customStyle="1" w:styleId="3578">
    <w:name w:val="p-body"/>
    <w:basedOn w:val="1"/>
    <w:qFormat/>
    <w:uiPriority w:val="0"/>
    <w:pPr>
      <w:widowControl/>
      <w:shd w:val="clear" w:color="auto" w:fill="FFFFFF"/>
      <w:spacing w:before="100" w:beforeAutospacing="1" w:after="100" w:afterAutospacing="1"/>
      <w:jc w:val="left"/>
    </w:pPr>
    <w:rPr>
      <w:rFonts w:ascii="宋体" w:hAnsi="Calibri" w:eastAsia="宋体" w:cs="宋体"/>
      <w:spacing w:val="-2"/>
      <w:kern w:val="0"/>
      <w:szCs w:val="21"/>
    </w:rPr>
  </w:style>
  <w:style w:type="paragraph" w:customStyle="1" w:styleId="3579">
    <w:name w:val="tri"/>
    <w:basedOn w:val="1"/>
    <w:qFormat/>
    <w:uiPriority w:val="0"/>
    <w:pPr>
      <w:widowControl/>
      <w:pBdr>
        <w:top w:val="dashed" w:color="auto" w:sz="48" w:space="0"/>
        <w:left w:val="dashed" w:color="auto" w:sz="48" w:space="0"/>
        <w:bottom w:val="single" w:color="auto" w:sz="48" w:space="0"/>
        <w:right w:val="dashed" w:color="auto" w:sz="48" w:space="0"/>
      </w:pBdr>
      <w:spacing w:before="100" w:beforeAutospacing="1" w:after="100" w:afterAutospacing="1"/>
      <w:jc w:val="left"/>
    </w:pPr>
    <w:rPr>
      <w:rFonts w:ascii="宋体" w:hAnsi="Calibri" w:eastAsia="宋体" w:cs="宋体"/>
      <w:spacing w:val="-2"/>
      <w:kern w:val="0"/>
      <w:sz w:val="2"/>
      <w:szCs w:val="2"/>
    </w:rPr>
  </w:style>
  <w:style w:type="paragraph" w:customStyle="1" w:styleId="3580">
    <w:name w:val="样式 正文文本缩进 2正文文本缩进 2 Char Char Char Char正文文本缩进 2 Char Char + 黑色2"/>
    <w:basedOn w:val="52"/>
    <w:qFormat/>
    <w:uiPriority w:val="0"/>
    <w:pPr>
      <w:adjustRightInd w:val="0"/>
      <w:spacing w:line="320" w:lineRule="exact"/>
      <w:ind w:firstLine="425"/>
      <w:jc w:val="center"/>
    </w:pPr>
    <w:rPr>
      <w:rFonts w:ascii="Arial" w:hAnsi="Arial" w:eastAsia="黑体" w:cs="宋体"/>
      <w:color w:val="000000"/>
      <w:sz w:val="30"/>
      <w:szCs w:val="24"/>
    </w:rPr>
  </w:style>
  <w:style w:type="paragraph" w:customStyle="1" w:styleId="3581">
    <w:name w:val="selinna表格"/>
    <w:basedOn w:val="1"/>
    <w:qFormat/>
    <w:uiPriority w:val="0"/>
    <w:pPr>
      <w:jc w:val="center"/>
    </w:pPr>
    <w:rPr>
      <w:rFonts w:ascii="宋体" w:hAnsi="Calibri" w:eastAsia="宋体" w:cs="黑体"/>
      <w:spacing w:val="-2"/>
      <w:kern w:val="0"/>
      <w:sz w:val="24"/>
    </w:rPr>
  </w:style>
  <w:style w:type="paragraph" w:customStyle="1" w:styleId="3582">
    <w:name w:val="批注框文本4"/>
    <w:basedOn w:val="1"/>
    <w:qFormat/>
    <w:uiPriority w:val="0"/>
    <w:rPr>
      <w:rFonts w:eastAsia="宋体" w:cs="黑体"/>
      <w:spacing w:val="-2"/>
      <w:kern w:val="0"/>
      <w:sz w:val="16"/>
    </w:rPr>
  </w:style>
  <w:style w:type="paragraph" w:customStyle="1" w:styleId="3583">
    <w:name w:val="uc-name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84">
    <w:name w:val="reader-word-layer reader-word-s1-5 reader-word-s1-8"/>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85">
    <w:name w:val="徐萍居中表格名称"/>
    <w:basedOn w:val="726"/>
    <w:qFormat/>
    <w:uiPriority w:val="0"/>
    <w:pPr>
      <w:keepNext/>
      <w:autoSpaceDE w:val="0"/>
      <w:autoSpaceDN w:val="0"/>
      <w:adjustRightInd w:val="0"/>
      <w:spacing w:beforeLines="50"/>
      <w:ind w:firstLine="450" w:firstLineChars="450"/>
      <w:jc w:val="left"/>
    </w:pPr>
    <w:rPr>
      <w:rFonts w:cs="宋体"/>
      <w:sz w:val="26"/>
      <w:szCs w:val="26"/>
    </w:rPr>
  </w:style>
  <w:style w:type="paragraph" w:customStyle="1" w:styleId="3586">
    <w:name w:val="样式 小四 首行缩进:  2 字符"/>
    <w:basedOn w:val="1"/>
    <w:next w:val="1"/>
    <w:qFormat/>
    <w:uiPriority w:val="0"/>
    <w:pPr>
      <w:spacing w:line="480" w:lineRule="atLeast"/>
      <w:ind w:firstLine="180" w:firstLineChars="180"/>
    </w:pPr>
    <w:rPr>
      <w:rFonts w:eastAsia="宋体" w:cs="黑体"/>
      <w:spacing w:val="-2"/>
      <w:kern w:val="0"/>
      <w:sz w:val="24"/>
    </w:rPr>
  </w:style>
  <w:style w:type="paragraph" w:customStyle="1" w:styleId="3587">
    <w:name w:val="task"/>
    <w:basedOn w:val="1"/>
    <w:qFormat/>
    <w:uiPriority w:val="0"/>
    <w:pPr>
      <w:widowControl/>
      <w:spacing w:before="100" w:beforeAutospacing="1" w:after="225"/>
      <w:jc w:val="left"/>
    </w:pPr>
    <w:rPr>
      <w:rFonts w:ascii="宋体" w:hAnsi="Calibri" w:eastAsia="宋体" w:cs="宋体"/>
      <w:color w:val="333333"/>
      <w:spacing w:val="-2"/>
      <w:kern w:val="0"/>
      <w:sz w:val="24"/>
      <w:szCs w:val="21"/>
    </w:rPr>
  </w:style>
  <w:style w:type="paragraph" w:customStyle="1" w:styleId="3588">
    <w:name w:val="正文（韶关规划）"/>
    <w:basedOn w:val="87"/>
    <w:qFormat/>
    <w:uiPriority w:val="0"/>
    <w:pPr>
      <w:tabs>
        <w:tab w:val="left" w:pos="7996"/>
      </w:tabs>
      <w:autoSpaceDE w:val="0"/>
      <w:autoSpaceDN w:val="0"/>
      <w:adjustRightInd w:val="0"/>
      <w:snapToGrid w:val="0"/>
      <w:spacing w:beforeLines="50" w:line="360" w:lineRule="auto"/>
      <w:ind w:left="0" w:leftChars="0" w:firstLine="480"/>
    </w:pPr>
    <w:rPr>
      <w:rFonts w:ascii="宋体" w:hAnsi="宋体" w:eastAsia="宋体" w:cs="宋体"/>
      <w:color w:val="000000"/>
      <w:sz w:val="24"/>
      <w:szCs w:val="24"/>
    </w:rPr>
  </w:style>
  <w:style w:type="paragraph" w:customStyle="1" w:styleId="3589">
    <w:name w:val="r1.1.1y小分项"/>
    <w:next w:val="1"/>
    <w:qFormat/>
    <w:uiPriority w:val="0"/>
    <w:pPr>
      <w:spacing w:beforeLines="100"/>
    </w:pPr>
    <w:rPr>
      <w:rFonts w:ascii="SansSerif" w:hAnsi="SansSerif" w:eastAsia="宋体" w:cs="Times New Roman"/>
      <w:b/>
      <w:color w:val="666699"/>
      <w:sz w:val="18"/>
      <w:lang w:val="en-US" w:eastAsia="zh-CN" w:bidi="ar-SA"/>
    </w:rPr>
  </w:style>
  <w:style w:type="paragraph" w:customStyle="1" w:styleId="3590">
    <w:name w:val="cent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91">
    <w:name w:val="selinna标3"/>
    <w:basedOn w:val="1"/>
    <w:qFormat/>
    <w:uiPriority w:val="0"/>
    <w:pPr>
      <w:adjustRightInd w:val="0"/>
      <w:snapToGrid w:val="0"/>
      <w:spacing w:beforeLines="50" w:line="300" w:lineRule="auto"/>
      <w:ind w:firstLine="200" w:firstLineChars="200"/>
      <w:outlineLvl w:val="2"/>
    </w:pPr>
    <w:rPr>
      <w:rFonts w:ascii="宋体" w:hAnsi="Calibri" w:eastAsia="宋体" w:cs="黑体"/>
      <w:b/>
      <w:bCs/>
      <w:spacing w:val="-2"/>
      <w:kern w:val="0"/>
      <w:sz w:val="32"/>
      <w:szCs w:val="32"/>
    </w:rPr>
  </w:style>
  <w:style w:type="paragraph" w:customStyle="1" w:styleId="3592">
    <w:name w:val="正文版本"/>
    <w:basedOn w:val="1"/>
    <w:qFormat/>
    <w:uiPriority w:val="0"/>
    <w:pPr>
      <w:autoSpaceDE w:val="0"/>
      <w:autoSpaceDN w:val="0"/>
      <w:spacing w:line="400" w:lineRule="exact"/>
      <w:jc w:val="center"/>
    </w:pPr>
    <w:rPr>
      <w:rFonts w:ascii="宋体" w:hAnsi="宋体" w:eastAsia="宋体" w:cs="黑体"/>
      <w:color w:val="000000"/>
      <w:spacing w:val="-2"/>
      <w:kern w:val="0"/>
      <w:sz w:val="22"/>
      <w:szCs w:val="22"/>
      <w:lang w:val="zh-CN"/>
    </w:rPr>
  </w:style>
  <w:style w:type="paragraph" w:customStyle="1" w:styleId="3593">
    <w:name w:val="view-tip-pannel"/>
    <w:basedOn w:val="1"/>
    <w:qFormat/>
    <w:uiPriority w:val="0"/>
    <w:pPr>
      <w:widowControl/>
      <w:spacing w:before="100" w:beforeAutospacing="1" w:after="375"/>
      <w:jc w:val="left"/>
    </w:pPr>
    <w:rPr>
      <w:rFonts w:ascii="宋体" w:hAnsi="Calibri" w:eastAsia="宋体" w:cs="宋体"/>
      <w:spacing w:val="-2"/>
      <w:kern w:val="0"/>
      <w:sz w:val="24"/>
      <w:szCs w:val="21"/>
    </w:rPr>
  </w:style>
  <w:style w:type="paragraph" w:customStyle="1" w:styleId="3594">
    <w:name w:val="兴武正文"/>
    <w:basedOn w:val="1"/>
    <w:qFormat/>
    <w:uiPriority w:val="0"/>
    <w:pPr>
      <w:spacing w:line="480" w:lineRule="exact"/>
      <w:ind w:firstLine="200" w:firstLineChars="200"/>
    </w:pPr>
    <w:rPr>
      <w:rFonts w:eastAsia="宋体" w:cs="宋体"/>
      <w:spacing w:val="-2"/>
      <w:kern w:val="0"/>
      <w:sz w:val="24"/>
    </w:rPr>
  </w:style>
  <w:style w:type="paragraph" w:customStyle="1" w:styleId="3595">
    <w:name w:val="bk-dialog"/>
    <w:basedOn w:val="1"/>
    <w:qFormat/>
    <w:uiPriority w:val="0"/>
    <w:pPr>
      <w:widowControl/>
      <w:pBdr>
        <w:top w:val="single" w:color="3874AC" w:sz="6" w:space="0"/>
        <w:left w:val="single" w:color="1169B1" w:sz="12" w:space="0"/>
        <w:bottom w:val="single" w:color="1169B1" w:sz="12" w:space="0"/>
        <w:right w:val="single" w:color="1169B1" w:sz="12"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596">
    <w:name w:val="样式 标题 2标题2H2h2第一层条一级条SeHead wsa2Chapter TitleChapter1...."/>
    <w:basedOn w:val="4"/>
    <w:qFormat/>
    <w:uiPriority w:val="0"/>
    <w:pPr>
      <w:keepLines w:val="0"/>
      <w:tabs>
        <w:tab w:val="left" w:pos="1476"/>
        <w:tab w:val="clear" w:pos="567"/>
      </w:tabs>
      <w:adjustRightInd w:val="0"/>
      <w:snapToGrid w:val="0"/>
      <w:spacing w:before="0" w:beforeLines="50" w:after="0" w:line="360" w:lineRule="auto"/>
      <w:ind w:left="0" w:firstLine="0"/>
    </w:pPr>
    <w:rPr>
      <w:rFonts w:ascii="宋体" w:hAnsi="Arial Unicode MS" w:eastAsia="宋体" w:cs="宋体"/>
      <w:b/>
      <w:spacing w:val="-2"/>
      <w:sz w:val="32"/>
      <w:szCs w:val="28"/>
    </w:rPr>
  </w:style>
  <w:style w:type="paragraph" w:customStyle="1" w:styleId="3597">
    <w:name w:val="xl1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598">
    <w:name w:val="字元 字元 Char Char 字元 字元1"/>
    <w:basedOn w:val="1"/>
    <w:qFormat/>
    <w:uiPriority w:val="0"/>
    <w:rPr>
      <w:rFonts w:eastAsia="宋体" w:cs="黑体"/>
      <w:spacing w:val="-2"/>
      <w:kern w:val="0"/>
      <w:sz w:val="24"/>
    </w:rPr>
  </w:style>
  <w:style w:type="paragraph" w:customStyle="1" w:styleId="3599">
    <w:name w:val="ajaxdi1"/>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600">
    <w:name w:val="Char Char Char Char Char Char5"/>
    <w:basedOn w:val="1"/>
    <w:qFormat/>
    <w:uiPriority w:val="0"/>
    <w:rPr>
      <w:rFonts w:eastAsia="宋体" w:cs="黑体"/>
      <w:spacing w:val="-2"/>
      <w:kern w:val="0"/>
    </w:rPr>
  </w:style>
  <w:style w:type="paragraph" w:customStyle="1" w:styleId="3601">
    <w:name w:val="样式 表格 32 + 首行缩进:  2 字符"/>
    <w:basedOn w:val="1"/>
    <w:qFormat/>
    <w:uiPriority w:val="0"/>
    <w:pPr>
      <w:autoSpaceDE w:val="0"/>
      <w:autoSpaceDN w:val="0"/>
      <w:adjustRightInd w:val="0"/>
      <w:spacing w:line="0" w:lineRule="atLeast"/>
      <w:jc w:val="center"/>
    </w:pPr>
    <w:rPr>
      <w:rFonts w:eastAsia="宋体" w:cs="宋体"/>
      <w:spacing w:val="-2"/>
      <w:kern w:val="0"/>
      <w:szCs w:val="21"/>
    </w:rPr>
  </w:style>
  <w:style w:type="paragraph" w:customStyle="1" w:styleId="3602">
    <w:name w:val="样式 首行缩进:  0.95 厘米"/>
    <w:basedOn w:val="1"/>
    <w:qFormat/>
    <w:uiPriority w:val="0"/>
    <w:pPr>
      <w:spacing w:line="360" w:lineRule="auto"/>
      <w:ind w:firstLine="200" w:firstLineChars="200"/>
    </w:pPr>
    <w:rPr>
      <w:rFonts w:eastAsia="宋体" w:cs="宋体"/>
      <w:spacing w:val="-2"/>
      <w:kern w:val="0"/>
      <w:sz w:val="24"/>
    </w:rPr>
  </w:style>
  <w:style w:type="paragraph" w:customStyle="1" w:styleId="3603">
    <w:name w:val="－列表"/>
    <w:basedOn w:val="67"/>
    <w:qFormat/>
    <w:uiPriority w:val="0"/>
    <w:pPr>
      <w:autoSpaceDE/>
      <w:autoSpaceDN/>
      <w:adjustRightInd/>
      <w:snapToGrid w:val="0"/>
      <w:spacing w:line="360" w:lineRule="atLeast"/>
      <w:ind w:left="0" w:firstLine="0" w:firstLineChars="0"/>
      <w:jc w:val="both"/>
      <w:textAlignment w:val="auto"/>
    </w:pPr>
    <w:rPr>
      <w:rFonts w:ascii="Times New Roman" w:cs="黑体"/>
      <w:spacing w:val="-2"/>
      <w:sz w:val="22"/>
      <w:szCs w:val="22"/>
    </w:rPr>
  </w:style>
  <w:style w:type="paragraph" w:customStyle="1" w:styleId="3604">
    <w:name w:val="项目标号"/>
    <w:basedOn w:val="1"/>
    <w:qFormat/>
    <w:uiPriority w:val="0"/>
    <w:pPr>
      <w:tabs>
        <w:tab w:val="left" w:pos="0"/>
        <w:tab w:val="left" w:pos="426"/>
        <w:tab w:val="left" w:pos="782"/>
      </w:tabs>
      <w:spacing w:beforeLines="10" w:line="276" w:lineRule="auto"/>
      <w:ind w:left="840" w:firstLine="200" w:firstLineChars="200"/>
      <w:jc w:val="left"/>
    </w:pPr>
    <w:rPr>
      <w:rFonts w:ascii="宋体" w:hAnsi="Calibri" w:eastAsia="宋体" w:cs="黑体"/>
      <w:spacing w:val="-2"/>
      <w:kern w:val="0"/>
      <w:sz w:val="24"/>
    </w:rPr>
  </w:style>
  <w:style w:type="paragraph" w:customStyle="1" w:styleId="3605">
    <w:name w:val="样式 标题 2 + 首行缩进:  1.8 字符"/>
    <w:basedOn w:val="4"/>
    <w:qFormat/>
    <w:uiPriority w:val="0"/>
    <w:pPr>
      <w:keepLines w:val="0"/>
      <w:tabs>
        <w:tab w:val="left" w:pos="0"/>
        <w:tab w:val="left" w:pos="1476"/>
        <w:tab w:val="clear" w:pos="567"/>
      </w:tabs>
      <w:adjustRightInd w:val="0"/>
      <w:snapToGrid w:val="0"/>
      <w:spacing w:before="0" w:beforeLines="50" w:after="0" w:line="360" w:lineRule="auto"/>
      <w:ind w:left="0" w:firstLine="180" w:firstLineChars="180"/>
    </w:pPr>
    <w:rPr>
      <w:rFonts w:ascii="Arial" w:cs="宋体"/>
      <w:b/>
      <w:spacing w:val="-2"/>
    </w:rPr>
  </w:style>
  <w:style w:type="paragraph" w:customStyle="1" w:styleId="3606">
    <w:name w:val="mstheme-navtxtup-g"/>
    <w:basedOn w:val="1"/>
    <w:qFormat/>
    <w:uiPriority w:val="0"/>
    <w:pPr>
      <w:spacing w:before="100" w:beforeAutospacing="1" w:after="100" w:afterAutospacing="1"/>
    </w:pPr>
    <w:rPr>
      <w:rFonts w:eastAsia="宋体" w:cs="黑体"/>
      <w:color w:val="0033CC"/>
      <w:spacing w:val="-2"/>
      <w:kern w:val="0"/>
      <w:sz w:val="24"/>
    </w:rPr>
  </w:style>
  <w:style w:type="paragraph" w:customStyle="1" w:styleId="3607">
    <w:name w:val="样式 首行缩进:  2 字符 Char Char"/>
    <w:basedOn w:val="1"/>
    <w:qFormat/>
    <w:uiPriority w:val="0"/>
    <w:pPr>
      <w:spacing w:line="480" w:lineRule="exact"/>
      <w:ind w:firstLine="200" w:firstLineChars="200"/>
    </w:pPr>
    <w:rPr>
      <w:rFonts w:eastAsia="宋体" w:cs="黑体"/>
      <w:spacing w:val="-2"/>
      <w:kern w:val="28"/>
    </w:rPr>
  </w:style>
  <w:style w:type="paragraph" w:customStyle="1" w:styleId="3608">
    <w:name w:val="样式 标题 3标题 3 Char Char Char节，一一黑四（一）条，（一）标题3 Char Char Cha...3"/>
    <w:basedOn w:val="6"/>
    <w:qFormat/>
    <w:uiPriority w:val="0"/>
    <w:pPr>
      <w:tabs>
        <w:tab w:val="left" w:pos="709"/>
        <w:tab w:val="left" w:pos="1022"/>
        <w:tab w:val="left" w:pos="1080"/>
        <w:tab w:val="clear" w:pos="1789"/>
      </w:tabs>
      <w:snapToGrid w:val="0"/>
      <w:spacing w:before="0" w:beforeLines="30" w:after="260"/>
      <w:ind w:left="709"/>
    </w:pPr>
    <w:rPr>
      <w:rFonts w:hint="eastAsia" w:ascii="宋体" w:hAnsi="宋体" w:eastAsia="宋体" w:cs="宋体"/>
      <w:bCs w:val="0"/>
      <w:i/>
      <w:iCs/>
      <w:color w:val="000000"/>
      <w:spacing w:val="-2"/>
      <w:szCs w:val="24"/>
    </w:rPr>
  </w:style>
  <w:style w:type="paragraph" w:customStyle="1" w:styleId="3609">
    <w:name w:val="text-wrap"/>
    <w:basedOn w:val="1"/>
    <w:qFormat/>
    <w:uiPriority w:val="0"/>
    <w:pPr>
      <w:widowControl/>
      <w:wordWrap w:val="0"/>
      <w:spacing w:before="100" w:beforeAutospacing="1" w:after="100" w:afterAutospacing="1"/>
      <w:jc w:val="left"/>
    </w:pPr>
    <w:rPr>
      <w:rFonts w:ascii="宋体" w:hAnsi="Calibri" w:eastAsia="宋体" w:cs="宋体"/>
      <w:spacing w:val="-2"/>
      <w:kern w:val="0"/>
      <w:sz w:val="24"/>
      <w:szCs w:val="21"/>
    </w:rPr>
  </w:style>
  <w:style w:type="paragraph" w:customStyle="1" w:styleId="3610">
    <w:name w:val="样式 标题 2 + 黑体 小二"/>
    <w:basedOn w:val="4"/>
    <w:qFormat/>
    <w:uiPriority w:val="0"/>
    <w:pPr>
      <w:tabs>
        <w:tab w:val="left" w:pos="1476"/>
        <w:tab w:val="clear" w:pos="567"/>
      </w:tabs>
      <w:spacing w:before="0" w:beforeLines="200" w:after="0" w:line="0" w:lineRule="atLeast"/>
      <w:ind w:left="840" w:hanging="420"/>
    </w:pPr>
    <w:rPr>
      <w:rFonts w:hAnsi="黑体" w:cs="宋体"/>
      <w:b/>
      <w:bCs/>
      <w:color w:val="000000"/>
      <w:spacing w:val="-2"/>
      <w:sz w:val="36"/>
      <w:szCs w:val="36"/>
    </w:rPr>
  </w:style>
  <w:style w:type="paragraph" w:customStyle="1" w:styleId="3611">
    <w:name w:val="中大1级标题"/>
    <w:basedOn w:val="85"/>
    <w:qFormat/>
    <w:uiPriority w:val="0"/>
    <w:pPr>
      <w:keepNext w:val="0"/>
      <w:keepLines w:val="0"/>
      <w:widowControl/>
      <w:tabs>
        <w:tab w:val="clear" w:pos="1080"/>
        <w:tab w:val="clear" w:pos="1789"/>
      </w:tabs>
      <w:adjustRightInd w:val="0"/>
      <w:snapToGrid w:val="0"/>
      <w:spacing w:before="0" w:beforeLines="100" w:after="0" w:line="360" w:lineRule="auto"/>
      <w:jc w:val="center"/>
      <w:outlineLvl w:val="0"/>
    </w:pPr>
    <w:rPr>
      <w:rFonts w:ascii="Times New Roman" w:hAnsi="Times New Roman" w:eastAsia="宋体"/>
      <w:color w:val="000000"/>
      <w:kern w:val="28"/>
      <w:sz w:val="36"/>
      <w:szCs w:val="20"/>
    </w:rPr>
  </w:style>
  <w:style w:type="paragraph" w:customStyle="1" w:styleId="3612">
    <w:name w:val="本文标题 3"/>
    <w:basedOn w:val="1"/>
    <w:qFormat/>
    <w:uiPriority w:val="0"/>
    <w:pPr>
      <w:tabs>
        <w:tab w:val="left" w:pos="0"/>
      </w:tabs>
    </w:pPr>
    <w:rPr>
      <w:rFonts w:eastAsia="宋体" w:cs="黑体"/>
      <w:spacing w:val="-2"/>
      <w:kern w:val="0"/>
      <w:sz w:val="24"/>
    </w:rPr>
  </w:style>
  <w:style w:type="paragraph" w:customStyle="1" w:styleId="3613">
    <w:name w:val="宏福4"/>
    <w:basedOn w:val="1"/>
    <w:qFormat/>
    <w:uiPriority w:val="0"/>
    <w:pPr>
      <w:snapToGrid w:val="0"/>
      <w:spacing w:line="400" w:lineRule="atLeast"/>
      <w:ind w:firstLine="567"/>
    </w:pPr>
    <w:rPr>
      <w:rFonts w:eastAsia="宋体" w:cs="黑体"/>
      <w:spacing w:val="-2"/>
      <w:kern w:val="0"/>
    </w:rPr>
  </w:style>
  <w:style w:type="paragraph" w:customStyle="1" w:styleId="3614">
    <w:name w:val="样式 标题 3 + 加粗"/>
    <w:basedOn w:val="6"/>
    <w:qFormat/>
    <w:uiPriority w:val="0"/>
    <w:pPr>
      <w:keepNext w:val="0"/>
      <w:keepLines w:val="0"/>
      <w:tabs>
        <w:tab w:val="left" w:pos="1022"/>
        <w:tab w:val="left" w:pos="1080"/>
        <w:tab w:val="clear" w:pos="1789"/>
      </w:tabs>
      <w:adjustRightInd w:val="0"/>
      <w:snapToGrid w:val="0"/>
      <w:spacing w:before="0" w:after="0" w:line="360" w:lineRule="auto"/>
      <w:ind w:left="1260" w:hanging="420"/>
      <w:jc w:val="left"/>
    </w:pPr>
    <w:rPr>
      <w:rFonts w:hint="eastAsia" w:ascii="宋体" w:hAnsi="宋体" w:eastAsia="宋体" w:cs="宋体"/>
      <w:bCs w:val="0"/>
      <w:i/>
      <w:iCs/>
      <w:color w:val="000000"/>
      <w:spacing w:val="-2"/>
      <w:szCs w:val="24"/>
    </w:rPr>
  </w:style>
  <w:style w:type="paragraph" w:customStyle="1" w:styleId="3615">
    <w:name w:val="样式 标题 1标题 11一、 + Times New Roman 行距: 固定值 23 磅"/>
    <w:basedOn w:val="3"/>
    <w:qFormat/>
    <w:uiPriority w:val="0"/>
    <w:pPr>
      <w:pageBreakBefore w:val="0"/>
      <w:tabs>
        <w:tab w:val="clear" w:pos="1080"/>
      </w:tabs>
      <w:spacing w:before="0" w:after="0" w:line="460" w:lineRule="exact"/>
      <w:ind w:left="0" w:firstLine="0"/>
      <w:jc w:val="both"/>
    </w:pPr>
    <w:rPr>
      <w:rFonts w:ascii="黑体" w:hAnsi="宋体" w:eastAsia="黑体" w:cs="宋体"/>
      <w:b w:val="0"/>
      <w:spacing w:val="-2"/>
      <w:sz w:val="32"/>
    </w:rPr>
  </w:style>
  <w:style w:type="paragraph" w:customStyle="1" w:styleId="3616">
    <w:name w:val="1-表内"/>
    <w:basedOn w:val="1"/>
    <w:qFormat/>
    <w:uiPriority w:val="0"/>
    <w:rPr>
      <w:rFonts w:ascii="宋体" w:hAnsi="宋体" w:eastAsia="宋体" w:cs="宋体"/>
      <w:spacing w:val="-2"/>
      <w:kern w:val="0"/>
      <w:szCs w:val="21"/>
    </w:rPr>
  </w:style>
  <w:style w:type="paragraph" w:customStyle="1" w:styleId="3617">
    <w:name w:val="小五居中"/>
    <w:basedOn w:val="1"/>
    <w:qFormat/>
    <w:uiPriority w:val="0"/>
    <w:pPr>
      <w:jc w:val="center"/>
    </w:pPr>
    <w:rPr>
      <w:rFonts w:eastAsia="宋体" w:cs="黑体"/>
      <w:spacing w:val="-2"/>
      <w:kern w:val="0"/>
      <w:sz w:val="18"/>
    </w:rPr>
  </w:style>
  <w:style w:type="paragraph" w:customStyle="1" w:styleId="3618">
    <w:name w:val="my table header"/>
    <w:basedOn w:val="1"/>
    <w:qFormat/>
    <w:uiPriority w:val="0"/>
    <w:pPr>
      <w:spacing w:line="360" w:lineRule="auto"/>
      <w:ind w:left="567"/>
      <w:jc w:val="center"/>
    </w:pPr>
    <w:rPr>
      <w:rFonts w:ascii="宋体" w:hAnsi="宋体" w:eastAsia="宋体" w:cs="黑体"/>
      <w:b/>
      <w:bCs/>
      <w:spacing w:val="-2"/>
      <w:kern w:val="0"/>
      <w:sz w:val="24"/>
      <w:szCs w:val="21"/>
    </w:rPr>
  </w:style>
  <w:style w:type="paragraph" w:customStyle="1" w:styleId="3619">
    <w:name w:val="album-border2"/>
    <w:basedOn w:val="1"/>
    <w:qFormat/>
    <w:uiPriority w:val="0"/>
    <w:pPr>
      <w:widowControl/>
      <w:pBdr>
        <w:top w:val="single" w:color="B7B7B7" w:sz="6" w:space="0"/>
        <w:left w:val="single" w:color="B7B7B7" w:sz="6" w:space="0"/>
        <w:bottom w:val="single" w:color="B7B7B7" w:sz="6" w:space="0"/>
        <w:right w:val="single" w:color="B7B7B7" w:sz="6"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620">
    <w:name w:val="赵正文"/>
    <w:basedOn w:val="1"/>
    <w:qFormat/>
    <w:uiPriority w:val="0"/>
    <w:pPr>
      <w:ind w:firstLine="200" w:firstLineChars="200"/>
      <w:jc w:val="left"/>
    </w:pPr>
    <w:rPr>
      <w:rFonts w:eastAsia="宋体" w:cs="黑体"/>
      <w:bCs/>
      <w:spacing w:val="-2"/>
      <w:kern w:val="0"/>
      <w:sz w:val="24"/>
    </w:rPr>
  </w:style>
  <w:style w:type="paragraph" w:customStyle="1" w:styleId="3621">
    <w:name w:val="command1"/>
    <w:basedOn w:val="1"/>
    <w:qFormat/>
    <w:uiPriority w:val="0"/>
    <w:pPr>
      <w:widowControl/>
      <w:spacing w:before="100" w:beforeAutospacing="1" w:after="100" w:afterAutospacing="1"/>
      <w:jc w:val="center"/>
    </w:pPr>
    <w:rPr>
      <w:rFonts w:ascii="宋体" w:hAnsi="Calibri" w:eastAsia="宋体" w:cs="宋体"/>
      <w:spacing w:val="-2"/>
      <w:kern w:val="0"/>
      <w:sz w:val="24"/>
      <w:szCs w:val="21"/>
    </w:rPr>
  </w:style>
  <w:style w:type="paragraph" w:customStyle="1" w:styleId="3622">
    <w:name w:val="样式 标题 1 + 首行缩进:  2 字符"/>
    <w:basedOn w:val="3"/>
    <w:qFormat/>
    <w:uiPriority w:val="0"/>
    <w:pPr>
      <w:tabs>
        <w:tab w:val="clear" w:pos="1080"/>
      </w:tabs>
      <w:adjustRightInd w:val="0"/>
      <w:snapToGrid w:val="0"/>
      <w:spacing w:before="0" w:beforeLines="50" w:after="0" w:line="360" w:lineRule="auto"/>
      <w:ind w:left="0" w:firstLine="0"/>
      <w:jc w:val="both"/>
    </w:pPr>
    <w:rPr>
      <w:rFonts w:ascii="仿宋_GB2312" w:hAnsi="宋体" w:eastAsia="仿宋_GB2312" w:cs="宋体"/>
      <w:bCs/>
      <w:spacing w:val="-2"/>
      <w:sz w:val="24"/>
      <w:szCs w:val="24"/>
    </w:rPr>
  </w:style>
  <w:style w:type="paragraph" w:customStyle="1" w:styleId="3623">
    <w:name w:val="title 01"/>
    <w:basedOn w:val="1"/>
    <w:qFormat/>
    <w:uiPriority w:val="0"/>
    <w:pPr>
      <w:jc w:val="center"/>
    </w:pPr>
    <w:rPr>
      <w:rFonts w:eastAsia="宋体" w:cs="宋体"/>
      <w:spacing w:val="-2"/>
      <w:kern w:val="0"/>
      <w:sz w:val="44"/>
    </w:rPr>
  </w:style>
  <w:style w:type="paragraph" w:customStyle="1" w:styleId="3624">
    <w:name w:val="纯文本1 Char Char Char Char Char Char Char Char Char Char"/>
    <w:basedOn w:val="1"/>
    <w:qFormat/>
    <w:uiPriority w:val="0"/>
    <w:pPr>
      <w:autoSpaceDE w:val="0"/>
      <w:autoSpaceDN w:val="0"/>
      <w:adjustRightInd w:val="0"/>
      <w:spacing w:line="360" w:lineRule="atLeast"/>
      <w:jc w:val="left"/>
    </w:pPr>
    <w:rPr>
      <w:rFonts w:eastAsia="宋体" w:cs="黑体"/>
      <w:spacing w:val="-2"/>
      <w:kern w:val="44"/>
      <w:sz w:val="24"/>
    </w:rPr>
  </w:style>
  <w:style w:type="paragraph" w:customStyle="1" w:styleId="3625">
    <w:name w:val="普通(网站)12"/>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626">
    <w:name w:val="ZW Char Char Char"/>
    <w:basedOn w:val="1"/>
    <w:qFormat/>
    <w:uiPriority w:val="0"/>
    <w:pPr>
      <w:spacing w:beforeLines="20"/>
      <w:ind w:firstLine="200" w:firstLineChars="200"/>
    </w:pPr>
    <w:rPr>
      <w:rFonts w:eastAsia="宋体" w:cs="黑体"/>
      <w:spacing w:val="-2"/>
      <w:kern w:val="0"/>
      <w:sz w:val="24"/>
      <w:szCs w:val="21"/>
    </w:rPr>
  </w:style>
  <w:style w:type="paragraph" w:customStyle="1" w:styleId="3627">
    <w:name w:val="样式 标题 1标题 11一、 + 小三 行距: 1.5 倍行距"/>
    <w:basedOn w:val="3"/>
    <w:qFormat/>
    <w:uiPriority w:val="0"/>
    <w:pPr>
      <w:pageBreakBefore w:val="0"/>
      <w:tabs>
        <w:tab w:val="clear" w:pos="1080"/>
      </w:tabs>
      <w:spacing w:before="0" w:after="0" w:line="360" w:lineRule="auto"/>
      <w:ind w:left="0" w:firstLine="0"/>
      <w:jc w:val="both"/>
    </w:pPr>
    <w:rPr>
      <w:rFonts w:ascii="黑体" w:hAnsi="宋体" w:eastAsia="黑体" w:cs="宋体"/>
      <w:bCs/>
      <w:spacing w:val="-2"/>
      <w:sz w:val="30"/>
    </w:rPr>
  </w:style>
  <w:style w:type="paragraph" w:customStyle="1" w:styleId="3628">
    <w:name w:val="正文33"/>
    <w:basedOn w:val="1"/>
    <w:qFormat/>
    <w:uiPriority w:val="0"/>
    <w:pPr>
      <w:snapToGrid w:val="0"/>
      <w:spacing w:after="120" w:line="324" w:lineRule="auto"/>
      <w:ind w:firstLine="200" w:firstLineChars="200"/>
    </w:pPr>
    <w:rPr>
      <w:rFonts w:ascii="Arial" w:hAnsi="Arial" w:eastAsia="宋体" w:cs="黑体"/>
      <w:bCs/>
      <w:spacing w:val="-2"/>
      <w:kern w:val="0"/>
      <w:sz w:val="24"/>
    </w:rPr>
  </w:style>
  <w:style w:type="paragraph" w:customStyle="1" w:styleId="3629">
    <w:name w:val="环小四内容"/>
    <w:basedOn w:val="1"/>
    <w:qFormat/>
    <w:uiPriority w:val="0"/>
    <w:pPr>
      <w:ind w:firstLine="200" w:firstLineChars="200"/>
    </w:pPr>
    <w:rPr>
      <w:rFonts w:ascii="宋体" w:hAnsi="Calibri" w:eastAsia="宋体" w:cs="黑体"/>
      <w:spacing w:val="-2"/>
      <w:kern w:val="0"/>
      <w:sz w:val="24"/>
    </w:rPr>
  </w:style>
  <w:style w:type="paragraph" w:customStyle="1" w:styleId="3630">
    <w:name w:val="我的标题2"/>
    <w:basedOn w:val="1"/>
    <w:qFormat/>
    <w:uiPriority w:val="0"/>
    <w:pPr>
      <w:ind w:firstLine="576" w:firstLineChars="192"/>
    </w:pPr>
    <w:rPr>
      <w:rFonts w:ascii="黑体" w:eastAsia="黑体" w:cs="黑体"/>
      <w:spacing w:val="-2"/>
      <w:kern w:val="0"/>
      <w:sz w:val="30"/>
    </w:rPr>
  </w:style>
  <w:style w:type="paragraph" w:customStyle="1" w:styleId="3631">
    <w:name w:val="样式 样式 标题 2 + 红色 + 自动设置 Char"/>
    <w:basedOn w:val="3632"/>
    <w:qFormat/>
    <w:uiPriority w:val="0"/>
    <w:pPr>
      <w:tabs>
        <w:tab w:val="left" w:pos="1476"/>
      </w:tabs>
      <w:spacing w:beforeLines="0"/>
    </w:pPr>
    <w:rPr>
      <w:rFonts w:eastAsia="新宋体"/>
      <w:spacing w:val="-8"/>
    </w:rPr>
  </w:style>
  <w:style w:type="paragraph" w:customStyle="1" w:styleId="3632">
    <w:name w:val="样式 标题 2 + 红色"/>
    <w:basedOn w:val="4"/>
    <w:qFormat/>
    <w:uiPriority w:val="0"/>
    <w:pPr>
      <w:keepLines w:val="0"/>
      <w:tabs>
        <w:tab w:val="left" w:pos="1476"/>
        <w:tab w:val="clear" w:pos="567"/>
      </w:tabs>
      <w:adjustRightInd w:val="0"/>
      <w:snapToGrid w:val="0"/>
      <w:spacing w:before="0" w:beforeLines="50" w:after="0" w:line="408" w:lineRule="auto"/>
      <w:ind w:left="0" w:firstLine="0"/>
    </w:pPr>
    <w:rPr>
      <w:rFonts w:ascii="Arial" w:cs="宋体"/>
      <w:b/>
      <w:color w:val="FF0000"/>
      <w:spacing w:val="-2"/>
    </w:rPr>
  </w:style>
  <w:style w:type="paragraph" w:customStyle="1" w:styleId="3633">
    <w:name w:val="标题111"/>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634">
    <w:name w:val="表格內文1"/>
    <w:basedOn w:val="1"/>
    <w:qFormat/>
    <w:uiPriority w:val="0"/>
    <w:pPr>
      <w:tabs>
        <w:tab w:val="left" w:pos="227"/>
      </w:tabs>
      <w:adjustRightInd w:val="0"/>
      <w:snapToGrid w:val="0"/>
      <w:spacing w:line="240" w:lineRule="atLeast"/>
    </w:pPr>
    <w:rPr>
      <w:rFonts w:ascii="Baskerville Old Face" w:hAnsi="Baskerville Old Face" w:eastAsia="華康楷書體W5" w:cs="黑体"/>
      <w:spacing w:val="-2"/>
      <w:kern w:val="0"/>
      <w:sz w:val="24"/>
      <w:lang w:eastAsia="zh-TW"/>
    </w:rPr>
  </w:style>
  <w:style w:type="paragraph" w:customStyle="1" w:styleId="3635">
    <w:name w:val="样式 样式 宋体 小四 左 + 首行缩进:  2 字符"/>
    <w:basedOn w:val="1"/>
    <w:qFormat/>
    <w:uiPriority w:val="0"/>
    <w:rPr>
      <w:rFonts w:eastAsia="宋体" w:cs="黑体"/>
      <w:spacing w:val="-2"/>
      <w:kern w:val="0"/>
      <w:sz w:val="24"/>
    </w:rPr>
  </w:style>
  <w:style w:type="paragraph" w:customStyle="1" w:styleId="3636">
    <w:name w:val="正文文字"/>
    <w:basedOn w:val="1"/>
    <w:qFormat/>
    <w:uiPriority w:val="0"/>
    <w:pPr>
      <w:widowControl/>
      <w:spacing w:after="200" w:line="360" w:lineRule="auto"/>
      <w:ind w:left="539" w:firstLine="200" w:firstLineChars="200"/>
      <w:jc w:val="left"/>
    </w:pPr>
    <w:rPr>
      <w:rFonts w:ascii="Arial" w:hAnsi="宋体" w:eastAsia="宋体" w:cs="Arial"/>
      <w:sz w:val="24"/>
      <w:szCs w:val="22"/>
      <w:lang w:bidi="en-US"/>
    </w:rPr>
  </w:style>
  <w:style w:type="paragraph" w:customStyle="1" w:styleId="3637">
    <w:name w:val="userin-split"/>
    <w:basedOn w:val="1"/>
    <w:qFormat/>
    <w:uiPriority w:val="0"/>
    <w:pPr>
      <w:widowControl/>
      <w:pBdr>
        <w:top w:val="single" w:color="A0CCE0" w:sz="6" w:space="0"/>
        <w:bottom w:val="single" w:color="FFFFFF"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638">
    <w:name w:val="正文5"/>
    <w:qFormat/>
    <w:uiPriority w:val="0"/>
    <w:pPr>
      <w:autoSpaceDE w:val="0"/>
      <w:autoSpaceDN w:val="0"/>
      <w:adjustRightInd w:val="0"/>
      <w:spacing w:line="360" w:lineRule="auto"/>
      <w:ind w:left="100" w:leftChars="100" w:right="284" w:hanging="225" w:hangingChars="225"/>
      <w:jc w:val="both"/>
    </w:pPr>
    <w:rPr>
      <w:rFonts w:ascii="Times New Roman" w:hAnsi="Times New Roman" w:eastAsia="宋体" w:cs="Times New Roman"/>
      <w:szCs w:val="21"/>
      <w:lang w:val="en-US" w:eastAsia="zh-CN" w:bidi="ar-SA"/>
    </w:rPr>
  </w:style>
  <w:style w:type="paragraph" w:customStyle="1" w:styleId="3639">
    <w:name w:val="album-view"/>
    <w:basedOn w:val="1"/>
    <w:qFormat/>
    <w:uiPriority w:val="0"/>
    <w:pPr>
      <w:widowControl/>
      <w:spacing w:before="100" w:beforeAutospacing="1" w:after="100" w:afterAutospacing="1" w:line="180" w:lineRule="atLeast"/>
      <w:jc w:val="center"/>
    </w:pPr>
    <w:rPr>
      <w:rFonts w:ascii="宋体" w:hAnsi="Calibri" w:eastAsia="宋体" w:cs="宋体"/>
      <w:spacing w:val="-2"/>
      <w:kern w:val="0"/>
      <w:sz w:val="24"/>
      <w:szCs w:val="21"/>
    </w:rPr>
  </w:style>
  <w:style w:type="paragraph" w:customStyle="1" w:styleId="3640">
    <w:name w:val="样式 样式 左侧:  2 字符 段后: 0.5 行 + 首行缩进:  2 字符 段后: 0.5 行"/>
    <w:basedOn w:val="1"/>
    <w:qFormat/>
    <w:uiPriority w:val="0"/>
    <w:pPr>
      <w:ind w:firstLine="560" w:firstLineChars="200"/>
    </w:pPr>
    <w:rPr>
      <w:rFonts w:cs="黑体"/>
      <w:spacing w:val="-2"/>
      <w:kern w:val="0"/>
      <w:szCs w:val="28"/>
    </w:rPr>
  </w:style>
  <w:style w:type="paragraph" w:customStyle="1" w:styleId="3641">
    <w:name w:val="批注框文本2"/>
    <w:basedOn w:val="1"/>
    <w:qFormat/>
    <w:uiPriority w:val="0"/>
    <w:rPr>
      <w:rFonts w:eastAsia="宋体" w:cs="黑体"/>
      <w:spacing w:val="-2"/>
      <w:kern w:val="0"/>
      <w:sz w:val="18"/>
      <w:szCs w:val="18"/>
    </w:rPr>
  </w:style>
  <w:style w:type="paragraph" w:customStyle="1" w:styleId="3642">
    <w:name w:val="黄埔正文"/>
    <w:qFormat/>
    <w:uiPriority w:val="0"/>
    <w:pPr>
      <w:spacing w:beforeLines="50" w:line="440" w:lineRule="exact"/>
      <w:ind w:firstLine="480"/>
      <w:jc w:val="both"/>
    </w:pPr>
    <w:rPr>
      <w:rFonts w:ascii="宋体" w:hAnsi="Times New Roman" w:eastAsia="宋体" w:cs="Times New Roman"/>
      <w:color w:val="000000"/>
      <w:kern w:val="2"/>
      <w:sz w:val="24"/>
      <w:lang w:val="en-US" w:eastAsia="zh-CN" w:bidi="ar-SA"/>
    </w:rPr>
  </w:style>
  <w:style w:type="paragraph" w:customStyle="1" w:styleId="3643">
    <w:name w:val="纯文本21"/>
    <w:basedOn w:val="1"/>
    <w:qFormat/>
    <w:uiPriority w:val="0"/>
    <w:rPr>
      <w:rFonts w:ascii="宋体" w:hAnsi="Courier New" w:eastAsia="宋体" w:cs="宋体"/>
      <w:spacing w:val="-2"/>
      <w:kern w:val="0"/>
      <w:szCs w:val="21"/>
    </w:rPr>
  </w:style>
  <w:style w:type="paragraph" w:customStyle="1" w:styleId="3644">
    <w:name w:val="TAB"/>
    <w:basedOn w:val="34"/>
    <w:qFormat/>
    <w:uiPriority w:val="0"/>
    <w:pPr>
      <w:widowControl/>
      <w:spacing w:before="60" w:after="60"/>
      <w:jc w:val="left"/>
    </w:pPr>
    <w:rPr>
      <w:rFonts w:ascii="Arial" w:hAnsi="Arial" w:eastAsia="宋体" w:cs="宋体"/>
      <w:i/>
      <w:iCs/>
      <w:color w:val="000000"/>
      <w:sz w:val="18"/>
      <w:szCs w:val="24"/>
    </w:rPr>
  </w:style>
  <w:style w:type="paragraph" w:customStyle="1" w:styleId="3645">
    <w:name w:val="正文 首行缩进:  2 字符"/>
    <w:basedOn w:val="1"/>
    <w:qFormat/>
    <w:uiPriority w:val="0"/>
    <w:pPr>
      <w:tabs>
        <w:tab w:val="left" w:pos="640"/>
      </w:tabs>
      <w:spacing w:line="360" w:lineRule="auto"/>
      <w:ind w:firstLine="470" w:firstLineChars="196"/>
    </w:pPr>
    <w:rPr>
      <w:rFonts w:ascii="仿宋_GB2312" w:hAnsi="宋体" w:cs="宋体"/>
      <w:color w:val="000000"/>
      <w:spacing w:val="-2"/>
      <w:kern w:val="0"/>
      <w:sz w:val="24"/>
    </w:rPr>
  </w:style>
  <w:style w:type="paragraph" w:customStyle="1" w:styleId="3646">
    <w:name w:val="center1"/>
    <w:basedOn w:val="1"/>
    <w:qFormat/>
    <w:uiPriority w:val="0"/>
    <w:pPr>
      <w:widowControl/>
      <w:shd w:val="clear" w:color="auto" w:fill="D4E8FA"/>
      <w:spacing w:before="100" w:beforeAutospacing="1" w:after="100" w:afterAutospacing="1"/>
      <w:jc w:val="left"/>
    </w:pPr>
    <w:rPr>
      <w:rFonts w:ascii="宋体" w:hAnsi="Calibri" w:eastAsia="宋体" w:cs="宋体"/>
      <w:b/>
      <w:bCs/>
      <w:spacing w:val="-2"/>
      <w:kern w:val="0"/>
      <w:sz w:val="24"/>
      <w:szCs w:val="21"/>
    </w:rPr>
  </w:style>
  <w:style w:type="paragraph" w:customStyle="1" w:styleId="3647">
    <w:name w:val="样式 (中文) 楷体_GB2312 小四 黑色 居中 首行缩进:  0.85 厘米 段前: 18 磅 段后: 6 磅..."/>
    <w:basedOn w:val="1"/>
    <w:qFormat/>
    <w:uiPriority w:val="0"/>
    <w:pPr>
      <w:jc w:val="center"/>
    </w:pPr>
    <w:rPr>
      <w:rFonts w:eastAsia="宋体" w:cs="宋体"/>
      <w:color w:val="000000"/>
      <w:spacing w:val="-2"/>
      <w:kern w:val="0"/>
      <w:sz w:val="24"/>
    </w:rPr>
  </w:style>
  <w:style w:type="paragraph" w:customStyle="1" w:styleId="3648">
    <w:name w:val="1安宁正文"/>
    <w:basedOn w:val="1"/>
    <w:qFormat/>
    <w:uiPriority w:val="0"/>
    <w:pPr>
      <w:spacing w:line="360" w:lineRule="auto"/>
      <w:ind w:firstLine="560" w:firstLineChars="200"/>
    </w:pPr>
    <w:rPr>
      <w:rFonts w:eastAsia="宋体" w:cs="宋体"/>
      <w:spacing w:val="-2"/>
      <w:kern w:val="0"/>
    </w:rPr>
  </w:style>
  <w:style w:type="paragraph" w:customStyle="1" w:styleId="3649">
    <w:name w:val="流程图文字"/>
    <w:basedOn w:val="1"/>
    <w:qFormat/>
    <w:uiPriority w:val="0"/>
    <w:pPr>
      <w:spacing w:line="288" w:lineRule="auto"/>
      <w:jc w:val="center"/>
    </w:pPr>
    <w:rPr>
      <w:rFonts w:eastAsia="楷体_GB2312" w:cs="黑体"/>
      <w:spacing w:val="-2"/>
      <w:kern w:val="0"/>
      <w:sz w:val="24"/>
    </w:rPr>
  </w:style>
  <w:style w:type="paragraph" w:customStyle="1" w:styleId="3650">
    <w:name w:val="tnone"/>
    <w:basedOn w:val="1"/>
    <w:qFormat/>
    <w:uiPriority w:val="0"/>
    <w:pPr>
      <w:widowControl/>
      <w:spacing w:before="100" w:beforeAutospacing="1" w:after="100" w:afterAutospacing="1"/>
      <w:jc w:val="left"/>
    </w:pPr>
    <w:rPr>
      <w:rFonts w:ascii="Arial Unicode MS" w:hAnsi="Arial Unicode MS" w:eastAsia="Arial Unicode MS" w:cs="黑体"/>
      <w:spacing w:val="-2"/>
      <w:kern w:val="0"/>
      <w:sz w:val="24"/>
    </w:rPr>
  </w:style>
  <w:style w:type="paragraph" w:customStyle="1" w:styleId="3651">
    <w:name w:val="正文 03"/>
    <w:basedOn w:val="1"/>
    <w:qFormat/>
    <w:uiPriority w:val="0"/>
    <w:pPr>
      <w:autoSpaceDE w:val="0"/>
      <w:autoSpaceDN w:val="0"/>
    </w:pPr>
    <w:rPr>
      <w:rFonts w:eastAsia="宋体" w:cs="黑体"/>
      <w:spacing w:val="-2"/>
      <w:kern w:val="0"/>
      <w:sz w:val="24"/>
    </w:rPr>
  </w:style>
  <w:style w:type="paragraph" w:customStyle="1" w:styleId="3652">
    <w:name w:val="图文框"/>
    <w:basedOn w:val="1"/>
    <w:qFormat/>
    <w:uiPriority w:val="0"/>
    <w:pPr>
      <w:spacing w:line="360" w:lineRule="auto"/>
      <w:jc w:val="center"/>
    </w:pPr>
    <w:rPr>
      <w:rFonts w:eastAsia="宋体" w:cs="黑体"/>
      <w:spacing w:val="-2"/>
      <w:kern w:val="18"/>
      <w:sz w:val="24"/>
    </w:rPr>
  </w:style>
  <w:style w:type="paragraph" w:customStyle="1" w:styleId="3653">
    <w:name w:val="Char Char Char Char Char Char Char Char Char Char1 Char Char Char Char Char Char Char Char Char Char1"/>
    <w:basedOn w:val="1"/>
    <w:qFormat/>
    <w:uiPriority w:val="0"/>
    <w:rPr>
      <w:rFonts w:eastAsia="宋体" w:cs="黑体"/>
      <w:spacing w:val="-2"/>
      <w:kern w:val="0"/>
      <w:sz w:val="24"/>
    </w:rPr>
  </w:style>
  <w:style w:type="paragraph" w:customStyle="1" w:styleId="3654">
    <w:name w:val="Char Char Char Char Char Char Char Char Char Char2"/>
    <w:basedOn w:val="1"/>
    <w:qFormat/>
    <w:uiPriority w:val="0"/>
    <w:pPr>
      <w:snapToGrid w:val="0"/>
      <w:spacing w:line="440" w:lineRule="atLeast"/>
    </w:pPr>
    <w:rPr>
      <w:rFonts w:ascii="宋体" w:hAnsi="Calibri" w:eastAsia="宋体" w:cs="黑体"/>
      <w:spacing w:val="-2"/>
      <w:kern w:val="0"/>
      <w:sz w:val="24"/>
    </w:rPr>
  </w:style>
  <w:style w:type="paragraph" w:customStyle="1" w:styleId="3655">
    <w:name w:val="其他表格"/>
    <w:basedOn w:val="1"/>
    <w:qFormat/>
    <w:uiPriority w:val="0"/>
    <w:pPr>
      <w:widowControl/>
      <w:spacing w:line="360" w:lineRule="exact"/>
      <w:ind w:firstLine="630" w:firstLineChars="300"/>
    </w:pPr>
    <w:rPr>
      <w:rFonts w:ascii="宋体" w:hAnsi="宋体" w:eastAsia="宋体" w:cs="黑体"/>
      <w:color w:val="FF0000"/>
      <w:spacing w:val="-2"/>
      <w:kern w:val="0"/>
      <w:szCs w:val="21"/>
    </w:rPr>
  </w:style>
  <w:style w:type="paragraph" w:customStyle="1" w:styleId="3656">
    <w:name w:val="Char Char111"/>
    <w:basedOn w:val="1"/>
    <w:qFormat/>
    <w:uiPriority w:val="0"/>
    <w:pPr>
      <w:tabs>
        <w:tab w:val="left" w:pos="567"/>
      </w:tabs>
      <w:spacing w:line="360" w:lineRule="auto"/>
      <w:ind w:left="567" w:hanging="567"/>
    </w:pPr>
    <w:rPr>
      <w:rFonts w:ascii="宋体" w:hAnsi="宋体" w:eastAsia="宋体" w:cs="宋体"/>
      <w:spacing w:val="-2"/>
      <w:kern w:val="0"/>
      <w:sz w:val="24"/>
    </w:rPr>
  </w:style>
  <w:style w:type="paragraph" w:customStyle="1" w:styleId="3657">
    <w:name w:val="ref-bd"/>
    <w:basedOn w:val="1"/>
    <w:qFormat/>
    <w:uiPriority w:val="0"/>
    <w:pPr>
      <w:widowControl/>
      <w:spacing w:before="100" w:beforeAutospacing="1" w:after="100" w:afterAutospacing="1"/>
      <w:ind w:left="390"/>
      <w:jc w:val="left"/>
    </w:pPr>
    <w:rPr>
      <w:rFonts w:ascii="宋体" w:hAnsi="Calibri" w:eastAsia="宋体" w:cs="宋体"/>
      <w:spacing w:val="-2"/>
      <w:kern w:val="0"/>
      <w:sz w:val="24"/>
      <w:szCs w:val="21"/>
    </w:rPr>
  </w:style>
  <w:style w:type="paragraph" w:customStyle="1" w:styleId="3658">
    <w:name w:val="mde-item1"/>
    <w:basedOn w:val="1"/>
    <w:qFormat/>
    <w:uiPriority w:val="0"/>
    <w:pPr>
      <w:widowControl/>
      <w:pBdr>
        <w:bottom w:val="dashed" w:color="FF0000" w:sz="6" w:space="0"/>
        <w:right w:val="dashed" w:color="FF0000" w:sz="6" w:space="5"/>
      </w:pBdr>
      <w:shd w:val="clear" w:color="auto" w:fill="FFFFFF"/>
      <w:spacing w:before="100" w:beforeAutospacing="1" w:after="100" w:afterAutospacing="1"/>
      <w:jc w:val="center"/>
    </w:pPr>
    <w:rPr>
      <w:rFonts w:ascii="宋体" w:hAnsi="Calibri" w:eastAsia="宋体" w:cs="宋体"/>
      <w:spacing w:val="-2"/>
      <w:kern w:val="0"/>
      <w:sz w:val="24"/>
      <w:szCs w:val="21"/>
    </w:rPr>
  </w:style>
  <w:style w:type="paragraph" w:customStyle="1" w:styleId="3659">
    <w:name w:val="正文仿宋"/>
    <w:basedOn w:val="1"/>
    <w:qFormat/>
    <w:uiPriority w:val="0"/>
    <w:pPr>
      <w:adjustRightInd w:val="0"/>
      <w:snapToGrid w:val="0"/>
      <w:ind w:firstLine="567"/>
    </w:pPr>
    <w:rPr>
      <w:rFonts w:cs="黑体"/>
      <w:spacing w:val="-2"/>
      <w:kern w:val="0"/>
      <w:sz w:val="24"/>
    </w:rPr>
  </w:style>
  <w:style w:type="paragraph" w:customStyle="1" w:styleId="3660">
    <w:name w:val="xl183"/>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661">
    <w:name w:val="正文 lsp"/>
    <w:basedOn w:val="1"/>
    <w:qFormat/>
    <w:uiPriority w:val="0"/>
    <w:pPr>
      <w:ind w:firstLine="200" w:firstLineChars="200"/>
    </w:pPr>
    <w:rPr>
      <w:rFonts w:ascii="宋体" w:hAnsi="Calibri" w:eastAsia="宋体" w:cs="黑体"/>
      <w:spacing w:val="-2"/>
      <w:kern w:val="0"/>
      <w:sz w:val="24"/>
    </w:rPr>
  </w:style>
  <w:style w:type="paragraph" w:customStyle="1" w:styleId="3662">
    <w:name w:val="正文-叶"/>
    <w:basedOn w:val="1"/>
    <w:qFormat/>
    <w:uiPriority w:val="0"/>
    <w:pPr>
      <w:topLinePunct/>
      <w:spacing w:line="312" w:lineRule="auto"/>
      <w:ind w:firstLine="465"/>
    </w:pPr>
    <w:rPr>
      <w:rFonts w:eastAsia="宋体" w:cs="黑体"/>
      <w:spacing w:val="-2"/>
      <w:kern w:val="0"/>
      <w:sz w:val="24"/>
    </w:rPr>
  </w:style>
  <w:style w:type="paragraph" w:customStyle="1" w:styleId="3663">
    <w:name w:val="f12"/>
    <w:basedOn w:val="1"/>
    <w:qFormat/>
    <w:uiPriority w:val="0"/>
    <w:pPr>
      <w:widowControl/>
      <w:spacing w:before="100" w:beforeAutospacing="1" w:after="100" w:afterAutospacing="1"/>
      <w:jc w:val="left"/>
    </w:pPr>
    <w:rPr>
      <w:rFonts w:ascii="宋体" w:hAnsi="Calibri" w:eastAsia="宋体" w:cs="宋体"/>
      <w:spacing w:val="-2"/>
      <w:kern w:val="0"/>
      <w:sz w:val="18"/>
      <w:szCs w:val="18"/>
    </w:rPr>
  </w:style>
  <w:style w:type="paragraph" w:customStyle="1" w:styleId="3664">
    <w:name w:val="表底说明"/>
    <w:basedOn w:val="1"/>
    <w:qFormat/>
    <w:uiPriority w:val="0"/>
    <w:rPr>
      <w:rFonts w:ascii="Calibri" w:hAnsi="Calibri" w:eastAsia="宋体" w:cs="Arial"/>
      <w:spacing w:val="-2"/>
      <w:kern w:val="0"/>
      <w:sz w:val="18"/>
      <w:szCs w:val="22"/>
    </w:rPr>
  </w:style>
  <w:style w:type="paragraph" w:customStyle="1" w:styleId="3665">
    <w:name w:val="usercardtitl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66">
    <w:name w:val="样式 文字 + 段前: 7.8 磅"/>
    <w:basedOn w:val="1"/>
    <w:qFormat/>
    <w:uiPriority w:val="0"/>
    <w:pPr>
      <w:adjustRightInd w:val="0"/>
      <w:snapToGrid w:val="0"/>
      <w:spacing w:line="360" w:lineRule="auto"/>
      <w:ind w:firstLine="200" w:firstLineChars="200"/>
    </w:pPr>
    <w:rPr>
      <w:rFonts w:eastAsia="宋体" w:cs="黑体"/>
      <w:spacing w:val="-2"/>
      <w:kern w:val="0"/>
      <w:sz w:val="24"/>
    </w:rPr>
  </w:style>
  <w:style w:type="paragraph" w:customStyle="1" w:styleId="3667">
    <w:name w:val="pic-handle"/>
    <w:basedOn w:val="1"/>
    <w:qFormat/>
    <w:uiPriority w:val="0"/>
    <w:pPr>
      <w:widowControl/>
      <w:pBdr>
        <w:top w:val="single" w:color="FFFFFF" w:sz="6" w:space="0"/>
        <w:left w:val="single" w:color="FFFFFF" w:sz="6" w:space="0"/>
        <w:bottom w:val="single" w:color="FFFFFF" w:sz="6" w:space="0"/>
        <w:right w:val="single" w:color="FFFFFF" w:sz="6" w:space="0"/>
      </w:pBdr>
      <w:spacing w:before="100" w:beforeAutospacing="1" w:after="100" w:afterAutospacing="1"/>
      <w:jc w:val="left"/>
    </w:pPr>
    <w:rPr>
      <w:rFonts w:ascii="宋体" w:hAnsi="Calibri" w:eastAsia="宋体" w:cs="宋体"/>
      <w:spacing w:val="-2"/>
      <w:kern w:val="0"/>
      <w:sz w:val="2"/>
      <w:szCs w:val="2"/>
    </w:rPr>
  </w:style>
  <w:style w:type="paragraph" w:customStyle="1" w:styleId="3668">
    <w:name w:val="样式 标题 1 + 宋体"/>
    <w:basedOn w:val="3"/>
    <w:qFormat/>
    <w:uiPriority w:val="0"/>
    <w:pPr>
      <w:keepLines w:val="0"/>
      <w:pageBreakBefore w:val="0"/>
      <w:tabs>
        <w:tab w:val="clear" w:pos="1080"/>
      </w:tabs>
      <w:spacing w:before="0" w:after="0" w:line="240" w:lineRule="auto"/>
      <w:ind w:left="0" w:firstLine="0"/>
    </w:pPr>
    <w:rPr>
      <w:rFonts w:ascii="宋体" w:hAnsi="宋体" w:cs="宋体"/>
      <w:bCs/>
      <w:spacing w:val="-2"/>
      <w:kern w:val="2"/>
      <w:sz w:val="32"/>
      <w:szCs w:val="32"/>
    </w:rPr>
  </w:style>
  <w:style w:type="paragraph" w:customStyle="1" w:styleId="3669">
    <w:name w:val="正文－other2"/>
    <w:basedOn w:val="1"/>
    <w:qFormat/>
    <w:uiPriority w:val="0"/>
    <w:pPr>
      <w:spacing w:line="400" w:lineRule="exact"/>
      <w:ind w:firstLine="480"/>
    </w:pPr>
    <w:rPr>
      <w:rFonts w:eastAsia="宋体" w:cs="黑体"/>
      <w:spacing w:val="-2"/>
      <w:kern w:val="0"/>
      <w:sz w:val="24"/>
    </w:rPr>
  </w:style>
  <w:style w:type="paragraph" w:customStyle="1" w:styleId="367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671">
    <w:name w:val="样式 标准正文 + 首行缩进:  2 字符"/>
    <w:basedOn w:val="1"/>
    <w:qFormat/>
    <w:uiPriority w:val="0"/>
    <w:pPr>
      <w:snapToGrid w:val="0"/>
      <w:spacing w:line="500" w:lineRule="exact"/>
      <w:ind w:firstLine="200" w:firstLineChars="200"/>
    </w:pPr>
    <w:rPr>
      <w:rFonts w:ascii="宋体" w:hAnsi="宋体" w:eastAsia="宋体" w:cs="宋体"/>
      <w:color w:val="000000"/>
      <w:spacing w:val="-2"/>
      <w:kern w:val="0"/>
    </w:rPr>
  </w:style>
  <w:style w:type="paragraph" w:customStyle="1" w:styleId="3672">
    <w:name w:val="样式 标题 2节标题 1.1 + 五号 居中 左侧:  0 厘米 行距: 单倍行距"/>
    <w:basedOn w:val="4"/>
    <w:qFormat/>
    <w:uiPriority w:val="0"/>
    <w:pPr>
      <w:keepNext w:val="0"/>
      <w:keepLines w:val="0"/>
      <w:tabs>
        <w:tab w:val="left" w:pos="1320"/>
        <w:tab w:val="left" w:pos="1476"/>
        <w:tab w:val="left" w:pos="1620"/>
        <w:tab w:val="clear" w:pos="567"/>
      </w:tabs>
      <w:adjustRightInd w:val="0"/>
      <w:spacing w:before="0" w:after="0" w:line="360" w:lineRule="auto"/>
      <w:ind w:left="1620" w:hanging="360"/>
      <w:jc w:val="center"/>
    </w:pPr>
    <w:rPr>
      <w:rFonts w:hAnsi="黑体" w:eastAsia="宋体" w:cs="宋体"/>
      <w:spacing w:val="-2"/>
      <w:sz w:val="21"/>
    </w:rPr>
  </w:style>
  <w:style w:type="paragraph" w:customStyle="1" w:styleId="3673">
    <w:name w:val="YHY"/>
    <w:basedOn w:val="1"/>
    <w:qFormat/>
    <w:uiPriority w:val="0"/>
    <w:pPr>
      <w:spacing w:beforeLines="50" w:line="360" w:lineRule="auto"/>
      <w:ind w:firstLine="200" w:firstLineChars="200"/>
    </w:pPr>
    <w:rPr>
      <w:rFonts w:eastAsia="宋体" w:cs="宋体"/>
      <w:spacing w:val="-2"/>
      <w:kern w:val="0"/>
      <w:sz w:val="24"/>
    </w:rPr>
  </w:style>
  <w:style w:type="paragraph" w:customStyle="1" w:styleId="3674">
    <w:name w:val="表格、图表名称"/>
    <w:basedOn w:val="1"/>
    <w:qFormat/>
    <w:uiPriority w:val="0"/>
    <w:pPr>
      <w:jc w:val="center"/>
    </w:pPr>
    <w:rPr>
      <w:rFonts w:eastAsia="宋体" w:cs="黑体"/>
      <w:b/>
      <w:spacing w:val="-2"/>
      <w:kern w:val="0"/>
      <w:sz w:val="24"/>
    </w:rPr>
  </w:style>
  <w:style w:type="paragraph" w:customStyle="1" w:styleId="3675">
    <w:name w:val="样式 标题 3 + 左侧:  0 毫米 首行缩进:  0 毫米 行距: 最小值 25 磅"/>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676">
    <w:name w:val="纯文本31"/>
    <w:basedOn w:val="1"/>
    <w:qFormat/>
    <w:uiPriority w:val="0"/>
    <w:pPr>
      <w:adjustRightInd w:val="0"/>
    </w:pPr>
    <w:rPr>
      <w:rFonts w:ascii="宋体" w:hAnsi="Calibri" w:eastAsia="宋体" w:cs="黑体"/>
      <w:spacing w:val="-2"/>
      <w:kern w:val="0"/>
      <w:sz w:val="24"/>
    </w:rPr>
  </w:style>
  <w:style w:type="paragraph" w:customStyle="1" w:styleId="3677">
    <w:name w:val="标题4-1"/>
    <w:basedOn w:val="85"/>
    <w:qFormat/>
    <w:uiPriority w:val="0"/>
    <w:pPr>
      <w:keepNext w:val="0"/>
      <w:keepLines w:val="0"/>
      <w:tabs>
        <w:tab w:val="left" w:pos="750"/>
        <w:tab w:val="clear" w:pos="1080"/>
        <w:tab w:val="clear" w:pos="1789"/>
      </w:tabs>
      <w:spacing w:line="360" w:lineRule="auto"/>
      <w:ind w:left="750" w:firstLine="225" w:firstLineChars="225"/>
      <w:jc w:val="left"/>
      <w:outlineLvl w:val="0"/>
    </w:pPr>
    <w:rPr>
      <w:rFonts w:ascii="Times New Roman" w:hAnsi="Times New Roman" w:eastAsia="宋体"/>
      <w:b w:val="0"/>
      <w:color w:val="000000"/>
    </w:rPr>
  </w:style>
  <w:style w:type="paragraph" w:customStyle="1" w:styleId="3678">
    <w:name w:val="p-title"/>
    <w:basedOn w:val="1"/>
    <w:qFormat/>
    <w:uiPriority w:val="0"/>
    <w:pPr>
      <w:widowControl/>
      <w:spacing w:before="100" w:beforeAutospacing="1" w:after="100" w:afterAutospacing="1" w:line="360" w:lineRule="atLeast"/>
      <w:jc w:val="left"/>
    </w:pPr>
    <w:rPr>
      <w:rFonts w:ascii="宋体" w:hAnsi="Calibri" w:eastAsia="宋体" w:cs="宋体"/>
      <w:b/>
      <w:bCs/>
      <w:color w:val="FFFFFF"/>
      <w:spacing w:val="-2"/>
      <w:kern w:val="0"/>
      <w:szCs w:val="21"/>
    </w:rPr>
  </w:style>
  <w:style w:type="paragraph" w:customStyle="1" w:styleId="3679">
    <w:name w:val="标题 1 + 段前: 0.5 行 段后: 0.5 行1"/>
    <w:basedOn w:val="1"/>
    <w:qFormat/>
    <w:uiPriority w:val="0"/>
    <w:pPr>
      <w:tabs>
        <w:tab w:val="left" w:pos="1340"/>
      </w:tabs>
      <w:spacing w:before="120" w:after="120"/>
      <w:ind w:left="1340" w:hanging="420"/>
      <w:jc w:val="left"/>
      <w:outlineLvl w:val="0"/>
    </w:pPr>
    <w:rPr>
      <w:rFonts w:eastAsia="黑体" w:cs="宋体"/>
      <w:spacing w:val="-2"/>
      <w:kern w:val="0"/>
    </w:rPr>
  </w:style>
  <w:style w:type="paragraph" w:customStyle="1" w:styleId="3680">
    <w:name w:val="Char Char131"/>
    <w:basedOn w:val="1"/>
    <w:qFormat/>
    <w:uiPriority w:val="0"/>
    <w:pPr>
      <w:tabs>
        <w:tab w:val="left" w:pos="632"/>
      </w:tabs>
      <w:spacing w:line="360" w:lineRule="auto"/>
      <w:ind w:left="425" w:hanging="425"/>
    </w:pPr>
    <w:rPr>
      <w:rFonts w:ascii="宋体" w:hAnsi="宋体" w:eastAsia="宋体" w:cs="宋体"/>
      <w:spacing w:val="-2"/>
      <w:kern w:val="0"/>
      <w:sz w:val="24"/>
    </w:rPr>
  </w:style>
  <w:style w:type="paragraph" w:customStyle="1" w:styleId="3681">
    <w:name w:val="mde-item"/>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2">
    <w:name w:val="样式 标题 2SeHead wsa2H21标题 1.1Chapter TitleChapter节标题 1.1h..."/>
    <w:basedOn w:val="4"/>
    <w:qFormat/>
    <w:uiPriority w:val="0"/>
    <w:pPr>
      <w:keepLines w:val="0"/>
      <w:tabs>
        <w:tab w:val="left" w:pos="480"/>
        <w:tab w:val="left" w:pos="630"/>
        <w:tab w:val="left" w:pos="1476"/>
        <w:tab w:val="clear" w:pos="567"/>
      </w:tabs>
      <w:spacing w:before="100" w:beforeAutospacing="1" w:after="100" w:afterAutospacing="1" w:line="360" w:lineRule="auto"/>
      <w:ind w:left="0" w:firstLine="0"/>
    </w:pPr>
    <w:rPr>
      <w:rFonts w:ascii="宋体" w:hAnsi="宋体" w:eastAsia="宋体" w:cs="宋体"/>
      <w:b/>
      <w:bCs/>
      <w:color w:val="000000"/>
      <w:spacing w:val="-2"/>
      <w:sz w:val="32"/>
    </w:rPr>
  </w:style>
  <w:style w:type="paragraph" w:customStyle="1" w:styleId="3683">
    <w:name w:val="字元 字元11"/>
    <w:basedOn w:val="1"/>
    <w:qFormat/>
    <w:uiPriority w:val="0"/>
    <w:pPr>
      <w:adjustRightInd w:val="0"/>
      <w:snapToGrid w:val="0"/>
      <w:ind w:firstLine="200" w:firstLineChars="200"/>
    </w:pPr>
    <w:rPr>
      <w:rFonts w:eastAsia="宋体" w:cs="黑体"/>
      <w:spacing w:val="-2"/>
      <w:kern w:val="0"/>
      <w:sz w:val="24"/>
    </w:rPr>
  </w:style>
  <w:style w:type="paragraph" w:customStyle="1" w:styleId="3684">
    <w:name w:val="Char Char Char Char4"/>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685">
    <w:name w:val="Char9"/>
    <w:basedOn w:val="1"/>
    <w:qFormat/>
    <w:uiPriority w:val="0"/>
    <w:rPr>
      <w:rFonts w:eastAsia="宋体" w:cs="黑体"/>
      <w:spacing w:val="-2"/>
      <w:kern w:val="0"/>
      <w:sz w:val="24"/>
    </w:rPr>
  </w:style>
  <w:style w:type="paragraph" w:customStyle="1" w:styleId="3686">
    <w:name w:val="uc-items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7">
    <w:name w:val="注"/>
    <w:basedOn w:val="1"/>
    <w:next w:val="1"/>
    <w:qFormat/>
    <w:uiPriority w:val="0"/>
    <w:pPr>
      <w:widowControl/>
      <w:spacing w:before="60" w:after="60" w:line="312" w:lineRule="auto"/>
      <w:ind w:firstLine="480" w:firstLineChars="200"/>
    </w:pPr>
    <w:rPr>
      <w:rFonts w:hint="eastAsia" w:ascii="宋体" w:hAnsi="宋体" w:eastAsia="黑体" w:cs="宋体"/>
      <w:color w:val="000000"/>
      <w:sz w:val="21"/>
      <w:szCs w:val="24"/>
    </w:rPr>
  </w:style>
  <w:style w:type="paragraph" w:customStyle="1" w:styleId="3688">
    <w:name w:val="impt-wor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9">
    <w:name w:val="level1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0">
    <w:name w:val="Char Char Char1 Char Char Char Char Char Char Char Char Char Char Char Char Char Char Char Char"/>
    <w:basedOn w:val="1"/>
    <w:qFormat/>
    <w:uiPriority w:val="0"/>
    <w:pPr>
      <w:ind w:firstLine="200" w:firstLineChars="200"/>
    </w:pPr>
    <w:rPr>
      <w:rFonts w:eastAsia="宋体" w:cs="黑体"/>
      <w:spacing w:val="-2"/>
      <w:kern w:val="0"/>
      <w:sz w:val="24"/>
    </w:rPr>
  </w:style>
  <w:style w:type="paragraph" w:customStyle="1" w:styleId="3691">
    <w:name w:val="authoritylog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2">
    <w:name w:val="正式文本"/>
    <w:basedOn w:val="1"/>
    <w:qFormat/>
    <w:uiPriority w:val="0"/>
    <w:pPr>
      <w:ind w:firstLine="71" w:firstLineChars="71"/>
    </w:pPr>
    <w:rPr>
      <w:rFonts w:ascii="仿宋_GB2312" w:hAnsi="Calibri" w:cs="黑体"/>
      <w:spacing w:val="-2"/>
      <w:kern w:val="0"/>
      <w:szCs w:val="21"/>
    </w:rPr>
  </w:style>
  <w:style w:type="paragraph" w:customStyle="1" w:styleId="3693">
    <w:name w:val="main-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4">
    <w:name w:val="样式 宋体 10 磅 居中 行距: 单倍行距"/>
    <w:basedOn w:val="1"/>
    <w:qFormat/>
    <w:uiPriority w:val="0"/>
    <w:pPr>
      <w:jc w:val="center"/>
    </w:pPr>
    <w:rPr>
      <w:rFonts w:ascii="宋体" w:hAnsi="宋体" w:eastAsia="宋体" w:cs="宋体"/>
      <w:spacing w:val="-2"/>
      <w:kern w:val="0"/>
      <w:sz w:val="20"/>
    </w:rPr>
  </w:style>
  <w:style w:type="paragraph" w:customStyle="1" w:styleId="3695">
    <w:name w:val="正文1-1"/>
    <w:basedOn w:val="1"/>
    <w:qFormat/>
    <w:uiPriority w:val="0"/>
    <w:pPr>
      <w:widowControl/>
      <w:snapToGrid w:val="0"/>
      <w:spacing w:line="360" w:lineRule="auto"/>
      <w:ind w:firstLine="200" w:firstLineChars="200"/>
      <w:jc w:val="left"/>
    </w:pPr>
    <w:rPr>
      <w:rFonts w:cs="Century"/>
      <w:spacing w:val="-2"/>
      <w:kern w:val="0"/>
    </w:rPr>
  </w:style>
  <w:style w:type="paragraph" w:customStyle="1" w:styleId="3696">
    <w:name w:val="Char Char Char1 Char3"/>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697">
    <w:name w:val="bk-editable-lemma-btns"/>
    <w:basedOn w:val="1"/>
    <w:qFormat/>
    <w:uiPriority w:val="0"/>
    <w:pPr>
      <w:widowControl/>
      <w:spacing w:before="100" w:beforeAutospacing="1" w:after="100" w:afterAutospacing="1" w:line="510" w:lineRule="atLeast"/>
      <w:jc w:val="left"/>
    </w:pPr>
    <w:rPr>
      <w:rFonts w:ascii="宋体" w:hAnsi="Calibri" w:eastAsia="宋体" w:cs="宋体"/>
      <w:spacing w:val="-2"/>
      <w:kern w:val="0"/>
      <w:sz w:val="24"/>
      <w:szCs w:val="21"/>
    </w:rPr>
  </w:style>
  <w:style w:type="paragraph" w:customStyle="1" w:styleId="3698">
    <w:name w:val="hidden"/>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699">
    <w:name w:val="wg"/>
    <w:basedOn w:val="1"/>
    <w:qFormat/>
    <w:uiPriority w:val="0"/>
    <w:rPr>
      <w:rFonts w:eastAsia="宋体" w:cs="黑体"/>
      <w:spacing w:val="-2"/>
      <w:kern w:val="0"/>
    </w:rPr>
  </w:style>
  <w:style w:type="paragraph" w:customStyle="1" w:styleId="3700">
    <w:name w:val="top-bg1"/>
    <w:basedOn w:val="1"/>
    <w:qFormat/>
    <w:uiPriority w:val="0"/>
    <w:pPr>
      <w:widowControl/>
      <w:shd w:val="clear" w:color="auto" w:fill="E6F8FF"/>
      <w:spacing w:before="15" w:after="100" w:afterAutospacing="1"/>
      <w:jc w:val="left"/>
    </w:pPr>
    <w:rPr>
      <w:rFonts w:ascii="宋体" w:hAnsi="Calibri" w:eastAsia="宋体" w:cs="宋体"/>
      <w:spacing w:val="-2"/>
      <w:kern w:val="0"/>
      <w:sz w:val="24"/>
      <w:szCs w:val="21"/>
    </w:rPr>
  </w:style>
  <w:style w:type="paragraph" w:customStyle="1" w:styleId="3701">
    <w:name w:val="正文zz"/>
    <w:qFormat/>
    <w:uiPriority w:val="0"/>
    <w:pPr>
      <w:spacing w:line="360" w:lineRule="auto"/>
      <w:ind w:firstLine="200" w:firstLineChars="200"/>
    </w:pPr>
    <w:rPr>
      <w:rFonts w:ascii="Calibri" w:hAnsi="Calibri" w:eastAsia="宋体" w:cs="Arial"/>
      <w:kern w:val="2"/>
      <w:sz w:val="24"/>
      <w:szCs w:val="24"/>
      <w:lang w:val="en-US" w:eastAsia="zh-CN" w:bidi="ar-SA"/>
    </w:rPr>
  </w:style>
  <w:style w:type="paragraph" w:customStyle="1" w:styleId="3702">
    <w:name w:val="自定表格"/>
    <w:basedOn w:val="1"/>
    <w:qFormat/>
    <w:uiPriority w:val="0"/>
    <w:pPr>
      <w:autoSpaceDE w:val="0"/>
      <w:autoSpaceDN w:val="0"/>
      <w:adjustRightInd w:val="0"/>
      <w:jc w:val="center"/>
    </w:pPr>
    <w:rPr>
      <w:rFonts w:eastAsia="宋体" w:cs="黑体"/>
      <w:spacing w:val="-2"/>
      <w:kern w:val="0"/>
      <w:sz w:val="24"/>
    </w:rPr>
  </w:style>
  <w:style w:type="paragraph" w:customStyle="1" w:styleId="3703">
    <w:name w:val="样式83"/>
    <w:basedOn w:val="1"/>
    <w:qFormat/>
    <w:uiPriority w:val="0"/>
    <w:pPr>
      <w:keepNext/>
      <w:keepLines/>
      <w:tabs>
        <w:tab w:val="left" w:pos="900"/>
      </w:tabs>
      <w:spacing w:beforeLines="50" w:line="360" w:lineRule="auto"/>
      <w:outlineLvl w:val="2"/>
    </w:pPr>
    <w:rPr>
      <w:rFonts w:ascii="宋体" w:hAnsi="宋体" w:eastAsia="宋体" w:cs="黑体"/>
      <w:b/>
      <w:color w:val="000000"/>
      <w:spacing w:val="-2"/>
      <w:kern w:val="0"/>
      <w:sz w:val="24"/>
      <w:szCs w:val="32"/>
    </w:rPr>
  </w:style>
  <w:style w:type="paragraph" w:customStyle="1" w:styleId="3704">
    <w:name w:val="标题 4 黑体 四号 行距: 1.5 倍行距"/>
    <w:basedOn w:val="1"/>
    <w:qFormat/>
    <w:uiPriority w:val="0"/>
    <w:pPr>
      <w:outlineLvl w:val="2"/>
    </w:pPr>
    <w:rPr>
      <w:rFonts w:eastAsia="宋体" w:cs="黑体"/>
      <w:spacing w:val="-2"/>
      <w:kern w:val="0"/>
      <w:sz w:val="26"/>
      <w:szCs w:val="26"/>
    </w:rPr>
  </w:style>
  <w:style w:type="paragraph" w:customStyle="1" w:styleId="3705">
    <w:name w:val="标题 63"/>
    <w:basedOn w:val="9"/>
    <w:qFormat/>
    <w:uiPriority w:val="0"/>
    <w:pPr>
      <w:keepNext w:val="0"/>
      <w:keepLines w:val="0"/>
      <w:autoSpaceDE w:val="0"/>
      <w:autoSpaceDN w:val="0"/>
      <w:adjustRightInd w:val="0"/>
      <w:spacing w:before="120" w:after="120" w:line="240" w:lineRule="auto"/>
      <w:ind w:left="567" w:firstLine="0"/>
      <w:jc w:val="left"/>
      <w:outlineLvl w:val="9"/>
    </w:pPr>
    <w:rPr>
      <w:rFonts w:ascii="Times New Roman" w:hAnsi="Times New Roman" w:eastAsia="隶书体"/>
      <w:b w:val="0"/>
      <w:bCs w:val="0"/>
      <w:i/>
      <w:kern w:val="0"/>
      <w:sz w:val="28"/>
      <w:szCs w:val="20"/>
    </w:rPr>
  </w:style>
  <w:style w:type="paragraph" w:customStyle="1" w:styleId="3706">
    <w:name w:val="got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07">
    <w:name w:val="表格标题_报告"/>
    <w:basedOn w:val="1"/>
    <w:qFormat/>
    <w:uiPriority w:val="0"/>
    <w:pPr>
      <w:keepNext/>
      <w:spacing w:beforeLines="50"/>
      <w:jc w:val="center"/>
    </w:pPr>
    <w:rPr>
      <w:rFonts w:ascii="黑体" w:hAnsi="Calibri" w:eastAsia="黑体" w:cs="黑体"/>
      <w:spacing w:val="-2"/>
      <w:kern w:val="0"/>
    </w:rPr>
  </w:style>
  <w:style w:type="paragraph" w:customStyle="1" w:styleId="3708">
    <w:name w:val="2222222"/>
    <w:basedOn w:val="1"/>
    <w:qFormat/>
    <w:uiPriority w:val="0"/>
    <w:pPr>
      <w:keepNext/>
      <w:keepLines/>
      <w:tabs>
        <w:tab w:val="left" w:pos="840"/>
      </w:tabs>
      <w:spacing w:before="50" w:after="50" w:line="360" w:lineRule="auto"/>
      <w:ind w:left="840" w:hanging="420"/>
      <w:outlineLvl w:val="1"/>
    </w:pPr>
    <w:rPr>
      <w:rFonts w:ascii="黑体" w:hAnsi="Arial" w:eastAsia="黑体" w:cs="黑体"/>
      <w:b/>
      <w:bCs/>
      <w:color w:val="000000"/>
      <w:spacing w:val="-2"/>
      <w:kern w:val="0"/>
      <w:szCs w:val="28"/>
    </w:rPr>
  </w:style>
  <w:style w:type="paragraph" w:customStyle="1" w:styleId="3709">
    <w:name w:val="表格名和图名"/>
    <w:basedOn w:val="1"/>
    <w:qFormat/>
    <w:uiPriority w:val="0"/>
    <w:pPr>
      <w:spacing w:line="360" w:lineRule="auto"/>
      <w:jc w:val="center"/>
    </w:pPr>
    <w:rPr>
      <w:rFonts w:eastAsia="宋体" w:cs="黑体"/>
      <w:b/>
      <w:color w:val="000000"/>
      <w:spacing w:val="-2"/>
      <w:kern w:val="0"/>
      <w:sz w:val="24"/>
    </w:rPr>
  </w:style>
  <w:style w:type="paragraph" w:customStyle="1" w:styleId="3710">
    <w:name w:val="title-banner1"/>
    <w:basedOn w:val="1"/>
    <w:qFormat/>
    <w:uiPriority w:val="0"/>
    <w:pPr>
      <w:widowControl/>
      <w:shd w:val="clear" w:color="auto" w:fill="D4E8FA"/>
      <w:spacing w:before="30" w:after="100" w:afterAutospacing="1" w:line="450" w:lineRule="atLeast"/>
      <w:jc w:val="center"/>
    </w:pPr>
    <w:rPr>
      <w:rFonts w:ascii="宋体" w:hAnsi="Calibri" w:eastAsia="宋体" w:cs="宋体"/>
      <w:spacing w:val="-2"/>
      <w:kern w:val="0"/>
      <w:sz w:val="24"/>
      <w:szCs w:val="21"/>
    </w:rPr>
  </w:style>
  <w:style w:type="paragraph" w:customStyle="1" w:styleId="3711">
    <w:name w:val="article"/>
    <w:basedOn w:val="1"/>
    <w:qFormat/>
    <w:uiPriority w:val="0"/>
    <w:pPr>
      <w:widowControl/>
      <w:wordWrap w:val="0"/>
      <w:spacing w:before="100" w:beforeAutospacing="1" w:after="100" w:afterAutospacing="1"/>
      <w:jc w:val="left"/>
    </w:pPr>
    <w:rPr>
      <w:rFonts w:ascii="宋体" w:hAnsi="Calibri" w:eastAsia="宋体" w:cs="宋体"/>
      <w:spacing w:val="-2"/>
      <w:kern w:val="0"/>
      <w:szCs w:val="21"/>
    </w:rPr>
  </w:style>
  <w:style w:type="paragraph" w:customStyle="1" w:styleId="3712">
    <w:name w:val="fm-ta-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13">
    <w:name w:val="xl21"/>
    <w:basedOn w:val="1"/>
    <w:qFormat/>
    <w:uiPriority w:val="0"/>
    <w:pPr>
      <w:widowControl/>
      <w:spacing w:before="100" w:beforeAutospacing="1" w:after="100" w:afterAutospacing="1"/>
      <w:jc w:val="center"/>
    </w:pPr>
    <w:rPr>
      <w:rFonts w:ascii="宋体" w:hAnsi="宋体" w:eastAsia="宋体" w:cs="宋体"/>
      <w:spacing w:val="-2"/>
      <w:kern w:val="0"/>
      <w:sz w:val="24"/>
    </w:rPr>
  </w:style>
  <w:style w:type="paragraph" w:customStyle="1" w:styleId="3714">
    <w:name w:val="表格内容自定"/>
    <w:basedOn w:val="1"/>
    <w:qFormat/>
    <w:uiPriority w:val="0"/>
    <w:pPr>
      <w:spacing w:line="280" w:lineRule="exact"/>
      <w:jc w:val="center"/>
    </w:pPr>
    <w:rPr>
      <w:rFonts w:eastAsia="宋体" w:cs="黑体"/>
      <w:spacing w:val="-2"/>
      <w:kern w:val="0"/>
      <w:sz w:val="18"/>
      <w:szCs w:val="21"/>
    </w:rPr>
  </w:style>
  <w:style w:type="paragraph" w:customStyle="1" w:styleId="3715">
    <w:name w:val="标题一（无序号）"/>
    <w:basedOn w:val="1"/>
    <w:qFormat/>
    <w:uiPriority w:val="0"/>
    <w:pPr>
      <w:keepNext/>
      <w:keepLines/>
      <w:adjustRightInd w:val="0"/>
      <w:snapToGrid w:val="0"/>
      <w:spacing w:before="600" w:after="720" w:line="400" w:lineRule="atLeast"/>
      <w:jc w:val="center"/>
      <w:outlineLvl w:val="0"/>
    </w:pPr>
    <w:rPr>
      <w:rFonts w:ascii="黑体" w:hAnsi="宋体" w:eastAsia="黑体" w:cs="宋体"/>
      <w:bCs/>
      <w:spacing w:val="-2"/>
      <w:kern w:val="44"/>
      <w:sz w:val="30"/>
    </w:rPr>
  </w:style>
  <w:style w:type="paragraph" w:customStyle="1" w:styleId="3716">
    <w:name w:val="mstheme-bannertxt"/>
    <w:basedOn w:val="1"/>
    <w:qFormat/>
    <w:uiPriority w:val="0"/>
    <w:pPr>
      <w:spacing w:before="100" w:beforeAutospacing="1" w:after="100" w:afterAutospacing="1"/>
    </w:pPr>
    <w:rPr>
      <w:rFonts w:eastAsia="宋体" w:cs="黑体"/>
      <w:color w:val="0033CC"/>
      <w:spacing w:val="-2"/>
      <w:kern w:val="0"/>
      <w:sz w:val="24"/>
    </w:rPr>
  </w:style>
  <w:style w:type="paragraph" w:customStyle="1" w:styleId="3717">
    <w:name w:val="表格来源"/>
    <w:basedOn w:val="35"/>
    <w:qFormat/>
    <w:uiPriority w:val="0"/>
    <w:pPr>
      <w:ind w:right="22" w:rightChars="22" w:firstLine="0"/>
      <w:jc w:val="right"/>
    </w:pPr>
    <w:rPr>
      <w:rFonts w:ascii="宋体" w:hAnsi="宋体" w:cs="宋体"/>
      <w:spacing w:val="-2"/>
      <w:sz w:val="18"/>
      <w:szCs w:val="24"/>
    </w:rPr>
  </w:style>
  <w:style w:type="paragraph" w:customStyle="1" w:styleId="3718">
    <w:name w:val="p28"/>
    <w:basedOn w:val="1"/>
    <w:qFormat/>
    <w:uiPriority w:val="0"/>
    <w:pPr>
      <w:widowControl/>
      <w:spacing w:line="360" w:lineRule="auto"/>
    </w:pPr>
    <w:rPr>
      <w:rFonts w:eastAsia="宋体" w:cs="黑体"/>
      <w:color w:val="000000"/>
      <w:kern w:val="0"/>
      <w:sz w:val="30"/>
      <w:szCs w:val="30"/>
    </w:rPr>
  </w:style>
  <w:style w:type="paragraph" w:customStyle="1" w:styleId="3719">
    <w:name w:val="表格 23"/>
    <w:basedOn w:val="1"/>
    <w:qFormat/>
    <w:uiPriority w:val="0"/>
    <w:pPr>
      <w:autoSpaceDE w:val="0"/>
      <w:autoSpaceDN w:val="0"/>
      <w:adjustRightInd w:val="0"/>
      <w:jc w:val="center"/>
    </w:pPr>
    <w:rPr>
      <w:rFonts w:eastAsia="仿宋体" w:cs="黑体"/>
      <w:spacing w:val="-2"/>
      <w:kern w:val="0"/>
      <w:sz w:val="24"/>
    </w:rPr>
  </w:style>
  <w:style w:type="paragraph" w:customStyle="1" w:styleId="3720">
    <w:name w:val="tangram_sug_pre"/>
    <w:basedOn w:val="1"/>
    <w:qFormat/>
    <w:uiPriority w:val="0"/>
    <w:pPr>
      <w:widowControl/>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721">
    <w:name w:val="样式 自动表头 + (西文) 黑体 五号 加粗 行距: 单倍行距"/>
    <w:basedOn w:val="1878"/>
    <w:qFormat/>
    <w:uiPriority w:val="0"/>
    <w:pPr>
      <w:spacing w:before="156" w:after="156" w:line="240" w:lineRule="auto"/>
      <w:ind w:firstLine="422" w:firstLineChars="200"/>
      <w:jc w:val="both"/>
    </w:pPr>
    <w:rPr>
      <w:rFonts w:hAnsi="Times New Roman" w:eastAsia="宋体"/>
      <w:b w:val="0"/>
    </w:rPr>
  </w:style>
  <w:style w:type="paragraph" w:customStyle="1" w:styleId="3722">
    <w:name w:val="样式 标题 4 + 段前: 12 磅"/>
    <w:basedOn w:val="1"/>
    <w:qFormat/>
    <w:uiPriority w:val="0"/>
    <w:pPr>
      <w:tabs>
        <w:tab w:val="left" w:pos="0"/>
        <w:tab w:val="left" w:pos="678"/>
      </w:tabs>
      <w:spacing w:before="120" w:line="400" w:lineRule="exact"/>
    </w:pPr>
    <w:rPr>
      <w:rFonts w:eastAsia="宋体" w:cs="黑体"/>
      <w:spacing w:val="-2"/>
      <w:kern w:val="0"/>
      <w:sz w:val="24"/>
    </w:rPr>
  </w:style>
  <w:style w:type="paragraph" w:customStyle="1" w:styleId="3723">
    <w:name w:val="表格正文503"/>
    <w:basedOn w:val="1"/>
    <w:qFormat/>
    <w:uiPriority w:val="0"/>
    <w:pPr>
      <w:jc w:val="center"/>
    </w:pPr>
    <w:rPr>
      <w:rFonts w:eastAsia="宋体" w:cs="黑体"/>
      <w:sz w:val="21"/>
      <w:szCs w:val="21"/>
    </w:rPr>
  </w:style>
  <w:style w:type="paragraph" w:customStyle="1" w:styleId="3724">
    <w:name w:val="样式 正文 + 首行缩进:  2 字符 + 宋体 四号 首行缩进:  2 字符"/>
    <w:basedOn w:val="1"/>
    <w:qFormat/>
    <w:uiPriority w:val="0"/>
    <w:pPr>
      <w:spacing w:line="480" w:lineRule="exact"/>
      <w:ind w:firstLine="200" w:firstLineChars="200"/>
    </w:pPr>
    <w:rPr>
      <w:rFonts w:ascii="宋体" w:hAnsi="宋体" w:eastAsia="宋体" w:cs="宋体"/>
      <w:spacing w:val="-2"/>
      <w:kern w:val="0"/>
    </w:rPr>
  </w:style>
  <w:style w:type="paragraph" w:customStyle="1" w:styleId="3725">
    <w:name w:val="p23"/>
    <w:basedOn w:val="1"/>
    <w:qFormat/>
    <w:uiPriority w:val="0"/>
    <w:pPr>
      <w:widowControl/>
      <w:snapToGrid w:val="0"/>
      <w:spacing w:line="240" w:lineRule="atLeast"/>
      <w:jc w:val="center"/>
    </w:pPr>
    <w:rPr>
      <w:rFonts w:eastAsia="宋体" w:cs="黑体"/>
      <w:kern w:val="0"/>
      <w:sz w:val="24"/>
      <w:szCs w:val="24"/>
    </w:rPr>
  </w:style>
  <w:style w:type="paragraph" w:customStyle="1" w:styleId="3726">
    <w:name w:val="银洲湖石化基地表"/>
    <w:basedOn w:val="1"/>
    <w:qFormat/>
    <w:uiPriority w:val="0"/>
    <w:pPr>
      <w:autoSpaceDE w:val="0"/>
      <w:autoSpaceDN w:val="0"/>
      <w:adjustRightInd w:val="0"/>
      <w:spacing w:line="0" w:lineRule="atLeast"/>
      <w:jc w:val="center"/>
    </w:pPr>
    <w:rPr>
      <w:rFonts w:eastAsia="宋体" w:cs="黑体"/>
      <w:spacing w:val="-2"/>
      <w:kern w:val="0"/>
      <w:sz w:val="24"/>
      <w:szCs w:val="21"/>
    </w:rPr>
  </w:style>
  <w:style w:type="paragraph" w:customStyle="1" w:styleId="3727">
    <w:name w:val="样式32"/>
    <w:basedOn w:val="1"/>
    <w:qFormat/>
    <w:uiPriority w:val="0"/>
    <w:pPr>
      <w:adjustRightInd w:val="0"/>
      <w:snapToGrid w:val="0"/>
      <w:spacing w:line="300" w:lineRule="exact"/>
      <w:jc w:val="center"/>
    </w:pPr>
    <w:rPr>
      <w:rFonts w:eastAsia="宋体" w:cs="黑体"/>
      <w:spacing w:val="-2"/>
      <w:kern w:val="0"/>
    </w:rPr>
  </w:style>
  <w:style w:type="paragraph" w:customStyle="1" w:styleId="3728">
    <w:name w:val="样式 标题 3标题 3 Char标题 3 Char Char条标题1.1.1H31.1.1标题 31.1标题 3 +..."/>
    <w:basedOn w:val="6"/>
    <w:qFormat/>
    <w:uiPriority w:val="0"/>
    <w:pPr>
      <w:tabs>
        <w:tab w:val="left" w:pos="0"/>
        <w:tab w:val="left" w:pos="630"/>
        <w:tab w:val="left" w:pos="1022"/>
        <w:tab w:val="left" w:pos="1080"/>
        <w:tab w:val="clear" w:pos="1789"/>
      </w:tabs>
      <w:spacing w:before="0" w:after="0" w:line="500" w:lineRule="exact"/>
      <w:ind w:left="1260" w:hanging="420"/>
    </w:pPr>
    <w:rPr>
      <w:rFonts w:hint="eastAsia" w:ascii="宋体" w:hAnsi="宋体" w:eastAsia="宋体" w:cs="宋体"/>
      <w:b w:val="0"/>
      <w:i/>
      <w:iCs/>
      <w:color w:val="000000"/>
      <w:spacing w:val="-2"/>
      <w:sz w:val="28"/>
    </w:rPr>
  </w:style>
  <w:style w:type="paragraph" w:customStyle="1" w:styleId="3729">
    <w:name w:val="ysh标1"/>
    <w:basedOn w:val="1"/>
    <w:qFormat/>
    <w:uiPriority w:val="0"/>
    <w:pPr>
      <w:spacing w:beforeLines="100"/>
      <w:ind w:firstLine="200" w:firstLineChars="200"/>
      <w:jc w:val="center"/>
    </w:pPr>
    <w:rPr>
      <w:rFonts w:ascii="宋体" w:hAnsi="Calibri" w:eastAsia="宋体" w:cs="黑体"/>
      <w:b/>
      <w:spacing w:val="-2"/>
      <w:kern w:val="0"/>
      <w:sz w:val="44"/>
      <w:szCs w:val="32"/>
    </w:rPr>
  </w:style>
  <w:style w:type="paragraph" w:customStyle="1" w:styleId="3730">
    <w:name w:val="explai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1">
    <w:name w:val="xl1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FF00FF"/>
      <w:spacing w:val="-2"/>
      <w:kern w:val="0"/>
      <w:sz w:val="24"/>
    </w:rPr>
  </w:style>
  <w:style w:type="paragraph" w:customStyle="1" w:styleId="3732">
    <w:name w:val="表题 2"/>
    <w:basedOn w:val="1"/>
    <w:qFormat/>
    <w:uiPriority w:val="0"/>
    <w:pPr>
      <w:adjustRightInd w:val="0"/>
      <w:spacing w:before="120" w:after="120"/>
      <w:jc w:val="center"/>
    </w:pPr>
    <w:rPr>
      <w:rFonts w:eastAsia="宋体" w:cs="黑体"/>
      <w:spacing w:val="-2"/>
      <w:kern w:val="0"/>
    </w:rPr>
  </w:style>
  <w:style w:type="paragraph" w:customStyle="1" w:styleId="3733">
    <w:name w:val="样式10001"/>
    <w:basedOn w:val="1"/>
    <w:qFormat/>
    <w:uiPriority w:val="0"/>
    <w:pPr>
      <w:spacing w:beforeLines="50" w:line="360" w:lineRule="auto"/>
      <w:ind w:firstLine="480" w:firstLineChars="200"/>
    </w:pPr>
    <w:rPr>
      <w:rFonts w:eastAsia="宋体" w:cs="黑体"/>
      <w:color w:val="000000"/>
      <w:spacing w:val="-2"/>
      <w:kern w:val="0"/>
      <w:sz w:val="24"/>
    </w:rPr>
  </w:style>
  <w:style w:type="paragraph" w:customStyle="1" w:styleId="3734">
    <w:name w:val="b-heading-lis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5">
    <w:name w:val="样式 四号 加粗 黑色"/>
    <w:basedOn w:val="1"/>
    <w:next w:val="64"/>
    <w:qFormat/>
    <w:uiPriority w:val="0"/>
    <w:rPr>
      <w:rFonts w:eastAsia="宋体" w:cs="宋体"/>
      <w:b/>
      <w:bCs/>
      <w:color w:val="000000"/>
      <w:spacing w:val="-2"/>
      <w:kern w:val="0"/>
      <w:sz w:val="32"/>
    </w:rPr>
  </w:style>
  <w:style w:type="paragraph" w:customStyle="1" w:styleId="3736">
    <w:name w:val="纯文本14"/>
    <w:basedOn w:val="1"/>
    <w:qFormat/>
    <w:uiPriority w:val="0"/>
    <w:pPr>
      <w:adjustRightInd w:val="0"/>
      <w:snapToGrid w:val="0"/>
    </w:pPr>
    <w:rPr>
      <w:rFonts w:ascii="宋体" w:hAnsi="Courier New" w:eastAsia="宋体" w:cs="黑体"/>
      <w:spacing w:val="-2"/>
      <w:kern w:val="0"/>
    </w:rPr>
  </w:style>
  <w:style w:type="paragraph" w:customStyle="1" w:styleId="3737">
    <w:name w:val="样式 黑色 首行缩进:  2 字符3"/>
    <w:basedOn w:val="1"/>
    <w:qFormat/>
    <w:uiPriority w:val="0"/>
    <w:pPr>
      <w:spacing w:line="520" w:lineRule="exact"/>
      <w:ind w:firstLine="200" w:firstLineChars="200"/>
    </w:pPr>
    <w:rPr>
      <w:rFonts w:eastAsia="宋体" w:cs="黑体"/>
      <w:color w:val="000000"/>
      <w:spacing w:val="-2"/>
      <w:kern w:val="0"/>
    </w:rPr>
  </w:style>
  <w:style w:type="paragraph" w:customStyle="1" w:styleId="3738">
    <w:name w:val="contri-typ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9">
    <w:name w:val="样式 行距: 固定值 28 磅"/>
    <w:basedOn w:val="1"/>
    <w:qFormat/>
    <w:uiPriority w:val="0"/>
    <w:pPr>
      <w:spacing w:line="500" w:lineRule="exact"/>
      <w:ind w:firstLine="692" w:firstLineChars="250"/>
    </w:pPr>
    <w:rPr>
      <w:rFonts w:eastAsia="宋体" w:cs="宋体"/>
      <w:spacing w:val="-2"/>
      <w:kern w:val="0"/>
    </w:rPr>
  </w:style>
  <w:style w:type="paragraph" w:customStyle="1" w:styleId="3740">
    <w:name w:val="xl19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4"/>
    </w:rPr>
  </w:style>
  <w:style w:type="paragraph" w:customStyle="1" w:styleId="3741">
    <w:name w:val="样式 Char Char Char Char Char Char Char Char Char Char + 黑色 行距: 多..."/>
    <w:basedOn w:val="1"/>
    <w:qFormat/>
    <w:uiPriority w:val="0"/>
    <w:pPr>
      <w:spacing w:line="336" w:lineRule="auto"/>
      <w:ind w:right="100" w:rightChars="100" w:firstLine="200" w:firstLineChars="200"/>
    </w:pPr>
    <w:rPr>
      <w:rFonts w:ascii="宋体" w:hAnsi="Calibri" w:eastAsia="宋体" w:cs="宋体"/>
      <w:color w:val="000000"/>
      <w:spacing w:val="-2"/>
      <w:kern w:val="0"/>
      <w:sz w:val="24"/>
    </w:rPr>
  </w:style>
  <w:style w:type="paragraph" w:customStyle="1" w:styleId="3742">
    <w:name w:val="正文，四宋"/>
    <w:basedOn w:val="1"/>
    <w:qFormat/>
    <w:uiPriority w:val="0"/>
    <w:pPr>
      <w:keepNext/>
      <w:spacing w:line="480" w:lineRule="exact"/>
      <w:ind w:firstLine="567"/>
      <w:outlineLvl w:val="4"/>
    </w:pPr>
    <w:rPr>
      <w:rFonts w:eastAsia="宋体" w:cs="黑体"/>
      <w:spacing w:val="-2"/>
      <w:kern w:val="0"/>
    </w:rPr>
  </w:style>
  <w:style w:type="paragraph" w:customStyle="1" w:styleId="3743">
    <w:name w:val="dialog-content-inner-wrap"/>
    <w:basedOn w:val="1"/>
    <w:qFormat/>
    <w:uiPriority w:val="0"/>
    <w:pPr>
      <w:widowControl/>
      <w:spacing w:line="480" w:lineRule="atLeast"/>
      <w:jc w:val="left"/>
    </w:pPr>
    <w:rPr>
      <w:rFonts w:ascii="宋体" w:hAnsi="Calibri" w:eastAsia="宋体" w:cs="宋体"/>
      <w:spacing w:val="-2"/>
      <w:kern w:val="0"/>
      <w:sz w:val="24"/>
      <w:szCs w:val="21"/>
    </w:rPr>
  </w:style>
  <w:style w:type="paragraph" w:customStyle="1" w:styleId="3744">
    <w:name w:val="样式 样式3 + 首行缩进:  2 字符"/>
    <w:basedOn w:val="1"/>
    <w:qFormat/>
    <w:uiPriority w:val="0"/>
    <w:pPr>
      <w:ind w:firstLine="480"/>
    </w:pPr>
    <w:rPr>
      <w:rFonts w:ascii="Times" w:hAnsi="Times" w:cs="黑体"/>
      <w:spacing w:val="-2"/>
      <w:kern w:val="0"/>
      <w:sz w:val="24"/>
    </w:rPr>
  </w:style>
  <w:style w:type="paragraph" w:customStyle="1" w:styleId="3745">
    <w:name w:val="检索5"/>
    <w:basedOn w:val="3203"/>
    <w:qFormat/>
    <w:uiPriority w:val="0"/>
    <w:pPr>
      <w:ind w:left="1304"/>
    </w:pPr>
    <w:rPr>
      <w:color w:val="000080"/>
    </w:rPr>
  </w:style>
  <w:style w:type="paragraph" w:customStyle="1" w:styleId="3746">
    <w:name w:val="样式 标题 2标题 21标题 121 + Times New Roman 小三 非加粗 黑色 段前: 8 磅 段...3"/>
    <w:basedOn w:val="1"/>
    <w:qFormat/>
    <w:uiPriority w:val="0"/>
    <w:pPr>
      <w:tabs>
        <w:tab w:val="left" w:pos="238"/>
      </w:tabs>
      <w:ind w:left="238"/>
    </w:pPr>
    <w:rPr>
      <w:rFonts w:eastAsia="宋体" w:cs="黑体"/>
      <w:spacing w:val="-2"/>
      <w:kern w:val="0"/>
    </w:rPr>
  </w:style>
  <w:style w:type="paragraph" w:customStyle="1" w:styleId="3747">
    <w:name w:val="项目"/>
    <w:basedOn w:val="1"/>
    <w:qFormat/>
    <w:uiPriority w:val="0"/>
    <w:pPr>
      <w:adjustRightInd w:val="0"/>
      <w:spacing w:before="60" w:line="320" w:lineRule="atLeast"/>
      <w:ind w:left="400" w:leftChars="400"/>
    </w:pPr>
    <w:rPr>
      <w:rFonts w:eastAsia="宋体" w:cs="黑体"/>
      <w:spacing w:val="-2"/>
      <w:kern w:val="0"/>
      <w:sz w:val="24"/>
    </w:rPr>
  </w:style>
  <w:style w:type="paragraph" w:customStyle="1" w:styleId="3748">
    <w:name w:val="样式 宋体 红色 行距: 1.5 倍行距"/>
    <w:basedOn w:val="1"/>
    <w:qFormat/>
    <w:uiPriority w:val="0"/>
    <w:pPr>
      <w:adjustRightInd w:val="0"/>
      <w:snapToGrid w:val="0"/>
      <w:spacing w:line="360" w:lineRule="auto"/>
      <w:ind w:firstLine="560" w:firstLineChars="200"/>
    </w:pPr>
    <w:rPr>
      <w:rFonts w:ascii="宋体" w:hAnsi="宋体" w:eastAsia="宋体" w:cs="宋体"/>
      <w:color w:val="FF0000"/>
      <w:spacing w:val="-2"/>
      <w:kern w:val="0"/>
      <w:sz w:val="24"/>
    </w:rPr>
  </w:style>
  <w:style w:type="paragraph" w:customStyle="1" w:styleId="3749">
    <w:name w:val="一般正文 + 首行缩进:  2 字符 段后: 0.2 行 + 首行缩进:  2 字符"/>
    <w:basedOn w:val="1"/>
    <w:qFormat/>
    <w:uiPriority w:val="0"/>
    <w:pPr>
      <w:adjustRightInd w:val="0"/>
      <w:snapToGrid w:val="0"/>
      <w:spacing w:before="100" w:beforeAutospacing="1" w:after="100" w:afterAutospacing="1"/>
    </w:pPr>
    <w:rPr>
      <w:rFonts w:ascii="宋体" w:hAnsi="Calibri" w:eastAsia="宋体" w:cs="黑体"/>
      <w:spacing w:val="-2"/>
      <w:kern w:val="0"/>
      <w:szCs w:val="28"/>
    </w:rPr>
  </w:style>
  <w:style w:type="paragraph" w:customStyle="1" w:styleId="3750">
    <w:name w:val="真宗兴表格内容"/>
    <w:basedOn w:val="1"/>
    <w:qFormat/>
    <w:uiPriority w:val="0"/>
    <w:pPr>
      <w:tabs>
        <w:tab w:val="left" w:pos="-2848"/>
      </w:tabs>
      <w:overflowPunct w:val="0"/>
      <w:autoSpaceDE w:val="0"/>
      <w:autoSpaceDN w:val="0"/>
      <w:adjustRightInd w:val="0"/>
      <w:spacing w:beforeLines="20" w:line="400" w:lineRule="atLeast"/>
      <w:ind w:firstLine="200" w:firstLineChars="200"/>
      <w:jc w:val="center"/>
    </w:pPr>
    <w:rPr>
      <w:rFonts w:eastAsia="宋体" w:cs="黑体"/>
      <w:spacing w:val="-2"/>
      <w:kern w:val="0"/>
      <w:sz w:val="24"/>
    </w:rPr>
  </w:style>
  <w:style w:type="paragraph" w:customStyle="1" w:styleId="3751">
    <w:name w:val="正文23"/>
    <w:basedOn w:val="3023"/>
    <w:qFormat/>
    <w:uiPriority w:val="0"/>
    <w:pPr>
      <w:tabs>
        <w:tab w:val="left" w:pos="360"/>
      </w:tabs>
      <w:adjustRightInd/>
      <w:snapToGrid/>
      <w:spacing w:after="0" w:line="240" w:lineRule="auto"/>
      <w:ind w:firstLine="250" w:firstLineChars="250"/>
      <w:jc w:val="center"/>
    </w:pPr>
    <w:rPr>
      <w:rFonts w:hAnsi="宋体" w:cs="Tahoma"/>
      <w:spacing w:val="0"/>
      <w:szCs w:val="24"/>
    </w:rPr>
  </w:style>
  <w:style w:type="paragraph" w:customStyle="1" w:styleId="3752">
    <w:name w:val="表内五中"/>
    <w:basedOn w:val="1"/>
    <w:qFormat/>
    <w:uiPriority w:val="0"/>
    <w:pPr>
      <w:tabs>
        <w:tab w:val="left" w:pos="-120"/>
      </w:tabs>
      <w:spacing w:before="60" w:line="310" w:lineRule="atLeast"/>
      <w:jc w:val="center"/>
    </w:pPr>
    <w:rPr>
      <w:rFonts w:eastAsia="宋体" w:cs="黑体"/>
      <w:spacing w:val="-2"/>
      <w:kern w:val="0"/>
    </w:rPr>
  </w:style>
  <w:style w:type="paragraph" w:customStyle="1" w:styleId="3753">
    <w:name w:val="样式 样式 标题 3 + 段前: 0.5 行 段后: 0.5 行 + 宋体 段前: 0.5 行 段后: 0.5 行"/>
    <w:basedOn w:val="1"/>
    <w:qFormat/>
    <w:uiPriority w:val="0"/>
    <w:pPr>
      <w:keepNext/>
      <w:keepLines/>
      <w:tabs>
        <w:tab w:val="left" w:pos="851"/>
        <w:tab w:val="left" w:pos="1080"/>
      </w:tabs>
      <w:spacing w:before="156" w:after="156" w:line="360" w:lineRule="auto"/>
      <w:ind w:left="864" w:hanging="425"/>
      <w:outlineLvl w:val="3"/>
    </w:pPr>
    <w:rPr>
      <w:rFonts w:ascii="宋体" w:hAnsi="宋体" w:eastAsia="宋体" w:cs="黑体"/>
      <w:spacing w:val="-2"/>
      <w:kern w:val="0"/>
      <w:sz w:val="24"/>
    </w:rPr>
  </w:style>
  <w:style w:type="paragraph" w:customStyle="1" w:styleId="3754">
    <w:name w:val="样式 标题 2 + 首行缩进:  0 字符"/>
    <w:basedOn w:val="4"/>
    <w:qFormat/>
    <w:uiPriority w:val="0"/>
    <w:pPr>
      <w:keepLines w:val="0"/>
      <w:tabs>
        <w:tab w:val="left" w:pos="1476"/>
        <w:tab w:val="clear" w:pos="567"/>
      </w:tabs>
      <w:adjustRightInd w:val="0"/>
      <w:snapToGrid w:val="0"/>
      <w:spacing w:before="0" w:beforeLines="10" w:after="0" w:line="360" w:lineRule="auto"/>
      <w:ind w:left="840" w:firstLine="200" w:firstLineChars="200"/>
    </w:pPr>
    <w:rPr>
      <w:rFonts w:hAnsi="宋体" w:cs="宋体"/>
      <w:b/>
      <w:bCs/>
      <w:spacing w:val="-2"/>
      <w:kern w:val="0"/>
      <w:szCs w:val="32"/>
    </w:rPr>
  </w:style>
  <w:style w:type="paragraph" w:customStyle="1" w:styleId="3755">
    <w:name w:val="样式 目录 2 + 左侧:  2 字符 首行缩进:  2 字符5"/>
    <w:basedOn w:val="75"/>
    <w:qFormat/>
    <w:uiPriority w:val="0"/>
    <w:pPr>
      <w:tabs>
        <w:tab w:val="left" w:pos="840"/>
        <w:tab w:val="right" w:leader="dot" w:pos="9060"/>
        <w:tab w:val="clear" w:pos="1120"/>
        <w:tab w:val="clear" w:pos="8767"/>
      </w:tabs>
      <w:spacing w:line="240" w:lineRule="auto"/>
      <w:ind w:left="480" w:firstLine="200" w:firstLineChars="200"/>
      <w:jc w:val="both"/>
    </w:pPr>
    <w:rPr>
      <w:rFonts w:ascii="Times New Roman" w:hAnsi="Times New Roman" w:cs="宋体"/>
      <w:b/>
      <w:smallCaps w:val="0"/>
      <w:spacing w:val="-2"/>
      <w:kern w:val="0"/>
      <w:szCs w:val="21"/>
    </w:rPr>
  </w:style>
  <w:style w:type="paragraph" w:customStyle="1" w:styleId="3756">
    <w:name w:val="样式 标题 + 段前: 0.5 行 段后: 0.5 行"/>
    <w:basedOn w:val="85"/>
    <w:qFormat/>
    <w:uiPriority w:val="0"/>
    <w:pPr>
      <w:keepNext w:val="0"/>
      <w:keepLines w:val="0"/>
      <w:tabs>
        <w:tab w:val="clear" w:pos="1080"/>
        <w:tab w:val="clear" w:pos="1789"/>
      </w:tabs>
      <w:spacing w:before="0" w:after="0" w:line="240" w:lineRule="auto"/>
      <w:jc w:val="center"/>
      <w:outlineLvl w:val="0"/>
    </w:pPr>
    <w:rPr>
      <w:rFonts w:ascii="Arial" w:hAnsi="Arial" w:cs="宋体"/>
      <w:bCs w:val="0"/>
      <w:color w:val="000000"/>
      <w:sz w:val="30"/>
      <w:szCs w:val="30"/>
    </w:rPr>
  </w:style>
  <w:style w:type="paragraph" w:customStyle="1" w:styleId="3757">
    <w:name w:val="w74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58">
    <w:name w:val="lemma-top-link"/>
    <w:basedOn w:val="1"/>
    <w:qFormat/>
    <w:uiPriority w:val="0"/>
    <w:pPr>
      <w:widowControl/>
      <w:spacing w:before="165" w:after="100" w:afterAutospacing="1" w:line="165" w:lineRule="atLeast"/>
      <w:ind w:right="120"/>
      <w:jc w:val="left"/>
    </w:pPr>
    <w:rPr>
      <w:rFonts w:ascii="宋体" w:hAnsi="Calibri" w:eastAsia="宋体" w:cs="宋体"/>
      <w:spacing w:val="-2"/>
      <w:kern w:val="0"/>
      <w:sz w:val="18"/>
      <w:szCs w:val="18"/>
      <w:u w:val="single"/>
    </w:rPr>
  </w:style>
  <w:style w:type="paragraph" w:customStyle="1" w:styleId="3759">
    <w:name w:val="作者、页码、日期"/>
    <w:qFormat/>
    <w:uiPriority w:val="0"/>
    <w:pPr>
      <w:widowControl w:val="0"/>
      <w:jc w:val="both"/>
    </w:pPr>
    <w:rPr>
      <w:rFonts w:ascii="Times New Roman" w:hAnsi="Times New Roman" w:eastAsia="宋体" w:cs="Times New Roman"/>
      <w:lang w:val="en-US" w:eastAsia="zh-CN" w:bidi="ar-SA"/>
    </w:rPr>
  </w:style>
  <w:style w:type="paragraph" w:customStyle="1" w:styleId="3760">
    <w:name w:val="目录1"/>
    <w:basedOn w:val="1"/>
    <w:qFormat/>
    <w:uiPriority w:val="0"/>
    <w:pPr>
      <w:widowControl/>
      <w:tabs>
        <w:tab w:val="left" w:leader="dot" w:pos="8503"/>
      </w:tabs>
      <w:spacing w:after="136" w:line="289" w:lineRule="atLeast"/>
      <w:jc w:val="left"/>
    </w:pPr>
    <w:rPr>
      <w:rFonts w:ascii="Arial" w:eastAsia="黑体" w:cs="黑体"/>
      <w:color w:val="000000"/>
      <w:spacing w:val="-2"/>
      <w:kern w:val="0"/>
      <w:u w:color="000000"/>
    </w:rPr>
  </w:style>
  <w:style w:type="paragraph" w:customStyle="1" w:styleId="3761">
    <w:name w:val="条题"/>
    <w:basedOn w:val="5"/>
    <w:next w:val="5"/>
    <w:qFormat/>
    <w:uiPriority w:val="0"/>
    <w:pPr>
      <w:tabs>
        <w:tab w:val="left" w:pos="360"/>
      </w:tabs>
      <w:spacing w:line="240" w:lineRule="auto"/>
      <w:ind w:left="360" w:hanging="360"/>
    </w:pPr>
    <w:rPr>
      <w:rFonts w:hint="eastAsia" w:ascii="Calibri" w:hAnsi="Calibri"/>
      <w:bCs/>
      <w:spacing w:val="0"/>
      <w:sz w:val="28"/>
      <w:szCs w:val="22"/>
    </w:rPr>
  </w:style>
  <w:style w:type="paragraph" w:customStyle="1" w:styleId="3762">
    <w:name w:val="表样式1"/>
    <w:basedOn w:val="1"/>
    <w:qFormat/>
    <w:uiPriority w:val="0"/>
    <w:pPr>
      <w:spacing w:line="340" w:lineRule="exact"/>
      <w:ind w:right="-131" w:rightChars="-131"/>
      <w:jc w:val="center"/>
    </w:pPr>
    <w:rPr>
      <w:rFonts w:eastAsia="宋体" w:cs="黑体"/>
      <w:spacing w:val="-2"/>
      <w:kern w:val="0"/>
      <w:szCs w:val="21"/>
    </w:rPr>
  </w:style>
  <w:style w:type="paragraph" w:customStyle="1" w:styleId="3763">
    <w:name w:val="表头编号"/>
    <w:basedOn w:val="1"/>
    <w:qFormat/>
    <w:uiPriority w:val="0"/>
    <w:pPr>
      <w:adjustRightInd w:val="0"/>
      <w:snapToGrid w:val="0"/>
      <w:ind w:right="-1" w:rightChars="-1" w:firstLine="200" w:firstLineChars="200"/>
      <w:jc w:val="center"/>
    </w:pPr>
    <w:rPr>
      <w:rFonts w:ascii="宋体" w:hAnsi="Calibri" w:eastAsia="宋体" w:cs="黑体"/>
      <w:color w:val="000000"/>
      <w:spacing w:val="-2"/>
      <w:kern w:val="0"/>
      <w:sz w:val="24"/>
    </w:rPr>
  </w:style>
  <w:style w:type="paragraph" w:customStyle="1" w:styleId="3764">
    <w:name w:val="样式 标题 3 + 首行缩进:  2 字符 段前: 8.15 磅 段后: 8.15 磅"/>
    <w:basedOn w:val="6"/>
    <w:qFormat/>
    <w:uiPriority w:val="0"/>
    <w:pPr>
      <w:tabs>
        <w:tab w:val="left" w:pos="1022"/>
        <w:tab w:val="left" w:pos="1080"/>
        <w:tab w:val="clear" w:pos="1789"/>
      </w:tabs>
      <w:spacing w:before="163" w:after="163" w:line="240" w:lineRule="atLeast"/>
      <w:ind w:left="1260" w:firstLine="482" w:firstLineChars="200"/>
      <w:jc w:val="left"/>
    </w:pPr>
    <w:rPr>
      <w:rFonts w:hint="eastAsia" w:ascii="Arial Unicode MS" w:hAnsi="Arial Unicode MS" w:eastAsia="宋体" w:cs="宋体"/>
      <w:i/>
      <w:iCs/>
      <w:color w:val="000000"/>
      <w:spacing w:val="-2"/>
      <w:szCs w:val="24"/>
    </w:rPr>
  </w:style>
  <w:style w:type="paragraph" w:customStyle="1" w:styleId="3765">
    <w:name w:val="样式 样式 小四 行距: 1.5 倍行距 首行缩进:  2 字符1 + 首行缩进:  2 字符1"/>
    <w:basedOn w:val="1"/>
    <w:qFormat/>
    <w:uiPriority w:val="0"/>
    <w:pPr>
      <w:ind w:firstLine="200" w:firstLineChars="200"/>
    </w:pPr>
    <w:rPr>
      <w:rFonts w:eastAsia="宋体" w:cs="宋体"/>
      <w:spacing w:val="-2"/>
      <w:kern w:val="0"/>
      <w:sz w:val="24"/>
    </w:rPr>
  </w:style>
  <w:style w:type="paragraph" w:customStyle="1" w:styleId="3766">
    <w:name w:val="标题4－0909"/>
    <w:basedOn w:val="7"/>
    <w:qFormat/>
    <w:uiPriority w:val="0"/>
    <w:pPr>
      <w:keepNext w:val="0"/>
      <w:keepLines w:val="0"/>
      <w:tabs>
        <w:tab w:val="left" w:pos="864"/>
        <w:tab w:val="left" w:pos="2153"/>
        <w:tab w:val="clear" w:pos="4008"/>
      </w:tabs>
      <w:adjustRightInd w:val="0"/>
      <w:snapToGrid w:val="0"/>
      <w:spacing w:before="240" w:after="120" w:line="360" w:lineRule="exact"/>
      <w:ind w:left="851" w:hanging="851"/>
      <w:jc w:val="left"/>
    </w:pPr>
    <w:rPr>
      <w:rFonts w:ascii="Times New Roman" w:hAnsi="Times New Roman" w:eastAsia="宋体"/>
      <w:bCs/>
      <w:color w:val="auto"/>
      <w:spacing w:val="-2"/>
      <w:kern w:val="0"/>
    </w:rPr>
  </w:style>
  <w:style w:type="paragraph" w:customStyle="1" w:styleId="3767">
    <w:name w:val="样式 正文首行缩进 2 + 首行缩进:  2 字符1"/>
    <w:basedOn w:val="87"/>
    <w:qFormat/>
    <w:uiPriority w:val="0"/>
    <w:pPr>
      <w:spacing w:line="360" w:lineRule="auto"/>
      <w:ind w:left="0" w:leftChars="0" w:firstLine="200"/>
    </w:pPr>
    <w:rPr>
      <w:rFonts w:ascii="宋体" w:hAnsi="宋体" w:eastAsia="宋体" w:cs="宋体"/>
      <w:sz w:val="24"/>
    </w:rPr>
  </w:style>
  <w:style w:type="paragraph" w:customStyle="1" w:styleId="3768">
    <w:name w:val="久不通函，至以为念。"/>
    <w:qFormat/>
    <w:uiPriority w:val="0"/>
    <w:pPr>
      <w:widowControl w:val="0"/>
      <w:jc w:val="both"/>
    </w:pPr>
    <w:rPr>
      <w:rFonts w:ascii="Times New Roman" w:hAnsi="Times New Roman" w:eastAsia="宋体" w:cs="Times New Roman"/>
      <w:lang w:val="en-US" w:eastAsia="zh-CN" w:bidi="ar-SA"/>
    </w:rPr>
  </w:style>
  <w:style w:type="paragraph" w:customStyle="1" w:styleId="3769">
    <w:name w:val="备注"/>
    <w:basedOn w:val="1"/>
    <w:qFormat/>
    <w:uiPriority w:val="0"/>
    <w:pPr>
      <w:tabs>
        <w:tab w:val="left" w:pos="547"/>
        <w:tab w:val="left" w:pos="1080"/>
      </w:tabs>
      <w:spacing w:line="400" w:lineRule="atLeast"/>
    </w:pPr>
    <w:rPr>
      <w:rFonts w:eastAsia="宋体" w:cs="黑体"/>
      <w:spacing w:val="-2"/>
      <w:kern w:val="0"/>
      <w:sz w:val="24"/>
      <w:szCs w:val="21"/>
    </w:rPr>
  </w:style>
  <w:style w:type="paragraph" w:customStyle="1" w:styleId="3770">
    <w:name w:val="Char15"/>
    <w:basedOn w:val="1"/>
    <w:qFormat/>
    <w:uiPriority w:val="0"/>
    <w:rPr>
      <w:rFonts w:eastAsia="宋体" w:cs="黑体"/>
      <w:spacing w:val="-2"/>
      <w:kern w:val="0"/>
    </w:rPr>
  </w:style>
  <w:style w:type="paragraph" w:customStyle="1" w:styleId="3771">
    <w:name w:val="lemma-relation-odd"/>
    <w:basedOn w:val="1"/>
    <w:qFormat/>
    <w:uiPriority w:val="0"/>
    <w:pPr>
      <w:widowControl/>
      <w:spacing w:before="100" w:beforeAutospacing="1" w:after="100" w:afterAutospacing="1" w:line="450" w:lineRule="atLeast"/>
      <w:jc w:val="left"/>
    </w:pPr>
    <w:rPr>
      <w:rFonts w:ascii="宋体" w:hAnsi="Calibri" w:eastAsia="宋体" w:cs="宋体"/>
      <w:spacing w:val="-2"/>
      <w:kern w:val="0"/>
      <w:sz w:val="24"/>
      <w:szCs w:val="21"/>
    </w:rPr>
  </w:style>
  <w:style w:type="paragraph" w:customStyle="1" w:styleId="3772">
    <w:name w:val="Char Char1 Char Char Char Char Char Char Char4"/>
    <w:basedOn w:val="1"/>
    <w:qFormat/>
    <w:uiPriority w:val="0"/>
    <w:rPr>
      <w:rFonts w:eastAsia="宋体" w:cs="黑体"/>
      <w:spacing w:val="-2"/>
      <w:kern w:val="0"/>
    </w:rPr>
  </w:style>
  <w:style w:type="paragraph" w:customStyle="1" w:styleId="3773">
    <w:name w:val="标题 3，第三标题"/>
    <w:basedOn w:val="1"/>
    <w:qFormat/>
    <w:uiPriority w:val="0"/>
    <w:pPr>
      <w:tabs>
        <w:tab w:val="left" w:pos="628"/>
        <w:tab w:val="left" w:pos="1727"/>
        <w:tab w:val="left" w:pos="1820"/>
        <w:tab w:val="left" w:pos="1884"/>
        <w:tab w:val="left" w:pos="2660"/>
        <w:tab w:val="left" w:pos="5460"/>
      </w:tabs>
      <w:snapToGrid w:val="0"/>
      <w:spacing w:beforeLines="50" w:line="440" w:lineRule="exact"/>
      <w:ind w:left="1820" w:hanging="420"/>
      <w:jc w:val="left"/>
      <w:outlineLvl w:val="2"/>
    </w:pPr>
    <w:rPr>
      <w:rFonts w:eastAsia="黑体" w:cs="宋体"/>
      <w:spacing w:val="-2"/>
      <w:kern w:val="0"/>
      <w:sz w:val="24"/>
    </w:rPr>
  </w:style>
  <w:style w:type="paragraph" w:customStyle="1" w:styleId="3774">
    <w:name w:val="box2-inner1"/>
    <w:basedOn w:val="1"/>
    <w:qFormat/>
    <w:uiPriority w:val="0"/>
    <w:pPr>
      <w:widowControl/>
      <w:pBdr>
        <w:top w:val="single" w:color="CCE0EE" w:sz="6" w:space="5"/>
        <w:left w:val="single" w:color="CCE0EE" w:sz="6" w:space="9"/>
        <w:bottom w:val="single" w:color="CCE0EE" w:sz="6" w:space="9"/>
        <w:right w:val="single" w:color="CCE0EE" w:sz="6" w:space="5"/>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775">
    <w:name w:val="列表标题"/>
    <w:basedOn w:val="1"/>
    <w:next w:val="1"/>
    <w:qFormat/>
    <w:uiPriority w:val="0"/>
    <w:pPr>
      <w:jc w:val="center"/>
    </w:pPr>
    <w:rPr>
      <w:rFonts w:eastAsia="宋体" w:cs="黑体"/>
      <w:spacing w:val="-2"/>
      <w:kern w:val="0"/>
      <w:sz w:val="24"/>
    </w:rPr>
  </w:style>
  <w:style w:type="paragraph" w:customStyle="1" w:styleId="3776">
    <w:name w:val="tem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77">
    <w:name w:val="我的样式"/>
    <w:basedOn w:val="1"/>
    <w:qFormat/>
    <w:uiPriority w:val="0"/>
    <w:pPr>
      <w:ind w:firstLine="230" w:firstLineChars="230"/>
    </w:pPr>
    <w:rPr>
      <w:rFonts w:eastAsia="宋体" w:cs="黑体"/>
      <w:spacing w:val="-2"/>
      <w:kern w:val="0"/>
      <w:sz w:val="24"/>
    </w:rPr>
  </w:style>
  <w:style w:type="paragraph" w:customStyle="1" w:styleId="3778">
    <w:name w:val="样式 标题 3 + 小四 非加粗 段前: 2.4 磅 段后: 2.4 磅 行距: 多倍行距 1.72 字行"/>
    <w:basedOn w:val="7"/>
    <w:qFormat/>
    <w:uiPriority w:val="0"/>
    <w:pPr>
      <w:tabs>
        <w:tab w:val="left" w:pos="1680"/>
        <w:tab w:val="left" w:pos="2153"/>
        <w:tab w:val="clear" w:pos="4008"/>
      </w:tabs>
      <w:spacing w:before="48" w:after="48" w:line="408" w:lineRule="auto"/>
      <w:ind w:left="0" w:firstLine="0"/>
      <w:jc w:val="both"/>
    </w:pPr>
    <w:rPr>
      <w:rFonts w:ascii="Cambria" w:hAnsi="Cambria" w:eastAsia="Times New Roman" w:cs="宋体"/>
      <w:color w:val="auto"/>
      <w:spacing w:val="-2"/>
      <w:szCs w:val="24"/>
    </w:rPr>
  </w:style>
  <w:style w:type="paragraph" w:customStyle="1" w:styleId="3779">
    <w:name w:val="1-1-1"/>
    <w:basedOn w:val="1"/>
    <w:qFormat/>
    <w:uiPriority w:val="0"/>
    <w:pPr>
      <w:ind w:firstLine="420"/>
    </w:pPr>
    <w:rPr>
      <w:rFonts w:eastAsia="宋体" w:cs="黑体"/>
      <w:color w:val="FF0000"/>
      <w:spacing w:val="-2"/>
      <w:kern w:val="0"/>
      <w:sz w:val="24"/>
    </w:rPr>
  </w:style>
  <w:style w:type="paragraph" w:customStyle="1" w:styleId="3780">
    <w:name w:val="样式 红色 首行缩进:  2 字符"/>
    <w:basedOn w:val="1"/>
    <w:qFormat/>
    <w:uiPriority w:val="0"/>
    <w:pPr>
      <w:spacing w:line="480" w:lineRule="exact"/>
      <w:ind w:firstLine="200" w:firstLineChars="200"/>
    </w:pPr>
    <w:rPr>
      <w:rFonts w:eastAsia="宋体" w:cs="黑体"/>
      <w:color w:val="FF0000"/>
      <w:spacing w:val="-2"/>
      <w:kern w:val="0"/>
      <w:sz w:val="24"/>
    </w:rPr>
  </w:style>
  <w:style w:type="paragraph" w:customStyle="1" w:styleId="3781">
    <w:name w:val="样式 小三 加粗 居中"/>
    <w:basedOn w:val="85"/>
    <w:qFormat/>
    <w:uiPriority w:val="0"/>
    <w:pPr>
      <w:keepNext w:val="0"/>
      <w:keepLines w:val="0"/>
      <w:tabs>
        <w:tab w:val="clear" w:pos="1080"/>
        <w:tab w:val="clear" w:pos="1789"/>
      </w:tabs>
      <w:spacing w:before="240" w:after="60" w:line="240" w:lineRule="auto"/>
      <w:jc w:val="center"/>
      <w:outlineLvl w:val="0"/>
    </w:pPr>
    <w:rPr>
      <w:rFonts w:ascii="Arial" w:hAnsi="Arial" w:eastAsia="宋体" w:cs="宋体"/>
      <w:color w:val="000000"/>
      <w:sz w:val="32"/>
      <w:szCs w:val="20"/>
    </w:rPr>
  </w:style>
  <w:style w:type="paragraph" w:customStyle="1" w:styleId="3782">
    <w:name w:val="表内文"/>
    <w:basedOn w:val="5"/>
    <w:qFormat/>
    <w:uiPriority w:val="0"/>
    <w:pPr>
      <w:spacing w:beforeLines="10" w:line="240" w:lineRule="auto"/>
      <w:ind w:firstLine="0"/>
      <w:jc w:val="center"/>
    </w:pPr>
    <w:rPr>
      <w:rFonts w:hint="eastAsia" w:ascii="新宋体" w:hAnsi="Calibri" w:eastAsia="新宋体"/>
      <w:spacing w:val="1"/>
      <w:w w:val="90"/>
      <w:sz w:val="22"/>
      <w:szCs w:val="16"/>
    </w:rPr>
  </w:style>
  <w:style w:type="paragraph" w:customStyle="1" w:styleId="3783">
    <w:name w:val="editable-lemm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84">
    <w:name w:val="样式 标题 5 +"/>
    <w:basedOn w:val="1"/>
    <w:qFormat/>
    <w:uiPriority w:val="0"/>
    <w:pPr>
      <w:tabs>
        <w:tab w:val="left" w:pos="900"/>
      </w:tabs>
      <w:ind w:left="900" w:hanging="420"/>
    </w:pPr>
    <w:rPr>
      <w:rFonts w:eastAsia="宋体" w:cs="黑体"/>
      <w:spacing w:val="-2"/>
      <w:kern w:val="0"/>
      <w:sz w:val="24"/>
    </w:rPr>
  </w:style>
  <w:style w:type="paragraph" w:customStyle="1" w:styleId="3785">
    <w:name w:val="样式 标题 3 + 段前: 6 磅 段后: 0 磅2"/>
    <w:basedOn w:val="6"/>
    <w:qFormat/>
    <w:uiPriority w:val="0"/>
    <w:pPr>
      <w:tabs>
        <w:tab w:val="left" w:pos="180"/>
        <w:tab w:val="left" w:pos="1022"/>
        <w:tab w:val="left" w:pos="1080"/>
        <w:tab w:val="clear" w:pos="1789"/>
      </w:tabs>
      <w:autoSpaceDE w:val="0"/>
      <w:autoSpaceDN w:val="0"/>
      <w:adjustRightInd w:val="0"/>
      <w:spacing w:before="0" w:beforeLines="50" w:after="0" w:line="300" w:lineRule="auto"/>
      <w:ind w:left="357" w:right="100" w:rightChars="100" w:hanging="357"/>
    </w:pPr>
    <w:rPr>
      <w:rFonts w:hint="eastAsia" w:ascii="宋体" w:hAnsi="Arial Unicode MS" w:eastAsia="宋体" w:cs="Century"/>
      <w:bCs w:val="0"/>
      <w:i/>
      <w:iCs/>
      <w:color w:val="000000"/>
      <w:spacing w:val="8"/>
      <w:sz w:val="28"/>
    </w:rPr>
  </w:style>
  <w:style w:type="paragraph" w:customStyle="1" w:styleId="3786">
    <w:name w:val="表名、图名"/>
    <w:basedOn w:val="1"/>
    <w:next w:val="1"/>
    <w:qFormat/>
    <w:uiPriority w:val="0"/>
    <w:pPr>
      <w:spacing w:line="360" w:lineRule="auto"/>
      <w:jc w:val="center"/>
    </w:pPr>
    <w:rPr>
      <w:rFonts w:eastAsia="黑体" w:cs="黑体"/>
      <w:spacing w:val="-2"/>
      <w:kern w:val="0"/>
      <w:sz w:val="24"/>
    </w:rPr>
  </w:style>
  <w:style w:type="paragraph" w:customStyle="1" w:styleId="3787">
    <w:name w:val="h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88">
    <w:name w:val="Date1"/>
    <w:basedOn w:val="1"/>
    <w:next w:val="1"/>
    <w:qFormat/>
    <w:uiPriority w:val="0"/>
    <w:pPr>
      <w:autoSpaceDE w:val="0"/>
      <w:autoSpaceDN w:val="0"/>
      <w:adjustRightInd w:val="0"/>
    </w:pPr>
    <w:rPr>
      <w:rFonts w:eastAsia="宋体" w:cs="黑体"/>
      <w:spacing w:val="5"/>
      <w:kern w:val="0"/>
      <w:sz w:val="24"/>
    </w:rPr>
  </w:style>
  <w:style w:type="paragraph" w:customStyle="1" w:styleId="3789">
    <w:name w:val="样式 标题 2节SeHead wsa2H21标题 1.1Chapter TitleChapter节标题 1.1..."/>
    <w:basedOn w:val="4"/>
    <w:qFormat/>
    <w:uiPriority w:val="0"/>
    <w:pPr>
      <w:tabs>
        <w:tab w:val="left" w:pos="540"/>
        <w:tab w:val="left" w:pos="1476"/>
        <w:tab w:val="left" w:pos="2040"/>
        <w:tab w:val="clear" w:pos="567"/>
      </w:tabs>
      <w:adjustRightInd w:val="0"/>
      <w:snapToGrid w:val="0"/>
      <w:spacing w:before="0" w:beforeLines="50" w:after="0" w:line="360" w:lineRule="auto"/>
      <w:ind w:left="840" w:hanging="420"/>
      <w:jc w:val="left"/>
    </w:pPr>
    <w:rPr>
      <w:rFonts w:ascii="宋体" w:hAnsi="Arial Unicode MS" w:eastAsia="宋体" w:cs="宋体"/>
      <w:b/>
      <w:bCs/>
      <w:spacing w:val="-2"/>
      <w:kern w:val="0"/>
    </w:rPr>
  </w:style>
  <w:style w:type="paragraph" w:customStyle="1" w:styleId="3790">
    <w:name w:val="Char1 Char Char Char Char Char Char1 Char Char Char"/>
    <w:basedOn w:val="1"/>
    <w:qFormat/>
    <w:uiPriority w:val="0"/>
    <w:pPr>
      <w:ind w:firstLine="200" w:firstLineChars="200"/>
    </w:pPr>
    <w:rPr>
      <w:rFonts w:ascii="宋体" w:hAnsi="Calibri" w:eastAsia="宋体" w:cs="宋体"/>
      <w:spacing w:val="-2"/>
      <w:kern w:val="0"/>
      <w:sz w:val="24"/>
    </w:rPr>
  </w:style>
  <w:style w:type="paragraph" w:customStyle="1" w:styleId="3791">
    <w:name w:val="河，表后"/>
    <w:basedOn w:val="1"/>
    <w:qFormat/>
    <w:uiPriority w:val="0"/>
    <w:pPr>
      <w:spacing w:line="240" w:lineRule="exact"/>
      <w:ind w:firstLine="480" w:firstLineChars="200"/>
    </w:pPr>
    <w:rPr>
      <w:rFonts w:ascii="ˎ̥" w:hAnsi="ˎ̥" w:eastAsia="宋体" w:cs="黑体"/>
      <w:bCs/>
      <w:color w:val="000000"/>
      <w:spacing w:val="-2"/>
      <w:kern w:val="0"/>
      <w:sz w:val="24"/>
    </w:rPr>
  </w:style>
  <w:style w:type="paragraph" w:customStyle="1" w:styleId="3792">
    <w:name w:val="CM46"/>
    <w:basedOn w:val="762"/>
    <w:next w:val="762"/>
    <w:qFormat/>
    <w:uiPriority w:val="0"/>
    <w:pPr>
      <w:spacing w:line="500" w:lineRule="atLeast"/>
    </w:pPr>
    <w:rPr>
      <w:rFonts w:ascii="仿宋_GB2312" w:hAnsi="Calibri" w:eastAsia="仿宋_GB2312"/>
      <w:kern w:val="2"/>
      <w:sz w:val="24"/>
    </w:rPr>
  </w:style>
  <w:style w:type="paragraph" w:customStyle="1" w:styleId="3793">
    <w:name w:val="wtext"/>
    <w:basedOn w:val="1"/>
    <w:qFormat/>
    <w:uiPriority w:val="0"/>
    <w:pPr>
      <w:snapToGrid w:val="0"/>
      <w:spacing w:before="100" w:beforeAutospacing="1" w:after="100" w:afterAutospacing="1"/>
    </w:pPr>
    <w:rPr>
      <w:rFonts w:ascii="Arial Unicode MS" w:hAnsi="Arial Unicode MS" w:eastAsia="Arial Unicode MS" w:cs="黑体"/>
      <w:spacing w:val="-2"/>
      <w:kern w:val="0"/>
      <w:sz w:val="24"/>
      <w:szCs w:val="28"/>
    </w:rPr>
  </w:style>
  <w:style w:type="paragraph" w:customStyle="1" w:styleId="3794">
    <w:name w:val="样式 标题 3标题 13标题 3 Char1 Char Char Char标题 31ReHead 3 WSAh3B...1"/>
    <w:basedOn w:val="6"/>
    <w:qFormat/>
    <w:uiPriority w:val="0"/>
    <w:pPr>
      <w:tabs>
        <w:tab w:val="left" w:pos="1022"/>
        <w:tab w:val="left" w:pos="1080"/>
        <w:tab w:val="clear" w:pos="1789"/>
      </w:tabs>
      <w:adjustRightInd w:val="0"/>
      <w:snapToGrid w:val="0"/>
      <w:spacing w:before="249" w:after="62" w:line="360" w:lineRule="auto"/>
      <w:ind w:left="1260" w:hanging="420"/>
      <w:jc w:val="left"/>
    </w:pPr>
    <w:rPr>
      <w:rFonts w:hint="eastAsia" w:ascii="宋体" w:hAnsi="宋体" w:eastAsia="宋体" w:cs="宋体"/>
      <w:bCs w:val="0"/>
      <w:i/>
      <w:iCs/>
      <w:color w:val="000000"/>
      <w:spacing w:val="-2"/>
      <w:lang w:val="zh-CN"/>
    </w:rPr>
  </w:style>
  <w:style w:type="paragraph" w:customStyle="1" w:styleId="3795">
    <w:name w:val="8 Char1"/>
    <w:basedOn w:val="1"/>
    <w:qFormat/>
    <w:uiPriority w:val="0"/>
    <w:pPr>
      <w:ind w:firstLine="480"/>
    </w:pPr>
    <w:rPr>
      <w:rFonts w:eastAsia="宋体" w:cs="黑体"/>
      <w:spacing w:val="-2"/>
      <w:kern w:val="10"/>
      <w:sz w:val="24"/>
    </w:rPr>
  </w:style>
  <w:style w:type="paragraph" w:customStyle="1" w:styleId="3796">
    <w:name w:val="ac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97">
    <w:name w:val="样式 宋体 四号 首行缩进:  2 字符"/>
    <w:basedOn w:val="1"/>
    <w:qFormat/>
    <w:uiPriority w:val="0"/>
    <w:pPr>
      <w:ind w:firstLine="200" w:firstLineChars="200"/>
    </w:pPr>
    <w:rPr>
      <w:rFonts w:eastAsia="宋体" w:cs="黑体"/>
      <w:spacing w:val="-2"/>
      <w:kern w:val="0"/>
      <w:sz w:val="26"/>
      <w:szCs w:val="26"/>
    </w:rPr>
  </w:style>
  <w:style w:type="paragraph" w:customStyle="1" w:styleId="3798">
    <w:name w:val="附件名"/>
    <w:basedOn w:val="1"/>
    <w:qFormat/>
    <w:uiPriority w:val="0"/>
    <w:pPr>
      <w:spacing w:before="120" w:after="120" w:line="480" w:lineRule="exact"/>
      <w:jc w:val="center"/>
    </w:pPr>
    <w:rPr>
      <w:rFonts w:eastAsia="宋体" w:cs="黑体"/>
      <w:spacing w:val="-2"/>
      <w:kern w:val="0"/>
      <w:sz w:val="32"/>
    </w:rPr>
  </w:style>
  <w:style w:type="paragraph" w:customStyle="1" w:styleId="3799">
    <w:name w:val="Char Char Char Char Char Char Char4"/>
    <w:basedOn w:val="1"/>
    <w:qFormat/>
    <w:uiPriority w:val="0"/>
    <w:rPr>
      <w:rFonts w:eastAsia="宋体" w:cs="黑体"/>
      <w:spacing w:val="-2"/>
      <w:kern w:val="0"/>
      <w:sz w:val="30"/>
      <w:szCs w:val="30"/>
    </w:rPr>
  </w:style>
  <w:style w:type="paragraph" w:customStyle="1" w:styleId="3800">
    <w:name w:val="表列"/>
    <w:basedOn w:val="1"/>
    <w:qFormat/>
    <w:uiPriority w:val="0"/>
    <w:pPr>
      <w:adjustRightInd w:val="0"/>
      <w:spacing w:line="240" w:lineRule="atLeast"/>
    </w:pPr>
    <w:rPr>
      <w:rFonts w:eastAsia="宋体" w:cs="黑体"/>
      <w:spacing w:val="-2"/>
      <w:kern w:val="0"/>
      <w:sz w:val="24"/>
    </w:rPr>
  </w:style>
  <w:style w:type="paragraph" w:customStyle="1" w:styleId="3801">
    <w:name w:val="样式 标题 5 + 行距: 固定值 25 磅"/>
    <w:basedOn w:val="8"/>
    <w:qFormat/>
    <w:uiPriority w:val="0"/>
    <w:pPr>
      <w:keepNext w:val="0"/>
      <w:keepLines w:val="0"/>
      <w:tabs>
        <w:tab w:val="left" w:pos="0"/>
      </w:tabs>
      <w:spacing w:before="0" w:after="0" w:line="500" w:lineRule="exact"/>
      <w:ind w:left="2100" w:hanging="420"/>
      <w:jc w:val="left"/>
    </w:pPr>
    <w:rPr>
      <w:rFonts w:hint="eastAsia" w:ascii="仿宋" w:hAnsi="仿宋" w:eastAsia="宋体" w:cs="宋体"/>
      <w:bCs w:val="0"/>
      <w:spacing w:val="-2"/>
      <w:sz w:val="28"/>
      <w:szCs w:val="20"/>
      <w:lang w:val="zh-CN"/>
    </w:rPr>
  </w:style>
  <w:style w:type="paragraph" w:customStyle="1" w:styleId="3802">
    <w:name w:val="小点"/>
    <w:qFormat/>
    <w:uiPriority w:val="0"/>
    <w:pPr>
      <w:tabs>
        <w:tab w:val="left" w:pos="840"/>
      </w:tabs>
      <w:adjustRightInd w:val="0"/>
      <w:snapToGrid w:val="0"/>
      <w:spacing w:line="360" w:lineRule="auto"/>
      <w:ind w:left="840" w:hanging="360"/>
    </w:pPr>
    <w:rPr>
      <w:rFonts w:ascii="宋体" w:hAnsi="宋体" w:eastAsia="宋体" w:cs="宋体"/>
      <w:sz w:val="24"/>
      <w:szCs w:val="24"/>
      <w:lang w:val="en-US" w:eastAsia="zh-CN" w:bidi="ar-SA"/>
    </w:rPr>
  </w:style>
  <w:style w:type="paragraph" w:customStyle="1" w:styleId="3803">
    <w:name w:val="样式 标题 3 + 首行缩进:  2 字符 段前: 8.15 磅 段后: 8.15 磅3"/>
    <w:basedOn w:val="6"/>
    <w:qFormat/>
    <w:uiPriority w:val="0"/>
    <w:pPr>
      <w:tabs>
        <w:tab w:val="left" w:pos="1022"/>
        <w:tab w:val="left" w:pos="1080"/>
        <w:tab w:val="clear" w:pos="1789"/>
      </w:tabs>
      <w:spacing w:before="163" w:after="163" w:line="240" w:lineRule="atLeast"/>
      <w:ind w:left="1260" w:hanging="420"/>
      <w:jc w:val="left"/>
    </w:pPr>
    <w:rPr>
      <w:rFonts w:hint="eastAsia" w:ascii="Arial Unicode MS" w:hAnsi="Arial Unicode MS" w:eastAsia="宋体" w:cs="宋体"/>
      <w:i/>
      <w:iCs/>
      <w:color w:val="000000"/>
      <w:spacing w:val="-2"/>
      <w:szCs w:val="24"/>
    </w:rPr>
  </w:style>
  <w:style w:type="paragraph" w:customStyle="1" w:styleId="3804">
    <w:name w:val="default"/>
    <w:basedOn w:val="1"/>
    <w:qFormat/>
    <w:uiPriority w:val="0"/>
    <w:pPr>
      <w:widowControl/>
      <w:spacing w:before="100" w:beforeAutospacing="1" w:after="100" w:afterAutospacing="1"/>
      <w:jc w:val="left"/>
    </w:pPr>
    <w:rPr>
      <w:rFonts w:ascii="宋体" w:hAnsi="宋体" w:eastAsia="宋体" w:cs="宋体"/>
      <w:spacing w:val="-2"/>
      <w:kern w:val="0"/>
      <w:sz w:val="24"/>
    </w:rPr>
  </w:style>
  <w:style w:type="paragraph" w:customStyle="1" w:styleId="3805">
    <w:name w:val="relation-un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06">
    <w:name w:val="样式 标题 3 + 宋体 四号"/>
    <w:basedOn w:val="6"/>
    <w:qFormat/>
    <w:uiPriority w:val="0"/>
    <w:pPr>
      <w:tabs>
        <w:tab w:val="left" w:pos="1022"/>
        <w:tab w:val="left" w:pos="1080"/>
        <w:tab w:val="clear" w:pos="1789"/>
      </w:tabs>
      <w:spacing w:before="140" w:after="140" w:line="412" w:lineRule="auto"/>
      <w:ind w:left="1260" w:hanging="420"/>
    </w:pPr>
    <w:rPr>
      <w:rFonts w:hint="eastAsia" w:ascii="宋体" w:hAnsi="宋体" w:eastAsia="宋体" w:cs="宋体"/>
      <w:bCs w:val="0"/>
      <w:i/>
      <w:iCs/>
      <w:color w:val="000000"/>
      <w:spacing w:val="-2"/>
      <w:sz w:val="28"/>
      <w:szCs w:val="24"/>
    </w:rPr>
  </w:style>
  <w:style w:type="paragraph" w:customStyle="1" w:styleId="3807">
    <w:name w:val="数据来源"/>
    <w:qFormat/>
    <w:uiPriority w:val="0"/>
    <w:rPr>
      <w:rFonts w:ascii="Times New Roman" w:hAnsi="Times New Roman" w:eastAsia="宋体" w:cs="Times New Roman"/>
      <w:sz w:val="18"/>
      <w:lang w:val="en-US" w:eastAsia="zh-CN" w:bidi="ar-SA"/>
    </w:rPr>
  </w:style>
  <w:style w:type="paragraph" w:customStyle="1" w:styleId="3808">
    <w:name w:val="Char Char Char Char Char Char Char6"/>
    <w:basedOn w:val="1"/>
    <w:qFormat/>
    <w:uiPriority w:val="0"/>
    <w:rPr>
      <w:rFonts w:eastAsia="宋体" w:cs="黑体"/>
      <w:spacing w:val="-2"/>
      <w:kern w:val="0"/>
      <w:sz w:val="24"/>
    </w:rPr>
  </w:style>
  <w:style w:type="paragraph" w:customStyle="1" w:styleId="3809">
    <w:name w:val="表格内容紧"/>
    <w:basedOn w:val="1"/>
    <w:qFormat/>
    <w:uiPriority w:val="0"/>
    <w:pPr>
      <w:ind w:left="-50" w:leftChars="-50" w:right="-50" w:rightChars="-50" w:firstLine="200" w:firstLineChars="200"/>
      <w:jc w:val="center"/>
    </w:pPr>
    <w:rPr>
      <w:rFonts w:ascii="宋体" w:hAnsi="Calibri" w:eastAsia="宋体" w:cs="Arial"/>
      <w:spacing w:val="-2"/>
      <w:kern w:val="0"/>
      <w:sz w:val="24"/>
      <w:szCs w:val="21"/>
    </w:rPr>
  </w:style>
  <w:style w:type="paragraph" w:customStyle="1" w:styleId="3810">
    <w:name w:val="样式 样式 标题1 + 行距: 1.5 倍行距"/>
    <w:basedOn w:val="1"/>
    <w:qFormat/>
    <w:uiPriority w:val="0"/>
    <w:pPr>
      <w:keepNext/>
      <w:keepLines/>
      <w:tabs>
        <w:tab w:val="left" w:pos="360"/>
      </w:tabs>
      <w:spacing w:line="360" w:lineRule="auto"/>
      <w:ind w:left="360" w:hanging="360"/>
      <w:outlineLvl w:val="0"/>
    </w:pPr>
    <w:rPr>
      <w:rFonts w:eastAsia="黑体" w:cs="宋体"/>
      <w:b/>
      <w:bCs/>
      <w:spacing w:val="-2"/>
      <w:kern w:val="44"/>
      <w:sz w:val="30"/>
    </w:rPr>
  </w:style>
  <w:style w:type="paragraph" w:customStyle="1" w:styleId="3811">
    <w:name w:val="正文并列"/>
    <w:basedOn w:val="1"/>
    <w:next w:val="1"/>
    <w:qFormat/>
    <w:uiPriority w:val="0"/>
    <w:pPr>
      <w:spacing w:line="400" w:lineRule="exact"/>
      <w:ind w:firstLine="200" w:firstLineChars="200"/>
    </w:pPr>
    <w:rPr>
      <w:rFonts w:eastAsia="宋体" w:cs="黑体"/>
      <w:spacing w:val="-2"/>
      <w:kern w:val="0"/>
      <w:sz w:val="24"/>
    </w:rPr>
  </w:style>
  <w:style w:type="paragraph" w:customStyle="1" w:styleId="3812">
    <w:name w:val="表文YHY"/>
    <w:basedOn w:val="634"/>
    <w:next w:val="7"/>
    <w:qFormat/>
    <w:uiPriority w:val="0"/>
    <w:pPr>
      <w:widowControl/>
      <w:ind w:firstLine="0" w:firstLineChars="0"/>
      <w:jc w:val="center"/>
    </w:pPr>
    <w:rPr>
      <w:rFonts w:ascii="宋体" w:hAnsi="宋体" w:cs="宋体"/>
      <w:kern w:val="0"/>
      <w:sz w:val="21"/>
      <w:szCs w:val="21"/>
    </w:rPr>
  </w:style>
  <w:style w:type="paragraph" w:customStyle="1" w:styleId="3813">
    <w:name w:val="样式 小四 行距: 固定值 23 磅"/>
    <w:basedOn w:val="1"/>
    <w:qFormat/>
    <w:uiPriority w:val="0"/>
    <w:rPr>
      <w:rFonts w:eastAsia="宋体" w:cs="黑体"/>
      <w:spacing w:val="-2"/>
      <w:kern w:val="0"/>
    </w:rPr>
  </w:style>
  <w:style w:type="paragraph" w:customStyle="1" w:styleId="3814">
    <w:name w:val="样式 仿宋_GB2312 四号 首行缩进:  1 厘米 行距: 最小值 21 磅"/>
    <w:basedOn w:val="1"/>
    <w:qFormat/>
    <w:uiPriority w:val="0"/>
    <w:pPr>
      <w:spacing w:line="420" w:lineRule="atLeast"/>
      <w:ind w:firstLine="567"/>
    </w:pPr>
    <w:rPr>
      <w:rFonts w:ascii="仿宋_GB2312" w:eastAsia="宋体" w:cs="宋体"/>
      <w:spacing w:val="-2"/>
      <w:kern w:val="0"/>
    </w:rPr>
  </w:style>
  <w:style w:type="paragraph" w:customStyle="1" w:styleId="3815">
    <w:name w:val="标题 2，节"/>
    <w:basedOn w:val="4"/>
    <w:qFormat/>
    <w:uiPriority w:val="0"/>
    <w:pPr>
      <w:tabs>
        <w:tab w:val="left" w:pos="1476"/>
        <w:tab w:val="clear" w:pos="567"/>
      </w:tabs>
      <w:spacing w:before="0" w:beforeLines="50" w:after="260" w:line="412" w:lineRule="auto"/>
      <w:ind w:left="840" w:hanging="420"/>
    </w:pPr>
    <w:rPr>
      <w:rFonts w:ascii="宋体" w:hAnsi="宋体" w:eastAsia="宋体" w:cs="宋体"/>
      <w:b/>
      <w:bCs/>
      <w:spacing w:val="-2"/>
      <w:sz w:val="24"/>
      <w:szCs w:val="32"/>
    </w:rPr>
  </w:style>
  <w:style w:type="paragraph" w:customStyle="1" w:styleId="3816">
    <w:name w:val="附录表标题"/>
    <w:next w:val="7"/>
    <w:qFormat/>
    <w:uiPriority w:val="0"/>
    <w:pPr>
      <w:tabs>
        <w:tab w:val="left" w:pos="360"/>
      </w:tabs>
      <w:jc w:val="center"/>
    </w:pPr>
    <w:rPr>
      <w:rFonts w:ascii="黑体" w:hAnsi="Times New Roman" w:eastAsia="黑体" w:cs="Times New Roman"/>
      <w:kern w:val="21"/>
      <w:sz w:val="21"/>
      <w:lang w:val="en-US" w:eastAsia="zh-CN" w:bidi="ar-SA"/>
    </w:rPr>
  </w:style>
  <w:style w:type="paragraph" w:customStyle="1" w:styleId="3817">
    <w:name w:val="ysh表标"/>
    <w:basedOn w:val="1"/>
    <w:qFormat/>
    <w:uiPriority w:val="0"/>
    <w:pPr>
      <w:spacing w:beforeLines="50" w:line="300" w:lineRule="auto"/>
      <w:jc w:val="center"/>
    </w:pPr>
    <w:rPr>
      <w:rFonts w:ascii="宋体" w:hAnsi="Calibri" w:eastAsia="宋体" w:cs="黑体"/>
      <w:b/>
      <w:spacing w:val="-2"/>
      <w:kern w:val="0"/>
      <w:sz w:val="24"/>
    </w:rPr>
  </w:style>
  <w:style w:type="paragraph" w:customStyle="1" w:styleId="3818">
    <w:name w:val="样式 标题 2标题 21标题 121标题 2 Char1 CharH2SeHead wsa2标题 1.1 + 行..."/>
    <w:basedOn w:val="4"/>
    <w:qFormat/>
    <w:uiPriority w:val="0"/>
    <w:pPr>
      <w:keepNext w:val="0"/>
      <w:keepLines w:val="0"/>
      <w:widowControl/>
      <w:tabs>
        <w:tab w:val="left" w:pos="1476"/>
        <w:tab w:val="clear" w:pos="567"/>
      </w:tabs>
      <w:adjustRightInd w:val="0"/>
      <w:snapToGrid w:val="0"/>
      <w:spacing w:before="0" w:beforeLines="10" w:after="100" w:line="460" w:lineRule="exact"/>
      <w:ind w:left="840" w:firstLine="200" w:firstLineChars="200"/>
      <w:jc w:val="left"/>
    </w:pPr>
    <w:rPr>
      <w:rFonts w:hAnsi="宋体" w:cs="宋体"/>
      <w:color w:val="000000"/>
      <w:spacing w:val="-2"/>
      <w:kern w:val="0"/>
      <w:sz w:val="30"/>
    </w:rPr>
  </w:style>
  <w:style w:type="paragraph" w:customStyle="1" w:styleId="3819">
    <w:name w:val="11号线三级目录"/>
    <w:basedOn w:val="6"/>
    <w:qFormat/>
    <w:uiPriority w:val="0"/>
    <w:pPr>
      <w:tabs>
        <w:tab w:val="left" w:pos="1022"/>
        <w:tab w:val="left" w:pos="1080"/>
        <w:tab w:val="clear" w:pos="1789"/>
      </w:tabs>
      <w:spacing w:before="0" w:after="260" w:line="360" w:lineRule="auto"/>
      <w:ind w:left="0" w:firstLine="200" w:firstLineChars="200"/>
    </w:pPr>
    <w:rPr>
      <w:rFonts w:hint="eastAsia" w:ascii="宋体" w:hAnsi="Arial Unicode MS" w:eastAsia="宋体" w:cs="宋体"/>
      <w:bCs w:val="0"/>
      <w:i/>
      <w:iCs/>
      <w:color w:val="000000"/>
      <w:spacing w:val="-2"/>
      <w:sz w:val="28"/>
      <w:szCs w:val="28"/>
    </w:rPr>
  </w:style>
  <w:style w:type="paragraph" w:customStyle="1" w:styleId="3820">
    <w:name w:val="Char Char Char Char Char Char Char Char Char Char Char Char Char Char Char Char1"/>
    <w:basedOn w:val="1"/>
    <w:qFormat/>
    <w:uiPriority w:val="0"/>
    <w:pPr>
      <w:tabs>
        <w:tab w:val="left" w:pos="360"/>
      </w:tabs>
      <w:spacing w:line="360" w:lineRule="auto"/>
      <w:ind w:left="482" w:firstLine="200" w:firstLineChars="200"/>
    </w:pPr>
    <w:rPr>
      <w:rFonts w:eastAsia="宋体" w:cs="黑体"/>
      <w:spacing w:val="-2"/>
      <w:kern w:val="0"/>
    </w:rPr>
  </w:style>
  <w:style w:type="paragraph" w:customStyle="1" w:styleId="3821">
    <w:name w:val="ms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22">
    <w:name w:val="GB-条文"/>
    <w:qFormat/>
    <w:uiPriority w:val="0"/>
    <w:pPr>
      <w:widowControl w:val="0"/>
      <w:adjustRightInd w:val="0"/>
      <w:snapToGrid w:val="0"/>
      <w:spacing w:line="360" w:lineRule="auto"/>
      <w:ind w:firstLine="420" w:firstLineChars="200"/>
      <w:jc w:val="both"/>
    </w:pPr>
    <w:rPr>
      <w:rFonts w:ascii="宋体" w:hAnsi="宋体" w:eastAsia="宋体" w:cs="Times New Roman"/>
      <w:sz w:val="21"/>
      <w:lang w:val="en-US" w:eastAsia="zh-CN" w:bidi="ar-SA"/>
    </w:rPr>
  </w:style>
  <w:style w:type="paragraph" w:customStyle="1" w:styleId="3823">
    <w:name w:val="样式 标题 4标题 4 Char Char标题 4 Char + 小四 加粗1"/>
    <w:basedOn w:val="7"/>
    <w:qFormat/>
    <w:uiPriority w:val="0"/>
    <w:pPr>
      <w:tabs>
        <w:tab w:val="left" w:pos="864"/>
        <w:tab w:val="left" w:pos="2153"/>
        <w:tab w:val="clear" w:pos="4008"/>
      </w:tabs>
      <w:adjustRightInd w:val="0"/>
      <w:snapToGrid w:val="0"/>
      <w:spacing w:beforeLines="50" w:line="520" w:lineRule="atLeast"/>
      <w:ind w:left="0" w:firstLine="0"/>
      <w:jc w:val="both"/>
    </w:pPr>
    <w:rPr>
      <w:rFonts w:ascii="Times New Roman" w:hAnsi="Times New Roman" w:eastAsia="宋体"/>
      <w:bCs/>
      <w:color w:val="auto"/>
      <w:spacing w:val="-2"/>
      <w:kern w:val="0"/>
      <w:sz w:val="21"/>
    </w:rPr>
  </w:style>
  <w:style w:type="paragraph" w:customStyle="1" w:styleId="3824">
    <w:name w:val="bk-dialog-conte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25">
    <w:name w:val="b-h4-3"/>
    <w:basedOn w:val="1"/>
    <w:qFormat/>
    <w:uiPriority w:val="0"/>
    <w:pPr>
      <w:widowControl/>
      <w:spacing w:before="100" w:beforeAutospacing="1" w:after="100" w:afterAutospacing="1"/>
      <w:jc w:val="left"/>
    </w:pPr>
    <w:rPr>
      <w:rFonts w:ascii="宋体" w:hAnsi="Calibri" w:eastAsia="宋体" w:cs="宋体"/>
      <w:b/>
      <w:bCs/>
      <w:spacing w:val="-2"/>
      <w:kern w:val="0"/>
      <w:szCs w:val="21"/>
    </w:rPr>
  </w:style>
  <w:style w:type="paragraph" w:customStyle="1" w:styleId="3826">
    <w:name w:val="b-h4-31"/>
    <w:basedOn w:val="1"/>
    <w:qFormat/>
    <w:uiPriority w:val="0"/>
    <w:pPr>
      <w:widowControl/>
      <w:spacing w:before="100" w:beforeAutospacing="1" w:after="100" w:afterAutospacing="1"/>
      <w:ind w:firstLine="300"/>
      <w:jc w:val="left"/>
    </w:pPr>
    <w:rPr>
      <w:rFonts w:ascii="宋体" w:hAnsi="Calibri" w:eastAsia="宋体" w:cs="宋体"/>
      <w:b/>
      <w:bCs/>
      <w:spacing w:val="-2"/>
      <w:kern w:val="0"/>
      <w:szCs w:val="21"/>
    </w:rPr>
  </w:style>
  <w:style w:type="paragraph" w:customStyle="1" w:styleId="3827">
    <w:name w:val="样式 黑色 首行缩进:  2 字符"/>
    <w:basedOn w:val="1"/>
    <w:qFormat/>
    <w:uiPriority w:val="0"/>
    <w:pPr>
      <w:snapToGrid w:val="0"/>
      <w:ind w:firstLine="200" w:firstLineChars="200"/>
    </w:pPr>
    <w:rPr>
      <w:rFonts w:eastAsia="宋体" w:cs="宋体"/>
      <w:color w:val="000000"/>
      <w:spacing w:val="-2"/>
      <w:kern w:val="0"/>
      <w:sz w:val="24"/>
    </w:rPr>
  </w:style>
  <w:style w:type="paragraph" w:customStyle="1" w:styleId="3828">
    <w:name w:val="我的样式（正文）"/>
    <w:basedOn w:val="1"/>
    <w:qFormat/>
    <w:uiPriority w:val="0"/>
    <w:pPr>
      <w:spacing w:line="440" w:lineRule="exact"/>
    </w:pPr>
    <w:rPr>
      <w:rFonts w:ascii="宋体" w:eastAsia="宋体" w:cs="黑体"/>
      <w:spacing w:val="-2"/>
      <w:kern w:val="0"/>
    </w:rPr>
  </w:style>
  <w:style w:type="paragraph" w:customStyle="1" w:styleId="3829">
    <w:name w:val="bk-dialog-cancel"/>
    <w:basedOn w:val="1"/>
    <w:qFormat/>
    <w:uiPriority w:val="0"/>
    <w:pPr>
      <w:widowControl/>
      <w:spacing w:before="100" w:beforeAutospacing="1" w:after="100" w:afterAutospacing="1"/>
      <w:ind w:right="150"/>
      <w:jc w:val="left"/>
    </w:pPr>
    <w:rPr>
      <w:rFonts w:ascii="宋体" w:hAnsi="Calibri" w:eastAsia="宋体" w:cs="宋体"/>
      <w:spacing w:val="-2"/>
      <w:kern w:val="0"/>
      <w:szCs w:val="21"/>
    </w:rPr>
  </w:style>
  <w:style w:type="paragraph" w:customStyle="1" w:styleId="3830">
    <w:name w:val="封面1"/>
    <w:basedOn w:val="1"/>
    <w:qFormat/>
    <w:uiPriority w:val="0"/>
    <w:pPr>
      <w:pBdr>
        <w:top w:val="single" w:color="auto" w:sz="4" w:space="0"/>
        <w:left w:val="single" w:color="auto" w:sz="4" w:space="0"/>
        <w:bottom w:val="single" w:color="auto" w:sz="4" w:space="0"/>
        <w:right w:val="single" w:color="auto" w:sz="4" w:space="0"/>
      </w:pBdr>
      <w:spacing w:line="300" w:lineRule="auto"/>
      <w:jc w:val="left"/>
    </w:pPr>
    <w:rPr>
      <w:rFonts w:eastAsia="宋体" w:cs="黑体"/>
      <w:b/>
      <w:bCs/>
      <w:color w:val="000000"/>
      <w:spacing w:val="-2"/>
      <w:kern w:val="0"/>
      <w:sz w:val="32"/>
    </w:rPr>
  </w:style>
  <w:style w:type="paragraph" w:customStyle="1" w:styleId="3831">
    <w:name w:val="样式 标题 4 + 加粗"/>
    <w:basedOn w:val="7"/>
    <w:qFormat/>
    <w:uiPriority w:val="0"/>
    <w:pPr>
      <w:tabs>
        <w:tab w:val="left" w:pos="1680"/>
        <w:tab w:val="left" w:pos="2153"/>
        <w:tab w:val="clear" w:pos="4008"/>
      </w:tabs>
      <w:spacing w:line="460" w:lineRule="exact"/>
      <w:ind w:left="0" w:firstLine="0"/>
      <w:jc w:val="both"/>
    </w:pPr>
    <w:rPr>
      <w:rFonts w:ascii="黑体" w:hAnsi="宋体" w:eastAsia="宋体"/>
      <w:bCs/>
      <w:color w:val="auto"/>
      <w:spacing w:val="-2"/>
      <w:sz w:val="28"/>
      <w:szCs w:val="28"/>
    </w:rPr>
  </w:style>
  <w:style w:type="paragraph" w:customStyle="1" w:styleId="3832">
    <w:name w:val="样式103"/>
    <w:basedOn w:val="6"/>
    <w:qFormat/>
    <w:uiPriority w:val="0"/>
    <w:pPr>
      <w:tabs>
        <w:tab w:val="left" w:pos="1022"/>
        <w:tab w:val="left" w:pos="1080"/>
        <w:tab w:val="left" w:pos="1140"/>
        <w:tab w:val="clear" w:pos="1789"/>
      </w:tabs>
      <w:spacing w:before="0" w:after="0" w:line="480" w:lineRule="exact"/>
      <w:ind w:left="1140" w:hanging="420"/>
    </w:pPr>
    <w:rPr>
      <w:rFonts w:hint="eastAsia" w:ascii="宋体" w:hAnsi="宋体" w:eastAsia="宋体" w:cs="宋体"/>
      <w:bCs w:val="0"/>
      <w:i/>
      <w:iCs/>
      <w:color w:val="000000"/>
      <w:spacing w:val="-2"/>
      <w:szCs w:val="24"/>
    </w:rPr>
  </w:style>
  <w:style w:type="paragraph" w:customStyle="1" w:styleId="3833">
    <w:name w:val="Char Char Char Char Char Char Char Char Char Char Char Char Char Char Char Char Char Char Char Char Char Char Char Char Char Char Char Char Char Char Char Char Char Char Char Char Char Char Char Char Char Char Char Char Char Char2"/>
    <w:basedOn w:val="1"/>
    <w:next w:val="1"/>
    <w:qFormat/>
    <w:uiPriority w:val="0"/>
    <w:pPr>
      <w:pBdr>
        <w:right w:val="single" w:color="auto" w:sz="12" w:space="4"/>
      </w:pBdr>
      <w:spacing w:line="360" w:lineRule="auto"/>
      <w:ind w:firstLine="200" w:firstLineChars="200"/>
    </w:pPr>
    <w:rPr>
      <w:rFonts w:eastAsia="宋体" w:cs="黑体"/>
      <w:spacing w:val="-2"/>
      <w:kern w:val="0"/>
    </w:rPr>
  </w:style>
  <w:style w:type="paragraph" w:customStyle="1" w:styleId="3834">
    <w:name w:val="goto1"/>
    <w:basedOn w:val="1"/>
    <w:qFormat/>
    <w:uiPriority w:val="0"/>
    <w:pPr>
      <w:widowControl/>
      <w:spacing w:before="100" w:beforeAutospacing="1" w:after="100" w:afterAutospacing="1"/>
      <w:ind w:hanging="20536"/>
      <w:jc w:val="left"/>
    </w:pPr>
    <w:rPr>
      <w:rFonts w:ascii="宋体" w:hAnsi="Calibri" w:eastAsia="宋体" w:cs="宋体"/>
      <w:spacing w:val="-2"/>
      <w:kern w:val="0"/>
      <w:sz w:val="24"/>
      <w:szCs w:val="21"/>
    </w:rPr>
  </w:style>
  <w:style w:type="paragraph" w:customStyle="1" w:styleId="3835">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spacing w:line="360" w:lineRule="auto"/>
      <w:ind w:firstLine="200" w:firstLineChars="200"/>
    </w:pPr>
    <w:rPr>
      <w:rFonts w:ascii="宋体" w:hAnsi="宋体" w:eastAsia="宋体" w:cs="宋体"/>
      <w:spacing w:val="-2"/>
      <w:kern w:val="0"/>
      <w:sz w:val="24"/>
    </w:rPr>
  </w:style>
  <w:style w:type="paragraph" w:customStyle="1" w:styleId="3836">
    <w:name w:val="Char Char Char1 Char Char Char2"/>
    <w:basedOn w:val="1"/>
    <w:qFormat/>
    <w:uiPriority w:val="0"/>
    <w:pPr>
      <w:spacing w:line="360" w:lineRule="auto"/>
      <w:ind w:firstLine="200" w:firstLineChars="200"/>
    </w:pPr>
    <w:rPr>
      <w:rFonts w:ascii="宋体" w:hAnsi="Calibri" w:eastAsia="宋体" w:cs="宋体"/>
      <w:spacing w:val="-2"/>
      <w:kern w:val="0"/>
      <w:sz w:val="24"/>
      <w:szCs w:val="21"/>
    </w:rPr>
  </w:style>
  <w:style w:type="paragraph" w:customStyle="1" w:styleId="3837">
    <w:name w:val="myhome-tri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38">
    <w:name w:val="标准书眉_偶数页"/>
    <w:basedOn w:val="1"/>
    <w:next w:val="1"/>
    <w:qFormat/>
    <w:uiPriority w:val="0"/>
    <w:pPr>
      <w:widowControl/>
      <w:tabs>
        <w:tab w:val="center" w:pos="4154"/>
        <w:tab w:val="right" w:pos="8306"/>
      </w:tabs>
      <w:spacing w:after="120"/>
      <w:jc w:val="left"/>
    </w:pPr>
    <w:rPr>
      <w:rFonts w:eastAsia="宋体" w:cs="黑体"/>
      <w:spacing w:val="-2"/>
      <w:kern w:val="0"/>
    </w:rPr>
  </w:style>
  <w:style w:type="paragraph" w:customStyle="1" w:styleId="3839">
    <w:name w:val="xl209"/>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3840">
    <w:name w:val="自动标题1"/>
    <w:basedOn w:val="1"/>
    <w:qFormat/>
    <w:uiPriority w:val="0"/>
    <w:pPr>
      <w:keepNext/>
      <w:keepLines/>
      <w:pageBreakBefore/>
      <w:widowControl/>
      <w:spacing w:after="120" w:line="200" w:lineRule="atLeast"/>
      <w:outlineLvl w:val="0"/>
    </w:pPr>
    <w:rPr>
      <w:rFonts w:ascii="黑体" w:eastAsia="黑体" w:cs="黑体"/>
      <w:b/>
      <w:spacing w:val="-2"/>
      <w:kern w:val="44"/>
      <w:sz w:val="32"/>
    </w:rPr>
  </w:style>
  <w:style w:type="paragraph" w:customStyle="1" w:styleId="3841">
    <w:name w:val="form_first"/>
    <w:basedOn w:val="1"/>
    <w:qFormat/>
    <w:uiPriority w:val="0"/>
    <w:pPr>
      <w:autoSpaceDE w:val="0"/>
      <w:autoSpaceDN w:val="0"/>
      <w:adjustRightInd w:val="0"/>
      <w:jc w:val="center"/>
    </w:pPr>
    <w:rPr>
      <w:rFonts w:eastAsia="宋体" w:cs="黑体"/>
      <w:color w:val="000000"/>
      <w:spacing w:val="-2"/>
      <w:kern w:val="0"/>
      <w:sz w:val="24"/>
    </w:rPr>
  </w:style>
  <w:style w:type="paragraph" w:customStyle="1" w:styleId="3842">
    <w:name w:val="样式 标题 4标题 14 + 加粗 无下划线 自动设置 段前: 3 磅 段后: 10 磅4"/>
    <w:basedOn w:val="7"/>
    <w:qFormat/>
    <w:uiPriority w:val="0"/>
    <w:pPr>
      <w:keepLines w:val="0"/>
      <w:tabs>
        <w:tab w:val="left" w:pos="2153"/>
        <w:tab w:val="left" w:pos="2400"/>
        <w:tab w:val="clear" w:pos="4008"/>
      </w:tabs>
      <w:adjustRightInd w:val="0"/>
      <w:snapToGrid w:val="0"/>
      <w:spacing w:before="60" w:after="200" w:line="240" w:lineRule="auto"/>
      <w:ind w:left="2400" w:hanging="420"/>
      <w:jc w:val="both"/>
    </w:pPr>
    <w:rPr>
      <w:rFonts w:ascii="Times New Roman" w:hAnsi="Times New Roman" w:eastAsia="宋体"/>
      <w:b w:val="0"/>
      <w:bCs/>
      <w:spacing w:val="-2"/>
      <w:szCs w:val="24"/>
    </w:rPr>
  </w:style>
  <w:style w:type="paragraph" w:customStyle="1" w:styleId="3843">
    <w:name w:val="样式1111"/>
    <w:basedOn w:val="1"/>
    <w:qFormat/>
    <w:uiPriority w:val="0"/>
    <w:pPr>
      <w:spacing w:beforeLines="50" w:line="360" w:lineRule="auto"/>
      <w:ind w:firstLine="480" w:firstLineChars="200"/>
    </w:pPr>
    <w:rPr>
      <w:rFonts w:eastAsia="Times New Roman" w:cs="黑体"/>
      <w:spacing w:val="-2"/>
      <w:kern w:val="0"/>
      <w:sz w:val="24"/>
    </w:rPr>
  </w:style>
  <w:style w:type="paragraph" w:customStyle="1" w:styleId="3844">
    <w:name w:val="封面 3"/>
    <w:qFormat/>
    <w:uiPriority w:val="0"/>
    <w:pPr>
      <w:keepNext/>
      <w:widowControl w:val="0"/>
      <w:spacing w:before="120" w:after="120" w:line="400" w:lineRule="exact"/>
      <w:jc w:val="center"/>
    </w:pPr>
    <w:rPr>
      <w:rFonts w:ascii="Times New Roman" w:hAnsi="Times New Roman" w:eastAsia="宋体" w:cs="Times New Roman"/>
      <w:sz w:val="36"/>
      <w:lang w:val="en-US" w:eastAsia="zh-CN" w:bidi="ar-SA"/>
    </w:rPr>
  </w:style>
  <w:style w:type="paragraph" w:customStyle="1" w:styleId="3845">
    <w:name w:val="主要负责人"/>
    <w:basedOn w:val="1"/>
    <w:next w:val="1"/>
    <w:qFormat/>
    <w:uiPriority w:val="0"/>
    <w:pPr>
      <w:jc w:val="center"/>
    </w:pPr>
    <w:rPr>
      <w:rFonts w:eastAsia="宋体" w:cs="黑体"/>
      <w:spacing w:val="-2"/>
      <w:kern w:val="0"/>
      <w:sz w:val="36"/>
      <w:szCs w:val="36"/>
    </w:rPr>
  </w:style>
  <w:style w:type="paragraph" w:customStyle="1" w:styleId="3846">
    <w:name w:val="11"/>
    <w:qFormat/>
    <w:uiPriority w:val="0"/>
    <w:pPr>
      <w:widowControl w:val="0"/>
      <w:jc w:val="both"/>
    </w:pPr>
    <w:rPr>
      <w:rFonts w:ascii="Times New Roman" w:hAnsi="Times New Roman" w:eastAsia="宋体" w:cs="Times New Roman"/>
      <w:sz w:val="24"/>
      <w:szCs w:val="24"/>
      <w:lang w:val="en-US" w:eastAsia="zh-CN" w:bidi="ar-SA"/>
    </w:rPr>
  </w:style>
  <w:style w:type="paragraph" w:customStyle="1" w:styleId="3847">
    <w:name w:val="样式 标题 3 + 字距调整二号 行距: 最小值 25 磅"/>
    <w:basedOn w:val="6"/>
    <w:qFormat/>
    <w:uiPriority w:val="0"/>
    <w:pPr>
      <w:tabs>
        <w:tab w:val="left" w:leader="dot" w:pos="0"/>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848">
    <w:name w:val="maindiv12"/>
    <w:basedOn w:val="1"/>
    <w:qFormat/>
    <w:uiPriority w:val="0"/>
    <w:pPr>
      <w:spacing w:before="100" w:beforeAutospacing="1" w:after="100" w:afterAutospacing="1"/>
    </w:pPr>
    <w:rPr>
      <w:rFonts w:ascii="ˎ̥" w:hAnsi="ˎ̥" w:eastAsia="宋体" w:cs="宋体"/>
      <w:spacing w:val="-2"/>
      <w:kern w:val="0"/>
      <w:sz w:val="24"/>
    </w:rPr>
  </w:style>
  <w:style w:type="paragraph" w:customStyle="1" w:styleId="3849">
    <w:name w:val="little"/>
    <w:basedOn w:val="1"/>
    <w:qFormat/>
    <w:uiPriority w:val="0"/>
    <w:pPr>
      <w:spacing w:before="100" w:beforeAutospacing="1" w:after="100" w:afterAutospacing="1"/>
    </w:pPr>
    <w:rPr>
      <w:rFonts w:ascii="宋体" w:hAnsi="Calibri" w:eastAsia="宋体" w:cs="宋体"/>
      <w:spacing w:val="-2"/>
      <w:kern w:val="0"/>
      <w:sz w:val="24"/>
    </w:rPr>
  </w:style>
  <w:style w:type="paragraph" w:customStyle="1" w:styleId="3850">
    <w:name w:val="no-bord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1">
    <w:name w:val="标题 53"/>
    <w:basedOn w:val="8"/>
    <w:qFormat/>
    <w:uiPriority w:val="0"/>
    <w:pPr>
      <w:autoSpaceDE w:val="0"/>
      <w:autoSpaceDN w:val="0"/>
      <w:adjustRightInd w:val="0"/>
      <w:spacing w:line="240" w:lineRule="auto"/>
      <w:ind w:left="567" w:firstLine="0"/>
      <w:jc w:val="left"/>
      <w:outlineLvl w:val="9"/>
    </w:pPr>
    <w:rPr>
      <w:rFonts w:hint="eastAsia" w:ascii="宋体" w:hAnsi="宋体" w:eastAsia="隶书体" w:cs="宋体"/>
      <w:spacing w:val="-2"/>
      <w:sz w:val="28"/>
      <w:szCs w:val="20"/>
    </w:rPr>
  </w:style>
  <w:style w:type="paragraph" w:customStyle="1" w:styleId="3852">
    <w:name w:val="bk-dialog-title"/>
    <w:basedOn w:val="1"/>
    <w:qFormat/>
    <w:uiPriority w:val="0"/>
    <w:pPr>
      <w:widowControl/>
      <w:spacing w:before="100" w:beforeAutospacing="1" w:after="100" w:afterAutospacing="1"/>
      <w:jc w:val="left"/>
    </w:pPr>
    <w:rPr>
      <w:rFonts w:ascii="宋体" w:hAnsi="Calibri" w:eastAsia="宋体" w:cs="宋体"/>
      <w:b/>
      <w:bCs/>
      <w:spacing w:val="-2"/>
      <w:kern w:val="0"/>
      <w:szCs w:val="21"/>
    </w:rPr>
  </w:style>
  <w:style w:type="paragraph" w:customStyle="1" w:styleId="3853">
    <w:name w:val="样式 小四 行距: 1.5 倍行距 首行缩进:  2 字符"/>
    <w:basedOn w:val="1"/>
    <w:qFormat/>
    <w:uiPriority w:val="0"/>
    <w:pPr>
      <w:ind w:firstLine="200" w:firstLineChars="200"/>
    </w:pPr>
    <w:rPr>
      <w:rFonts w:eastAsia="宋体" w:cs="宋体"/>
      <w:spacing w:val="-2"/>
      <w:kern w:val="0"/>
      <w:sz w:val="24"/>
    </w:rPr>
  </w:style>
  <w:style w:type="paragraph" w:customStyle="1" w:styleId="3854">
    <w:name w:val="remark-ba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5">
    <w:name w:val="fu"/>
    <w:basedOn w:val="1"/>
    <w:qFormat/>
    <w:uiPriority w:val="0"/>
    <w:pPr>
      <w:widowControl/>
      <w:spacing w:before="100" w:beforeAutospacing="1" w:after="100" w:afterAutospacing="1"/>
      <w:jc w:val="left"/>
    </w:pPr>
    <w:rPr>
      <w:rFonts w:ascii="宋体" w:hAnsi="Calibri" w:eastAsia="宋体" w:cs="宋体"/>
      <w:spacing w:val="-2"/>
      <w:kern w:val="0"/>
      <w:sz w:val="24"/>
      <w:szCs w:val="21"/>
      <w:u w:val="single"/>
    </w:rPr>
  </w:style>
  <w:style w:type="paragraph" w:customStyle="1" w:styleId="3856">
    <w:name w:val="样式 标题 3 + 首行缩进:  2 字符"/>
    <w:basedOn w:val="6"/>
    <w:qFormat/>
    <w:uiPriority w:val="0"/>
    <w:pPr>
      <w:tabs>
        <w:tab w:val="left" w:pos="0"/>
        <w:tab w:val="left" w:pos="1022"/>
        <w:tab w:val="left" w:pos="1080"/>
        <w:tab w:val="clear" w:pos="1789"/>
      </w:tabs>
      <w:spacing w:before="0" w:after="0" w:line="416" w:lineRule="atLeast"/>
      <w:ind w:left="0" w:firstLine="0"/>
      <w:jc w:val="left"/>
    </w:pPr>
    <w:rPr>
      <w:rFonts w:hint="eastAsia" w:ascii="宋体" w:hAnsi="宋体" w:eastAsia="宋体" w:cs="宋体"/>
      <w:bCs w:val="0"/>
      <w:i/>
      <w:iCs/>
      <w:color w:val="000000"/>
      <w:spacing w:val="-2"/>
      <w:sz w:val="28"/>
      <w:szCs w:val="28"/>
    </w:rPr>
  </w:style>
  <w:style w:type="paragraph" w:customStyle="1" w:styleId="3857">
    <w:name w:val="顺颂商祺！"/>
    <w:qFormat/>
    <w:uiPriority w:val="0"/>
    <w:pPr>
      <w:widowControl w:val="0"/>
      <w:jc w:val="both"/>
    </w:pPr>
    <w:rPr>
      <w:rFonts w:ascii="Times New Roman" w:hAnsi="Times New Roman" w:eastAsia="宋体" w:cs="Times New Roman"/>
      <w:lang w:val="en-US" w:eastAsia="zh-CN" w:bidi="ar-SA"/>
    </w:rPr>
  </w:style>
  <w:style w:type="paragraph" w:customStyle="1" w:styleId="3858">
    <w:name w:val="relation-control-enter-ope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9">
    <w:name w:val="图表文字"/>
    <w:basedOn w:val="34"/>
    <w:qFormat/>
    <w:uiPriority w:val="0"/>
    <w:pPr>
      <w:widowControl/>
      <w:tabs>
        <w:tab w:val="left" w:pos="360"/>
      </w:tabs>
      <w:kinsoku w:val="0"/>
      <w:wordWrap w:val="0"/>
      <w:spacing w:after="0" w:line="320" w:lineRule="exact"/>
      <w:jc w:val="center"/>
    </w:pPr>
    <w:rPr>
      <w:rFonts w:ascii="宋体" w:hAnsi="宋体" w:eastAsia="宋体" w:cs="宋体"/>
      <w:i/>
      <w:iCs/>
      <w:color w:val="000000"/>
      <w:sz w:val="18"/>
      <w:szCs w:val="24"/>
    </w:rPr>
  </w:style>
  <w:style w:type="paragraph" w:customStyle="1" w:styleId="3860">
    <w:name w:val="电镀表"/>
    <w:basedOn w:val="1"/>
    <w:qFormat/>
    <w:uiPriority w:val="0"/>
    <w:pPr>
      <w:autoSpaceDE w:val="0"/>
      <w:autoSpaceDN w:val="0"/>
      <w:adjustRightInd w:val="0"/>
      <w:jc w:val="center"/>
    </w:pPr>
    <w:rPr>
      <w:rFonts w:eastAsia="宋体" w:cs="黑体"/>
      <w:spacing w:val="-2"/>
      <w:w w:val="105"/>
      <w:kern w:val="10"/>
      <w:szCs w:val="21"/>
    </w:rPr>
  </w:style>
  <w:style w:type="paragraph" w:customStyle="1" w:styleId="3861">
    <w:name w:val="_Style 3"/>
    <w:basedOn w:val="1"/>
    <w:qFormat/>
    <w:uiPriority w:val="0"/>
    <w:rPr>
      <w:rFonts w:eastAsia="宋体" w:cs="黑体"/>
      <w:sz w:val="21"/>
    </w:rPr>
  </w:style>
  <w:style w:type="paragraph" w:customStyle="1" w:styleId="3862">
    <w:name w:val="封面2"/>
    <w:basedOn w:val="1"/>
    <w:qFormat/>
    <w:uiPriority w:val="0"/>
    <w:pPr>
      <w:jc w:val="center"/>
    </w:pPr>
    <w:rPr>
      <w:rFonts w:eastAsia="宋体" w:cs="黑体"/>
      <w:b/>
      <w:spacing w:val="-2"/>
      <w:kern w:val="0"/>
      <w:sz w:val="44"/>
    </w:rPr>
  </w:style>
  <w:style w:type="paragraph" w:customStyle="1" w:styleId="3863">
    <w:name w:val="正文文本缩进 23"/>
    <w:basedOn w:val="1"/>
    <w:qFormat/>
    <w:uiPriority w:val="0"/>
    <w:pPr>
      <w:adjustRightInd w:val="0"/>
      <w:ind w:firstLine="560"/>
    </w:pPr>
    <w:rPr>
      <w:rFonts w:eastAsia="宋体" w:cs="黑体"/>
      <w:spacing w:val="-2"/>
      <w:kern w:val="0"/>
    </w:rPr>
  </w:style>
  <w:style w:type="paragraph" w:customStyle="1" w:styleId="3864">
    <w:name w:val="标题3（新）"/>
    <w:basedOn w:val="1"/>
    <w:next w:val="1"/>
    <w:qFormat/>
    <w:uiPriority w:val="0"/>
    <w:pPr>
      <w:spacing w:line="240" w:lineRule="atLeast"/>
      <w:outlineLvl w:val="2"/>
    </w:pPr>
    <w:rPr>
      <w:rFonts w:ascii="宋体" w:hAnsi="Calibri" w:eastAsia="黑体" w:cs="黑体"/>
      <w:spacing w:val="-2"/>
      <w:kern w:val="0"/>
      <w:szCs w:val="22"/>
    </w:rPr>
  </w:style>
  <w:style w:type="paragraph" w:customStyle="1" w:styleId="3865">
    <w:name w:val="正文缩进21"/>
    <w:basedOn w:val="1"/>
    <w:qFormat/>
    <w:uiPriority w:val="0"/>
    <w:pPr>
      <w:ind w:firstLine="420"/>
    </w:pPr>
    <w:rPr>
      <w:rFonts w:ascii="Calibri" w:hAnsi="Calibri" w:eastAsia="宋体" w:cs="黑体"/>
      <w:sz w:val="21"/>
    </w:rPr>
  </w:style>
  <w:style w:type="paragraph" w:customStyle="1" w:styleId="3866">
    <w:name w:val="48"/>
    <w:basedOn w:val="1"/>
    <w:qFormat/>
    <w:uiPriority w:val="0"/>
    <w:pPr>
      <w:widowControl/>
      <w:snapToGrid w:val="0"/>
      <w:spacing w:before="120" w:after="120"/>
    </w:pPr>
    <w:rPr>
      <w:rFonts w:ascii="黑体" w:hAnsi="宋体" w:eastAsia="黑体" w:cs="黑体"/>
      <w:b/>
      <w:bCs/>
      <w:color w:val="000000"/>
      <w:spacing w:val="-2"/>
      <w:kern w:val="0"/>
      <w:szCs w:val="21"/>
    </w:rPr>
  </w:style>
  <w:style w:type="paragraph" w:customStyle="1" w:styleId="3867">
    <w:name w:val="Char Char Char Char Char Char1 Char Char Char1 Char Char Char1 Char Char Char Char Char Char Char Char Char Char1"/>
    <w:basedOn w:val="1"/>
    <w:next w:val="1"/>
    <w:qFormat/>
    <w:uiPriority w:val="0"/>
    <w:pPr>
      <w:spacing w:line="360" w:lineRule="auto"/>
      <w:ind w:firstLine="200" w:firstLineChars="200"/>
    </w:pPr>
    <w:rPr>
      <w:rFonts w:eastAsia="宋体" w:cs="Tms Rmn"/>
      <w:spacing w:val="-2"/>
      <w:kern w:val="0"/>
      <w:sz w:val="24"/>
    </w:rPr>
  </w:style>
  <w:style w:type="paragraph" w:customStyle="1" w:styleId="3868">
    <w:name w:val="Char Char Char Char Char Char1 Char Char Char1 Char Char Char1 Char Char Char Char Char Char Char Char Char Char3"/>
    <w:basedOn w:val="1"/>
    <w:next w:val="1"/>
    <w:qFormat/>
    <w:uiPriority w:val="0"/>
    <w:pPr>
      <w:ind w:firstLine="200" w:firstLineChars="200"/>
    </w:pPr>
    <w:rPr>
      <w:rFonts w:eastAsia="宋体" w:cs="Tms Rmn"/>
      <w:spacing w:val="-2"/>
      <w:kern w:val="0"/>
      <w:sz w:val="24"/>
    </w:rPr>
  </w:style>
  <w:style w:type="paragraph" w:customStyle="1" w:styleId="3869">
    <w:name w:val="00 标题2"/>
    <w:basedOn w:val="6"/>
    <w:qFormat/>
    <w:uiPriority w:val="0"/>
    <w:pPr>
      <w:tabs>
        <w:tab w:val="left" w:pos="1022"/>
        <w:tab w:val="left" w:pos="1080"/>
        <w:tab w:val="clear" w:pos="1789"/>
      </w:tabs>
      <w:spacing w:before="0" w:beforeLines="50" w:after="0" w:line="300" w:lineRule="auto"/>
      <w:ind w:left="1260" w:hanging="420"/>
      <w:jc w:val="left"/>
    </w:pPr>
    <w:rPr>
      <w:rFonts w:hint="eastAsia" w:ascii="宋体" w:hAnsi="宋体" w:eastAsia="宋体" w:cs="宋体"/>
      <w:bCs w:val="0"/>
      <w:i/>
      <w:iCs/>
      <w:color w:val="000000"/>
      <w:spacing w:val="-2"/>
      <w:szCs w:val="24"/>
    </w:rPr>
  </w:style>
  <w:style w:type="paragraph" w:customStyle="1" w:styleId="3870">
    <w:name w:val="Char Char Char Char Char Char Char Char Char Char Char Char Char Char Char Char Char Char Char Char Char Char Char Char Char2"/>
    <w:basedOn w:val="1"/>
    <w:qFormat/>
    <w:uiPriority w:val="0"/>
    <w:pPr>
      <w:widowControl/>
      <w:spacing w:line="240" w:lineRule="exact"/>
      <w:jc w:val="left"/>
    </w:pPr>
    <w:rPr>
      <w:rFonts w:ascii="Verdana" w:hAnsi="Verdana" w:eastAsia="宋体" w:cs="黑体"/>
      <w:spacing w:val="-2"/>
      <w:kern w:val="0"/>
      <w:sz w:val="20"/>
      <w:lang w:eastAsia="en-US"/>
    </w:rPr>
  </w:style>
  <w:style w:type="paragraph" w:customStyle="1" w:styleId="3871">
    <w:name w:val="样式 标题 4H4Subsection + 段前: 6 磅 段后: 6 磅"/>
    <w:basedOn w:val="7"/>
    <w:qFormat/>
    <w:uiPriority w:val="0"/>
    <w:pPr>
      <w:tabs>
        <w:tab w:val="left" w:pos="864"/>
        <w:tab w:val="left" w:pos="2153"/>
        <w:tab w:val="clear" w:pos="4008"/>
      </w:tabs>
      <w:adjustRightInd w:val="0"/>
      <w:snapToGrid w:val="0"/>
      <w:spacing w:line="360" w:lineRule="auto"/>
      <w:ind w:left="0" w:firstLine="0"/>
      <w:jc w:val="both"/>
    </w:pPr>
    <w:rPr>
      <w:rFonts w:ascii="Times New Roman" w:hAnsi="Times New Roman" w:eastAsia="宋体" w:cs="宋体"/>
      <w:bCs/>
      <w:color w:val="auto"/>
      <w:spacing w:val="-2"/>
      <w:kern w:val="0"/>
    </w:rPr>
  </w:style>
  <w:style w:type="paragraph" w:customStyle="1" w:styleId="3872">
    <w:name w:val="出版正文"/>
    <w:basedOn w:val="1"/>
    <w:qFormat/>
    <w:uiPriority w:val="0"/>
    <w:pPr>
      <w:spacing w:line="600" w:lineRule="exact"/>
      <w:ind w:firstLine="200" w:firstLineChars="200"/>
    </w:pPr>
    <w:rPr>
      <w:rFonts w:eastAsia="宋体" w:cs="黑体"/>
      <w:spacing w:val="-2"/>
      <w:kern w:val="0"/>
    </w:rPr>
  </w:style>
  <w:style w:type="paragraph" w:customStyle="1" w:styleId="3873">
    <w:name w:val="样式 样式 (符号) 宋体 二号 加粗 黑色 居中 行距: 1.5 倍行距 + 加粗"/>
    <w:basedOn w:val="85"/>
    <w:qFormat/>
    <w:uiPriority w:val="0"/>
    <w:pPr>
      <w:keepNext w:val="0"/>
      <w:keepLines w:val="0"/>
      <w:tabs>
        <w:tab w:val="clear" w:pos="1080"/>
        <w:tab w:val="clear" w:pos="1789"/>
      </w:tabs>
      <w:adjustRightInd w:val="0"/>
      <w:spacing w:before="240" w:after="60" w:line="312" w:lineRule="atLeast"/>
      <w:jc w:val="center"/>
      <w:outlineLvl w:val="0"/>
    </w:pPr>
    <w:rPr>
      <w:rFonts w:ascii="Arial" w:hAnsi="Arial" w:eastAsia="宋体"/>
      <w:color w:val="000000"/>
      <w:sz w:val="44"/>
      <w:szCs w:val="20"/>
    </w:rPr>
  </w:style>
  <w:style w:type="paragraph" w:customStyle="1" w:styleId="3874">
    <w:name w:val="样式 标题 3明阳3 + 行距: 固定值 12 磅"/>
    <w:basedOn w:val="6"/>
    <w:qFormat/>
    <w:uiPriority w:val="0"/>
    <w:pPr>
      <w:tabs>
        <w:tab w:val="left" w:pos="1022"/>
        <w:tab w:val="left" w:pos="1080"/>
        <w:tab w:val="clear" w:pos="1789"/>
      </w:tabs>
      <w:spacing w:before="260" w:after="260" w:line="360" w:lineRule="auto"/>
      <w:ind w:left="1260" w:hanging="420"/>
    </w:pPr>
    <w:rPr>
      <w:rFonts w:hint="eastAsia" w:ascii="宋体" w:hAnsi="宋体" w:eastAsia="宋体" w:cs="宋体"/>
      <w:bCs w:val="0"/>
      <w:i/>
      <w:iCs/>
      <w:color w:val="000000"/>
      <w:spacing w:val="-2"/>
      <w:sz w:val="32"/>
    </w:rPr>
  </w:style>
  <w:style w:type="paragraph" w:customStyle="1" w:styleId="3875">
    <w:name w:val="正文(a)"/>
    <w:basedOn w:val="34"/>
    <w:qFormat/>
    <w:uiPriority w:val="0"/>
    <w:pPr>
      <w:widowControl/>
      <w:tabs>
        <w:tab w:val="left" w:pos="1139"/>
        <w:tab w:val="left" w:pos="1332"/>
      </w:tabs>
      <w:spacing w:after="0" w:line="351" w:lineRule="atLeast"/>
      <w:ind w:left="-141" w:firstLine="566"/>
    </w:pPr>
    <w:rPr>
      <w:rFonts w:ascii="宋体" w:hAnsi="Calibri" w:eastAsia="宋体" w:cs="宋体"/>
      <w:i/>
      <w:iCs/>
      <w:color w:val="000000"/>
      <w:spacing w:val="5"/>
      <w:sz w:val="21"/>
      <w:szCs w:val="24"/>
      <w:u w:color="000000"/>
    </w:rPr>
  </w:style>
  <w:style w:type="paragraph" w:customStyle="1" w:styleId="3876">
    <w:name w:val="样式 标题 1章节标题章标题 1-*+h11st levelSection Headl1b1本标题不使用篇标..."/>
    <w:basedOn w:val="3"/>
    <w:qFormat/>
    <w:uiPriority w:val="0"/>
    <w:pPr>
      <w:pageBreakBefore w:val="0"/>
      <w:tabs>
        <w:tab w:val="clear" w:pos="1080"/>
      </w:tabs>
      <w:spacing w:before="0" w:beforeLines="100" w:after="0" w:line="360" w:lineRule="auto"/>
      <w:ind w:left="0" w:firstLine="0"/>
      <w:jc w:val="left"/>
    </w:pPr>
    <w:rPr>
      <w:rFonts w:ascii="宋体" w:hAnsi="宋体" w:cs="宋体"/>
      <w:spacing w:val="-2"/>
      <w:sz w:val="28"/>
    </w:rPr>
  </w:style>
  <w:style w:type="paragraph" w:customStyle="1" w:styleId="3877">
    <w:name w:val="1标题2"/>
    <w:basedOn w:val="4"/>
    <w:qFormat/>
    <w:uiPriority w:val="0"/>
    <w:pPr>
      <w:keepNext w:val="0"/>
      <w:keepLines w:val="0"/>
      <w:tabs>
        <w:tab w:val="left" w:pos="1476"/>
        <w:tab w:val="clear" w:pos="567"/>
      </w:tabs>
      <w:adjustRightInd w:val="0"/>
      <w:snapToGrid w:val="0"/>
      <w:spacing w:before="0" w:beforeLines="50" w:after="0"/>
      <w:ind w:left="0" w:firstLine="0"/>
      <w:outlineLvl w:val="9"/>
    </w:pPr>
    <w:rPr>
      <w:rFonts w:ascii="宋体" w:hAnsi="宋体" w:eastAsia="宋体" w:cs="宋体"/>
      <w:b/>
      <w:bCs/>
      <w:spacing w:val="-2"/>
      <w:szCs w:val="28"/>
    </w:rPr>
  </w:style>
  <w:style w:type="paragraph" w:customStyle="1" w:styleId="3878">
    <w:name w:val="throw-btl-link"/>
    <w:basedOn w:val="1"/>
    <w:qFormat/>
    <w:uiPriority w:val="0"/>
    <w:pPr>
      <w:widowControl/>
      <w:spacing w:before="100" w:beforeAutospacing="1" w:after="100" w:afterAutospacing="1"/>
      <w:ind w:left="75"/>
      <w:jc w:val="left"/>
    </w:pPr>
    <w:rPr>
      <w:rFonts w:ascii="宋体" w:hAnsi="Calibri" w:eastAsia="宋体" w:cs="宋体"/>
      <w:spacing w:val="-2"/>
      <w:kern w:val="0"/>
      <w:sz w:val="24"/>
      <w:szCs w:val="21"/>
    </w:rPr>
  </w:style>
  <w:style w:type="paragraph" w:customStyle="1" w:styleId="3879">
    <w:name w:val="正文 + 13 磅"/>
    <w:basedOn w:val="1"/>
    <w:qFormat/>
    <w:uiPriority w:val="0"/>
    <w:pPr>
      <w:tabs>
        <w:tab w:val="left" w:pos="540"/>
        <w:tab w:val="left" w:pos="720"/>
      </w:tabs>
      <w:ind w:firstLine="150" w:firstLineChars="150"/>
    </w:pPr>
    <w:rPr>
      <w:rFonts w:eastAsia="宋体" w:cs="黑体"/>
      <w:spacing w:val="-2"/>
      <w:kern w:val="0"/>
      <w:sz w:val="26"/>
      <w:szCs w:val="26"/>
    </w:rPr>
  </w:style>
  <w:style w:type="paragraph" w:customStyle="1" w:styleId="3880">
    <w:name w:val="样式 标题 3条标题1.1.1ReHead 3 WSAh3BSH-3H3b33rd levell3CT标题..."/>
    <w:basedOn w:val="6"/>
    <w:qFormat/>
    <w:uiPriority w:val="0"/>
    <w:pPr>
      <w:tabs>
        <w:tab w:val="left" w:pos="1022"/>
        <w:tab w:val="left" w:pos="1080"/>
        <w:tab w:val="clear" w:pos="1789"/>
      </w:tabs>
      <w:spacing w:before="260" w:line="360" w:lineRule="auto"/>
      <w:ind w:left="0" w:firstLine="0"/>
    </w:pPr>
    <w:rPr>
      <w:rFonts w:hint="eastAsia" w:ascii="宋体" w:hAnsi="宋体" w:eastAsia="宋体" w:cs="宋体"/>
      <w:b w:val="0"/>
      <w:i/>
      <w:iCs/>
      <w:color w:val="000000"/>
      <w:spacing w:val="-2"/>
      <w:sz w:val="28"/>
      <w:szCs w:val="24"/>
    </w:rPr>
  </w:style>
  <w:style w:type="paragraph" w:customStyle="1" w:styleId="3881">
    <w:name w:val="endseries-title"/>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882">
    <w:name w:val="itieb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83">
    <w:name w:val="Char2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884">
    <w:name w:val="tip-content"/>
    <w:basedOn w:val="1"/>
    <w:qFormat/>
    <w:uiPriority w:val="0"/>
    <w:pPr>
      <w:widowControl/>
      <w:pBdr>
        <w:top w:val="single" w:color="FFD4AD" w:sz="6" w:space="7"/>
        <w:left w:val="single" w:color="FFD4AD" w:sz="6" w:space="9"/>
        <w:bottom w:val="single" w:color="FFD4AD" w:sz="6" w:space="2"/>
        <w:right w:val="single" w:color="FFD4AD" w:sz="6" w:space="9"/>
      </w:pBdr>
      <w:shd w:val="clear" w:color="auto" w:fill="FFF7F0"/>
      <w:spacing w:before="100" w:beforeAutospacing="1" w:after="100" w:afterAutospacing="1" w:line="330" w:lineRule="atLeast"/>
      <w:jc w:val="left"/>
    </w:pPr>
    <w:rPr>
      <w:rFonts w:ascii="宋体" w:hAnsi="Calibri" w:eastAsia="宋体" w:cs="宋体"/>
      <w:spacing w:val="-2"/>
      <w:kern w:val="0"/>
      <w:szCs w:val="21"/>
    </w:rPr>
  </w:style>
  <w:style w:type="paragraph" w:customStyle="1" w:styleId="3885">
    <w:name w:val="Char Char Char1 Char Char Char Char Char Char"/>
    <w:basedOn w:val="26"/>
    <w:qFormat/>
    <w:uiPriority w:val="0"/>
    <w:pPr>
      <w:adjustRightInd w:val="0"/>
      <w:spacing w:line="436" w:lineRule="exact"/>
      <w:ind w:left="357"/>
      <w:outlineLvl w:val="3"/>
    </w:pPr>
    <w:rPr>
      <w:rFonts w:ascii="Tahoma" w:hAnsi="Tahoma" w:eastAsia="宋体" w:cs="宋体"/>
      <w:b/>
      <w:sz w:val="24"/>
      <w:szCs w:val="24"/>
    </w:rPr>
  </w:style>
  <w:style w:type="paragraph" w:customStyle="1" w:styleId="3886">
    <w:name w:val="一般正文 Char Char"/>
    <w:basedOn w:val="1"/>
    <w:qFormat/>
    <w:uiPriority w:val="0"/>
    <w:pPr>
      <w:adjustRightInd w:val="0"/>
      <w:snapToGrid w:val="0"/>
      <w:spacing w:line="500" w:lineRule="exact"/>
      <w:ind w:firstLine="200" w:firstLineChars="200"/>
    </w:pPr>
    <w:rPr>
      <w:rFonts w:ascii="宋体" w:hAnsi="Calibri" w:eastAsia="宋体" w:cs="黑体"/>
      <w:spacing w:val="-2"/>
      <w:kern w:val="0"/>
      <w:sz w:val="26"/>
      <w:szCs w:val="21"/>
    </w:rPr>
  </w:style>
  <w:style w:type="paragraph" w:customStyle="1" w:styleId="3887">
    <w:name w:val="真宗兴表格标题"/>
    <w:basedOn w:val="1"/>
    <w:qFormat/>
    <w:uiPriority w:val="0"/>
    <w:pPr>
      <w:spacing w:before="93" w:line="400" w:lineRule="atLeast"/>
      <w:ind w:firstLine="200" w:firstLineChars="200"/>
      <w:jc w:val="center"/>
    </w:pPr>
    <w:rPr>
      <w:rFonts w:ascii="黑体" w:hAnsi="Calibri" w:eastAsia="黑体" w:cs="黑体"/>
      <w:spacing w:val="-2"/>
      <w:kern w:val="0"/>
      <w:sz w:val="24"/>
    </w:rPr>
  </w:style>
  <w:style w:type="paragraph" w:customStyle="1" w:styleId="3888">
    <w:name w:val="CM129"/>
    <w:basedOn w:val="762"/>
    <w:next w:val="762"/>
    <w:qFormat/>
    <w:uiPriority w:val="0"/>
    <w:pPr>
      <w:spacing w:after="365"/>
    </w:pPr>
    <w:rPr>
      <w:rFonts w:ascii="仿宋_GB2312" w:hAnsi="Calibri" w:eastAsia="仿宋_GB2312" w:cs="仿宋_GB2312"/>
      <w:kern w:val="2"/>
      <w:sz w:val="24"/>
      <w:szCs w:val="24"/>
    </w:rPr>
  </w:style>
  <w:style w:type="paragraph" w:customStyle="1" w:styleId="3889">
    <w:name w:val="自定正文"/>
    <w:basedOn w:val="1"/>
    <w:qFormat/>
    <w:uiPriority w:val="0"/>
    <w:pPr>
      <w:widowControl/>
      <w:spacing w:line="360" w:lineRule="auto"/>
      <w:ind w:firstLine="480" w:firstLineChars="200"/>
      <w:jc w:val="left"/>
    </w:pPr>
    <w:rPr>
      <w:rFonts w:ascii="Calibri" w:hAnsi="宋体" w:eastAsia="宋体" w:cs="黑体"/>
      <w:sz w:val="24"/>
      <w:szCs w:val="24"/>
    </w:rPr>
  </w:style>
  <w:style w:type="paragraph" w:customStyle="1" w:styleId="3890">
    <w:name w:val="排版正文"/>
    <w:basedOn w:val="1"/>
    <w:next w:val="1"/>
    <w:qFormat/>
    <w:uiPriority w:val="0"/>
    <w:pPr>
      <w:adjustRightInd w:val="0"/>
      <w:snapToGrid w:val="0"/>
      <w:spacing w:line="460" w:lineRule="exact"/>
      <w:ind w:firstLine="510"/>
    </w:pPr>
    <w:rPr>
      <w:rFonts w:eastAsia="宋体" w:cs="黑体"/>
      <w:spacing w:val="-2"/>
      <w:kern w:val="0"/>
      <w:sz w:val="26"/>
    </w:rPr>
  </w:style>
  <w:style w:type="paragraph" w:customStyle="1" w:styleId="3891">
    <w:name w:val="样式 样式 仿宋_GB2312 段前: 0.5 行 段后: 6 磅 行距: 1.5 倍行距 + 首行缩进:  2 字符 段后:...2"/>
    <w:basedOn w:val="1"/>
    <w:qFormat/>
    <w:uiPriority w:val="0"/>
    <w:pPr>
      <w:adjustRightInd w:val="0"/>
      <w:snapToGrid w:val="0"/>
      <w:spacing w:line="300" w:lineRule="auto"/>
      <w:ind w:firstLine="200" w:firstLineChars="200"/>
    </w:pPr>
    <w:rPr>
      <w:rFonts w:ascii="仿宋_GB2312" w:hAnsi="Calibri" w:cs="宋体"/>
      <w:spacing w:val="-2"/>
      <w:kern w:val="0"/>
    </w:rPr>
  </w:style>
  <w:style w:type="paragraph" w:customStyle="1" w:styleId="3892">
    <w:name w:val="样式65"/>
    <w:basedOn w:val="1"/>
    <w:qFormat/>
    <w:uiPriority w:val="0"/>
    <w:pPr>
      <w:widowControl/>
      <w:spacing w:beforeLines="50" w:line="360" w:lineRule="auto"/>
      <w:ind w:firstLine="480" w:firstLineChars="200"/>
    </w:pPr>
    <w:rPr>
      <w:rFonts w:eastAsia="宋体" w:cs="黑体"/>
      <w:spacing w:val="-2"/>
      <w:kern w:val="0"/>
      <w:sz w:val="24"/>
    </w:rPr>
  </w:style>
  <w:style w:type="paragraph" w:customStyle="1" w:styleId="3893">
    <w:name w:val="Char Char Char Char Char Char1"/>
    <w:basedOn w:val="1"/>
    <w:qFormat/>
    <w:uiPriority w:val="0"/>
    <w:rPr>
      <w:rFonts w:eastAsia="宋体" w:cs="黑体"/>
      <w:spacing w:val="-2"/>
      <w:kern w:val="0"/>
    </w:rPr>
  </w:style>
  <w:style w:type="paragraph" w:customStyle="1" w:styleId="3894">
    <w:name w:val="module-block"/>
    <w:basedOn w:val="1"/>
    <w:qFormat/>
    <w:uiPriority w:val="0"/>
    <w:pPr>
      <w:widowControl/>
      <w:shd w:val="clear" w:color="auto" w:fill="FAFAFA"/>
      <w:spacing w:before="100" w:beforeAutospacing="1" w:after="100" w:afterAutospacing="1"/>
      <w:jc w:val="left"/>
    </w:pPr>
    <w:rPr>
      <w:rFonts w:ascii="宋体" w:hAnsi="Calibri" w:eastAsia="宋体" w:cs="宋体"/>
      <w:spacing w:val="-2"/>
      <w:kern w:val="0"/>
      <w:sz w:val="24"/>
      <w:szCs w:val="21"/>
    </w:rPr>
  </w:style>
  <w:style w:type="paragraph" w:customStyle="1" w:styleId="3895">
    <w:name w:val="样式 样式 样式 样式 (西文) 仿宋_GB2312 (中文) 仿宋_GB2312 加粗 段前: 0.5 行 段后: 6 磅 行..."/>
    <w:basedOn w:val="1"/>
    <w:qFormat/>
    <w:uiPriority w:val="0"/>
    <w:pPr>
      <w:spacing w:line="300" w:lineRule="auto"/>
    </w:pPr>
    <w:rPr>
      <w:rFonts w:cs="黑体"/>
      <w:b/>
      <w:bCs/>
      <w:spacing w:val="-2"/>
      <w:kern w:val="0"/>
    </w:rPr>
  </w:style>
  <w:style w:type="paragraph" w:customStyle="1" w:styleId="3896">
    <w:name w:val="Char Char Char Char Char Char Char Char Char Char Char Char2"/>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897">
    <w:name w:val="CM3"/>
    <w:basedOn w:val="1"/>
    <w:next w:val="1"/>
    <w:qFormat/>
    <w:uiPriority w:val="0"/>
    <w:pPr>
      <w:autoSpaceDE w:val="0"/>
      <w:autoSpaceDN w:val="0"/>
      <w:adjustRightInd w:val="0"/>
      <w:spacing w:line="480" w:lineRule="atLeast"/>
      <w:jc w:val="left"/>
    </w:pPr>
    <w:rPr>
      <w:rFonts w:ascii="TTE1CFADF8t00" w:hAnsi="Calibri" w:eastAsia="TTE1CFADF8t00" w:cs="黑体"/>
      <w:spacing w:val="-2"/>
      <w:kern w:val="0"/>
      <w:sz w:val="24"/>
    </w:rPr>
  </w:style>
  <w:style w:type="paragraph" w:customStyle="1" w:styleId="3898">
    <w:name w:val="表格 21"/>
    <w:qFormat/>
    <w:uiPriority w:val="0"/>
    <w:pPr>
      <w:widowControl w:val="0"/>
      <w:autoSpaceDE w:val="0"/>
      <w:autoSpaceDN w:val="0"/>
      <w:adjustRightInd w:val="0"/>
      <w:jc w:val="center"/>
    </w:pPr>
    <w:rPr>
      <w:rFonts w:ascii="Times New Roman" w:hAnsi="Times New Roman" w:eastAsia="仿宋体" w:cs="Times New Roman"/>
      <w:sz w:val="28"/>
      <w:lang w:val="en-US" w:eastAsia="zh-CN" w:bidi="ar-SA"/>
    </w:rPr>
  </w:style>
  <w:style w:type="paragraph" w:customStyle="1" w:styleId="3899">
    <w:name w:val="样式 标题 1 Char Char + 两端对齐 段前: 2 行 段后: 0.5 行"/>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900">
    <w:name w:val="zi1"/>
    <w:basedOn w:val="1"/>
    <w:qFormat/>
    <w:uiPriority w:val="0"/>
    <w:pPr>
      <w:widowControl/>
      <w:spacing w:before="100" w:beforeAutospacing="1" w:after="100" w:afterAutospacing="1"/>
      <w:jc w:val="left"/>
    </w:pPr>
    <w:rPr>
      <w:rFonts w:ascii="宋体" w:hAnsi="Calibri" w:eastAsia="宋体" w:cs="黑体"/>
      <w:spacing w:val="-2"/>
      <w:kern w:val="0"/>
      <w:sz w:val="24"/>
    </w:rPr>
  </w:style>
  <w:style w:type="paragraph" w:customStyle="1" w:styleId="3901">
    <w:name w:val="Char Char1 Char Char Char Char Char Char Char2"/>
    <w:basedOn w:val="1"/>
    <w:qFormat/>
    <w:uiPriority w:val="0"/>
    <w:rPr>
      <w:rFonts w:eastAsia="宋体" w:cs="黑体"/>
      <w:spacing w:val="-2"/>
      <w:kern w:val="0"/>
      <w:sz w:val="24"/>
    </w:rPr>
  </w:style>
  <w:style w:type="paragraph" w:customStyle="1" w:styleId="3902">
    <w:name w:val="注解文字"/>
    <w:basedOn w:val="1"/>
    <w:qFormat/>
    <w:uiPriority w:val="0"/>
    <w:pPr>
      <w:snapToGrid w:val="0"/>
    </w:pPr>
    <w:rPr>
      <w:rFonts w:eastAsia="宋体" w:cs="黑体"/>
      <w:bCs/>
      <w:spacing w:val="-2"/>
      <w:kern w:val="0"/>
      <w:sz w:val="18"/>
      <w:szCs w:val="18"/>
    </w:rPr>
  </w:style>
  <w:style w:type="paragraph" w:customStyle="1" w:styleId="3903">
    <w:name w:val="msg-conte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04">
    <w:name w:val="5号字行距1.0首行缩2"/>
    <w:basedOn w:val="1"/>
    <w:qFormat/>
    <w:uiPriority w:val="0"/>
    <w:pPr>
      <w:ind w:firstLine="200" w:firstLineChars="200"/>
    </w:pPr>
    <w:rPr>
      <w:rFonts w:eastAsia="宋体" w:cs="黑体"/>
      <w:spacing w:val="-2"/>
      <w:kern w:val="0"/>
    </w:rPr>
  </w:style>
  <w:style w:type="paragraph" w:customStyle="1" w:styleId="3905">
    <w:name w:val="relation-table-title"/>
    <w:basedOn w:val="1"/>
    <w:qFormat/>
    <w:uiPriority w:val="0"/>
    <w:pPr>
      <w:widowControl/>
      <w:jc w:val="center"/>
    </w:pPr>
    <w:rPr>
      <w:rFonts w:ascii="宋体" w:hAnsi="Calibri" w:eastAsia="宋体" w:cs="宋体"/>
      <w:spacing w:val="-2"/>
      <w:kern w:val="0"/>
      <w:sz w:val="24"/>
      <w:szCs w:val="21"/>
    </w:rPr>
  </w:style>
  <w:style w:type="paragraph" w:customStyle="1" w:styleId="3906">
    <w:name w:val="b-btn-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07">
    <w:name w:val="Char Char Char Char Char Char Char Char Char Char Char Char Char Char Char Char Char Char Char Char Char Char Char Char Char Char Char Char Char Char Char Char Char Char Char Char Char Char Char Char"/>
    <w:basedOn w:val="1"/>
    <w:qFormat/>
    <w:uiPriority w:val="0"/>
    <w:rPr>
      <w:rFonts w:eastAsia="宋体" w:cs="黑体"/>
      <w:spacing w:val="-2"/>
      <w:kern w:val="0"/>
      <w:sz w:val="24"/>
    </w:rPr>
  </w:style>
  <w:style w:type="paragraph" w:customStyle="1" w:styleId="3908">
    <w:name w:val="中大正文"/>
    <w:basedOn w:val="1"/>
    <w:qFormat/>
    <w:uiPriority w:val="0"/>
    <w:pPr>
      <w:autoSpaceDE w:val="0"/>
      <w:autoSpaceDN w:val="0"/>
      <w:adjustRightInd w:val="0"/>
      <w:snapToGrid w:val="0"/>
      <w:spacing w:line="360" w:lineRule="auto"/>
      <w:ind w:firstLine="200" w:firstLineChars="200"/>
    </w:pPr>
    <w:rPr>
      <w:rFonts w:ascii="Calibri" w:hAnsi="Calibri" w:eastAsia="宋体" w:cs="Arial"/>
      <w:spacing w:val="-2"/>
      <w:kern w:val="0"/>
      <w:sz w:val="24"/>
      <w:szCs w:val="22"/>
      <w:lang w:val="zh-CN"/>
    </w:rPr>
  </w:style>
  <w:style w:type="paragraph" w:customStyle="1" w:styleId="3909">
    <w:name w:val="小四表文左齐"/>
    <w:basedOn w:val="1"/>
    <w:qFormat/>
    <w:uiPriority w:val="0"/>
    <w:pPr>
      <w:spacing w:line="360" w:lineRule="auto"/>
      <w:jc w:val="center"/>
    </w:pPr>
    <w:rPr>
      <w:rFonts w:ascii="宋体" w:hAnsi="宋体" w:eastAsia="宋体" w:cs="黑体"/>
      <w:spacing w:val="-2"/>
      <w:kern w:val="0"/>
    </w:rPr>
  </w:style>
  <w:style w:type="paragraph" w:customStyle="1" w:styleId="3910">
    <w:name w:val="contri-spa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11">
    <w:name w:val="样式 正文文本缩进 2正文文字缩进 2 + 四号 蓝色"/>
    <w:basedOn w:val="52"/>
    <w:qFormat/>
    <w:uiPriority w:val="0"/>
    <w:pPr>
      <w:spacing w:line="480" w:lineRule="exact"/>
      <w:ind w:firstLine="709"/>
    </w:pPr>
    <w:rPr>
      <w:rFonts w:ascii="Arial" w:hAnsi="Arial" w:eastAsia="黑体" w:cs="宋体"/>
      <w:color w:val="0000FF"/>
      <w:szCs w:val="24"/>
    </w:rPr>
  </w:style>
  <w:style w:type="paragraph" w:customStyle="1" w:styleId="3912">
    <w:name w:val="麦志勤标题五"/>
    <w:basedOn w:val="51"/>
    <w:qFormat/>
    <w:uiPriority w:val="0"/>
    <w:pPr>
      <w:snapToGrid w:val="0"/>
      <w:spacing w:beforeLines="100" w:line="300" w:lineRule="auto"/>
      <w:ind w:firstLine="200" w:firstLineChars="200"/>
      <w:outlineLvl w:val="0"/>
    </w:pPr>
    <w:rPr>
      <w:rFonts w:hint="eastAsia" w:ascii="黑体" w:hAnsi="Calibri" w:eastAsia="黑体" w:cs="宋体"/>
      <w:sz w:val="28"/>
      <w:szCs w:val="22"/>
    </w:rPr>
  </w:style>
  <w:style w:type="paragraph" w:customStyle="1" w:styleId="3913">
    <w:name w:val="样式 二级 + 行距: 1.5 倍行距"/>
    <w:basedOn w:val="1"/>
    <w:qFormat/>
    <w:uiPriority w:val="0"/>
    <w:pPr>
      <w:spacing w:line="360" w:lineRule="auto"/>
      <w:outlineLvl w:val="1"/>
    </w:pPr>
    <w:rPr>
      <w:rFonts w:eastAsia="宋体" w:cs="宋体"/>
      <w:b/>
      <w:bCs/>
      <w:spacing w:val="-2"/>
      <w:kern w:val="0"/>
    </w:rPr>
  </w:style>
  <w:style w:type="paragraph" w:customStyle="1" w:styleId="3914">
    <w:name w:val="麦志勤标题5"/>
    <w:basedOn w:val="1"/>
    <w:qFormat/>
    <w:uiPriority w:val="0"/>
    <w:pPr>
      <w:adjustRightInd w:val="0"/>
      <w:snapToGrid w:val="0"/>
      <w:spacing w:beforeLines="100" w:line="300" w:lineRule="auto"/>
      <w:ind w:firstLine="200" w:firstLineChars="200"/>
    </w:pPr>
    <w:rPr>
      <w:rFonts w:ascii="黑体" w:hAnsi="Calibri" w:eastAsia="黑体" w:cs="黑体"/>
      <w:color w:val="000000"/>
      <w:spacing w:val="-2"/>
      <w:kern w:val="0"/>
    </w:rPr>
  </w:style>
  <w:style w:type="paragraph" w:customStyle="1" w:styleId="3915">
    <w:name w:val="15"/>
    <w:basedOn w:val="1"/>
    <w:qFormat/>
    <w:uiPriority w:val="0"/>
    <w:pPr>
      <w:widowControl/>
      <w:pBdr>
        <w:bottom w:val="single" w:color="000000" w:sz="6" w:space="1"/>
      </w:pBdr>
      <w:snapToGrid w:val="0"/>
      <w:spacing w:before="100" w:beforeAutospacing="1" w:after="100" w:afterAutospacing="1"/>
      <w:jc w:val="center"/>
    </w:pPr>
    <w:rPr>
      <w:rFonts w:eastAsia="宋体" w:cs="黑体"/>
      <w:spacing w:val="-2"/>
      <w:kern w:val="0"/>
      <w:sz w:val="18"/>
      <w:szCs w:val="18"/>
    </w:rPr>
  </w:style>
  <w:style w:type="paragraph" w:customStyle="1" w:styleId="3916">
    <w:name w:val="样式 标题 3 + 华文中宋 小三 段前: 6 磅 段后: 6 磅 行距: 多倍行距 1.4 字行"/>
    <w:basedOn w:val="6"/>
    <w:qFormat/>
    <w:uiPriority w:val="0"/>
    <w:pPr>
      <w:keepLines w:val="0"/>
      <w:tabs>
        <w:tab w:val="left" w:pos="42"/>
        <w:tab w:val="left" w:pos="720"/>
        <w:tab w:val="left" w:pos="861"/>
        <w:tab w:val="left" w:pos="1022"/>
        <w:tab w:val="left" w:pos="1080"/>
        <w:tab w:val="clear" w:pos="1789"/>
      </w:tabs>
      <w:spacing w:before="0" w:beforeLines="50" w:after="0" w:line="360" w:lineRule="auto"/>
      <w:ind w:left="694" w:hanging="720"/>
      <w:jc w:val="left"/>
    </w:pPr>
    <w:rPr>
      <w:rFonts w:hint="eastAsia" w:ascii="华文中宋" w:hAnsi="Arial Unicode MS" w:eastAsia="华文中宋" w:cs="Arial"/>
      <w:bCs w:val="0"/>
      <w:i/>
      <w:iCs/>
      <w:color w:val="000000"/>
      <w:spacing w:val="-2"/>
      <w:szCs w:val="30"/>
    </w:rPr>
  </w:style>
  <w:style w:type="paragraph" w:customStyle="1" w:styleId="3917">
    <w:name w:val="小3黑顶"/>
    <w:basedOn w:val="4"/>
    <w:qFormat/>
    <w:uiPriority w:val="0"/>
    <w:pPr>
      <w:tabs>
        <w:tab w:val="left" w:pos="1476"/>
        <w:tab w:val="clear" w:pos="567"/>
      </w:tabs>
      <w:spacing w:before="360" w:after="240" w:line="360" w:lineRule="auto"/>
      <w:ind w:left="840" w:hanging="420"/>
    </w:pPr>
    <w:rPr>
      <w:rFonts w:hAnsi="宋体" w:eastAsia="仿宋_GB2312" w:cs="宋体"/>
      <w:b/>
      <w:color w:val="000000"/>
      <w:spacing w:val="-2"/>
      <w:sz w:val="30"/>
      <w:szCs w:val="30"/>
    </w:rPr>
  </w:style>
  <w:style w:type="paragraph" w:customStyle="1" w:styleId="3918">
    <w:name w:val="封面文字1"/>
    <w:basedOn w:val="1"/>
    <w:qFormat/>
    <w:uiPriority w:val="0"/>
    <w:pPr>
      <w:spacing w:line="300" w:lineRule="auto"/>
      <w:jc w:val="center"/>
    </w:pPr>
    <w:rPr>
      <w:rFonts w:ascii="宋体" w:eastAsia="宋体" w:cs="黑体"/>
      <w:b/>
      <w:spacing w:val="-2"/>
      <w:kern w:val="0"/>
      <w:sz w:val="44"/>
    </w:rPr>
  </w:style>
  <w:style w:type="paragraph" w:customStyle="1" w:styleId="3919">
    <w:name w:val="19"/>
    <w:basedOn w:val="1"/>
    <w:qFormat/>
    <w:uiPriority w:val="0"/>
    <w:pPr>
      <w:widowControl/>
      <w:snapToGrid w:val="0"/>
      <w:spacing w:before="100" w:beforeAutospacing="1" w:after="100" w:afterAutospacing="1" w:line="300" w:lineRule="auto"/>
      <w:ind w:firstLine="482"/>
    </w:pPr>
    <w:rPr>
      <w:rFonts w:eastAsia="宋体" w:cs="黑体"/>
      <w:spacing w:val="-2"/>
      <w:kern w:val="0"/>
      <w:sz w:val="24"/>
    </w:rPr>
  </w:style>
  <w:style w:type="paragraph" w:customStyle="1" w:styleId="3920">
    <w:name w:val="样式35"/>
    <w:basedOn w:val="2773"/>
    <w:qFormat/>
    <w:uiPriority w:val="0"/>
    <w:pPr>
      <w:keepNext/>
      <w:keepLines/>
      <w:tabs>
        <w:tab w:val="left" w:pos="284"/>
        <w:tab w:val="left" w:pos="1131"/>
      </w:tabs>
      <w:spacing w:beforeLines="50" w:line="360" w:lineRule="auto"/>
      <w:ind w:left="113" w:hanging="113"/>
      <w:outlineLvl w:val="3"/>
    </w:pPr>
    <w:rPr>
      <w:rFonts w:cs="宋体"/>
      <w:bCs/>
      <w:color w:val="000000"/>
      <w:spacing w:val="0"/>
      <w:sz w:val="24"/>
      <w:szCs w:val="24"/>
    </w:rPr>
  </w:style>
  <w:style w:type="paragraph" w:customStyle="1" w:styleId="3921">
    <w:name w:val="表标题2"/>
    <w:basedOn w:val="1"/>
    <w:next w:val="1"/>
    <w:qFormat/>
    <w:uiPriority w:val="0"/>
    <w:pPr>
      <w:spacing w:before="120" w:after="120" w:line="300" w:lineRule="auto"/>
      <w:jc w:val="center"/>
    </w:pPr>
    <w:rPr>
      <w:rFonts w:eastAsia="宋体" w:cs="黑体"/>
      <w:spacing w:val="-2"/>
      <w:kern w:val="0"/>
    </w:rPr>
  </w:style>
  <w:style w:type="paragraph" w:customStyle="1" w:styleId="3922">
    <w:name w:val="样式 样式 普通文字 + (西文) Times New Roman (中文) 仿宋_GB2312 四号 首行缩进:  2 字符....1"/>
    <w:basedOn w:val="1"/>
    <w:qFormat/>
    <w:uiPriority w:val="0"/>
    <w:pPr>
      <w:spacing w:line="400" w:lineRule="exact"/>
      <w:ind w:firstLine="200" w:firstLineChars="200"/>
    </w:pPr>
    <w:rPr>
      <w:rFonts w:eastAsia="宋体" w:cs="黑体"/>
      <w:spacing w:val="-2"/>
      <w:kern w:val="0"/>
      <w:sz w:val="24"/>
    </w:rPr>
  </w:style>
  <w:style w:type="paragraph" w:customStyle="1" w:styleId="3923">
    <w:name w:val="图标"/>
    <w:basedOn w:val="1"/>
    <w:qFormat/>
    <w:uiPriority w:val="0"/>
    <w:pPr>
      <w:tabs>
        <w:tab w:val="left" w:pos="1920"/>
      </w:tabs>
      <w:spacing w:line="400" w:lineRule="atLeast"/>
      <w:jc w:val="center"/>
    </w:pPr>
    <w:rPr>
      <w:rFonts w:eastAsia="宋体" w:cs="黑体"/>
      <w:bCs/>
      <w:color w:val="000000"/>
      <w:spacing w:val="-2"/>
      <w:kern w:val="0"/>
      <w:sz w:val="24"/>
      <w:szCs w:val="21"/>
    </w:rPr>
  </w:style>
  <w:style w:type="paragraph" w:customStyle="1" w:styleId="3924">
    <w:name w:val="目录 71"/>
    <w:basedOn w:val="14"/>
    <w:qFormat/>
    <w:uiPriority w:val="0"/>
    <w:pPr>
      <w:ind w:left="567" w:firstLine="425"/>
    </w:pPr>
    <w:rPr>
      <w:rFonts w:eastAsia="宋体" w:cs="黑体"/>
      <w:spacing w:val="-2"/>
      <w:kern w:val="0"/>
      <w:sz w:val="18"/>
      <w:szCs w:val="20"/>
    </w:rPr>
  </w:style>
  <w:style w:type="paragraph" w:customStyle="1" w:styleId="3925">
    <w:name w:val="表文5号"/>
    <w:basedOn w:val="1"/>
    <w:qFormat/>
    <w:uiPriority w:val="0"/>
    <w:pPr>
      <w:snapToGrid w:val="0"/>
      <w:jc w:val="center"/>
    </w:pPr>
    <w:rPr>
      <w:rFonts w:eastAsia="宋体" w:cs="黑体"/>
      <w:spacing w:val="-2"/>
      <w:kern w:val="0"/>
      <w:sz w:val="24"/>
      <w:szCs w:val="21"/>
    </w:rPr>
  </w:style>
  <w:style w:type="paragraph" w:customStyle="1" w:styleId="3926">
    <w:name w:val="remark-banner1"/>
    <w:basedOn w:val="1"/>
    <w:qFormat/>
    <w:uiPriority w:val="0"/>
    <w:pPr>
      <w:widowControl/>
      <w:shd w:val="clear" w:color="auto" w:fill="E3F1FC"/>
      <w:spacing w:before="30" w:after="100" w:afterAutospacing="1" w:line="450" w:lineRule="atLeast"/>
      <w:jc w:val="center"/>
    </w:pPr>
    <w:rPr>
      <w:rFonts w:ascii="宋体" w:hAnsi="Calibri" w:eastAsia="宋体" w:cs="宋体"/>
      <w:spacing w:val="-2"/>
      <w:kern w:val="0"/>
      <w:sz w:val="24"/>
      <w:szCs w:val="21"/>
    </w:rPr>
  </w:style>
  <w:style w:type="paragraph" w:customStyle="1" w:styleId="3927">
    <w:name w:val="发文文号"/>
    <w:basedOn w:val="1"/>
    <w:qFormat/>
    <w:uiPriority w:val="0"/>
    <w:rPr>
      <w:rFonts w:cs="黑体"/>
      <w:spacing w:val="-2"/>
      <w:kern w:val="0"/>
      <w:sz w:val="32"/>
    </w:rPr>
  </w:style>
  <w:style w:type="paragraph" w:customStyle="1" w:styleId="3928">
    <w:name w:val="样式 正文文本编号bt正文文字正文文字1正文文本 Char正文文字 Char Char一级标题封面文字正文文本..."/>
    <w:basedOn w:val="34"/>
    <w:qFormat/>
    <w:uiPriority w:val="0"/>
    <w:pPr>
      <w:spacing w:after="0"/>
      <w:ind w:firstLine="200" w:firstLineChars="200"/>
      <w:jc w:val="center"/>
    </w:pPr>
    <w:rPr>
      <w:rFonts w:ascii="宋体" w:hAnsi="Calibri" w:eastAsia="宋体" w:cs="宋体"/>
      <w:b/>
      <w:bCs/>
      <w:i/>
      <w:iCs/>
      <w:color w:val="000000"/>
      <w:sz w:val="18"/>
      <w:szCs w:val="24"/>
    </w:rPr>
  </w:style>
  <w:style w:type="paragraph" w:customStyle="1" w:styleId="3929">
    <w:name w:val="自定表头"/>
    <w:basedOn w:val="8"/>
    <w:qFormat/>
    <w:uiPriority w:val="0"/>
    <w:pPr>
      <w:adjustRightInd w:val="0"/>
      <w:spacing w:before="0" w:after="0" w:line="360" w:lineRule="auto"/>
      <w:ind w:left="0" w:firstLine="0"/>
      <w:jc w:val="left"/>
    </w:pPr>
    <w:rPr>
      <w:rFonts w:hint="eastAsia" w:ascii="宋体" w:hAnsi="宋体" w:eastAsia="宋体" w:cs="宋体"/>
      <w:b w:val="0"/>
      <w:bCs w:val="0"/>
      <w:spacing w:val="-2"/>
      <w:sz w:val="24"/>
      <w:szCs w:val="20"/>
    </w:rPr>
  </w:style>
  <w:style w:type="paragraph" w:customStyle="1" w:styleId="3930">
    <w:name w:val="样式 小四 行距: 1.5 倍行距2"/>
    <w:basedOn w:val="1"/>
    <w:qFormat/>
    <w:uiPriority w:val="0"/>
    <w:pPr>
      <w:spacing w:line="360" w:lineRule="auto"/>
      <w:ind w:firstLine="480" w:firstLineChars="200"/>
    </w:pPr>
    <w:rPr>
      <w:rFonts w:eastAsia="宋体" w:cs="宋体"/>
      <w:spacing w:val="-2"/>
      <w:kern w:val="0"/>
      <w:sz w:val="24"/>
    </w:rPr>
  </w:style>
  <w:style w:type="paragraph" w:customStyle="1" w:styleId="3931">
    <w:name w:val="tangram_sug_ml"/>
    <w:basedOn w:val="1"/>
    <w:qFormat/>
    <w:uiPriority w:val="0"/>
    <w:pPr>
      <w:widowControl/>
      <w:shd w:val="clear" w:color="auto" w:fill="FFFFFF"/>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932">
    <w:name w:val="纯文本11"/>
    <w:basedOn w:val="1"/>
    <w:qFormat/>
    <w:uiPriority w:val="0"/>
    <w:pPr>
      <w:adjustRightInd w:val="0"/>
      <w:snapToGrid w:val="0"/>
    </w:pPr>
    <w:rPr>
      <w:rFonts w:ascii="宋体" w:hAnsi="Courier New" w:eastAsia="宋体" w:cs="黑体"/>
      <w:spacing w:val="-2"/>
      <w:kern w:val="0"/>
    </w:rPr>
  </w:style>
  <w:style w:type="paragraph" w:customStyle="1" w:styleId="3933">
    <w:name w:val="普通(网站)13"/>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934">
    <w:name w:val="样式 首行缩进:  0.85 厘米 行距: 1.5 倍行距"/>
    <w:basedOn w:val="1"/>
    <w:qFormat/>
    <w:uiPriority w:val="0"/>
    <w:pPr>
      <w:tabs>
        <w:tab w:val="left" w:pos="840"/>
      </w:tabs>
      <w:ind w:left="840" w:hanging="420"/>
    </w:pPr>
    <w:rPr>
      <w:rFonts w:eastAsia="宋体" w:cs="宋体"/>
      <w:spacing w:val="-2"/>
      <w:kern w:val="0"/>
      <w:sz w:val="24"/>
    </w:rPr>
  </w:style>
  <w:style w:type="paragraph" w:customStyle="1" w:styleId="3935">
    <w:name w:val="usercard-inf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36">
    <w:name w:val="检索11"/>
    <w:basedOn w:val="3203"/>
    <w:qFormat/>
    <w:uiPriority w:val="0"/>
    <w:pPr>
      <w:ind w:left="3005"/>
    </w:pPr>
  </w:style>
  <w:style w:type="paragraph" w:customStyle="1" w:styleId="3937">
    <w:name w:val="杜4"/>
    <w:basedOn w:val="34"/>
    <w:next w:val="34"/>
    <w:qFormat/>
    <w:uiPriority w:val="0"/>
    <w:pPr>
      <w:spacing w:line="440" w:lineRule="exact"/>
      <w:ind w:firstLine="556"/>
      <w:jc w:val="left"/>
    </w:pPr>
    <w:rPr>
      <w:rFonts w:ascii="宋体" w:hAnsi="宋体" w:cs="宋体"/>
      <w:i/>
      <w:iCs/>
      <w:color w:val="000000"/>
      <w:sz w:val="24"/>
      <w:szCs w:val="24"/>
    </w:rPr>
  </w:style>
  <w:style w:type="paragraph" w:customStyle="1" w:styleId="3938">
    <w:name w:val="标题11"/>
    <w:basedOn w:val="3"/>
    <w:qFormat/>
    <w:uiPriority w:val="0"/>
    <w:pPr>
      <w:pageBreakBefore w:val="0"/>
      <w:widowControl/>
      <w:tabs>
        <w:tab w:val="clear" w:pos="1080"/>
      </w:tabs>
      <w:spacing w:before="0" w:beforeLines="50" w:after="0" w:line="360" w:lineRule="auto"/>
      <w:ind w:left="0" w:firstLine="0"/>
      <w:jc w:val="left"/>
    </w:pPr>
    <w:rPr>
      <w:rFonts w:ascii="黑体" w:hAnsi="宋体" w:eastAsia="黑体" w:cs="宋体"/>
      <w:bCs/>
      <w:spacing w:val="-2"/>
      <w:sz w:val="30"/>
      <w:szCs w:val="30"/>
    </w:rPr>
  </w:style>
  <w:style w:type="paragraph" w:customStyle="1" w:styleId="3939">
    <w:name w:val="样式 样式 标题 2章宋三一、标题 1.1Title 22 headlinehheadlineS&amp;R2ERMH2...1 + 段...1"/>
    <w:basedOn w:val="3262"/>
    <w:qFormat/>
    <w:uiPriority w:val="0"/>
    <w:pPr>
      <w:spacing w:beforeLines="0"/>
    </w:pPr>
    <w:rPr>
      <w:szCs w:val="20"/>
    </w:rPr>
  </w:style>
  <w:style w:type="paragraph" w:customStyle="1" w:styleId="3940">
    <w:name w:val="样式66"/>
    <w:basedOn w:val="1"/>
    <w:qFormat/>
    <w:uiPriority w:val="0"/>
    <w:pPr>
      <w:spacing w:line="360" w:lineRule="auto"/>
      <w:ind w:firstLine="480"/>
    </w:pPr>
    <w:rPr>
      <w:rFonts w:eastAsia="宋体" w:cs="黑体"/>
      <w:spacing w:val="-2"/>
      <w:kern w:val="0"/>
      <w:sz w:val="24"/>
    </w:rPr>
  </w:style>
  <w:style w:type="paragraph" w:customStyle="1" w:styleId="3941">
    <w:name w:val="body"/>
    <w:basedOn w:val="1"/>
    <w:qFormat/>
    <w:uiPriority w:val="0"/>
    <w:pPr>
      <w:spacing w:line="360" w:lineRule="auto"/>
      <w:ind w:firstLine="480" w:firstLineChars="200"/>
    </w:pPr>
    <w:rPr>
      <w:rFonts w:ascii="宋体" w:cs="黑体"/>
      <w:bCs/>
      <w:spacing w:val="-2"/>
      <w:kern w:val="0"/>
      <w:sz w:val="24"/>
    </w:rPr>
  </w:style>
  <w:style w:type="paragraph" w:customStyle="1" w:styleId="3942">
    <w:name w:val="more_right1"/>
    <w:basedOn w:val="1"/>
    <w:qFormat/>
    <w:uiPriority w:val="0"/>
    <w:pPr>
      <w:widowControl/>
      <w:spacing w:before="100" w:beforeAutospacing="1" w:after="100" w:afterAutospacing="1" w:line="270" w:lineRule="atLeast"/>
      <w:jc w:val="left"/>
    </w:pPr>
    <w:rPr>
      <w:rFonts w:ascii="宋体" w:hAnsi="Calibri" w:eastAsia="宋体" w:cs="宋体"/>
      <w:spacing w:val="-2"/>
      <w:kern w:val="0"/>
      <w:sz w:val="24"/>
      <w:szCs w:val="21"/>
    </w:rPr>
  </w:style>
  <w:style w:type="paragraph" w:customStyle="1" w:styleId="3943">
    <w:name w:val="环评标题2"/>
    <w:basedOn w:val="3"/>
    <w:qFormat/>
    <w:uiPriority w:val="0"/>
    <w:pPr>
      <w:pageBreakBefore w:val="0"/>
      <w:tabs>
        <w:tab w:val="clear" w:pos="1080"/>
      </w:tabs>
      <w:spacing w:before="120" w:after="156" w:line="240" w:lineRule="auto"/>
      <w:ind w:left="0" w:firstLine="0"/>
      <w:jc w:val="left"/>
    </w:pPr>
    <w:rPr>
      <w:rFonts w:ascii="宋体" w:hAnsi="宋体" w:eastAsia="黑体" w:cs="宋体"/>
      <w:b w:val="0"/>
      <w:color w:val="000000"/>
      <w:spacing w:val="-2"/>
      <w:sz w:val="30"/>
    </w:rPr>
  </w:style>
  <w:style w:type="paragraph" w:customStyle="1" w:styleId="3944">
    <w:name w:val="字元 字元 Char Char 字元 字元12"/>
    <w:basedOn w:val="1"/>
    <w:qFormat/>
    <w:uiPriority w:val="0"/>
    <w:rPr>
      <w:rFonts w:eastAsia="宋体" w:cs="黑体"/>
      <w:spacing w:val="-2"/>
      <w:kern w:val="0"/>
      <w:sz w:val="24"/>
    </w:rPr>
  </w:style>
  <w:style w:type="paragraph" w:customStyle="1" w:styleId="3945">
    <w:name w:val="fh"/>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946">
    <w:name w:val="可研-章标题"/>
    <w:basedOn w:val="1"/>
    <w:next w:val="3947"/>
    <w:qFormat/>
    <w:uiPriority w:val="0"/>
    <w:pPr>
      <w:pageBreakBefore/>
      <w:spacing w:before="500" w:after="300"/>
      <w:jc w:val="left"/>
      <w:outlineLvl w:val="0"/>
    </w:pPr>
    <w:rPr>
      <w:rFonts w:ascii="黑体" w:eastAsia="黑体" w:cs="黑体"/>
      <w:spacing w:val="-2"/>
      <w:kern w:val="32"/>
      <w:sz w:val="32"/>
      <w:szCs w:val="44"/>
    </w:rPr>
  </w:style>
  <w:style w:type="paragraph" w:customStyle="1" w:styleId="3947">
    <w:name w:val="可研-节标题"/>
    <w:next w:val="1"/>
    <w:qFormat/>
    <w:uiPriority w:val="0"/>
    <w:pPr>
      <w:spacing w:line="520" w:lineRule="exact"/>
      <w:outlineLvl w:val="1"/>
    </w:pPr>
    <w:rPr>
      <w:rFonts w:ascii="宋体" w:hAnsi="Times New Roman" w:eastAsia="宋体" w:cs="Times New Roman"/>
      <w:b/>
      <w:sz w:val="28"/>
      <w:lang w:val="en-US" w:eastAsia="zh-CN" w:bidi="ar-SA"/>
    </w:rPr>
  </w:style>
  <w:style w:type="paragraph" w:customStyle="1" w:styleId="3948">
    <w:name w:val="temp1"/>
    <w:basedOn w:val="1"/>
    <w:qFormat/>
    <w:uiPriority w:val="0"/>
    <w:pPr>
      <w:widowControl/>
      <w:pBdr>
        <w:bottom w:val="dashed" w:color="DDDDDD" w:sz="6" w:space="0"/>
      </w:pBdr>
      <w:spacing w:after="150" w:line="450" w:lineRule="atLeast"/>
      <w:ind w:left="60" w:right="60"/>
      <w:jc w:val="left"/>
    </w:pPr>
    <w:rPr>
      <w:rFonts w:ascii="宋体" w:hAnsi="Calibri" w:eastAsia="宋体" w:cs="宋体"/>
      <w:b/>
      <w:bCs/>
      <w:spacing w:val="-2"/>
      <w:kern w:val="0"/>
      <w:sz w:val="24"/>
      <w:szCs w:val="21"/>
    </w:rPr>
  </w:style>
  <w:style w:type="paragraph" w:customStyle="1" w:styleId="3949">
    <w:name w:val="样式 (符号) Bookman Old Style 小四 行距: 1.5 倍行距"/>
    <w:basedOn w:val="1"/>
    <w:qFormat/>
    <w:uiPriority w:val="0"/>
    <w:rPr>
      <w:rFonts w:eastAsia="宋体" w:cs="黑体"/>
      <w:spacing w:val="-2"/>
      <w:kern w:val="0"/>
      <w:sz w:val="24"/>
    </w:rPr>
  </w:style>
  <w:style w:type="paragraph" w:customStyle="1" w:styleId="3950">
    <w:name w:val="标题 35"/>
    <w:basedOn w:val="1"/>
    <w:qFormat/>
    <w:uiPriority w:val="0"/>
    <w:rPr>
      <w:rFonts w:eastAsia="宋体" w:cs="黑体"/>
      <w:spacing w:val="-2"/>
      <w:kern w:val="0"/>
      <w:sz w:val="24"/>
    </w:rPr>
  </w:style>
  <w:style w:type="paragraph" w:customStyle="1" w:styleId="3951">
    <w:name w:val="pexplain"/>
    <w:basedOn w:val="1"/>
    <w:qFormat/>
    <w:uiPriority w:val="0"/>
    <w:pPr>
      <w:widowControl/>
      <w:spacing w:before="45" w:after="100" w:afterAutospacing="1"/>
      <w:ind w:left="300"/>
      <w:jc w:val="left"/>
    </w:pPr>
    <w:rPr>
      <w:rFonts w:ascii="宋体" w:hAnsi="Calibri" w:eastAsia="宋体" w:cs="宋体"/>
      <w:spacing w:val="-2"/>
      <w:kern w:val="0"/>
      <w:sz w:val="24"/>
      <w:szCs w:val="21"/>
    </w:rPr>
  </w:style>
  <w:style w:type="paragraph" w:customStyle="1" w:styleId="3952">
    <w:name w:val="z-窗体底端11"/>
    <w:basedOn w:val="1"/>
    <w:next w:val="1"/>
    <w:qFormat/>
    <w:uiPriority w:val="0"/>
    <w:pPr>
      <w:widowControl/>
      <w:pBdr>
        <w:top w:val="single" w:color="auto" w:sz="6" w:space="1"/>
      </w:pBdr>
      <w:jc w:val="center"/>
    </w:pPr>
    <w:rPr>
      <w:rFonts w:ascii="Arial" w:hAnsi="Arial" w:eastAsia="宋体" w:cs="Arial"/>
      <w:vanish/>
      <w:spacing w:val="-2"/>
      <w:kern w:val="0"/>
      <w:sz w:val="16"/>
      <w:szCs w:val="16"/>
    </w:rPr>
  </w:style>
  <w:style w:type="paragraph" w:customStyle="1" w:styleId="3953">
    <w:name w:val="样式 样式 宋体 四号 行距: 固定值 25 磅1 + 首行缩进:  2 字符"/>
    <w:basedOn w:val="1"/>
    <w:qFormat/>
    <w:uiPriority w:val="0"/>
    <w:pPr>
      <w:spacing w:beforeLines="50" w:line="360" w:lineRule="auto"/>
      <w:ind w:firstLine="464" w:firstLineChars="200"/>
    </w:pPr>
    <w:rPr>
      <w:rFonts w:hAnsi="宋体" w:eastAsia="宋体" w:cs="黑体"/>
      <w:spacing w:val="-4"/>
      <w:kern w:val="0"/>
      <w:sz w:val="24"/>
    </w:rPr>
  </w:style>
  <w:style w:type="paragraph" w:customStyle="1" w:styleId="3954">
    <w:name w:val="Char2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955">
    <w:name w:val="样式 标题 2 + 左侧:  0 厘米 悬挂缩进: 5.76 字符 段前: 6 磅 段后: 6 磅 行距: 固定值 20..."/>
    <w:basedOn w:val="4"/>
    <w:qFormat/>
    <w:uiPriority w:val="0"/>
    <w:pPr>
      <w:keepLines w:val="0"/>
      <w:tabs>
        <w:tab w:val="left" w:pos="1476"/>
        <w:tab w:val="clear" w:pos="567"/>
      </w:tabs>
      <w:adjustRightInd w:val="0"/>
      <w:snapToGrid w:val="0"/>
      <w:spacing w:before="0" w:beforeLines="50" w:after="0" w:line="400" w:lineRule="exact"/>
      <w:ind w:left="576" w:hanging="576"/>
    </w:pPr>
    <w:rPr>
      <w:rFonts w:ascii="Arial" w:cs="宋体"/>
      <w:bCs/>
      <w:spacing w:val="-2"/>
      <w:sz w:val="32"/>
    </w:rPr>
  </w:style>
  <w:style w:type="paragraph" w:customStyle="1" w:styleId="3956">
    <w:name w:val="ALT+Z"/>
    <w:basedOn w:val="1"/>
    <w:qFormat/>
    <w:uiPriority w:val="0"/>
    <w:pPr>
      <w:spacing w:line="500" w:lineRule="exact"/>
      <w:ind w:firstLine="200" w:firstLineChars="200"/>
    </w:pPr>
    <w:rPr>
      <w:rFonts w:eastAsia="宋体" w:cs="黑体"/>
      <w:spacing w:val="-2"/>
      <w:kern w:val="0"/>
      <w:sz w:val="24"/>
    </w:rPr>
  </w:style>
  <w:style w:type="paragraph" w:customStyle="1" w:styleId="3957">
    <w:name w:val="mstheme-label"/>
    <w:basedOn w:val="1"/>
    <w:qFormat/>
    <w:uiPriority w:val="0"/>
    <w:pPr>
      <w:spacing w:before="100" w:beforeAutospacing="1" w:after="100" w:afterAutospacing="1"/>
    </w:pPr>
    <w:rPr>
      <w:rFonts w:eastAsia="宋体" w:cs="黑体"/>
      <w:color w:val="000000"/>
      <w:spacing w:val="-2"/>
      <w:kern w:val="0"/>
      <w:sz w:val="16"/>
      <w:szCs w:val="16"/>
    </w:rPr>
  </w:style>
  <w:style w:type="paragraph" w:customStyle="1" w:styleId="3958">
    <w:name w:val="居中"/>
    <w:basedOn w:val="1"/>
    <w:qFormat/>
    <w:uiPriority w:val="0"/>
    <w:pPr>
      <w:widowControl/>
      <w:jc w:val="center"/>
    </w:pPr>
    <w:rPr>
      <w:rFonts w:ascii="宋体" w:hAnsi="宋体" w:eastAsia="宋体" w:cs="宋体"/>
      <w:spacing w:val="-2"/>
      <w:kern w:val="0"/>
      <w:sz w:val="24"/>
    </w:rPr>
  </w:style>
  <w:style w:type="paragraph" w:customStyle="1" w:styleId="3959">
    <w:name w:val="表格用字 Char1"/>
    <w:basedOn w:val="77"/>
    <w:qFormat/>
    <w:uiPriority w:val="0"/>
    <w:pPr>
      <w:spacing w:after="120" w:line="0" w:lineRule="atLeast"/>
      <w:jc w:val="both"/>
    </w:pPr>
    <w:rPr>
      <w:rFonts w:hint="eastAsia" w:ascii="宋体" w:hAnsi="宋体" w:eastAsia="仿宋_GB2312" w:cs="宋体"/>
      <w:sz w:val="24"/>
      <w:szCs w:val="22"/>
    </w:rPr>
  </w:style>
  <w:style w:type="paragraph" w:customStyle="1" w:styleId="3960">
    <w:name w:val="样式 标题 2 + 四号 非加粗"/>
    <w:basedOn w:val="4"/>
    <w:qFormat/>
    <w:uiPriority w:val="0"/>
    <w:pPr>
      <w:keepLines w:val="0"/>
      <w:tabs>
        <w:tab w:val="left" w:pos="1476"/>
        <w:tab w:val="clear" w:pos="567"/>
      </w:tabs>
      <w:adjustRightInd w:val="0"/>
      <w:snapToGrid w:val="0"/>
      <w:spacing w:before="0" w:beforeLines="50" w:after="0" w:line="408" w:lineRule="auto"/>
      <w:ind w:left="0" w:firstLine="0"/>
    </w:pPr>
    <w:rPr>
      <w:rFonts w:ascii="Arial" w:cs="宋体"/>
      <w:bCs/>
      <w:spacing w:val="-2"/>
    </w:rPr>
  </w:style>
  <w:style w:type="paragraph" w:customStyle="1" w:styleId="3961">
    <w:name w:val="Char Char Char Char Char Char2 Char Char Char2 Char"/>
    <w:basedOn w:val="1"/>
    <w:qFormat/>
    <w:uiPriority w:val="0"/>
    <w:rPr>
      <w:rFonts w:eastAsia="宋体" w:cs="黑体"/>
      <w:spacing w:val="-2"/>
      <w:kern w:val="0"/>
      <w:sz w:val="24"/>
    </w:rPr>
  </w:style>
  <w:style w:type="paragraph" w:customStyle="1" w:styleId="3962">
    <w:name w:val="样式 宋体 小四"/>
    <w:basedOn w:val="1"/>
    <w:qFormat/>
    <w:uiPriority w:val="0"/>
    <w:pPr>
      <w:snapToGrid w:val="0"/>
      <w:spacing w:line="480" w:lineRule="exact"/>
    </w:pPr>
    <w:rPr>
      <w:rFonts w:eastAsia="宋体" w:cs="黑体"/>
      <w:spacing w:val="-2"/>
      <w:kern w:val="0"/>
      <w:sz w:val="24"/>
    </w:rPr>
  </w:style>
  <w:style w:type="paragraph" w:customStyle="1" w:styleId="3963">
    <w:name w:val="c-gray"/>
    <w:basedOn w:val="1"/>
    <w:qFormat/>
    <w:uiPriority w:val="0"/>
    <w:pPr>
      <w:widowControl/>
      <w:spacing w:before="100" w:beforeAutospacing="1" w:after="100" w:afterAutospacing="1"/>
      <w:jc w:val="left"/>
    </w:pPr>
    <w:rPr>
      <w:rFonts w:ascii="宋体" w:hAnsi="Calibri" w:eastAsia="宋体" w:cs="宋体"/>
      <w:color w:val="808080"/>
      <w:spacing w:val="-2"/>
      <w:kern w:val="0"/>
      <w:sz w:val="24"/>
      <w:szCs w:val="21"/>
    </w:rPr>
  </w:style>
  <w:style w:type="paragraph" w:customStyle="1" w:styleId="3964">
    <w:name w:val="pic"/>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65">
    <w:name w:val="批注框文本12"/>
    <w:basedOn w:val="1"/>
    <w:qFormat/>
    <w:uiPriority w:val="0"/>
    <w:rPr>
      <w:rFonts w:eastAsia="宋体" w:cs="黑体"/>
      <w:spacing w:val="-2"/>
      <w:kern w:val="0"/>
      <w:sz w:val="18"/>
      <w:szCs w:val="18"/>
    </w:rPr>
  </w:style>
  <w:style w:type="paragraph" w:customStyle="1" w:styleId="3966">
    <w:name w:val="日期12"/>
    <w:basedOn w:val="1"/>
    <w:next w:val="1"/>
    <w:qFormat/>
    <w:uiPriority w:val="0"/>
    <w:pPr>
      <w:autoSpaceDE w:val="0"/>
      <w:autoSpaceDN w:val="0"/>
      <w:adjustRightInd w:val="0"/>
    </w:pPr>
    <w:rPr>
      <w:rFonts w:eastAsia="宋体" w:cs="黑体"/>
      <w:spacing w:val="5"/>
      <w:kern w:val="0"/>
      <w:sz w:val="24"/>
    </w:rPr>
  </w:style>
  <w:style w:type="paragraph" w:customStyle="1" w:styleId="3967">
    <w:name w:val="contri-im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68">
    <w:name w:val="样式 正文首行缩进 + 首行缩进:  2 字符1"/>
    <w:basedOn w:val="41"/>
    <w:qFormat/>
    <w:uiPriority w:val="0"/>
    <w:pPr>
      <w:spacing w:after="0" w:line="360" w:lineRule="auto"/>
      <w:ind w:firstLine="480" w:firstLineChars="200"/>
    </w:pPr>
    <w:rPr>
      <w:rFonts w:hint="eastAsia" w:ascii="宋体" w:hAnsi="宋体" w:eastAsia="宋体" w:cs="宋体"/>
      <w:sz w:val="24"/>
      <w:szCs w:val="24"/>
    </w:rPr>
  </w:style>
  <w:style w:type="paragraph" w:customStyle="1" w:styleId="3969">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80"/>
      <w:spacing w:val="-2"/>
      <w:kern w:val="0"/>
      <w:sz w:val="24"/>
    </w:rPr>
  </w:style>
  <w:style w:type="paragraph" w:customStyle="1" w:styleId="3970">
    <w:name w:val="自正文1 Char Char"/>
    <w:basedOn w:val="1"/>
    <w:qFormat/>
    <w:uiPriority w:val="0"/>
    <w:pPr>
      <w:tabs>
        <w:tab w:val="left" w:pos="0"/>
      </w:tabs>
      <w:adjustRightInd w:val="0"/>
      <w:snapToGrid w:val="0"/>
      <w:spacing w:line="400" w:lineRule="exact"/>
      <w:ind w:firstLine="200" w:firstLineChars="200"/>
    </w:pPr>
    <w:rPr>
      <w:rFonts w:ascii="宋体" w:hAnsi="Calibri" w:eastAsia="宋体" w:cs="黑体"/>
      <w:spacing w:val="-2"/>
      <w:kern w:val="24"/>
      <w:sz w:val="24"/>
    </w:rPr>
  </w:style>
  <w:style w:type="paragraph" w:customStyle="1" w:styleId="3971">
    <w:name w:val="环评标题2.."/>
    <w:basedOn w:val="3"/>
    <w:next w:val="1"/>
    <w:qFormat/>
    <w:uiPriority w:val="0"/>
    <w:pPr>
      <w:pageBreakBefore w:val="0"/>
      <w:tabs>
        <w:tab w:val="clear" w:pos="1080"/>
      </w:tabs>
      <w:spacing w:before="156" w:after="156" w:line="240" w:lineRule="auto"/>
      <w:ind w:left="0" w:firstLine="0"/>
      <w:jc w:val="left"/>
    </w:pPr>
    <w:rPr>
      <w:rFonts w:ascii="宋体" w:hAnsi="宋体" w:eastAsia="黑体" w:cs="宋体"/>
      <w:b w:val="0"/>
      <w:spacing w:val="-2"/>
      <w:sz w:val="28"/>
    </w:rPr>
  </w:style>
  <w:style w:type="paragraph" w:customStyle="1" w:styleId="3972">
    <w:name w:val="holde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73">
    <w:name w:val="样式 标题 1Head 1wsah1 + 三号 黑色 段前: 12 磅 段后: 12 磅 行距: 1.5 倍行距"/>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974">
    <w:name w:val="mb101"/>
    <w:basedOn w:val="1"/>
    <w:qFormat/>
    <w:uiPriority w:val="0"/>
    <w:pPr>
      <w:widowControl/>
      <w:spacing w:before="100" w:beforeAutospacing="1" w:after="150"/>
      <w:jc w:val="left"/>
    </w:pPr>
    <w:rPr>
      <w:rFonts w:ascii="宋体" w:hAnsi="Calibri" w:eastAsia="宋体" w:cs="宋体"/>
      <w:spacing w:val="-2"/>
      <w:kern w:val="0"/>
      <w:sz w:val="24"/>
      <w:szCs w:val="21"/>
    </w:rPr>
  </w:style>
  <w:style w:type="paragraph" w:customStyle="1" w:styleId="3975">
    <w:name w:val="正文文本缩进 22"/>
    <w:basedOn w:val="1"/>
    <w:qFormat/>
    <w:uiPriority w:val="0"/>
    <w:pPr>
      <w:ind w:firstLine="416"/>
    </w:pPr>
    <w:rPr>
      <w:rFonts w:ascii="Calibri" w:hAnsi="Calibri" w:eastAsia="宋体" w:cs="黑体"/>
      <w:sz w:val="21"/>
      <w:szCs w:val="24"/>
    </w:rPr>
  </w:style>
  <w:style w:type="paragraph" w:customStyle="1" w:styleId="3976">
    <w:name w:val="我的标题1"/>
    <w:basedOn w:val="1"/>
    <w:qFormat/>
    <w:uiPriority w:val="0"/>
    <w:pPr>
      <w:spacing w:line="460" w:lineRule="exact"/>
      <w:ind w:firstLine="192" w:firstLineChars="192"/>
      <w:outlineLvl w:val="0"/>
    </w:pPr>
    <w:rPr>
      <w:rFonts w:ascii="黑体" w:eastAsia="黑体" w:cs="黑体"/>
      <w:spacing w:val="-2"/>
      <w:kern w:val="0"/>
      <w:sz w:val="32"/>
    </w:rPr>
  </w:style>
  <w:style w:type="paragraph" w:customStyle="1" w:styleId="3977">
    <w:name w:val="byline"/>
    <w:basedOn w:val="1"/>
    <w:qFormat/>
    <w:uiPriority w:val="0"/>
    <w:pPr>
      <w:adjustRightInd w:val="0"/>
      <w:snapToGrid w:val="0"/>
      <w:spacing w:before="100" w:beforeAutospacing="1" w:after="100" w:afterAutospacing="1" w:line="300" w:lineRule="auto"/>
    </w:pPr>
    <w:rPr>
      <w:rFonts w:ascii="Verdana" w:hAnsi="Verdana" w:eastAsia="宋体" w:cs="黑体"/>
      <w:i/>
      <w:iCs/>
      <w:color w:val="000000"/>
      <w:spacing w:val="-2"/>
      <w:kern w:val="0"/>
      <w:sz w:val="24"/>
      <w:szCs w:val="18"/>
    </w:rPr>
  </w:style>
  <w:style w:type="paragraph" w:customStyle="1" w:styleId="3978">
    <w:name w:val="Plain Text1"/>
    <w:basedOn w:val="1"/>
    <w:qFormat/>
    <w:uiPriority w:val="0"/>
    <w:pPr>
      <w:adjustRightInd w:val="0"/>
      <w:spacing w:line="360" w:lineRule="auto"/>
      <w:ind w:firstLine="465"/>
    </w:pPr>
    <w:rPr>
      <w:rFonts w:ascii="宋体" w:hAnsi="Courier New" w:eastAsia="宋体" w:cs="黑体"/>
      <w:spacing w:val="-2"/>
      <w:kern w:val="0"/>
      <w:sz w:val="24"/>
    </w:rPr>
  </w:style>
  <w:style w:type="paragraph" w:customStyle="1" w:styleId="3979">
    <w:name w:val="正文＋黑体"/>
    <w:basedOn w:val="1"/>
    <w:qFormat/>
    <w:uiPriority w:val="0"/>
    <w:pPr>
      <w:spacing w:beforeLines="50"/>
      <w:ind w:firstLine="200" w:firstLineChars="200"/>
    </w:pPr>
    <w:rPr>
      <w:rFonts w:ascii="Arial" w:hAnsi="Arial" w:eastAsia="黑体" w:cs="黑体"/>
      <w:spacing w:val="-2"/>
      <w:kern w:val="0"/>
      <w:sz w:val="24"/>
    </w:rPr>
  </w:style>
  <w:style w:type="paragraph" w:customStyle="1" w:styleId="3980">
    <w:name w:val="样式 标题 3 + 黑体 小四 非加粗 段前: 0.5 行 段后: 0 磅 行距: 多倍行距 1.73 字行"/>
    <w:basedOn w:val="6"/>
    <w:qFormat/>
    <w:uiPriority w:val="0"/>
    <w:pPr>
      <w:tabs>
        <w:tab w:val="left" w:pos="0"/>
        <w:tab w:val="left" w:pos="1022"/>
        <w:tab w:val="left" w:pos="1080"/>
        <w:tab w:val="left" w:pos="1620"/>
        <w:tab w:val="clear" w:pos="1789"/>
      </w:tabs>
      <w:snapToGrid w:val="0"/>
      <w:spacing w:after="260" w:line="408" w:lineRule="auto"/>
      <w:ind w:left="1620" w:firstLine="420"/>
    </w:pPr>
    <w:rPr>
      <w:rFonts w:hint="eastAsia" w:ascii="黑体" w:hAnsi="Arial Unicode MS" w:eastAsia="宋体" w:cs="宋体"/>
      <w:b w:val="0"/>
      <w:i/>
      <w:iCs/>
      <w:color w:val="000000"/>
      <w:spacing w:val="4"/>
      <w:sz w:val="28"/>
    </w:rPr>
  </w:style>
  <w:style w:type="paragraph" w:customStyle="1" w:styleId="3981">
    <w:name w:val="main-body1"/>
    <w:basedOn w:val="1"/>
    <w:qFormat/>
    <w:uiPriority w:val="0"/>
    <w:pPr>
      <w:widowControl/>
      <w:spacing w:after="100" w:afterAutospacing="1"/>
      <w:jc w:val="left"/>
    </w:pPr>
    <w:rPr>
      <w:rFonts w:ascii="宋体" w:hAnsi="Calibri" w:eastAsia="宋体" w:cs="宋体"/>
      <w:spacing w:val="-2"/>
      <w:kern w:val="0"/>
      <w:sz w:val="24"/>
      <w:szCs w:val="21"/>
    </w:rPr>
  </w:style>
  <w:style w:type="paragraph" w:customStyle="1" w:styleId="3982">
    <w:name w:val="t_text"/>
    <w:basedOn w:val="1"/>
    <w:qFormat/>
    <w:uiPriority w:val="0"/>
    <w:pPr>
      <w:widowControl/>
      <w:spacing w:before="100" w:after="100" w:line="300" w:lineRule="atLeast"/>
      <w:jc w:val="left"/>
    </w:pPr>
    <w:rPr>
      <w:rFonts w:ascii="宋体" w:hAnsi="Calibri" w:eastAsia="宋体" w:cs="黑体"/>
      <w:spacing w:val="-2"/>
      <w:kern w:val="0"/>
      <w:sz w:val="24"/>
    </w:rPr>
  </w:style>
  <w:style w:type="paragraph" w:customStyle="1" w:styleId="3983">
    <w:name w:val="样式 Arial 小四 行距: 1.5 倍行距"/>
    <w:basedOn w:val="1"/>
    <w:qFormat/>
    <w:uiPriority w:val="0"/>
    <w:pPr>
      <w:ind w:firstLine="200" w:firstLineChars="200"/>
    </w:pPr>
    <w:rPr>
      <w:rFonts w:eastAsia="宋体" w:cs="黑体"/>
      <w:spacing w:val="-2"/>
      <w:kern w:val="0"/>
      <w:sz w:val="24"/>
    </w:rPr>
  </w:style>
  <w:style w:type="paragraph" w:customStyle="1" w:styleId="3984">
    <w:name w:val="tipmain"/>
    <w:basedOn w:val="1"/>
    <w:qFormat/>
    <w:uiPriority w:val="0"/>
    <w:pPr>
      <w:widowControl/>
      <w:pBdr>
        <w:top w:val="single" w:color="FFD4AD" w:sz="6" w:space="0"/>
        <w:left w:val="single" w:color="FFD4AD" w:sz="6" w:space="8"/>
        <w:bottom w:val="single" w:color="FFD4AD" w:sz="6" w:space="0"/>
        <w:right w:val="single" w:color="FFD4AD" w:sz="6" w:space="8"/>
      </w:pBdr>
      <w:shd w:val="clear" w:color="auto" w:fill="FFF7F0"/>
      <w:spacing w:before="100" w:beforeAutospacing="1" w:after="100" w:afterAutospacing="1" w:line="300" w:lineRule="atLeast"/>
      <w:jc w:val="left"/>
    </w:pPr>
    <w:rPr>
      <w:rFonts w:ascii="宋体" w:hAnsi="Calibri" w:eastAsia="宋体" w:cs="宋体"/>
      <w:color w:val="535353"/>
      <w:spacing w:val="-2"/>
      <w:kern w:val="0"/>
      <w:sz w:val="24"/>
      <w:szCs w:val="21"/>
    </w:rPr>
  </w:style>
  <w:style w:type="paragraph" w:customStyle="1" w:styleId="3985">
    <w:name w:val="Char Char Char Char Char Char4"/>
    <w:basedOn w:val="1"/>
    <w:qFormat/>
    <w:uiPriority w:val="0"/>
    <w:rPr>
      <w:rFonts w:eastAsia="宋体" w:cs="黑体"/>
      <w:spacing w:val="-2"/>
      <w:kern w:val="0"/>
      <w:sz w:val="24"/>
    </w:rPr>
  </w:style>
  <w:style w:type="paragraph" w:customStyle="1" w:styleId="3986">
    <w:name w:val="table-title3"/>
    <w:basedOn w:val="1"/>
    <w:qFormat/>
    <w:uiPriority w:val="0"/>
    <w:pPr>
      <w:widowControl/>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987">
    <w:name w:val="报告表  段"/>
    <w:basedOn w:val="1"/>
    <w:qFormat/>
    <w:uiPriority w:val="0"/>
    <w:pPr>
      <w:adjustRightInd w:val="0"/>
      <w:spacing w:before="93" w:after="93"/>
      <w:ind w:firstLine="505"/>
    </w:pPr>
    <w:rPr>
      <w:rFonts w:ascii="宋体" w:hAnsi="Calibri" w:eastAsia="宋体" w:cs="黑体"/>
      <w:spacing w:val="-2"/>
      <w:kern w:val="0"/>
      <w:sz w:val="24"/>
    </w:rPr>
  </w:style>
  <w:style w:type="paragraph" w:customStyle="1" w:styleId="3988">
    <w:name w:val="Char Char Char Char Char Char Char Char Char Char6"/>
    <w:basedOn w:val="1"/>
    <w:qFormat/>
    <w:uiPriority w:val="0"/>
    <w:pPr>
      <w:adjustRightInd w:val="0"/>
      <w:spacing w:line="360" w:lineRule="auto"/>
      <w:ind w:firstLine="225" w:firstLineChars="225"/>
      <w:jc w:val="left"/>
    </w:pPr>
    <w:rPr>
      <w:rFonts w:ascii="宋体" w:hAnsi="Calibri" w:eastAsia="宋体" w:cs="宋体"/>
      <w:spacing w:val="-2"/>
      <w:kern w:val="0"/>
      <w:sz w:val="24"/>
      <w:szCs w:val="21"/>
    </w:rPr>
  </w:style>
  <w:style w:type="paragraph" w:customStyle="1" w:styleId="3989">
    <w:name w:val="3 Char Char Char Char Char Char Char"/>
    <w:basedOn w:val="1"/>
    <w:qFormat/>
    <w:uiPriority w:val="0"/>
    <w:pPr>
      <w:adjustRightInd w:val="0"/>
      <w:snapToGrid w:val="0"/>
      <w:spacing w:line="400" w:lineRule="exact"/>
      <w:ind w:firstLine="200" w:firstLineChars="200"/>
    </w:pPr>
    <w:rPr>
      <w:rFonts w:eastAsia="宋体" w:cs="黑体"/>
      <w:spacing w:val="-2"/>
      <w:kern w:val="0"/>
      <w:sz w:val="24"/>
    </w:rPr>
  </w:style>
  <w:style w:type="paragraph" w:customStyle="1" w:styleId="3990">
    <w:name w:val="芳标题3（大）"/>
    <w:basedOn w:val="1"/>
    <w:qFormat/>
    <w:uiPriority w:val="0"/>
    <w:rPr>
      <w:rFonts w:ascii="Arial" w:hAnsi="Arial" w:eastAsia="黑体" w:cs="黑体"/>
      <w:spacing w:val="-2"/>
      <w:kern w:val="0"/>
    </w:rPr>
  </w:style>
  <w:style w:type="paragraph" w:customStyle="1" w:styleId="3991">
    <w:name w:val="notice"/>
    <w:basedOn w:val="1"/>
    <w:qFormat/>
    <w:uiPriority w:val="0"/>
    <w:pPr>
      <w:widowControl/>
      <w:spacing w:before="100" w:beforeAutospacing="1" w:after="100" w:afterAutospacing="1"/>
      <w:jc w:val="left"/>
    </w:pPr>
    <w:rPr>
      <w:rFonts w:ascii="宋体" w:hAnsi="Calibri" w:eastAsia="宋体" w:cs="宋体"/>
      <w:color w:val="333333"/>
      <w:spacing w:val="-2"/>
      <w:kern w:val="0"/>
      <w:sz w:val="24"/>
      <w:szCs w:val="21"/>
    </w:rPr>
  </w:style>
  <w:style w:type="paragraph" w:customStyle="1" w:styleId="3992">
    <w:name w:val="题2"/>
    <w:basedOn w:val="1"/>
    <w:qFormat/>
    <w:uiPriority w:val="0"/>
    <w:pPr>
      <w:spacing w:line="500" w:lineRule="exact"/>
      <w:jc w:val="center"/>
    </w:pPr>
    <w:rPr>
      <w:rFonts w:ascii="宋体" w:eastAsia="宋体" w:cs="黑体"/>
      <w:spacing w:val="-2"/>
      <w:kern w:val="0"/>
      <w:sz w:val="24"/>
    </w:rPr>
  </w:style>
  <w:style w:type="paragraph" w:customStyle="1" w:styleId="3993">
    <w:name w:val="样式 (西文) Times New Roman (符号) 宋体 加粗 居中 行距: 1.5 倍行距"/>
    <w:basedOn w:val="1"/>
    <w:qFormat/>
    <w:uiPriority w:val="0"/>
    <w:pPr>
      <w:spacing w:line="360" w:lineRule="auto"/>
      <w:jc w:val="center"/>
    </w:pPr>
    <w:rPr>
      <w:rFonts w:hAnsi="宋体" w:eastAsia="宋体" w:cs="宋体"/>
      <w:b/>
      <w:bCs/>
      <w:spacing w:val="-2"/>
      <w:kern w:val="0"/>
    </w:rPr>
  </w:style>
  <w:style w:type="paragraph" w:customStyle="1" w:styleId="3994">
    <w:name w:val="add1"/>
    <w:basedOn w:val="1"/>
    <w:qFormat/>
    <w:uiPriority w:val="0"/>
    <w:pPr>
      <w:widowControl/>
      <w:jc w:val="left"/>
    </w:pPr>
    <w:rPr>
      <w:rFonts w:ascii="宋体" w:hAnsi="Calibri" w:eastAsia="宋体" w:cs="宋体"/>
      <w:color w:val="3366CC"/>
      <w:spacing w:val="-2"/>
      <w:kern w:val="0"/>
      <w:sz w:val="24"/>
      <w:szCs w:val="21"/>
    </w:rPr>
  </w:style>
  <w:style w:type="paragraph" w:customStyle="1" w:styleId="3995">
    <w:name w:val="样式 标题 5 + 居中 段前: 0 磅 段后: 0 磅 行距: 1.5 倍行距"/>
    <w:basedOn w:val="8"/>
    <w:qFormat/>
    <w:uiPriority w:val="0"/>
    <w:pPr>
      <w:keepNext w:val="0"/>
      <w:keepLines w:val="0"/>
      <w:spacing w:before="0" w:after="0" w:line="500" w:lineRule="exact"/>
      <w:ind w:left="2100" w:hanging="420"/>
      <w:jc w:val="center"/>
    </w:pPr>
    <w:rPr>
      <w:rFonts w:hint="eastAsia" w:ascii="宋体" w:hAnsi="宋体" w:eastAsia="宋体" w:cs="宋体"/>
      <w:b w:val="0"/>
      <w:spacing w:val="-2"/>
      <w:sz w:val="24"/>
      <w:szCs w:val="20"/>
    </w:rPr>
  </w:style>
  <w:style w:type="paragraph" w:customStyle="1" w:styleId="3996">
    <w:name w:val="样式 标题 2节 + 隶书 小三"/>
    <w:basedOn w:val="4"/>
    <w:qFormat/>
    <w:uiPriority w:val="0"/>
    <w:pPr>
      <w:tabs>
        <w:tab w:val="left" w:pos="1476"/>
        <w:tab w:val="clear" w:pos="567"/>
      </w:tabs>
      <w:spacing w:before="100" w:beforeAutospacing="1" w:after="100" w:afterAutospacing="1" w:line="360" w:lineRule="auto"/>
      <w:ind w:left="0" w:firstLine="200"/>
      <w:jc w:val="left"/>
    </w:pPr>
    <w:rPr>
      <w:rFonts w:ascii="隶书" w:hAnsi="隶书" w:cs="宋体"/>
      <w:bCs/>
      <w:spacing w:val="-2"/>
      <w:szCs w:val="28"/>
    </w:rPr>
  </w:style>
  <w:style w:type="paragraph" w:customStyle="1" w:styleId="3997">
    <w:name w:val="样式5 Char Char Char"/>
    <w:basedOn w:val="1"/>
    <w:qFormat/>
    <w:uiPriority w:val="0"/>
    <w:pPr>
      <w:ind w:firstLine="200" w:firstLineChars="200"/>
    </w:pPr>
    <w:rPr>
      <w:rFonts w:eastAsia="宋体" w:cs="黑体"/>
      <w:spacing w:val="-2"/>
      <w:kern w:val="0"/>
      <w:sz w:val="24"/>
    </w:rPr>
  </w:style>
  <w:style w:type="paragraph" w:customStyle="1" w:styleId="3998">
    <w:name w:val="样式 标题 3H3H31H32H33H311H321H34H35H36H37H38H39H310H3..."/>
    <w:basedOn w:val="6"/>
    <w:qFormat/>
    <w:uiPriority w:val="0"/>
    <w:pPr>
      <w:tabs>
        <w:tab w:val="left" w:pos="0"/>
        <w:tab w:val="left" w:pos="900"/>
        <w:tab w:val="left" w:pos="1022"/>
        <w:tab w:val="left" w:pos="1080"/>
        <w:tab w:val="left" w:pos="1191"/>
        <w:tab w:val="clear" w:pos="1789"/>
      </w:tabs>
      <w:spacing w:before="0" w:after="0" w:line="336" w:lineRule="auto"/>
      <w:ind w:left="1190"/>
      <w:jc w:val="left"/>
    </w:pPr>
    <w:rPr>
      <w:rFonts w:hint="eastAsia" w:ascii="宋体" w:hAnsi="宋体" w:eastAsia="宋体" w:cs="宋体"/>
      <w:i/>
      <w:iCs/>
      <w:color w:val="000000"/>
      <w:spacing w:val="-2"/>
      <w:sz w:val="28"/>
    </w:rPr>
  </w:style>
  <w:style w:type="paragraph" w:customStyle="1" w:styleId="3999">
    <w:name w:val="环小四表题"/>
    <w:basedOn w:val="1"/>
    <w:qFormat/>
    <w:uiPriority w:val="0"/>
    <w:pPr>
      <w:wordWrap w:val="0"/>
      <w:jc w:val="right"/>
    </w:pPr>
    <w:rPr>
      <w:rFonts w:ascii="宋体" w:hAnsi="Calibri" w:eastAsia="宋体" w:cs="黑体"/>
      <w:b/>
      <w:spacing w:val="-2"/>
      <w:kern w:val="0"/>
      <w:sz w:val="24"/>
    </w:rPr>
  </w:style>
  <w:style w:type="paragraph" w:customStyle="1" w:styleId="4000">
    <w:name w:val="粤东核电报告正文 Char"/>
    <w:basedOn w:val="1"/>
    <w:qFormat/>
    <w:uiPriority w:val="0"/>
    <w:pPr>
      <w:spacing w:line="360" w:lineRule="auto"/>
      <w:ind w:right="210" w:firstLine="480" w:firstLineChars="200"/>
      <w:jc w:val="left"/>
    </w:pPr>
    <w:rPr>
      <w:rFonts w:ascii="宋体" w:hAnsi="宋体" w:eastAsia="宋体" w:cs="宋体"/>
      <w:b/>
      <w:sz w:val="24"/>
      <w:szCs w:val="24"/>
    </w:rPr>
  </w:style>
  <w:style w:type="paragraph" w:customStyle="1" w:styleId="4001">
    <w:name w:val="样式 标题 2标题 21标题 121 + Times New Roman 小三 非加粗 黑色 段前: 8 磅 段...1"/>
    <w:basedOn w:val="4"/>
    <w:qFormat/>
    <w:uiPriority w:val="0"/>
    <w:pPr>
      <w:tabs>
        <w:tab w:val="left" w:pos="1476"/>
        <w:tab w:val="clear" w:pos="567"/>
      </w:tabs>
      <w:spacing w:before="160" w:after="160"/>
      <w:ind w:left="2507" w:hanging="1247"/>
    </w:pPr>
    <w:rPr>
      <w:rFonts w:ascii="宋体" w:hAnsi="宋体" w:cs="宋体"/>
      <w:color w:val="000000"/>
      <w:spacing w:val="-2"/>
      <w:sz w:val="30"/>
    </w:rPr>
  </w:style>
  <w:style w:type="paragraph" w:customStyle="1" w:styleId="4002">
    <w:name w:val="正文34"/>
    <w:basedOn w:val="1"/>
    <w:qFormat/>
    <w:uiPriority w:val="0"/>
    <w:pPr>
      <w:snapToGrid w:val="0"/>
      <w:spacing w:after="120" w:line="324" w:lineRule="auto"/>
      <w:ind w:firstLine="200" w:firstLineChars="200"/>
    </w:pPr>
    <w:rPr>
      <w:rFonts w:ascii="Arial" w:hAnsi="Arial" w:eastAsia="宋体" w:cs="黑体"/>
      <w:bCs/>
      <w:spacing w:val="-2"/>
      <w:kern w:val="0"/>
      <w:sz w:val="24"/>
    </w:rPr>
  </w:style>
  <w:style w:type="paragraph" w:customStyle="1" w:styleId="4003">
    <w:name w:val="sublist-span2"/>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4004">
    <w:name w:val="usertitl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05">
    <w:name w:val="检索6"/>
    <w:basedOn w:val="3203"/>
    <w:qFormat/>
    <w:uiPriority w:val="0"/>
    <w:pPr>
      <w:ind w:left="1588"/>
    </w:pPr>
  </w:style>
  <w:style w:type="paragraph" w:customStyle="1" w:styleId="4006">
    <w:name w:val="样式 标题3 + (符号) 黑体"/>
    <w:basedOn w:val="1"/>
    <w:qFormat/>
    <w:uiPriority w:val="0"/>
    <w:pPr>
      <w:keepNext/>
      <w:keepLines/>
      <w:spacing w:before="60" w:after="60"/>
    </w:pPr>
    <w:rPr>
      <w:rFonts w:ascii="黑体" w:hAnsi="Calibri" w:eastAsia="黑体" w:cs="黑体"/>
      <w:spacing w:val="-2"/>
      <w:kern w:val="0"/>
      <w:szCs w:val="28"/>
    </w:rPr>
  </w:style>
  <w:style w:type="paragraph" w:customStyle="1" w:styleId="4007">
    <w:name w:val="样式 标题 2章宋三一、标题 1.1Title 22 headlinehheadlineS&amp;R2ERMH2..."/>
    <w:basedOn w:val="4"/>
    <w:qFormat/>
    <w:uiPriority w:val="0"/>
    <w:pPr>
      <w:keepLines w:val="0"/>
      <w:tabs>
        <w:tab w:val="left" w:pos="1476"/>
        <w:tab w:val="clear" w:pos="567"/>
      </w:tabs>
      <w:adjustRightInd w:val="0"/>
      <w:snapToGrid w:val="0"/>
      <w:spacing w:before="0" w:beforeLines="50" w:after="0"/>
      <w:ind w:left="578" w:hanging="578"/>
    </w:pPr>
    <w:rPr>
      <w:rFonts w:ascii="Arial" w:eastAsia="宋体" w:cs="宋体"/>
      <w:b/>
      <w:spacing w:val="-2"/>
      <w:szCs w:val="24"/>
    </w:rPr>
  </w:style>
  <w:style w:type="paragraph" w:customStyle="1" w:styleId="4008">
    <w:name w:val="card-summary"/>
    <w:basedOn w:val="1"/>
    <w:qFormat/>
    <w:uiPriority w:val="0"/>
    <w:pPr>
      <w:widowControl/>
      <w:shd w:val="clear" w:color="auto" w:fill="FFFFFF"/>
      <w:spacing w:before="100" w:beforeAutospacing="1" w:after="375"/>
      <w:jc w:val="left"/>
    </w:pPr>
    <w:rPr>
      <w:rFonts w:ascii="宋体" w:hAnsi="Calibri" w:eastAsia="宋体" w:cs="宋体"/>
      <w:spacing w:val="-2"/>
      <w:kern w:val="0"/>
      <w:szCs w:val="21"/>
    </w:rPr>
  </w:style>
  <w:style w:type="paragraph" w:customStyle="1" w:styleId="4009">
    <w:name w:val="样式67"/>
    <w:basedOn w:val="1"/>
    <w:qFormat/>
    <w:uiPriority w:val="0"/>
    <w:pPr>
      <w:keepNext/>
      <w:keepLines/>
      <w:spacing w:beforeLines="50" w:line="360" w:lineRule="auto"/>
      <w:outlineLvl w:val="2"/>
    </w:pPr>
    <w:rPr>
      <w:rFonts w:eastAsia="宋体" w:cs="黑体"/>
      <w:b/>
      <w:bCs/>
      <w:spacing w:val="-2"/>
      <w:kern w:val="0"/>
      <w:sz w:val="24"/>
    </w:rPr>
  </w:style>
  <w:style w:type="paragraph" w:customStyle="1" w:styleId="4010">
    <w:name w:val="麦志勤标题6"/>
    <w:basedOn w:val="1"/>
    <w:qFormat/>
    <w:uiPriority w:val="0"/>
    <w:pPr>
      <w:adjustRightInd w:val="0"/>
      <w:snapToGrid w:val="0"/>
      <w:spacing w:beforeLines="100" w:line="300" w:lineRule="auto"/>
      <w:ind w:firstLine="200" w:firstLineChars="200"/>
    </w:pPr>
    <w:rPr>
      <w:rFonts w:ascii="黑体" w:hAnsi="宋体" w:eastAsia="黑体" w:cs="宋体"/>
      <w:b/>
      <w:i/>
      <w:iCs/>
      <w:color w:val="000000"/>
      <w:sz w:val="18"/>
      <w:szCs w:val="24"/>
    </w:rPr>
  </w:style>
  <w:style w:type="paragraph" w:customStyle="1" w:styleId="4011">
    <w:name w:val="xl1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4012">
    <w:name w:val="中气正文"/>
    <w:basedOn w:val="1"/>
    <w:qFormat/>
    <w:uiPriority w:val="0"/>
    <w:pPr>
      <w:spacing w:line="360" w:lineRule="auto"/>
      <w:ind w:firstLine="200" w:firstLineChars="200"/>
    </w:pPr>
    <w:rPr>
      <w:rFonts w:eastAsia="宋体" w:cs="黑体"/>
      <w:spacing w:val="-2"/>
      <w:kern w:val="0"/>
      <w:sz w:val="24"/>
    </w:rPr>
  </w:style>
  <w:style w:type="paragraph" w:customStyle="1" w:styleId="4013">
    <w:name w:val="宗兴2"/>
    <w:basedOn w:val="1"/>
    <w:qFormat/>
    <w:uiPriority w:val="0"/>
    <w:pPr>
      <w:keepNext/>
      <w:keepLines/>
      <w:spacing w:beforeLines="100" w:line="400" w:lineRule="exact"/>
      <w:outlineLvl w:val="1"/>
    </w:pPr>
    <w:rPr>
      <w:rFonts w:ascii="Arial" w:hAnsi="Arial" w:eastAsia="黑体" w:cs="宋体"/>
      <w:b/>
      <w:bCs/>
      <w:color w:val="0000FF"/>
      <w:spacing w:val="-2"/>
      <w:kern w:val="0"/>
      <w:sz w:val="32"/>
    </w:rPr>
  </w:style>
  <w:style w:type="paragraph" w:customStyle="1" w:styleId="4014">
    <w:name w:val="第四层次"/>
    <w:basedOn w:val="4"/>
    <w:qFormat/>
    <w:uiPriority w:val="0"/>
    <w:pPr>
      <w:keepNext w:val="0"/>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bCs/>
      <w:spacing w:val="-2"/>
      <w:kern w:val="0"/>
      <w:sz w:val="30"/>
    </w:rPr>
  </w:style>
  <w:style w:type="paragraph" w:customStyle="1" w:styleId="4015">
    <w:name w:val="Char Char Char13"/>
    <w:basedOn w:val="1"/>
    <w:qFormat/>
    <w:uiPriority w:val="0"/>
    <w:pPr>
      <w:keepNext/>
      <w:tabs>
        <w:tab w:val="left" w:pos="425"/>
      </w:tabs>
      <w:autoSpaceDE w:val="0"/>
      <w:autoSpaceDN w:val="0"/>
      <w:adjustRightInd w:val="0"/>
      <w:spacing w:before="80" w:after="80"/>
      <w:ind w:hanging="425"/>
    </w:pPr>
    <w:rPr>
      <w:rFonts w:ascii="Arial" w:hAnsi="Arial" w:eastAsia="宋体" w:cs="Arial"/>
      <w:spacing w:val="-2"/>
      <w:kern w:val="0"/>
      <w:sz w:val="20"/>
    </w:rPr>
  </w:style>
  <w:style w:type="paragraph" w:customStyle="1" w:styleId="4016">
    <w:name w:val="05子条"/>
    <w:basedOn w:val="1"/>
    <w:qFormat/>
    <w:uiPriority w:val="0"/>
    <w:pPr>
      <w:tabs>
        <w:tab w:val="left" w:pos="-2126"/>
      </w:tabs>
      <w:spacing w:before="60" w:after="60" w:line="360" w:lineRule="auto"/>
      <w:ind w:left="851"/>
      <w:outlineLvl w:val="4"/>
    </w:pPr>
    <w:rPr>
      <w:rFonts w:eastAsia="宋体" w:cs="黑体"/>
      <w:spacing w:val="-2"/>
      <w:kern w:val="0"/>
      <w:sz w:val="24"/>
    </w:rPr>
  </w:style>
  <w:style w:type="paragraph" w:customStyle="1" w:styleId="4017">
    <w:name w:val="表内5S"/>
    <w:basedOn w:val="1"/>
    <w:qFormat/>
    <w:uiPriority w:val="0"/>
    <w:pPr>
      <w:spacing w:line="300" w:lineRule="exact"/>
      <w:ind w:firstLine="200" w:firstLineChars="200"/>
    </w:pPr>
    <w:rPr>
      <w:rFonts w:ascii="宋体" w:hAnsi="宋体" w:eastAsia="方正宋三简体" w:cs="黑体"/>
      <w:spacing w:val="-2"/>
      <w:kern w:val="0"/>
      <w:sz w:val="24"/>
    </w:rPr>
  </w:style>
  <w:style w:type="paragraph" w:customStyle="1" w:styleId="4018">
    <w:name w:val="headlines"/>
    <w:basedOn w:val="1"/>
    <w:qFormat/>
    <w:uiPriority w:val="0"/>
    <w:pPr>
      <w:widowControl/>
      <w:spacing w:before="100" w:beforeAutospacing="1" w:after="100" w:afterAutospacing="1"/>
      <w:jc w:val="center"/>
    </w:pPr>
    <w:rPr>
      <w:rFonts w:eastAsia="宋体" w:cs="黑体"/>
      <w:color w:val="FF0000"/>
      <w:spacing w:val="-2"/>
      <w:kern w:val="0"/>
      <w:sz w:val="36"/>
      <w:szCs w:val="36"/>
    </w:rPr>
  </w:style>
  <w:style w:type="paragraph" w:customStyle="1" w:styleId="4019">
    <w:name w:val="ref-url-tex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0">
    <w:name w:val="tsin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1">
    <w:name w:val="正文一"/>
    <w:basedOn w:val="1"/>
    <w:qFormat/>
    <w:uiPriority w:val="0"/>
    <w:pPr>
      <w:ind w:firstLine="200" w:firstLineChars="200"/>
    </w:pPr>
    <w:rPr>
      <w:rFonts w:eastAsia="宋体" w:cs="黑体"/>
      <w:spacing w:val="-2"/>
      <w:kern w:val="0"/>
    </w:rPr>
  </w:style>
  <w:style w:type="paragraph" w:customStyle="1" w:styleId="4022">
    <w:name w:val="样式49"/>
    <w:basedOn w:val="2773"/>
    <w:qFormat/>
    <w:uiPriority w:val="0"/>
    <w:pPr>
      <w:tabs>
        <w:tab w:val="left" w:pos="1200"/>
      </w:tabs>
      <w:spacing w:line="360" w:lineRule="auto"/>
      <w:ind w:firstLine="480" w:firstLineChars="200"/>
    </w:pPr>
    <w:rPr>
      <w:rFonts w:cs="宋体"/>
      <w:spacing w:val="0"/>
      <w:sz w:val="24"/>
      <w:szCs w:val="24"/>
    </w:rPr>
  </w:style>
  <w:style w:type="paragraph" w:customStyle="1" w:styleId="4023">
    <w:name w:val="样式 标题 4标题 a标题 4 Char + 行距: 固定值 25 磅"/>
    <w:basedOn w:val="7"/>
    <w:qFormat/>
    <w:uiPriority w:val="0"/>
    <w:pPr>
      <w:keepNext w:val="0"/>
      <w:keepLines w:val="0"/>
      <w:tabs>
        <w:tab w:val="left" w:pos="0"/>
        <w:tab w:val="left" w:pos="2153"/>
        <w:tab w:val="clear" w:pos="4008"/>
      </w:tabs>
      <w:spacing w:beforeLines="50" w:line="360" w:lineRule="auto"/>
      <w:ind w:left="0" w:firstLine="0"/>
      <w:jc w:val="left"/>
    </w:pPr>
    <w:rPr>
      <w:rFonts w:ascii="宋体" w:hAnsi="宋体" w:eastAsia="宋体" w:cs="宋体"/>
      <w:b w:val="0"/>
      <w:color w:val="auto"/>
      <w:spacing w:val="-2"/>
      <w:szCs w:val="24"/>
      <w:lang w:val="zh-CN"/>
    </w:rPr>
  </w:style>
  <w:style w:type="paragraph" w:customStyle="1" w:styleId="4024">
    <w:name w:val="样式 标题 1章节标题章标题 1-*+h11st levelSection Headl1b1本标题不使用篇标...1"/>
    <w:basedOn w:val="3"/>
    <w:qFormat/>
    <w:uiPriority w:val="0"/>
    <w:pPr>
      <w:pageBreakBefore w:val="0"/>
      <w:tabs>
        <w:tab w:val="clear" w:pos="1080"/>
      </w:tabs>
      <w:spacing w:before="0" w:beforeLines="100" w:after="0" w:line="360" w:lineRule="auto"/>
      <w:ind w:left="0" w:firstLine="0"/>
      <w:jc w:val="left"/>
    </w:pPr>
    <w:rPr>
      <w:rFonts w:ascii="宋体" w:hAnsi="宋体" w:cs="宋体"/>
      <w:bCs/>
      <w:spacing w:val="-2"/>
      <w:sz w:val="28"/>
    </w:rPr>
  </w:style>
  <w:style w:type="paragraph" w:customStyle="1" w:styleId="4025">
    <w:name w:val="Char12"/>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26">
    <w:name w:val="sublist-spa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7">
    <w:name w:val="reader-word-layer reader-word-s1-20 reader-word-s1-21"/>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4028">
    <w:name w:val="明显引用2"/>
    <w:basedOn w:val="1"/>
    <w:next w:val="1"/>
    <w:qFormat/>
    <w:uiPriority w:val="0"/>
    <w:pPr>
      <w:pBdr>
        <w:bottom w:val="single" w:color="4F81BD" w:sz="4" w:space="4"/>
      </w:pBdr>
      <w:spacing w:before="200" w:after="280" w:line="360" w:lineRule="auto"/>
      <w:ind w:left="936" w:right="936" w:firstLine="200" w:firstLineChars="200"/>
    </w:pPr>
    <w:rPr>
      <w:rFonts w:eastAsia="宋体" w:cs="黑体"/>
      <w:b/>
      <w:bCs/>
      <w:i/>
      <w:iCs/>
      <w:color w:val="4F81BD"/>
      <w:spacing w:val="-2"/>
      <w:kern w:val="0"/>
      <w:sz w:val="24"/>
    </w:rPr>
  </w:style>
  <w:style w:type="paragraph" w:customStyle="1" w:styleId="4029">
    <w:name w:val="款项"/>
    <w:basedOn w:val="1"/>
    <w:qFormat/>
    <w:uiPriority w:val="0"/>
    <w:pPr>
      <w:spacing w:beforeLines="50"/>
    </w:pPr>
    <w:rPr>
      <w:rFonts w:ascii="黑体" w:hAnsi="Calibri" w:eastAsia="黑体" w:cs="黑体"/>
      <w:spacing w:val="-2"/>
      <w:kern w:val="0"/>
      <w:sz w:val="24"/>
    </w:rPr>
  </w:style>
  <w:style w:type="paragraph" w:customStyle="1" w:styleId="4030">
    <w:name w:val="样式 标题 2第几节 + 首行缩进:  1.05 厘米 段前: 0.5 行"/>
    <w:basedOn w:val="4"/>
    <w:qFormat/>
    <w:uiPriority w:val="0"/>
    <w:pPr>
      <w:tabs>
        <w:tab w:val="left" w:pos="1476"/>
        <w:tab w:val="clear" w:pos="567"/>
      </w:tabs>
      <w:spacing w:before="0" w:after="0" w:line="560" w:lineRule="exact"/>
      <w:ind w:left="0" w:firstLine="0"/>
      <w:jc w:val="left"/>
    </w:pPr>
    <w:rPr>
      <w:rFonts w:ascii="宋体" w:hAnsi="宋体" w:eastAsia="宋体" w:cs="宋体"/>
      <w:b/>
      <w:bCs/>
      <w:spacing w:val="-2"/>
      <w:w w:val="99"/>
      <w:kern w:val="28"/>
      <w:sz w:val="30"/>
    </w:rPr>
  </w:style>
  <w:style w:type="paragraph" w:customStyle="1" w:styleId="4031">
    <w:name w:val="1111111"/>
    <w:basedOn w:val="1"/>
    <w:qFormat/>
    <w:uiPriority w:val="0"/>
    <w:pPr>
      <w:autoSpaceDE w:val="0"/>
      <w:autoSpaceDN w:val="0"/>
      <w:adjustRightInd w:val="0"/>
      <w:spacing w:line="360" w:lineRule="auto"/>
      <w:ind w:firstLine="200" w:firstLineChars="200"/>
      <w:jc w:val="left"/>
    </w:pPr>
    <w:rPr>
      <w:rFonts w:ascii="宋体" w:hAnsi="宋体" w:eastAsia="黑体" w:cs="宋体"/>
      <w:b/>
      <w:bCs/>
      <w:spacing w:val="-2"/>
      <w:kern w:val="0"/>
      <w:szCs w:val="32"/>
    </w:rPr>
  </w:style>
  <w:style w:type="paragraph" w:customStyle="1" w:styleId="4032">
    <w:name w:val="公式"/>
    <w:basedOn w:val="1"/>
    <w:qFormat/>
    <w:uiPriority w:val="0"/>
    <w:pPr>
      <w:adjustRightInd w:val="0"/>
      <w:spacing w:before="60" w:line="394" w:lineRule="atLeast"/>
      <w:ind w:firstLine="465"/>
      <w:jc w:val="center"/>
    </w:pPr>
    <w:rPr>
      <w:rFonts w:ascii="宋体" w:eastAsia="宋体" w:cs="黑体"/>
      <w:spacing w:val="-2"/>
      <w:kern w:val="0"/>
      <w:sz w:val="24"/>
    </w:rPr>
  </w:style>
  <w:style w:type="paragraph" w:customStyle="1" w:styleId="4033">
    <w:name w:val="样式 正文首行缩进 2 + 首行缩进:  2 字符"/>
    <w:basedOn w:val="87"/>
    <w:qFormat/>
    <w:uiPriority w:val="0"/>
    <w:pPr>
      <w:spacing w:line="360" w:lineRule="auto"/>
      <w:ind w:left="0" w:leftChars="0" w:firstLine="200"/>
    </w:pPr>
    <w:rPr>
      <w:rFonts w:ascii="宋体" w:hAnsi="宋体" w:eastAsia="宋体" w:cs="宋体"/>
      <w:sz w:val="24"/>
    </w:rPr>
  </w:style>
  <w:style w:type="paragraph" w:customStyle="1" w:styleId="4034">
    <w:name w:val="样式 样式 首行缩进:  2 字符 行距: 1.5 倍行距 + 首行缩进:  2 字符1"/>
    <w:basedOn w:val="1"/>
    <w:qFormat/>
    <w:uiPriority w:val="0"/>
    <w:pPr>
      <w:widowControl/>
      <w:adjustRightInd w:val="0"/>
      <w:snapToGrid w:val="0"/>
      <w:spacing w:line="460" w:lineRule="exact"/>
      <w:ind w:firstLine="200" w:firstLineChars="200"/>
    </w:pPr>
    <w:rPr>
      <w:rFonts w:eastAsia="宋体" w:cs="黑体"/>
      <w:spacing w:val="-2"/>
      <w:kern w:val="0"/>
      <w:sz w:val="24"/>
    </w:rPr>
  </w:style>
  <w:style w:type="paragraph" w:customStyle="1" w:styleId="4035">
    <w:name w:val="表里文字"/>
    <w:basedOn w:val="1"/>
    <w:qFormat/>
    <w:uiPriority w:val="0"/>
    <w:pPr>
      <w:adjustRightInd w:val="0"/>
      <w:snapToGrid w:val="0"/>
      <w:spacing w:line="240" w:lineRule="atLeast"/>
      <w:jc w:val="center"/>
    </w:pPr>
    <w:rPr>
      <w:rFonts w:eastAsia="宋体" w:cs="黑体"/>
      <w:iCs/>
      <w:spacing w:val="-2"/>
      <w:kern w:val="0"/>
      <w:szCs w:val="21"/>
    </w:rPr>
  </w:style>
  <w:style w:type="paragraph" w:customStyle="1" w:styleId="4036">
    <w:name w:val="样式50"/>
    <w:basedOn w:val="2773"/>
    <w:qFormat/>
    <w:uiPriority w:val="0"/>
    <w:pPr>
      <w:tabs>
        <w:tab w:val="left" w:pos="1200"/>
      </w:tabs>
      <w:spacing w:line="360" w:lineRule="auto"/>
      <w:ind w:firstLine="480" w:firstLineChars="200"/>
    </w:pPr>
    <w:rPr>
      <w:rFonts w:cs="宋体"/>
      <w:spacing w:val="0"/>
      <w:sz w:val="24"/>
      <w:szCs w:val="24"/>
    </w:rPr>
  </w:style>
  <w:style w:type="paragraph" w:customStyle="1" w:styleId="4037">
    <w:name w:val="正文文本缩进 211"/>
    <w:basedOn w:val="1"/>
    <w:qFormat/>
    <w:uiPriority w:val="0"/>
    <w:pPr>
      <w:adjustRightInd w:val="0"/>
      <w:ind w:firstLine="560"/>
    </w:pPr>
    <w:rPr>
      <w:rFonts w:eastAsia="宋体" w:cs="黑体"/>
      <w:spacing w:val="-2"/>
      <w:kern w:val="0"/>
    </w:rPr>
  </w:style>
  <w:style w:type="paragraph" w:customStyle="1" w:styleId="4038">
    <w:name w:val="样式 四号 行距: 固定值 24 磅"/>
    <w:basedOn w:val="1"/>
    <w:qFormat/>
    <w:uiPriority w:val="0"/>
    <w:pPr>
      <w:spacing w:line="480" w:lineRule="exact"/>
      <w:ind w:firstLine="200" w:firstLineChars="200"/>
    </w:pPr>
    <w:rPr>
      <w:rFonts w:eastAsia="宋体" w:cs="黑体"/>
      <w:spacing w:val="-2"/>
      <w:kern w:val="0"/>
      <w:sz w:val="24"/>
    </w:rPr>
  </w:style>
  <w:style w:type="paragraph" w:customStyle="1" w:styleId="4039">
    <w:name w:val="lm"/>
    <w:basedOn w:val="1"/>
    <w:qFormat/>
    <w:uiPriority w:val="0"/>
    <w:pPr>
      <w:widowControl/>
      <w:spacing w:before="100" w:beforeAutospacing="1" w:after="100" w:afterAutospacing="1"/>
      <w:jc w:val="left"/>
    </w:pPr>
    <w:rPr>
      <w:rFonts w:ascii="宋体" w:hAnsi="宋体" w:eastAsia="宋体" w:cs="宋体"/>
      <w:color w:val="000000"/>
      <w:spacing w:val="-2"/>
      <w:kern w:val="0"/>
      <w:sz w:val="24"/>
    </w:rPr>
  </w:style>
  <w:style w:type="paragraph" w:customStyle="1" w:styleId="4040">
    <w:name w:val="样式 样式41 + 加粗 红色"/>
    <w:basedOn w:val="1"/>
    <w:qFormat/>
    <w:uiPriority w:val="0"/>
    <w:rPr>
      <w:rFonts w:eastAsia="楷体_GB2312" w:cs="黑体"/>
      <w:b/>
      <w:bCs/>
      <w:color w:val="FF0000"/>
      <w:spacing w:val="-2"/>
      <w:kern w:val="0"/>
      <w:sz w:val="24"/>
    </w:rPr>
  </w:style>
  <w:style w:type="paragraph" w:customStyle="1" w:styleId="4041">
    <w:name w:val="小小标题"/>
    <w:basedOn w:val="1"/>
    <w:qFormat/>
    <w:uiPriority w:val="0"/>
    <w:pPr>
      <w:adjustRightInd w:val="0"/>
      <w:spacing w:line="360" w:lineRule="atLeast"/>
      <w:jc w:val="left"/>
    </w:pPr>
    <w:rPr>
      <w:rFonts w:ascii="宋体" w:eastAsia="宋体" w:cs="黑体"/>
      <w:spacing w:val="20"/>
      <w:kern w:val="0"/>
      <w:sz w:val="24"/>
    </w:rPr>
  </w:style>
  <w:style w:type="paragraph" w:customStyle="1" w:styleId="4042">
    <w:name w:val="字元 字元"/>
    <w:basedOn w:val="1"/>
    <w:qFormat/>
    <w:uiPriority w:val="0"/>
    <w:pPr>
      <w:adjustRightInd w:val="0"/>
      <w:snapToGrid w:val="0"/>
      <w:ind w:firstLine="200" w:firstLineChars="200"/>
    </w:pPr>
    <w:rPr>
      <w:rFonts w:eastAsia="宋体" w:cs="黑体"/>
      <w:spacing w:val="-2"/>
      <w:kern w:val="0"/>
      <w:sz w:val="24"/>
    </w:rPr>
  </w:style>
  <w:style w:type="paragraph" w:customStyle="1" w:styleId="4043">
    <w:name w:val="relation-control-enter-ed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44">
    <w:name w:val="样式 标题 1 + 红色 Char"/>
    <w:basedOn w:val="3"/>
    <w:qFormat/>
    <w:uiPriority w:val="0"/>
    <w:pPr>
      <w:keepNext w:val="0"/>
      <w:keepLines w:val="0"/>
      <w:pageBreakBefore w:val="0"/>
      <w:tabs>
        <w:tab w:val="clear" w:pos="1080"/>
      </w:tabs>
      <w:snapToGrid w:val="0"/>
      <w:spacing w:before="0" w:beforeLines="100" w:after="0"/>
      <w:ind w:left="0" w:firstLine="0"/>
      <w:jc w:val="both"/>
    </w:pPr>
    <w:rPr>
      <w:rFonts w:ascii="宋体" w:hAnsi="宋体" w:eastAsia="黑体" w:cs="宋体"/>
      <w:bCs/>
      <w:color w:val="FF0000"/>
      <w:spacing w:val="-2"/>
      <w:sz w:val="32"/>
      <w:szCs w:val="44"/>
    </w:rPr>
  </w:style>
  <w:style w:type="paragraph" w:customStyle="1" w:styleId="4045">
    <w:name w:val="姜文清定义的四级标题"/>
    <w:basedOn w:val="46"/>
    <w:qFormat/>
    <w:uiPriority w:val="0"/>
    <w:pPr>
      <w:adjustRightInd w:val="0"/>
      <w:spacing w:before="60" w:line="520" w:lineRule="exact"/>
      <w:ind w:firstLine="510"/>
    </w:pPr>
    <w:rPr>
      <w:rFonts w:hAnsi="Times New Roman" w:eastAsia="黑体" w:cs="宋体"/>
      <w:bCs/>
      <w:sz w:val="24"/>
      <w:szCs w:val="24"/>
    </w:rPr>
  </w:style>
  <w:style w:type="paragraph" w:customStyle="1" w:styleId="4046">
    <w:name w:val="table-title2"/>
    <w:basedOn w:val="1"/>
    <w:qFormat/>
    <w:uiPriority w:val="0"/>
    <w:pPr>
      <w:widowControl/>
      <w:spacing w:before="100" w:beforeAutospacing="1" w:after="100" w:afterAutospacing="1"/>
      <w:jc w:val="left"/>
    </w:pPr>
    <w:rPr>
      <w:rFonts w:ascii="宋体" w:hAnsi="Calibri" w:eastAsia="宋体" w:cs="宋体"/>
      <w:color w:val="444850"/>
      <w:spacing w:val="-2"/>
      <w:kern w:val="0"/>
      <w:sz w:val="24"/>
      <w:szCs w:val="21"/>
    </w:rPr>
  </w:style>
  <w:style w:type="paragraph" w:customStyle="1" w:styleId="4047">
    <w:name w:val="3标题"/>
    <w:basedOn w:val="1"/>
    <w:qFormat/>
    <w:uiPriority w:val="0"/>
    <w:pPr>
      <w:keepNext/>
      <w:keepLines/>
      <w:spacing w:before="120" w:after="120" w:line="460" w:lineRule="exact"/>
      <w:outlineLvl w:val="1"/>
    </w:pPr>
    <w:rPr>
      <w:rFonts w:ascii="Arial" w:hAnsi="Arial" w:eastAsia="黑体" w:cs="黑体"/>
      <w:b/>
      <w:bCs/>
      <w:spacing w:val="-2"/>
      <w:kern w:val="0"/>
      <w:szCs w:val="28"/>
    </w:rPr>
  </w:style>
  <w:style w:type="paragraph" w:customStyle="1" w:styleId="4048">
    <w:name w:val="样式 段落1 + 自动设置"/>
    <w:basedOn w:val="2118"/>
    <w:qFormat/>
    <w:uiPriority w:val="0"/>
    <w:pPr>
      <w:spacing w:before="0" w:beforeLines="50" w:after="0"/>
      <w:ind w:firstLine="840" w:firstLineChars="400"/>
      <w:jc w:val="both"/>
    </w:pPr>
    <w:rPr>
      <w:bCs w:val="0"/>
      <w:spacing w:val="0"/>
      <w:lang w:val="en-GB"/>
    </w:rPr>
  </w:style>
  <w:style w:type="paragraph" w:customStyle="1" w:styleId="4049">
    <w:name w:val="自动标题4"/>
    <w:basedOn w:val="2168"/>
    <w:qFormat/>
    <w:uiPriority w:val="0"/>
    <w:pPr>
      <w:keepNext/>
      <w:keepLines/>
      <w:spacing w:before="120" w:after="120" w:line="360" w:lineRule="auto"/>
      <w:outlineLvl w:val="3"/>
    </w:pPr>
    <w:rPr>
      <w:bCs/>
    </w:rPr>
  </w:style>
  <w:style w:type="paragraph" w:customStyle="1" w:styleId="4050">
    <w:name w:val="123"/>
    <w:basedOn w:val="5"/>
    <w:qFormat/>
    <w:uiPriority w:val="0"/>
    <w:pPr>
      <w:widowControl/>
      <w:tabs>
        <w:tab w:val="left" w:pos="352"/>
      </w:tabs>
      <w:overflowPunct w:val="0"/>
      <w:autoSpaceDE w:val="0"/>
      <w:autoSpaceDN w:val="0"/>
      <w:adjustRightInd w:val="0"/>
      <w:snapToGrid w:val="0"/>
      <w:spacing w:beforeLines="10" w:line="460" w:lineRule="exact"/>
      <w:ind w:firstLine="200" w:firstLineChars="200"/>
    </w:pPr>
    <w:rPr>
      <w:rFonts w:hint="eastAsia" w:ascii="Times New Roman" w:hAnsi="Times New Roman" w:cs="宋体"/>
      <w:color w:val="000000"/>
      <w:spacing w:val="0"/>
      <w:kern w:val="0"/>
      <w:sz w:val="21"/>
      <w:szCs w:val="24"/>
    </w:rPr>
  </w:style>
  <w:style w:type="paragraph" w:customStyle="1" w:styleId="4051">
    <w:name w:val="count1"/>
    <w:basedOn w:val="1"/>
    <w:qFormat/>
    <w:uiPriority w:val="0"/>
    <w:pPr>
      <w:widowControl/>
      <w:spacing w:before="100" w:beforeAutospacing="1" w:after="100" w:afterAutospacing="1"/>
      <w:jc w:val="left"/>
    </w:pPr>
    <w:rPr>
      <w:rFonts w:ascii="宋体" w:hAnsi="Calibri" w:eastAsia="宋体" w:cs="宋体"/>
      <w:color w:val="999999"/>
      <w:spacing w:val="-2"/>
      <w:kern w:val="0"/>
      <w:sz w:val="17"/>
      <w:szCs w:val="17"/>
    </w:rPr>
  </w:style>
  <w:style w:type="paragraph" w:customStyle="1" w:styleId="4052">
    <w:name w:val="top-b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53">
    <w:name w:val="grajaxhang2"/>
    <w:basedOn w:val="1"/>
    <w:qFormat/>
    <w:uiPriority w:val="0"/>
    <w:pPr>
      <w:pBdr>
        <w:top w:val="single" w:color="08BD0C" w:sz="6" w:space="6"/>
        <w:left w:val="single" w:color="08BD0C" w:sz="6" w:space="6"/>
        <w:bottom w:val="single" w:color="08BD0C" w:sz="6" w:space="6"/>
        <w:right w:val="single" w:color="08BD0C" w:sz="6" w:space="6"/>
      </w:pBdr>
      <w:shd w:val="clear" w:color="auto" w:fill="E7FFE7"/>
      <w:spacing w:before="100" w:beforeAutospacing="1" w:after="100" w:afterAutospacing="1"/>
      <w:ind w:firstLine="200" w:firstLineChars="200"/>
    </w:pPr>
    <w:rPr>
      <w:rFonts w:ascii="宋体" w:hAnsi="Calibri" w:eastAsia="宋体" w:cs="黑体"/>
      <w:color w:val="000000"/>
      <w:spacing w:val="-2"/>
      <w:kern w:val="0"/>
      <w:sz w:val="18"/>
      <w:szCs w:val="18"/>
    </w:rPr>
  </w:style>
  <w:style w:type="paragraph" w:customStyle="1" w:styleId="4054">
    <w:name w:val="样式74"/>
    <w:basedOn w:val="1"/>
    <w:qFormat/>
    <w:uiPriority w:val="0"/>
    <w:pPr>
      <w:keepNext/>
      <w:keepLines/>
      <w:tabs>
        <w:tab w:val="left" w:pos="360"/>
        <w:tab w:val="left" w:pos="900"/>
        <w:tab w:val="left" w:pos="1080"/>
      </w:tabs>
      <w:spacing w:line="360" w:lineRule="auto"/>
      <w:outlineLvl w:val="3"/>
    </w:pPr>
    <w:rPr>
      <w:rFonts w:ascii="宋体" w:hAnsi="宋体" w:eastAsia="宋体" w:cs="黑体"/>
      <w:color w:val="000000"/>
      <w:spacing w:val="-2"/>
      <w:kern w:val="0"/>
      <w:sz w:val="24"/>
      <w:szCs w:val="28"/>
    </w:rPr>
  </w:style>
  <w:style w:type="paragraph" w:customStyle="1" w:styleId="4055">
    <w:name w:val="样式 宋体 11.5 磅 加粗 居中 右侧:  0.85 厘米"/>
    <w:basedOn w:val="1"/>
    <w:qFormat/>
    <w:uiPriority w:val="0"/>
    <w:pPr>
      <w:ind w:right="480"/>
      <w:jc w:val="center"/>
    </w:pPr>
    <w:rPr>
      <w:rFonts w:ascii="宋体" w:hAnsi="Calibri" w:eastAsia="宋体" w:cs="宋体"/>
      <w:b/>
      <w:bCs/>
      <w:spacing w:val="-2"/>
      <w:kern w:val="0"/>
      <w:sz w:val="24"/>
    </w:rPr>
  </w:style>
  <w:style w:type="paragraph" w:customStyle="1" w:styleId="4056">
    <w:name w:val="title-banner2"/>
    <w:basedOn w:val="1"/>
    <w:qFormat/>
    <w:uiPriority w:val="0"/>
    <w:pPr>
      <w:widowControl/>
      <w:shd w:val="clear" w:color="auto" w:fill="F7F9FA"/>
      <w:spacing w:before="30" w:after="100" w:afterAutospacing="1" w:line="450" w:lineRule="atLeast"/>
      <w:jc w:val="center"/>
    </w:pPr>
    <w:rPr>
      <w:rFonts w:ascii="宋体" w:hAnsi="Calibri" w:eastAsia="宋体" w:cs="宋体"/>
      <w:spacing w:val="-2"/>
      <w:kern w:val="0"/>
      <w:sz w:val="24"/>
      <w:szCs w:val="21"/>
    </w:rPr>
  </w:style>
  <w:style w:type="paragraph" w:customStyle="1" w:styleId="4057">
    <w:name w:val="Char Char Char Char Char Char1 Char Char Char1 Char Char Char Char"/>
    <w:basedOn w:val="1"/>
    <w:qFormat/>
    <w:uiPriority w:val="0"/>
    <w:pPr>
      <w:spacing w:after="160" w:line="240" w:lineRule="exact"/>
    </w:pPr>
    <w:rPr>
      <w:rFonts w:ascii="Verdana" w:hAnsi="Verdana" w:cs="黑体"/>
      <w:spacing w:val="-2"/>
      <w:kern w:val="0"/>
      <w:sz w:val="30"/>
      <w:szCs w:val="30"/>
      <w:lang w:eastAsia="en-US"/>
    </w:rPr>
  </w:style>
  <w:style w:type="paragraph" w:customStyle="1" w:styleId="4058">
    <w:name w:val="正文尾 1"/>
    <w:qFormat/>
    <w:uiPriority w:val="0"/>
    <w:pPr>
      <w:widowControl w:val="0"/>
      <w:adjustRightInd w:val="0"/>
      <w:spacing w:line="360" w:lineRule="auto"/>
      <w:ind w:left="3969"/>
      <w:jc w:val="center"/>
    </w:pPr>
    <w:rPr>
      <w:rFonts w:ascii="Times New Roman" w:hAnsi="Times New Roman" w:eastAsia="宋体" w:cs="Times New Roman"/>
      <w:sz w:val="28"/>
      <w:lang w:val="en-US" w:eastAsia="zh-CN" w:bidi="ar-SA"/>
    </w:rPr>
  </w:style>
  <w:style w:type="paragraph" w:customStyle="1" w:styleId="4059">
    <w:name w:val="样式47"/>
    <w:basedOn w:val="1"/>
    <w:qFormat/>
    <w:uiPriority w:val="0"/>
    <w:pPr>
      <w:adjustRightInd w:val="0"/>
      <w:snapToGrid w:val="0"/>
      <w:spacing w:before="50" w:after="50" w:line="360" w:lineRule="auto"/>
      <w:ind w:firstLine="480"/>
      <w:jc w:val="left"/>
    </w:pPr>
    <w:rPr>
      <w:rFonts w:eastAsia="宋体" w:cs="黑体"/>
      <w:color w:val="000000"/>
      <w:spacing w:val="-2"/>
      <w:kern w:val="0"/>
      <w:sz w:val="24"/>
    </w:rPr>
  </w:style>
  <w:style w:type="paragraph" w:customStyle="1" w:styleId="4060">
    <w:name w:val="样式正文"/>
    <w:basedOn w:val="1"/>
    <w:qFormat/>
    <w:uiPriority w:val="0"/>
    <w:pPr>
      <w:spacing w:line="300" w:lineRule="auto"/>
      <w:ind w:firstLine="200" w:firstLineChars="200"/>
    </w:pPr>
    <w:rPr>
      <w:rFonts w:eastAsia="宋体" w:cs="黑体"/>
      <w:spacing w:val="-2"/>
      <w:kern w:val="0"/>
      <w:sz w:val="24"/>
    </w:rPr>
  </w:style>
  <w:style w:type="paragraph" w:customStyle="1" w:styleId="4061">
    <w:name w:val="样式62"/>
    <w:basedOn w:val="1"/>
    <w:qFormat/>
    <w:uiPriority w:val="0"/>
    <w:pPr>
      <w:spacing w:beforeLines="50" w:line="360" w:lineRule="auto"/>
      <w:ind w:firstLine="480" w:firstLineChars="200"/>
    </w:pPr>
    <w:rPr>
      <w:rFonts w:eastAsia="宋体" w:cs="黑体"/>
      <w:spacing w:val="-2"/>
      <w:kern w:val="0"/>
      <w:sz w:val="24"/>
    </w:rPr>
  </w:style>
  <w:style w:type="paragraph" w:customStyle="1" w:styleId="4062">
    <w:name w:val="Char Char Char1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63">
    <w:name w:val="环小四表尾"/>
    <w:qFormat/>
    <w:uiPriority w:val="0"/>
    <w:pPr>
      <w:spacing w:line="560" w:lineRule="exact"/>
      <w:jc w:val="right"/>
    </w:pPr>
    <w:rPr>
      <w:rFonts w:ascii="宋体" w:hAnsi="Times New Roman" w:eastAsia="宋体" w:cs="Times New Roman"/>
      <w:b/>
      <w:bCs/>
      <w:szCs w:val="21"/>
      <w:lang w:val="en-US" w:eastAsia="zh-CN" w:bidi="ar-SA"/>
    </w:rPr>
  </w:style>
  <w:style w:type="paragraph" w:customStyle="1" w:styleId="4064">
    <w:name w:val="w100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65">
    <w:name w:val="样式 标题 4标题 14 + 加粗 无下划线 自动设置 段前: 3 磅 段后: 10 磅"/>
    <w:basedOn w:val="7"/>
    <w:qFormat/>
    <w:uiPriority w:val="0"/>
    <w:pPr>
      <w:keepLines w:val="0"/>
      <w:tabs>
        <w:tab w:val="left" w:pos="1680"/>
        <w:tab w:val="left" w:pos="2153"/>
        <w:tab w:val="clear" w:pos="4008"/>
      </w:tabs>
      <w:adjustRightInd w:val="0"/>
      <w:snapToGrid w:val="0"/>
      <w:spacing w:before="60" w:after="200" w:line="240" w:lineRule="auto"/>
      <w:ind w:left="0" w:firstLine="0"/>
      <w:jc w:val="both"/>
    </w:pPr>
    <w:rPr>
      <w:rFonts w:ascii="Times New Roman" w:hAnsi="Times New Roman" w:eastAsia="宋体"/>
      <w:b w:val="0"/>
      <w:bCs/>
      <w:spacing w:val="-2"/>
      <w:szCs w:val="24"/>
    </w:rPr>
  </w:style>
  <w:style w:type="paragraph" w:customStyle="1" w:styleId="4066">
    <w:name w:val="relatedhel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67">
    <w:name w:val="样式 标题 3 + 黑色 行距: 最小值 25 磅"/>
    <w:basedOn w:val="6"/>
    <w:qFormat/>
    <w:uiPriority w:val="0"/>
    <w:pPr>
      <w:tabs>
        <w:tab w:val="left" w:pos="1022"/>
        <w:tab w:val="left" w:pos="1080"/>
        <w:tab w:val="left" w:pos="1260"/>
        <w:tab w:val="left" w:pos="1620"/>
        <w:tab w:val="clear" w:pos="1789"/>
      </w:tabs>
      <w:snapToGrid w:val="0"/>
      <w:spacing w:before="260" w:after="260" w:line="500" w:lineRule="atLeast"/>
      <w:ind w:left="1260" w:hanging="420"/>
    </w:pPr>
    <w:rPr>
      <w:rFonts w:hint="eastAsia" w:ascii="宋体" w:hAnsi="宋体" w:eastAsia="宋体" w:cs="宋体"/>
      <w:i/>
      <w:iCs/>
      <w:color w:val="000000"/>
      <w:spacing w:val="4"/>
      <w:sz w:val="28"/>
      <w:szCs w:val="28"/>
    </w:rPr>
  </w:style>
  <w:style w:type="paragraph" w:customStyle="1" w:styleId="4068">
    <w:name w:val="myedit"/>
    <w:basedOn w:val="1"/>
    <w:qFormat/>
    <w:uiPriority w:val="0"/>
    <w:pPr>
      <w:widowControl/>
      <w:jc w:val="left"/>
    </w:pPr>
    <w:rPr>
      <w:rFonts w:ascii="宋体" w:hAnsi="Calibri" w:eastAsia="宋体" w:cs="宋体"/>
      <w:spacing w:val="-2"/>
      <w:kern w:val="0"/>
      <w:sz w:val="24"/>
      <w:szCs w:val="21"/>
    </w:rPr>
  </w:style>
  <w:style w:type="paragraph" w:customStyle="1" w:styleId="4069">
    <w:name w:val="样式 段前: 0.5 行 段后: 6 磅 首行缩进:  5 字符"/>
    <w:basedOn w:val="1"/>
    <w:qFormat/>
    <w:uiPriority w:val="0"/>
    <w:pPr>
      <w:spacing w:beforeLines="50" w:after="120" w:line="300" w:lineRule="auto"/>
      <w:ind w:firstLine="500" w:firstLineChars="500"/>
    </w:pPr>
    <w:rPr>
      <w:rFonts w:cs="黑体"/>
      <w:spacing w:val="-2"/>
      <w:kern w:val="0"/>
    </w:rPr>
  </w:style>
  <w:style w:type="paragraph" w:customStyle="1" w:styleId="4070">
    <w:name w:val="dc"/>
    <w:basedOn w:val="1"/>
    <w:qFormat/>
    <w:uiPriority w:val="0"/>
    <w:pPr>
      <w:widowControl/>
      <w:spacing w:before="100" w:beforeAutospacing="1" w:after="100" w:afterAutospacing="1" w:line="270" w:lineRule="atLeast"/>
      <w:jc w:val="left"/>
    </w:pPr>
    <w:rPr>
      <w:rFonts w:ascii="宋体" w:hAnsi="宋体" w:eastAsia="宋体" w:cs="黑体"/>
      <w:spacing w:val="-2"/>
      <w:kern w:val="0"/>
      <w:sz w:val="18"/>
    </w:rPr>
  </w:style>
  <w:style w:type="paragraph" w:customStyle="1" w:styleId="4071">
    <w:name w:val="重点文字"/>
    <w:basedOn w:val="1"/>
    <w:next w:val="1"/>
    <w:qFormat/>
    <w:uiPriority w:val="0"/>
    <w:pPr>
      <w:spacing w:before="100" w:beforeAutospacing="1" w:after="100" w:afterAutospacing="1"/>
    </w:pPr>
    <w:rPr>
      <w:rFonts w:ascii="仿宋_GB2312" w:hAnsi="Calibri" w:cs="黑体"/>
      <w:b/>
      <w:color w:val="FF0000"/>
      <w:spacing w:val="-2"/>
      <w:kern w:val="0"/>
      <w:szCs w:val="28"/>
    </w:rPr>
  </w:style>
  <w:style w:type="paragraph" w:customStyle="1" w:styleId="4072">
    <w:name w:val="文档结构图1"/>
    <w:basedOn w:val="1"/>
    <w:qFormat/>
    <w:uiPriority w:val="0"/>
    <w:rPr>
      <w:rFonts w:ascii="宋体" w:eastAsia="宋体" w:cs="黑体"/>
      <w:spacing w:val="-2"/>
      <w:kern w:val="0"/>
      <w:sz w:val="18"/>
      <w:szCs w:val="18"/>
    </w:rPr>
  </w:style>
  <w:style w:type="paragraph" w:customStyle="1" w:styleId="4073">
    <w:name w:val="Char1 Char Char Char Char Char Char Char Char Char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74">
    <w:name w:val="质表单位"/>
    <w:basedOn w:val="1"/>
    <w:qFormat/>
    <w:uiPriority w:val="0"/>
    <w:pPr>
      <w:jc w:val="center"/>
    </w:pPr>
    <w:rPr>
      <w:rFonts w:ascii="宋体" w:hAnsi="宋体" w:eastAsia="宋体" w:cs="黑体"/>
      <w:spacing w:val="-2"/>
      <w:kern w:val="0"/>
    </w:rPr>
  </w:style>
  <w:style w:type="paragraph" w:customStyle="1" w:styleId="4075">
    <w:name w:val="Char Char Char Char Char Char Char Char Char Char Char Char Char1 Char Char Char Char Char Char Char Char Char Char Char Char Char Char Char Char Char Char Char3"/>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4076">
    <w:name w:val="纯文本41"/>
    <w:basedOn w:val="1"/>
    <w:qFormat/>
    <w:uiPriority w:val="0"/>
    <w:pPr>
      <w:adjustRightInd w:val="0"/>
    </w:pPr>
    <w:rPr>
      <w:rFonts w:ascii="宋体" w:hAnsi="Calibri" w:eastAsia="宋体" w:cs="黑体"/>
      <w:spacing w:val="-2"/>
      <w:kern w:val="0"/>
      <w:sz w:val="24"/>
    </w:rPr>
  </w:style>
  <w:style w:type="paragraph" w:customStyle="1" w:styleId="4077">
    <w:name w:val="中大4级"/>
    <w:basedOn w:val="3115"/>
    <w:qFormat/>
    <w:uiPriority w:val="0"/>
    <w:pPr>
      <w:spacing w:beforeLines="0"/>
      <w:outlineLvl w:val="3"/>
    </w:pPr>
    <w:rPr>
      <w:sz w:val="24"/>
    </w:rPr>
  </w:style>
  <w:style w:type="paragraph" w:customStyle="1" w:styleId="4078">
    <w:name w:val="search-btn"/>
    <w:basedOn w:val="1"/>
    <w:qFormat/>
    <w:uiPriority w:val="0"/>
    <w:pPr>
      <w:widowControl/>
      <w:spacing w:line="360" w:lineRule="atLeast"/>
      <w:ind w:right="105"/>
      <w:jc w:val="left"/>
    </w:pPr>
    <w:rPr>
      <w:rFonts w:ascii="宋体" w:hAnsi="Calibri" w:eastAsia="宋体" w:cs="宋体"/>
      <w:spacing w:val="-2"/>
      <w:kern w:val="0"/>
      <w:szCs w:val="21"/>
    </w:rPr>
  </w:style>
  <w:style w:type="paragraph" w:customStyle="1" w:styleId="4079">
    <w:name w:val="检索2"/>
    <w:basedOn w:val="3203"/>
    <w:qFormat/>
    <w:uiPriority w:val="99"/>
    <w:pPr>
      <w:ind w:left="454"/>
    </w:pPr>
    <w:rPr>
      <w:color w:val="0000FF"/>
    </w:rPr>
  </w:style>
  <w:style w:type="paragraph" w:customStyle="1" w:styleId="4080">
    <w:name w:val="正文文本缩进 221"/>
    <w:basedOn w:val="1"/>
    <w:qFormat/>
    <w:uiPriority w:val="99"/>
    <w:pPr>
      <w:adjustRightInd w:val="0"/>
      <w:ind w:firstLine="560"/>
    </w:pPr>
    <w:rPr>
      <w:rFonts w:eastAsia="宋体" w:cs="黑体"/>
      <w:spacing w:val="-2"/>
      <w:kern w:val="0"/>
    </w:rPr>
  </w:style>
  <w:style w:type="paragraph" w:customStyle="1" w:styleId="4081">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4082">
    <w:name w:val="Char Char Char Char Char Char Char Char Char Char Char Char Char1 Char Char Char Char Char Char Char Char Char Char Char Char Char Char Char Char Char Char Char5"/>
    <w:basedOn w:val="1"/>
    <w:qFormat/>
    <w:uiPriority w:val="99"/>
    <w:pPr>
      <w:widowControl/>
      <w:spacing w:after="160" w:line="240" w:lineRule="exact"/>
      <w:jc w:val="left"/>
    </w:pPr>
    <w:rPr>
      <w:rFonts w:ascii="Verdana" w:hAnsi="Verdana" w:eastAsia="宋体" w:cs="黑体"/>
      <w:spacing w:val="-2"/>
      <w:kern w:val="0"/>
      <w:sz w:val="20"/>
      <w:lang w:eastAsia="en-US"/>
    </w:rPr>
  </w:style>
  <w:style w:type="paragraph" w:customStyle="1" w:styleId="4083">
    <w:name w:val="Char Char Char Char Char Char Char Char Char Char Char Char Char1 Char Char Char Char Char Char Char Char Char Char Char Char Char Char Char Char Char Char Char1"/>
    <w:basedOn w:val="1"/>
    <w:qFormat/>
    <w:uiPriority w:val="99"/>
    <w:pPr>
      <w:widowControl/>
      <w:spacing w:after="160" w:line="240" w:lineRule="exact"/>
      <w:jc w:val="left"/>
    </w:pPr>
    <w:rPr>
      <w:rFonts w:ascii="Verdana" w:hAnsi="Verdana" w:eastAsia="宋体" w:cs="黑体"/>
      <w:spacing w:val="-2"/>
      <w:kern w:val="0"/>
      <w:sz w:val="20"/>
      <w:lang w:eastAsia="en-US"/>
    </w:rPr>
  </w:style>
  <w:style w:type="paragraph" w:customStyle="1" w:styleId="4084">
    <w:name w:val="s-left"/>
    <w:basedOn w:val="1"/>
    <w:qFormat/>
    <w:uiPriority w:val="0"/>
    <w:pPr>
      <w:widowControl/>
      <w:pBdr>
        <w:top w:val="dashed" w:color="auto" w:sz="24" w:space="0"/>
        <w:left w:val="dashed" w:color="auto" w:sz="24" w:space="0"/>
        <w:bottom w:val="dashed" w:color="auto" w:sz="24" w:space="0"/>
        <w:right w:val="single" w:color="auto" w:sz="24" w:space="0"/>
      </w:pBdr>
      <w:spacing w:before="100" w:beforeAutospacing="1" w:after="100" w:afterAutospacing="1"/>
      <w:jc w:val="left"/>
    </w:pPr>
    <w:rPr>
      <w:rFonts w:ascii="宋体" w:hAnsi="Calibri" w:eastAsia="宋体" w:cs="宋体"/>
      <w:spacing w:val="-2"/>
      <w:kern w:val="0"/>
      <w:sz w:val="24"/>
      <w:szCs w:val="21"/>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9.bin"/><Relationship Id="rId98" Type="http://schemas.openxmlformats.org/officeDocument/2006/relationships/image" Target="media/image50.wmf"/><Relationship Id="rId97" Type="http://schemas.openxmlformats.org/officeDocument/2006/relationships/oleObject" Target="embeddings/oleObject28.bin"/><Relationship Id="rId96" Type="http://schemas.openxmlformats.org/officeDocument/2006/relationships/image" Target="media/image49.wmf"/><Relationship Id="rId95" Type="http://schemas.openxmlformats.org/officeDocument/2006/relationships/oleObject" Target="embeddings/oleObject27.bin"/><Relationship Id="rId94" Type="http://schemas.openxmlformats.org/officeDocument/2006/relationships/image" Target="media/image48.wmf"/><Relationship Id="rId93" Type="http://schemas.openxmlformats.org/officeDocument/2006/relationships/oleObject" Target="embeddings/oleObject26.bin"/><Relationship Id="rId92" Type="http://schemas.openxmlformats.org/officeDocument/2006/relationships/image" Target="media/image47.wmf"/><Relationship Id="rId91" Type="http://schemas.openxmlformats.org/officeDocument/2006/relationships/image" Target="media/image46.wmf"/><Relationship Id="rId90" Type="http://schemas.openxmlformats.org/officeDocument/2006/relationships/oleObject" Target="embeddings/oleObject25.bin"/><Relationship Id="rId9" Type="http://schemas.openxmlformats.org/officeDocument/2006/relationships/header" Target="header3.xml"/><Relationship Id="rId89" Type="http://schemas.openxmlformats.org/officeDocument/2006/relationships/image" Target="media/image45.wmf"/><Relationship Id="rId88" Type="http://schemas.openxmlformats.org/officeDocument/2006/relationships/oleObject" Target="embeddings/oleObject24.bin"/><Relationship Id="rId87" Type="http://schemas.openxmlformats.org/officeDocument/2006/relationships/image" Target="media/image44.wmf"/><Relationship Id="rId86" Type="http://schemas.openxmlformats.org/officeDocument/2006/relationships/oleObject" Target="embeddings/oleObject23.bin"/><Relationship Id="rId85" Type="http://schemas.openxmlformats.org/officeDocument/2006/relationships/image" Target="media/image43.wmf"/><Relationship Id="rId84" Type="http://schemas.openxmlformats.org/officeDocument/2006/relationships/oleObject" Target="embeddings/oleObject22.bin"/><Relationship Id="rId83" Type="http://schemas.openxmlformats.org/officeDocument/2006/relationships/image" Target="media/image42.wmf"/><Relationship Id="rId82" Type="http://schemas.openxmlformats.org/officeDocument/2006/relationships/oleObject" Target="embeddings/oleObject21.bin"/><Relationship Id="rId81" Type="http://schemas.openxmlformats.org/officeDocument/2006/relationships/image" Target="media/image41.wmf"/><Relationship Id="rId80" Type="http://schemas.openxmlformats.org/officeDocument/2006/relationships/oleObject" Target="embeddings/oleObject20.bin"/><Relationship Id="rId8" Type="http://schemas.openxmlformats.org/officeDocument/2006/relationships/footer" Target="footer4.xml"/><Relationship Id="rId79" Type="http://schemas.openxmlformats.org/officeDocument/2006/relationships/image" Target="media/image40.wmf"/><Relationship Id="rId78" Type="http://schemas.openxmlformats.org/officeDocument/2006/relationships/oleObject" Target="embeddings/oleObject19.bin"/><Relationship Id="rId77" Type="http://schemas.openxmlformats.org/officeDocument/2006/relationships/oleObject" Target="embeddings/oleObject18.bin"/><Relationship Id="rId76" Type="http://schemas.openxmlformats.org/officeDocument/2006/relationships/image" Target="media/image39.wmf"/><Relationship Id="rId75" Type="http://schemas.openxmlformats.org/officeDocument/2006/relationships/oleObject" Target="embeddings/oleObject17.bin"/><Relationship Id="rId74" Type="http://schemas.openxmlformats.org/officeDocument/2006/relationships/image" Target="media/image38.wmf"/><Relationship Id="rId73" Type="http://schemas.openxmlformats.org/officeDocument/2006/relationships/oleObject" Target="embeddings/oleObject16.bin"/><Relationship Id="rId72" Type="http://schemas.openxmlformats.org/officeDocument/2006/relationships/image" Target="media/image37.wmf"/><Relationship Id="rId71" Type="http://schemas.openxmlformats.org/officeDocument/2006/relationships/oleObject" Target="embeddings/oleObject15.bin"/><Relationship Id="rId70" Type="http://schemas.openxmlformats.org/officeDocument/2006/relationships/image" Target="media/image36.wmf"/><Relationship Id="rId7" Type="http://schemas.openxmlformats.org/officeDocument/2006/relationships/header" Target="header2.xml"/><Relationship Id="rId69" Type="http://schemas.openxmlformats.org/officeDocument/2006/relationships/oleObject" Target="embeddings/oleObject14.bin"/><Relationship Id="rId68" Type="http://schemas.openxmlformats.org/officeDocument/2006/relationships/image" Target="media/image35.wmf"/><Relationship Id="rId67" Type="http://schemas.openxmlformats.org/officeDocument/2006/relationships/oleObject" Target="embeddings/oleObject13.bin"/><Relationship Id="rId66" Type="http://schemas.openxmlformats.org/officeDocument/2006/relationships/image" Target="media/image34.wmf"/><Relationship Id="rId65" Type="http://schemas.openxmlformats.org/officeDocument/2006/relationships/oleObject" Target="embeddings/oleObject12.bin"/><Relationship Id="rId64" Type="http://schemas.openxmlformats.org/officeDocument/2006/relationships/image" Target="media/image33.wmf"/><Relationship Id="rId63" Type="http://schemas.openxmlformats.org/officeDocument/2006/relationships/oleObject" Target="embeddings/oleObject11.bin"/><Relationship Id="rId62" Type="http://schemas.openxmlformats.org/officeDocument/2006/relationships/image" Target="media/image32.wmf"/><Relationship Id="rId61" Type="http://schemas.openxmlformats.org/officeDocument/2006/relationships/oleObject" Target="embeddings/oleObject10.bin"/><Relationship Id="rId60" Type="http://schemas.openxmlformats.org/officeDocument/2006/relationships/image" Target="media/image31.wmf"/><Relationship Id="rId6" Type="http://schemas.openxmlformats.org/officeDocument/2006/relationships/footer" Target="footer3.xml"/><Relationship Id="rId59" Type="http://schemas.openxmlformats.org/officeDocument/2006/relationships/oleObject" Target="embeddings/oleObject9.bin"/><Relationship Id="rId58" Type="http://schemas.openxmlformats.org/officeDocument/2006/relationships/image" Target="media/image30.wmf"/><Relationship Id="rId57" Type="http://schemas.openxmlformats.org/officeDocument/2006/relationships/oleObject" Target="embeddings/oleObject8.bin"/><Relationship Id="rId56" Type="http://schemas.openxmlformats.org/officeDocument/2006/relationships/image" Target="media/image29.wmf"/><Relationship Id="rId55" Type="http://schemas.openxmlformats.org/officeDocument/2006/relationships/oleObject" Target="embeddings/oleObject7.bin"/><Relationship Id="rId54" Type="http://schemas.openxmlformats.org/officeDocument/2006/relationships/image" Target="media/image28.wmf"/><Relationship Id="rId53" Type="http://schemas.openxmlformats.org/officeDocument/2006/relationships/oleObject" Target="embeddings/oleObject6.bin"/><Relationship Id="rId52" Type="http://schemas.openxmlformats.org/officeDocument/2006/relationships/image" Target="media/image27.wmf"/><Relationship Id="rId51" Type="http://schemas.openxmlformats.org/officeDocument/2006/relationships/oleObject" Target="embeddings/oleObject5.bin"/><Relationship Id="rId50" Type="http://schemas.openxmlformats.org/officeDocument/2006/relationships/image" Target="media/image26.png"/><Relationship Id="rId5" Type="http://schemas.openxmlformats.org/officeDocument/2006/relationships/footer" Target="footer2.xml"/><Relationship Id="rId49" Type="http://schemas.openxmlformats.org/officeDocument/2006/relationships/image" Target="media/image25.png"/><Relationship Id="rId48" Type="http://schemas.openxmlformats.org/officeDocument/2006/relationships/image" Target="media/image24.emf"/><Relationship Id="rId47" Type="http://schemas.openxmlformats.org/officeDocument/2006/relationships/oleObject" Target="embeddings/oleObject4.bin"/><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jpeg"/><Relationship Id="rId4" Type="http://schemas.openxmlformats.org/officeDocument/2006/relationships/footer" Target="foot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emf"/><Relationship Id="rId36" Type="http://schemas.openxmlformats.org/officeDocument/2006/relationships/oleObject" Target="embeddings/oleObject3.bin"/><Relationship Id="rId35" Type="http://schemas.openxmlformats.org/officeDocument/2006/relationships/image" Target="media/image13.jpeg"/><Relationship Id="rId34" Type="http://schemas.openxmlformats.org/officeDocument/2006/relationships/image" Target="media/image12.emf"/><Relationship Id="rId33" Type="http://schemas.openxmlformats.org/officeDocument/2006/relationships/oleObject" Target="embeddings/oleObject2.bin"/><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wmf"/><Relationship Id="rId28" Type="http://schemas.openxmlformats.org/officeDocument/2006/relationships/image" Target="media/image7.emf"/><Relationship Id="rId27" Type="http://schemas.openxmlformats.org/officeDocument/2006/relationships/oleObject" Target="embeddings/oleObject1.bin"/><Relationship Id="rId26" Type="http://schemas.openxmlformats.org/officeDocument/2006/relationships/image" Target="media/image6.jpeg"/><Relationship Id="rId25" Type="http://schemas.openxmlformats.org/officeDocument/2006/relationships/image" Target="media/image5.jpeg"/><Relationship Id="rId24" Type="http://schemas.openxmlformats.org/officeDocument/2006/relationships/image" Target="media/image4.jpeg"/><Relationship Id="rId23" Type="http://schemas.openxmlformats.org/officeDocument/2006/relationships/image" Target="media/image3.jpeg"/><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5" Type="http://schemas.openxmlformats.org/officeDocument/2006/relationships/fontTable" Target="fontTable.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79.emf"/><Relationship Id="rId151" Type="http://schemas.openxmlformats.org/officeDocument/2006/relationships/oleObject" Target="embeddings/oleObject41.bin"/><Relationship Id="rId150" Type="http://schemas.openxmlformats.org/officeDocument/2006/relationships/image" Target="media/image78.png"/><Relationship Id="rId15" Type="http://schemas.openxmlformats.org/officeDocument/2006/relationships/footer" Target="footer8.xml"/><Relationship Id="rId149" Type="http://schemas.openxmlformats.org/officeDocument/2006/relationships/image" Target="media/image77.png"/><Relationship Id="rId148" Type="http://schemas.openxmlformats.org/officeDocument/2006/relationships/image" Target="media/image76.png"/><Relationship Id="rId147" Type="http://schemas.openxmlformats.org/officeDocument/2006/relationships/image" Target="media/image75.png"/><Relationship Id="rId146" Type="http://schemas.openxmlformats.org/officeDocument/2006/relationships/image" Target="media/image74.jpeg"/><Relationship Id="rId145" Type="http://schemas.openxmlformats.org/officeDocument/2006/relationships/image" Target="media/image73.png"/><Relationship Id="rId144" Type="http://schemas.openxmlformats.org/officeDocument/2006/relationships/image" Target="media/image72.png"/><Relationship Id="rId143" Type="http://schemas.openxmlformats.org/officeDocument/2006/relationships/chart" Target="charts/chart12.xml"/><Relationship Id="rId142" Type="http://schemas.openxmlformats.org/officeDocument/2006/relationships/chart" Target="charts/chart11.xml"/><Relationship Id="rId141" Type="http://schemas.openxmlformats.org/officeDocument/2006/relationships/chart" Target="charts/chart10.xml"/><Relationship Id="rId140" Type="http://schemas.openxmlformats.org/officeDocument/2006/relationships/chart" Target="charts/chart9.xml"/><Relationship Id="rId14" Type="http://schemas.openxmlformats.org/officeDocument/2006/relationships/footer" Target="footer7.xml"/><Relationship Id="rId139" Type="http://schemas.openxmlformats.org/officeDocument/2006/relationships/chart" Target="charts/chart8.xml"/><Relationship Id="rId138" Type="http://schemas.openxmlformats.org/officeDocument/2006/relationships/chart" Target="charts/chart7.xml"/><Relationship Id="rId137" Type="http://schemas.openxmlformats.org/officeDocument/2006/relationships/chart" Target="charts/chart6.xml"/><Relationship Id="rId136" Type="http://schemas.openxmlformats.org/officeDocument/2006/relationships/chart" Target="charts/chart5.xml"/><Relationship Id="rId135" Type="http://schemas.openxmlformats.org/officeDocument/2006/relationships/chart" Target="charts/chart4.xml"/><Relationship Id="rId134" Type="http://schemas.openxmlformats.org/officeDocument/2006/relationships/chart" Target="charts/chart3.xml"/><Relationship Id="rId133" Type="http://schemas.openxmlformats.org/officeDocument/2006/relationships/chart" Target="charts/chart2.xml"/><Relationship Id="rId132" Type="http://schemas.openxmlformats.org/officeDocument/2006/relationships/chart" Target="charts/chart1.xml"/><Relationship Id="rId131" Type="http://schemas.openxmlformats.org/officeDocument/2006/relationships/image" Target="media/image71.png"/><Relationship Id="rId130" Type="http://schemas.openxmlformats.org/officeDocument/2006/relationships/image" Target="media/image70.png"/><Relationship Id="rId13" Type="http://schemas.openxmlformats.org/officeDocument/2006/relationships/header" Target="header5.xml"/><Relationship Id="rId129" Type="http://schemas.openxmlformats.org/officeDocument/2006/relationships/image" Target="media/image69.png"/><Relationship Id="rId128" Type="http://schemas.openxmlformats.org/officeDocument/2006/relationships/image" Target="media/image68.png"/><Relationship Id="rId127" Type="http://schemas.openxmlformats.org/officeDocument/2006/relationships/image" Target="media/image67.png"/><Relationship Id="rId126" Type="http://schemas.openxmlformats.org/officeDocument/2006/relationships/image" Target="media/image66.png"/><Relationship Id="rId125" Type="http://schemas.openxmlformats.org/officeDocument/2006/relationships/image" Target="media/image65.wmf"/><Relationship Id="rId124" Type="http://schemas.openxmlformats.org/officeDocument/2006/relationships/oleObject" Target="embeddings/oleObject40.bin"/><Relationship Id="rId123" Type="http://schemas.openxmlformats.org/officeDocument/2006/relationships/image" Target="media/image64.png"/><Relationship Id="rId122" Type="http://schemas.openxmlformats.org/officeDocument/2006/relationships/image" Target="media/image63.png"/><Relationship Id="rId121" Type="http://schemas.openxmlformats.org/officeDocument/2006/relationships/image" Target="media/image62.png"/><Relationship Id="rId120" Type="http://schemas.openxmlformats.org/officeDocument/2006/relationships/image" Target="media/image61.wmf"/><Relationship Id="rId12" Type="http://schemas.openxmlformats.org/officeDocument/2006/relationships/footer" Target="footer6.xml"/><Relationship Id="rId119" Type="http://schemas.openxmlformats.org/officeDocument/2006/relationships/oleObject" Target="embeddings/oleObject39.bin"/><Relationship Id="rId118" Type="http://schemas.openxmlformats.org/officeDocument/2006/relationships/image" Target="media/image60.wmf"/><Relationship Id="rId117" Type="http://schemas.openxmlformats.org/officeDocument/2006/relationships/oleObject" Target="embeddings/oleObject38.bin"/><Relationship Id="rId116" Type="http://schemas.openxmlformats.org/officeDocument/2006/relationships/image" Target="media/image59.wmf"/><Relationship Id="rId115" Type="http://schemas.openxmlformats.org/officeDocument/2006/relationships/oleObject" Target="embeddings/oleObject37.bin"/><Relationship Id="rId114" Type="http://schemas.openxmlformats.org/officeDocument/2006/relationships/image" Target="media/image58.wmf"/><Relationship Id="rId113" Type="http://schemas.openxmlformats.org/officeDocument/2006/relationships/oleObject" Target="embeddings/oleObject36.bin"/><Relationship Id="rId112" Type="http://schemas.openxmlformats.org/officeDocument/2006/relationships/image" Target="media/image57.wmf"/><Relationship Id="rId111" Type="http://schemas.openxmlformats.org/officeDocument/2006/relationships/oleObject" Target="embeddings/oleObject35.bin"/><Relationship Id="rId110" Type="http://schemas.openxmlformats.org/officeDocument/2006/relationships/image" Target="media/image56.wmf"/><Relationship Id="rId11" Type="http://schemas.openxmlformats.org/officeDocument/2006/relationships/header" Target="header4.xml"/><Relationship Id="rId109" Type="http://schemas.openxmlformats.org/officeDocument/2006/relationships/oleObject" Target="embeddings/oleObject34.bin"/><Relationship Id="rId108" Type="http://schemas.openxmlformats.org/officeDocument/2006/relationships/image" Target="media/image55.wmf"/><Relationship Id="rId107" Type="http://schemas.openxmlformats.org/officeDocument/2006/relationships/oleObject" Target="embeddings/oleObject33.bin"/><Relationship Id="rId106" Type="http://schemas.openxmlformats.org/officeDocument/2006/relationships/image" Target="media/image54.wmf"/><Relationship Id="rId105" Type="http://schemas.openxmlformats.org/officeDocument/2006/relationships/oleObject" Target="embeddings/oleObject32.bin"/><Relationship Id="rId104" Type="http://schemas.openxmlformats.org/officeDocument/2006/relationships/image" Target="media/image53.wmf"/><Relationship Id="rId103" Type="http://schemas.openxmlformats.org/officeDocument/2006/relationships/oleObject" Target="embeddings/oleObject31.bin"/><Relationship Id="rId102" Type="http://schemas.openxmlformats.org/officeDocument/2006/relationships/image" Target="media/image52.wmf"/><Relationship Id="rId101" Type="http://schemas.openxmlformats.org/officeDocument/2006/relationships/oleObject" Target="embeddings/oleObject30.bin"/><Relationship Id="rId100" Type="http://schemas.openxmlformats.org/officeDocument/2006/relationships/image" Target="media/image51.wmf"/><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G:\1%20&#22312;&#20570;\2024.7.9%20%20&#20013;&#20255;&#32671;&#22522;&#38068;\&#25968;&#25454;&#22788;&#29702;%20&#32671;&#22522;&#38068;.xlsx" TargetMode="External"/></Relationships>
</file>

<file path=word/charts/_rels/chart10.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G:\1%20&#22312;&#20570;\2024.7.9%20%20&#20013;&#20255;&#32671;&#22522;&#38068;\&#25968;&#25454;&#22788;&#29702;%20&#32671;&#22522;&#38068;.xlsx" TargetMode="External"/></Relationships>
</file>

<file path=word/charts/_rels/chart11.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file:///G:\1%20&#22312;&#20570;\2024.7.9%20%20&#20013;&#20255;&#32671;&#22522;&#38068;\&#25968;&#25454;&#22788;&#29702;%20&#32671;&#22522;&#38068;.xlsx" TargetMode="External"/></Relationships>
</file>

<file path=word/charts/_rels/chart12.xml.rels><?xml version="1.0" encoding="UTF-8" standalone="yes"?>
<Relationships xmlns="http://schemas.openxmlformats.org/package/2006/relationships"><Relationship Id="rId2" Type="http://schemas.openxmlformats.org/officeDocument/2006/relationships/themeOverride" Target="../theme/themeOverride9.xml"/><Relationship Id="rId1" Type="http://schemas.openxmlformats.org/officeDocument/2006/relationships/oleObject" Target="file:///G:\1%20&#22312;&#20570;\2024.7.9%20%20&#20013;&#20255;&#32671;&#22522;&#38068;\&#25968;&#25454;&#22788;&#29702;%20&#32671;&#22522;&#38068;.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G:\1%20&#22312;&#20570;\2024.7.9%20%20&#20013;&#20255;&#32671;&#22522;&#38068;\&#25968;&#25454;&#22788;&#29702;%20&#32671;&#22522;&#38068;.xlsx"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file:///G:\1%20&#22312;&#20570;\2024.7.9%20%20&#20013;&#20255;&#32671;&#22522;&#38068;\&#25968;&#25454;&#22788;&#29702;%20&#32671;&#22522;&#3806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oleObject" Target="file:///G:\1%20&#22312;&#20570;\2024.7.9%20%20&#20013;&#20255;&#32671;&#22522;&#38068;\&#25968;&#25454;&#22788;&#29702;%20&#32671;&#22522;&#38068;.xlsx" TargetMode="External"/></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file:///G:\1%20&#22312;&#20570;\2024.7.9%20%20&#20013;&#20255;&#32671;&#22522;&#38068;\&#25968;&#25454;&#22788;&#29702;%20&#32671;&#22522;&#38068;.xlsx" TargetMode="External"/></Relationships>
</file>

<file path=word/charts/_rels/chart9.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G:\1%20&#22312;&#20570;\2024.7.9%20%20&#20013;&#20255;&#32671;&#22522;&#38068;\&#25968;&#25454;&#22788;&#29702;%20&#32671;&#22522;&#3806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地下水预测钴!$E$3:$E$26</c:f>
              <c:numCache>
                <c:formatCode>General</c:formatCode>
                <c:ptCount val="24"/>
                <c:pt idx="0">
                  <c:v>0.0118</c:v>
                </c:pt>
                <c:pt idx="1">
                  <c:v>0.0143</c:v>
                </c:pt>
                <c:pt idx="2">
                  <c:v>0.0217</c:v>
                </c:pt>
                <c:pt idx="3">
                  <c:v>0.0217</c:v>
                </c:pt>
                <c:pt idx="4">
                  <c:v>0.0143</c:v>
                </c:pt>
                <c:pt idx="5">
                  <c:v>0.0106</c:v>
                </c:pt>
                <c:pt idx="6">
                  <c:v>0.01</c:v>
                </c:pt>
                <c:pt idx="7">
                  <c:v>0.01</c:v>
                </c:pt>
                <c:pt idx="8">
                  <c:v>0.01</c:v>
                </c:pt>
                <c:pt idx="9">
                  <c:v>0.01</c:v>
                </c:pt>
                <c:pt idx="10">
                  <c:v>0.01</c:v>
                </c:pt>
                <c:pt idx="11">
                  <c:v>0.01</c:v>
                </c:pt>
                <c:pt idx="12">
                  <c:v>0.01</c:v>
                </c:pt>
                <c:pt idx="13">
                  <c:v>0.01</c:v>
                </c:pt>
                <c:pt idx="14">
                  <c:v>0.01</c:v>
                </c:pt>
                <c:pt idx="15">
                  <c:v>0.01</c:v>
                </c:pt>
                <c:pt idx="16">
                  <c:v>0.01</c:v>
                </c:pt>
                <c:pt idx="17">
                  <c:v>0.01</c:v>
                </c:pt>
                <c:pt idx="18">
                  <c:v>0.01</c:v>
                </c:pt>
                <c:pt idx="19">
                  <c:v>0.01</c:v>
                </c:pt>
                <c:pt idx="20">
                  <c:v>0.01</c:v>
                </c:pt>
                <c:pt idx="21">
                  <c:v>0.01</c:v>
                </c:pt>
                <c:pt idx="22">
                  <c:v>0.01</c:v>
                </c:pt>
                <c:pt idx="23">
                  <c:v>0.01</c:v>
                </c:pt>
              </c:numCache>
            </c:numRef>
          </c:val>
          <c:smooth val="0"/>
        </c:ser>
        <c:dLbls>
          <c:showLegendKey val="0"/>
          <c:showVal val="0"/>
          <c:showCatName val="0"/>
          <c:showSerName val="0"/>
          <c:showPercent val="0"/>
          <c:showBubbleSize val="0"/>
        </c:dLbls>
        <c:marker val="1"/>
        <c:smooth val="0"/>
        <c:axId val="451213952"/>
        <c:axId val="451273472"/>
      </c:lineChart>
      <c:catAx>
        <c:axId val="451213952"/>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273472"/>
        <c:crosses val="autoZero"/>
        <c:auto val="1"/>
        <c:lblAlgn val="ctr"/>
        <c:lblOffset val="100"/>
        <c:noMultiLvlLbl val="0"/>
      </c:catAx>
      <c:valAx>
        <c:axId val="451273472"/>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213952"/>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地下水硫酸盐!$E$3:$E$26</c:f>
              <c:numCache>
                <c:formatCode>General</c:formatCode>
                <c:ptCount val="24"/>
                <c:pt idx="0">
                  <c:v>867.3356</c:v>
                </c:pt>
                <c:pt idx="1">
                  <c:v>922.3611</c:v>
                </c:pt>
                <c:pt idx="2">
                  <c:v>1084.5001</c:v>
                </c:pt>
                <c:pt idx="3">
                  <c:v>1084.5001</c:v>
                </c:pt>
                <c:pt idx="4">
                  <c:v>922.3611</c:v>
                </c:pt>
                <c:pt idx="5">
                  <c:v>840.7704</c:v>
                </c:pt>
                <c:pt idx="6">
                  <c:v>828.6358</c:v>
                </c:pt>
                <c:pt idx="7">
                  <c:v>828.0116</c:v>
                </c:pt>
                <c:pt idx="8">
                  <c:v>828</c:v>
                </c:pt>
                <c:pt idx="9">
                  <c:v>828</c:v>
                </c:pt>
                <c:pt idx="10">
                  <c:v>828</c:v>
                </c:pt>
                <c:pt idx="11">
                  <c:v>828</c:v>
                </c:pt>
                <c:pt idx="12">
                  <c:v>828</c:v>
                </c:pt>
                <c:pt idx="13">
                  <c:v>828</c:v>
                </c:pt>
                <c:pt idx="14">
                  <c:v>828</c:v>
                </c:pt>
                <c:pt idx="15">
                  <c:v>828</c:v>
                </c:pt>
                <c:pt idx="16">
                  <c:v>828</c:v>
                </c:pt>
                <c:pt idx="17">
                  <c:v>828</c:v>
                </c:pt>
                <c:pt idx="18">
                  <c:v>828</c:v>
                </c:pt>
                <c:pt idx="19">
                  <c:v>828</c:v>
                </c:pt>
                <c:pt idx="20">
                  <c:v>828</c:v>
                </c:pt>
                <c:pt idx="21">
                  <c:v>828</c:v>
                </c:pt>
                <c:pt idx="22">
                  <c:v>828</c:v>
                </c:pt>
                <c:pt idx="23">
                  <c:v>828</c:v>
                </c:pt>
              </c:numCache>
            </c:numRef>
          </c:val>
          <c:smooth val="0"/>
        </c:ser>
        <c:dLbls>
          <c:showLegendKey val="0"/>
          <c:showVal val="0"/>
          <c:showCatName val="0"/>
          <c:showSerName val="0"/>
          <c:showPercent val="0"/>
          <c:showBubbleSize val="0"/>
        </c:dLbls>
        <c:marker val="1"/>
        <c:smooth val="0"/>
        <c:axId val="471895424"/>
        <c:axId val="471959040"/>
      </c:lineChart>
      <c:catAx>
        <c:axId val="471895424"/>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71959040"/>
        <c:crosses val="autoZero"/>
        <c:auto val="1"/>
        <c:lblAlgn val="ctr"/>
        <c:lblOffset val="100"/>
        <c:noMultiLvlLbl val="0"/>
      </c:catAx>
      <c:valAx>
        <c:axId val="471959040"/>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71895424"/>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地下水硫酸盐!$G$3:$G$26</c:f>
              <c:numCache>
                <c:formatCode>General</c:formatCode>
                <c:ptCount val="24"/>
                <c:pt idx="0">
                  <c:v>828.0057</c:v>
                </c:pt>
                <c:pt idx="1">
                  <c:v>828.018</c:v>
                </c:pt>
                <c:pt idx="2">
                  <c:v>828.1452</c:v>
                </c:pt>
                <c:pt idx="3">
                  <c:v>828.8919</c:v>
                </c:pt>
                <c:pt idx="4">
                  <c:v>832.1651</c:v>
                </c:pt>
                <c:pt idx="5">
                  <c:v>842.7886</c:v>
                </c:pt>
                <c:pt idx="6">
                  <c:v>867.9252</c:v>
                </c:pt>
                <c:pt idx="7">
                  <c:v>909.9564</c:v>
                </c:pt>
                <c:pt idx="8">
                  <c:v>955.9184</c:v>
                </c:pt>
                <c:pt idx="9">
                  <c:v>979.8093</c:v>
                </c:pt>
                <c:pt idx="10">
                  <c:v>964.9869</c:v>
                </c:pt>
                <c:pt idx="11">
                  <c:v>921.9886</c:v>
                </c:pt>
                <c:pt idx="12">
                  <c:v>877.0327</c:v>
                </c:pt>
                <c:pt idx="13">
                  <c:v>847.4497</c:v>
                </c:pt>
                <c:pt idx="14">
                  <c:v>833.8662</c:v>
                </c:pt>
                <c:pt idx="15">
                  <c:v>829.3453</c:v>
                </c:pt>
                <c:pt idx="16">
                  <c:v>828.2346</c:v>
                </c:pt>
                <c:pt idx="17">
                  <c:v>828.0311</c:v>
                </c:pt>
                <c:pt idx="18">
                  <c:v>828</c:v>
                </c:pt>
                <c:pt idx="19">
                  <c:v>828</c:v>
                </c:pt>
                <c:pt idx="20">
                  <c:v>828</c:v>
                </c:pt>
                <c:pt idx="21">
                  <c:v>828</c:v>
                </c:pt>
                <c:pt idx="22">
                  <c:v>828</c:v>
                </c:pt>
                <c:pt idx="23">
                  <c:v>828</c:v>
                </c:pt>
              </c:numCache>
            </c:numRef>
          </c:val>
          <c:smooth val="0"/>
        </c:ser>
        <c:dLbls>
          <c:showLegendKey val="0"/>
          <c:showVal val="0"/>
          <c:showCatName val="0"/>
          <c:showSerName val="0"/>
          <c:showPercent val="0"/>
          <c:showBubbleSize val="0"/>
        </c:dLbls>
        <c:marker val="1"/>
        <c:smooth val="0"/>
        <c:axId val="524425088"/>
        <c:axId val="524431360"/>
      </c:lineChart>
      <c:catAx>
        <c:axId val="52442508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31360"/>
        <c:crosses val="autoZero"/>
        <c:auto val="1"/>
        <c:lblAlgn val="ctr"/>
        <c:lblOffset val="100"/>
        <c:noMultiLvlLbl val="0"/>
      </c:catAx>
      <c:valAx>
        <c:axId val="524431360"/>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25088"/>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地下水硫酸盐!$I$3:$I$26</c:f>
              <c:numCache>
                <c:formatCode>General</c:formatCode>
                <c:ptCount val="24"/>
                <c:pt idx="0">
                  <c:v>828</c:v>
                </c:pt>
                <c:pt idx="1">
                  <c:v>828</c:v>
                </c:pt>
                <c:pt idx="2">
                  <c:v>828</c:v>
                </c:pt>
                <c:pt idx="3">
                  <c:v>828</c:v>
                </c:pt>
                <c:pt idx="4">
                  <c:v>828</c:v>
                </c:pt>
                <c:pt idx="5">
                  <c:v>828</c:v>
                </c:pt>
                <c:pt idx="6">
                  <c:v>828</c:v>
                </c:pt>
                <c:pt idx="7">
                  <c:v>828</c:v>
                </c:pt>
                <c:pt idx="8">
                  <c:v>828</c:v>
                </c:pt>
                <c:pt idx="9">
                  <c:v>828.0003</c:v>
                </c:pt>
                <c:pt idx="10">
                  <c:v>828.0012</c:v>
                </c:pt>
                <c:pt idx="11">
                  <c:v>828.0051</c:v>
                </c:pt>
                <c:pt idx="12">
                  <c:v>828.0197</c:v>
                </c:pt>
                <c:pt idx="13">
                  <c:v>828.0686</c:v>
                </c:pt>
                <c:pt idx="14">
                  <c:v>828.2167</c:v>
                </c:pt>
                <c:pt idx="15">
                  <c:v>828.6193</c:v>
                </c:pt>
                <c:pt idx="16">
                  <c:v>829.6013</c:v>
                </c:pt>
                <c:pt idx="17">
                  <c:v>831.7466</c:v>
                </c:pt>
                <c:pt idx="18">
                  <c:v>854.3334</c:v>
                </c:pt>
                <c:pt idx="19">
                  <c:v>919.9125</c:v>
                </c:pt>
                <c:pt idx="20">
                  <c:v>854.3333</c:v>
                </c:pt>
                <c:pt idx="21">
                  <c:v>828</c:v>
                </c:pt>
                <c:pt idx="22">
                  <c:v>828</c:v>
                </c:pt>
                <c:pt idx="23">
                  <c:v>828</c:v>
                </c:pt>
              </c:numCache>
            </c:numRef>
          </c:val>
          <c:smooth val="0"/>
        </c:ser>
        <c:dLbls>
          <c:showLegendKey val="0"/>
          <c:showVal val="0"/>
          <c:showCatName val="0"/>
          <c:showSerName val="0"/>
          <c:showPercent val="0"/>
          <c:showBubbleSize val="0"/>
        </c:dLbls>
        <c:marker val="1"/>
        <c:smooth val="0"/>
        <c:axId val="524472704"/>
        <c:axId val="524474624"/>
      </c:lineChart>
      <c:catAx>
        <c:axId val="524472704"/>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74624"/>
        <c:crosses val="autoZero"/>
        <c:auto val="1"/>
        <c:lblAlgn val="ctr"/>
        <c:lblOffset val="100"/>
        <c:noMultiLvlLbl val="0"/>
      </c:catAx>
      <c:valAx>
        <c:axId val="524474624"/>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72704"/>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地下水预测钴!$G$3:$G$26</c:f>
              <c:numCache>
                <c:formatCode>General</c:formatCode>
                <c:ptCount val="24"/>
                <c:pt idx="0">
                  <c:v>0.01</c:v>
                </c:pt>
                <c:pt idx="1">
                  <c:v>0.01</c:v>
                </c:pt>
                <c:pt idx="2">
                  <c:v>0.01</c:v>
                </c:pt>
                <c:pt idx="3">
                  <c:v>0.01</c:v>
                </c:pt>
                <c:pt idx="4">
                  <c:v>0.0102</c:v>
                </c:pt>
                <c:pt idx="5">
                  <c:v>0.0107</c:v>
                </c:pt>
                <c:pt idx="6">
                  <c:v>0.0118</c:v>
                </c:pt>
                <c:pt idx="7">
                  <c:v>0.0138</c:v>
                </c:pt>
                <c:pt idx="8">
                  <c:v>0.0159</c:v>
                </c:pt>
                <c:pt idx="9">
                  <c:v>0.0169</c:v>
                </c:pt>
                <c:pt idx="10">
                  <c:v>0.0163</c:v>
                </c:pt>
                <c:pt idx="11">
                  <c:v>0.0143</c:v>
                </c:pt>
                <c:pt idx="12">
                  <c:v>0.0122</c:v>
                </c:pt>
                <c:pt idx="13">
                  <c:v>0.0109</c:v>
                </c:pt>
                <c:pt idx="14">
                  <c:v>0.0103</c:v>
                </c:pt>
                <c:pt idx="15">
                  <c:v>0.0101</c:v>
                </c:pt>
                <c:pt idx="16">
                  <c:v>0.01</c:v>
                </c:pt>
                <c:pt idx="17">
                  <c:v>0.01</c:v>
                </c:pt>
                <c:pt idx="18">
                  <c:v>0.01</c:v>
                </c:pt>
                <c:pt idx="19">
                  <c:v>0.01</c:v>
                </c:pt>
                <c:pt idx="20">
                  <c:v>0.01</c:v>
                </c:pt>
                <c:pt idx="21">
                  <c:v>0.01</c:v>
                </c:pt>
                <c:pt idx="22">
                  <c:v>0.01</c:v>
                </c:pt>
                <c:pt idx="23">
                  <c:v>0.01</c:v>
                </c:pt>
              </c:numCache>
            </c:numRef>
          </c:val>
          <c:smooth val="0"/>
        </c:ser>
        <c:dLbls>
          <c:showLegendKey val="0"/>
          <c:showVal val="0"/>
          <c:showCatName val="0"/>
          <c:showSerName val="0"/>
          <c:showPercent val="0"/>
          <c:showBubbleSize val="0"/>
        </c:dLbls>
        <c:marker val="1"/>
        <c:smooth val="0"/>
        <c:axId val="451318912"/>
        <c:axId val="451320832"/>
      </c:lineChart>
      <c:catAx>
        <c:axId val="451318912"/>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320832"/>
        <c:crosses val="autoZero"/>
        <c:auto val="1"/>
        <c:lblAlgn val="ctr"/>
        <c:lblOffset val="100"/>
        <c:noMultiLvlLbl val="0"/>
      </c:catAx>
      <c:valAx>
        <c:axId val="451320832"/>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318912"/>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地下水预测钴!$I$3:$I$26</c:f>
              <c:numCache>
                <c:formatCode>General</c:formatCode>
                <c:ptCount val="24"/>
                <c:pt idx="0">
                  <c:v>0.01</c:v>
                </c:pt>
                <c:pt idx="1">
                  <c:v>0.01</c:v>
                </c:pt>
                <c:pt idx="2">
                  <c:v>0.01</c:v>
                </c:pt>
                <c:pt idx="3">
                  <c:v>0.01</c:v>
                </c:pt>
                <c:pt idx="4">
                  <c:v>0.01</c:v>
                </c:pt>
                <c:pt idx="5">
                  <c:v>0.01</c:v>
                </c:pt>
                <c:pt idx="6">
                  <c:v>0.01</c:v>
                </c:pt>
                <c:pt idx="7">
                  <c:v>0.01</c:v>
                </c:pt>
                <c:pt idx="8">
                  <c:v>0.01</c:v>
                </c:pt>
                <c:pt idx="9">
                  <c:v>0.01</c:v>
                </c:pt>
                <c:pt idx="10">
                  <c:v>0.01</c:v>
                </c:pt>
                <c:pt idx="11">
                  <c:v>0.01</c:v>
                </c:pt>
                <c:pt idx="12">
                  <c:v>0.01</c:v>
                </c:pt>
                <c:pt idx="13">
                  <c:v>0.01</c:v>
                </c:pt>
                <c:pt idx="14">
                  <c:v>0.01</c:v>
                </c:pt>
                <c:pt idx="15">
                  <c:v>0.01</c:v>
                </c:pt>
                <c:pt idx="16">
                  <c:v>0.0101</c:v>
                </c:pt>
                <c:pt idx="17">
                  <c:v>0.0102</c:v>
                </c:pt>
                <c:pt idx="18">
                  <c:v>0.0112</c:v>
                </c:pt>
                <c:pt idx="19">
                  <c:v>0.0142</c:v>
                </c:pt>
                <c:pt idx="20">
                  <c:v>0.0112</c:v>
                </c:pt>
                <c:pt idx="21">
                  <c:v>0.01</c:v>
                </c:pt>
                <c:pt idx="22">
                  <c:v>0.01</c:v>
                </c:pt>
                <c:pt idx="23">
                  <c:v>0.01</c:v>
                </c:pt>
              </c:numCache>
            </c:numRef>
          </c:val>
          <c:smooth val="0"/>
        </c:ser>
        <c:dLbls>
          <c:showLegendKey val="0"/>
          <c:showVal val="0"/>
          <c:showCatName val="0"/>
          <c:showSerName val="0"/>
          <c:showPercent val="0"/>
          <c:showBubbleSize val="0"/>
        </c:dLbls>
        <c:marker val="1"/>
        <c:smooth val="0"/>
        <c:axId val="451493248"/>
        <c:axId val="451520000"/>
      </c:lineChart>
      <c:catAx>
        <c:axId val="45149324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520000"/>
        <c:crosses val="autoZero"/>
        <c:auto val="1"/>
        <c:lblAlgn val="ctr"/>
        <c:lblOffset val="100"/>
        <c:noMultiLvlLbl val="0"/>
      </c:catAx>
      <c:valAx>
        <c:axId val="451520000"/>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493248"/>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地下水预测COD!$E$3:$E$26</c:f>
              <c:numCache>
                <c:formatCode>0.0000_ </c:formatCode>
                <c:ptCount val="24"/>
                <c:pt idx="0">
                  <c:v>5.51833333333333</c:v>
                </c:pt>
                <c:pt idx="1">
                  <c:v>5.72977777777778</c:v>
                </c:pt>
                <c:pt idx="2">
                  <c:v>6.34794444444444</c:v>
                </c:pt>
                <c:pt idx="3">
                  <c:v>6.34794444444444</c:v>
                </c:pt>
                <c:pt idx="4">
                  <c:v>5.72977777777778</c:v>
                </c:pt>
                <c:pt idx="5">
                  <c:v>5.41866666666667</c:v>
                </c:pt>
                <c:pt idx="6">
                  <c:v>5.37238888888889</c:v>
                </c:pt>
                <c:pt idx="7">
                  <c:v>5.37005555555556</c:v>
                </c:pt>
                <c:pt idx="8" c:formatCode="General">
                  <c:v>5.37</c:v>
                </c:pt>
                <c:pt idx="9" c:formatCode="General">
                  <c:v>5.37</c:v>
                </c:pt>
                <c:pt idx="10" c:formatCode="General">
                  <c:v>5.37</c:v>
                </c:pt>
                <c:pt idx="11" c:formatCode="General">
                  <c:v>5.37</c:v>
                </c:pt>
                <c:pt idx="12" c:formatCode="General">
                  <c:v>5.37</c:v>
                </c:pt>
                <c:pt idx="13" c:formatCode="General">
                  <c:v>5.37</c:v>
                </c:pt>
                <c:pt idx="14" c:formatCode="General">
                  <c:v>5.37</c:v>
                </c:pt>
                <c:pt idx="15" c:formatCode="General">
                  <c:v>5.37</c:v>
                </c:pt>
                <c:pt idx="16" c:formatCode="General">
                  <c:v>5.37</c:v>
                </c:pt>
                <c:pt idx="17" c:formatCode="General">
                  <c:v>5.37</c:v>
                </c:pt>
                <c:pt idx="18" c:formatCode="General">
                  <c:v>5.37</c:v>
                </c:pt>
                <c:pt idx="19" c:formatCode="General">
                  <c:v>5.37</c:v>
                </c:pt>
                <c:pt idx="20" c:formatCode="General">
                  <c:v>5.37</c:v>
                </c:pt>
                <c:pt idx="21" c:formatCode="General">
                  <c:v>5.37</c:v>
                </c:pt>
                <c:pt idx="22" c:formatCode="General">
                  <c:v>5.37</c:v>
                </c:pt>
                <c:pt idx="23" c:formatCode="General">
                  <c:v>5.37</c:v>
                </c:pt>
              </c:numCache>
            </c:numRef>
          </c:val>
          <c:smooth val="0"/>
        </c:ser>
        <c:dLbls>
          <c:showLegendKey val="0"/>
          <c:showVal val="0"/>
          <c:showCatName val="0"/>
          <c:showSerName val="0"/>
          <c:showPercent val="0"/>
          <c:showBubbleSize val="0"/>
        </c:dLbls>
        <c:marker val="1"/>
        <c:smooth val="0"/>
        <c:axId val="468047360"/>
        <c:axId val="468049280"/>
      </c:lineChart>
      <c:catAx>
        <c:axId val="468047360"/>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049280"/>
        <c:crosses val="autoZero"/>
        <c:auto val="1"/>
        <c:lblAlgn val="ctr"/>
        <c:lblOffset val="100"/>
        <c:noMultiLvlLbl val="0"/>
      </c:catAx>
      <c:valAx>
        <c:axId val="468049280"/>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0.000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047360"/>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地下水预测COD!$G$3:$G$26</c:f>
              <c:numCache>
                <c:formatCode>General</c:formatCode>
                <c:ptCount val="24"/>
                <c:pt idx="0">
                  <c:v>5.37</c:v>
                </c:pt>
                <c:pt idx="1" c:formatCode="0.0000_ ">
                  <c:v>5.37005555555556</c:v>
                </c:pt>
                <c:pt idx="2" c:formatCode="0.0000_ ">
                  <c:v>5.37055555555556</c:v>
                </c:pt>
                <c:pt idx="3" c:formatCode="0.0000_ ">
                  <c:v>5.37338888888889</c:v>
                </c:pt>
                <c:pt idx="4" c:formatCode="0.0000_ ">
                  <c:v>5.38588888888889</c:v>
                </c:pt>
                <c:pt idx="5" c:formatCode="0.0000_ ">
                  <c:v>5.42638888888889</c:v>
                </c:pt>
                <c:pt idx="6" c:formatCode="0.0000_ ">
                  <c:v>5.52222222222222</c:v>
                </c:pt>
                <c:pt idx="7" c:formatCode="0.0000_ ">
                  <c:v>5.6825</c:v>
                </c:pt>
                <c:pt idx="8" c:formatCode="0.0000_ ">
                  <c:v>5.85772222222222</c:v>
                </c:pt>
                <c:pt idx="9" c:formatCode="0.0000_ ">
                  <c:v>5.94877777777778</c:v>
                </c:pt>
                <c:pt idx="10" c:formatCode="0.0000_ ">
                  <c:v>5.89227777777778</c:v>
                </c:pt>
                <c:pt idx="11" c:formatCode="0.0000_ ">
                  <c:v>5.72833333333333</c:v>
                </c:pt>
                <c:pt idx="12" c:formatCode="0.0000_ ">
                  <c:v>5.55694444444444</c:v>
                </c:pt>
                <c:pt idx="13" c:formatCode="0.0000_ ">
                  <c:v>5.44416666666667</c:v>
                </c:pt>
                <c:pt idx="14" c:formatCode="0.0000_ ">
                  <c:v>5.39238888888889</c:v>
                </c:pt>
                <c:pt idx="15" c:formatCode="0.0000_ ">
                  <c:v>5.37511111111111</c:v>
                </c:pt>
                <c:pt idx="16" c:formatCode="0.0000_ ">
                  <c:v>5.37088888888889</c:v>
                </c:pt>
                <c:pt idx="17" c:formatCode="0.0000_ ">
                  <c:v>5.37011111111111</c:v>
                </c:pt>
                <c:pt idx="18">
                  <c:v>5.37</c:v>
                </c:pt>
                <c:pt idx="19">
                  <c:v>5.37</c:v>
                </c:pt>
                <c:pt idx="20">
                  <c:v>5.37</c:v>
                </c:pt>
                <c:pt idx="21">
                  <c:v>5.37</c:v>
                </c:pt>
                <c:pt idx="22">
                  <c:v>5.37</c:v>
                </c:pt>
                <c:pt idx="23">
                  <c:v>5.37</c:v>
                </c:pt>
              </c:numCache>
            </c:numRef>
          </c:val>
          <c:smooth val="0"/>
        </c:ser>
        <c:dLbls>
          <c:showLegendKey val="0"/>
          <c:showVal val="0"/>
          <c:showCatName val="0"/>
          <c:showSerName val="0"/>
          <c:showPercent val="0"/>
          <c:showBubbleSize val="0"/>
        </c:dLbls>
        <c:marker val="1"/>
        <c:smooth val="0"/>
        <c:axId val="468135296"/>
        <c:axId val="468162048"/>
      </c:lineChart>
      <c:catAx>
        <c:axId val="468135296"/>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162048"/>
        <c:crosses val="autoZero"/>
        <c:auto val="1"/>
        <c:lblAlgn val="ctr"/>
        <c:lblOffset val="100"/>
        <c:noMultiLvlLbl val="0"/>
      </c:catAx>
      <c:valAx>
        <c:axId val="468162048"/>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135296"/>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地下水预测COD!$I$3:$I$26</c:f>
              <c:numCache>
                <c:formatCode>General</c:formatCode>
                <c:ptCount val="24"/>
                <c:pt idx="0">
                  <c:v>5.37</c:v>
                </c:pt>
                <c:pt idx="1">
                  <c:v>5.37</c:v>
                </c:pt>
                <c:pt idx="2">
                  <c:v>5.37</c:v>
                </c:pt>
                <c:pt idx="3">
                  <c:v>5.37</c:v>
                </c:pt>
                <c:pt idx="4">
                  <c:v>5.37</c:v>
                </c:pt>
                <c:pt idx="5">
                  <c:v>5.37</c:v>
                </c:pt>
                <c:pt idx="6">
                  <c:v>5.37</c:v>
                </c:pt>
                <c:pt idx="7">
                  <c:v>5.37</c:v>
                </c:pt>
                <c:pt idx="8">
                  <c:v>5.37</c:v>
                </c:pt>
                <c:pt idx="9">
                  <c:v>5.37</c:v>
                </c:pt>
                <c:pt idx="10">
                  <c:v>5.37</c:v>
                </c:pt>
                <c:pt idx="11">
                  <c:v>5.37</c:v>
                </c:pt>
                <c:pt idx="12" c:formatCode="0.0000_ ">
                  <c:v>5.37005555555556</c:v>
                </c:pt>
                <c:pt idx="13" c:formatCode="0.0000_ ">
                  <c:v>5.37027777777778</c:v>
                </c:pt>
                <c:pt idx="14" c:formatCode="0.0000_ ">
                  <c:v>5.37083333333333</c:v>
                </c:pt>
                <c:pt idx="15" c:formatCode="0.0000_ ">
                  <c:v>5.37238888888889</c:v>
                </c:pt>
                <c:pt idx="16" c:formatCode="0.0000_ ">
                  <c:v>5.37611111111111</c:v>
                </c:pt>
                <c:pt idx="17" c:formatCode="0.0000_ ">
                  <c:v>5.38427777777778</c:v>
                </c:pt>
                <c:pt idx="18" c:formatCode="0.0000_ ">
                  <c:v>5.47038888888889</c:v>
                </c:pt>
                <c:pt idx="19" c:formatCode="0.0000_ ">
                  <c:v>5.7205</c:v>
                </c:pt>
                <c:pt idx="20" c:formatCode="0.0000_ ">
                  <c:v>5.47038888888889</c:v>
                </c:pt>
                <c:pt idx="21">
                  <c:v>5.37</c:v>
                </c:pt>
                <c:pt idx="22">
                  <c:v>5.37</c:v>
                </c:pt>
                <c:pt idx="23">
                  <c:v>5.37</c:v>
                </c:pt>
              </c:numCache>
            </c:numRef>
          </c:val>
          <c:smooth val="0"/>
        </c:ser>
        <c:dLbls>
          <c:showLegendKey val="0"/>
          <c:showVal val="0"/>
          <c:showCatName val="0"/>
          <c:showSerName val="0"/>
          <c:showPercent val="0"/>
          <c:showBubbleSize val="0"/>
        </c:dLbls>
        <c:marker val="1"/>
        <c:smooth val="0"/>
        <c:axId val="468243968"/>
        <c:axId val="468245888"/>
      </c:lineChart>
      <c:catAx>
        <c:axId val="46824396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245888"/>
        <c:crosses val="autoZero"/>
        <c:auto val="1"/>
        <c:lblAlgn val="ctr"/>
        <c:lblOffset val="100"/>
        <c:noMultiLvlLbl val="0"/>
      </c:catAx>
      <c:valAx>
        <c:axId val="468245888"/>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243968"/>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地下水预测氨氮!$E$3:$E$26</c:f>
              <c:numCache>
                <c:formatCode>General</c:formatCode>
                <c:ptCount val="24"/>
                <c:pt idx="0">
                  <c:v>8</c:v>
                </c:pt>
                <c:pt idx="1">
                  <c:v>9.8879</c:v>
                </c:pt>
                <c:pt idx="2">
                  <c:v>15.4516</c:v>
                </c:pt>
                <c:pt idx="3">
                  <c:v>15.4516</c:v>
                </c:pt>
                <c:pt idx="4">
                  <c:v>9.8879</c:v>
                </c:pt>
                <c:pt idx="5">
                  <c:v>7.0882</c:v>
                </c:pt>
                <c:pt idx="6">
                  <c:v>6.6718</c:v>
                </c:pt>
                <c:pt idx="7">
                  <c:v>6.6504</c:v>
                </c:pt>
                <c:pt idx="8">
                  <c:v>6.65</c:v>
                </c:pt>
                <c:pt idx="9">
                  <c:v>6.65</c:v>
                </c:pt>
                <c:pt idx="10">
                  <c:v>6.65</c:v>
                </c:pt>
                <c:pt idx="11">
                  <c:v>6.65</c:v>
                </c:pt>
                <c:pt idx="12">
                  <c:v>6.65</c:v>
                </c:pt>
                <c:pt idx="13">
                  <c:v>6.65</c:v>
                </c:pt>
                <c:pt idx="14">
                  <c:v>6.65</c:v>
                </c:pt>
                <c:pt idx="15">
                  <c:v>6.65</c:v>
                </c:pt>
                <c:pt idx="16">
                  <c:v>6.65</c:v>
                </c:pt>
                <c:pt idx="17">
                  <c:v>6.65</c:v>
                </c:pt>
                <c:pt idx="18">
                  <c:v>6.65</c:v>
                </c:pt>
                <c:pt idx="19">
                  <c:v>6.65</c:v>
                </c:pt>
                <c:pt idx="20">
                  <c:v>6.65</c:v>
                </c:pt>
                <c:pt idx="21">
                  <c:v>6.65</c:v>
                </c:pt>
                <c:pt idx="22">
                  <c:v>6.65</c:v>
                </c:pt>
                <c:pt idx="23">
                  <c:v>6.65</c:v>
                </c:pt>
              </c:numCache>
            </c:numRef>
          </c:val>
          <c:smooth val="0"/>
        </c:ser>
        <c:dLbls>
          <c:showLegendKey val="0"/>
          <c:showVal val="0"/>
          <c:showCatName val="0"/>
          <c:showSerName val="0"/>
          <c:showPercent val="0"/>
          <c:showBubbleSize val="0"/>
        </c:dLbls>
        <c:marker val="1"/>
        <c:smooth val="0"/>
        <c:axId val="468381696"/>
        <c:axId val="468383616"/>
      </c:lineChart>
      <c:catAx>
        <c:axId val="468381696"/>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383616"/>
        <c:crosses val="autoZero"/>
        <c:auto val="1"/>
        <c:lblAlgn val="ctr"/>
        <c:lblOffset val="100"/>
        <c:noMultiLvlLbl val="0"/>
      </c:catAx>
      <c:valAx>
        <c:axId val="468383616"/>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381696"/>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地下水预测氨氮!$G$3:$G$26</c:f>
              <c:numCache>
                <c:formatCode>General</c:formatCode>
                <c:ptCount val="24"/>
                <c:pt idx="0">
                  <c:v>6.6502</c:v>
                </c:pt>
                <c:pt idx="1">
                  <c:v>6.6506</c:v>
                </c:pt>
                <c:pt idx="2">
                  <c:v>6.655</c:v>
                </c:pt>
                <c:pt idx="3">
                  <c:v>6.6806</c:v>
                </c:pt>
                <c:pt idx="4">
                  <c:v>6.7929</c:v>
                </c:pt>
                <c:pt idx="5">
                  <c:v>7.1575</c:v>
                </c:pt>
                <c:pt idx="6">
                  <c:v>8.02</c:v>
                </c:pt>
                <c:pt idx="7">
                  <c:v>9.4623</c:v>
                </c:pt>
                <c:pt idx="8">
                  <c:v>11.0394</c:v>
                </c:pt>
                <c:pt idx="9">
                  <c:v>11.8592</c:v>
                </c:pt>
                <c:pt idx="10">
                  <c:v>11.3506</c:v>
                </c:pt>
                <c:pt idx="11">
                  <c:v>9.8752</c:v>
                </c:pt>
                <c:pt idx="12">
                  <c:v>8.3325</c:v>
                </c:pt>
                <c:pt idx="13">
                  <c:v>7.3174</c:v>
                </c:pt>
                <c:pt idx="14">
                  <c:v>6.8513</c:v>
                </c:pt>
                <c:pt idx="15">
                  <c:v>6.6962</c:v>
                </c:pt>
                <c:pt idx="16">
                  <c:v>6.658</c:v>
                </c:pt>
                <c:pt idx="17">
                  <c:v>6.6511</c:v>
                </c:pt>
                <c:pt idx="18">
                  <c:v>6.65</c:v>
                </c:pt>
                <c:pt idx="19">
                  <c:v>6.65</c:v>
                </c:pt>
                <c:pt idx="20">
                  <c:v>6.65</c:v>
                </c:pt>
                <c:pt idx="21">
                  <c:v>6.65</c:v>
                </c:pt>
                <c:pt idx="22">
                  <c:v>6.65</c:v>
                </c:pt>
                <c:pt idx="23">
                  <c:v>6.65</c:v>
                </c:pt>
              </c:numCache>
            </c:numRef>
          </c:val>
          <c:smooth val="0"/>
        </c:ser>
        <c:dLbls>
          <c:showLegendKey val="0"/>
          <c:showVal val="0"/>
          <c:showCatName val="0"/>
          <c:showSerName val="0"/>
          <c:showPercent val="0"/>
          <c:showBubbleSize val="0"/>
        </c:dLbls>
        <c:marker val="1"/>
        <c:smooth val="0"/>
        <c:axId val="468580608"/>
        <c:axId val="468701568"/>
      </c:lineChart>
      <c:catAx>
        <c:axId val="46858060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701568"/>
        <c:crosses val="autoZero"/>
        <c:auto val="1"/>
        <c:lblAlgn val="ctr"/>
        <c:lblOffset val="100"/>
        <c:noMultiLvlLbl val="0"/>
      </c:catAx>
      <c:valAx>
        <c:axId val="468701568"/>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580608"/>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地下水预测氨氮!$I$3:$I$26</c:f>
              <c:numCache>
                <c:formatCode>General</c:formatCode>
                <c:ptCount val="24"/>
                <c:pt idx="0">
                  <c:v>6.65</c:v>
                </c:pt>
                <c:pt idx="1">
                  <c:v>6.65</c:v>
                </c:pt>
                <c:pt idx="2">
                  <c:v>6.65</c:v>
                </c:pt>
                <c:pt idx="3">
                  <c:v>6.65</c:v>
                </c:pt>
                <c:pt idx="4">
                  <c:v>6.65</c:v>
                </c:pt>
                <c:pt idx="5">
                  <c:v>6.65</c:v>
                </c:pt>
                <c:pt idx="6">
                  <c:v>6.65</c:v>
                </c:pt>
                <c:pt idx="7">
                  <c:v>6.65</c:v>
                </c:pt>
                <c:pt idx="8">
                  <c:v>6.65</c:v>
                </c:pt>
                <c:pt idx="9">
                  <c:v>6.65</c:v>
                </c:pt>
                <c:pt idx="10">
                  <c:v>6.65</c:v>
                </c:pt>
                <c:pt idx="11">
                  <c:v>6.6502</c:v>
                </c:pt>
                <c:pt idx="12">
                  <c:v>6.6507</c:v>
                </c:pt>
                <c:pt idx="13">
                  <c:v>6.6524</c:v>
                </c:pt>
                <c:pt idx="14">
                  <c:v>6.6574</c:v>
                </c:pt>
                <c:pt idx="15">
                  <c:v>6.6715</c:v>
                </c:pt>
                <c:pt idx="16">
                  <c:v>6.7049</c:v>
                </c:pt>
                <c:pt idx="17">
                  <c:v>6.7786</c:v>
                </c:pt>
                <c:pt idx="18">
                  <c:v>7.5536</c:v>
                </c:pt>
                <c:pt idx="19">
                  <c:v>9.8039</c:v>
                </c:pt>
                <c:pt idx="20">
                  <c:v>7.5536</c:v>
                </c:pt>
                <c:pt idx="21">
                  <c:v>6.65</c:v>
                </c:pt>
                <c:pt idx="22">
                  <c:v>6.65</c:v>
                </c:pt>
                <c:pt idx="23">
                  <c:v>6.65</c:v>
                </c:pt>
              </c:numCache>
            </c:numRef>
          </c:val>
          <c:smooth val="0"/>
        </c:ser>
        <c:dLbls>
          <c:showLegendKey val="0"/>
          <c:showVal val="0"/>
          <c:showCatName val="0"/>
          <c:showSerName val="0"/>
          <c:showPercent val="0"/>
          <c:showBubbleSize val="0"/>
        </c:dLbls>
        <c:marker val="1"/>
        <c:smooth val="0"/>
        <c:axId val="469005440"/>
        <c:axId val="469007360"/>
      </c:lineChart>
      <c:catAx>
        <c:axId val="469005440"/>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9007360"/>
        <c:crosses val="autoZero"/>
        <c:auto val="1"/>
        <c:lblAlgn val="ctr"/>
        <c:lblOffset val="100"/>
        <c:noMultiLvlLbl val="0"/>
      </c:catAx>
      <c:valAx>
        <c:axId val="469007360"/>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9005440"/>
        <c:crosses val="autoZero"/>
        <c:crossBetween val="between"/>
      </c:valAx>
    </c:plotArea>
    <c:plotVisOnly val="1"/>
    <c:dispBlanksAs val="gap"/>
    <c:showDLblsOverMax val="0"/>
  </c:chart>
  <c:txPr>
    <a:bodyPr/>
    <a:lstStyle/>
    <a:p>
      <a:pPr>
        <a:defRPr lang="zh-CN"/>
      </a:pPr>
    </a:p>
  </c:tx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303</Pages>
  <Words>12658</Words>
  <Characters>14403</Characters>
  <Lines>1550</Lines>
  <Paragraphs>436</Paragraphs>
  <TotalTime>2840</TotalTime>
  <ScaleCrop>false</ScaleCrop>
  <LinksUpToDate>false</LinksUpToDate>
  <CharactersWithSpaces>14467</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2024-11-21T02:15:00Z</dcterms:created>
  <dc:creator>ZHH</dc:creator>
  <cp:lastModifiedBy>无色相系黑白灰</cp:lastModifiedBy>
  <cp:lastPrinted>2024-12-16T01:13:00Z</cp:lastPrinted>
  <dcterms:modified xsi:type="dcterms:W3CDTF">2025-01-06T08:30:08Z</dcterms:modified>
  <dc:title>目录</dc:title>
  <cp:revision>486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y fmtid="{D5CDD505-2E9C-101B-9397-08002B2CF9AE}" pid="3" name="ICV">
    <vt:lpwstr>C99F9BF0734642D38D9AABB2E38B26DC_13</vt:lpwstr>
  </property>
  <property fmtid="{D5CDD505-2E9C-101B-9397-08002B2CF9AE}" pid="4" name="KSOTemplateDocerSaveRecord">
    <vt:lpwstr>eyJoZGlkIjoiN2I4YzVlMmUyMjc0YjZhY2E1YmJiMWRiMWI0YzAwNTIiLCJ1c2VySWQiOiIxMDM3NjMxMjY0In0=</vt:lpwstr>
  </property>
</Properties>
</file>