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Lines="50" w:line="480" w:lineRule="auto"/>
        <w:ind w:left="238" w:leftChars="-135" w:hanging="521" w:hangingChars="118"/>
        <w:jc w:val="center"/>
        <w:rPr>
          <w:rFonts w:ascii="Times New Roman" w:hAnsi="Times New Roman"/>
          <w:b/>
          <w:sz w:val="44"/>
          <w:szCs w:val="44"/>
        </w:rPr>
      </w:pP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238" w:leftChars="-135" w:hanging="521" w:hangingChars="118"/>
        <w:jc w:val="center"/>
        <w:rPr>
          <w:rFonts w:ascii="Times New Roman" w:hAnsi="Times New Roman"/>
          <w:b/>
          <w:sz w:val="44"/>
          <w:szCs w:val="44"/>
        </w:rPr>
      </w:pPr>
    </w:p>
    <w:p>
      <w:pPr>
        <w:spacing w:afterLines="50" w:line="480" w:lineRule="auto"/>
        <w:ind w:left="238" w:leftChars="-135" w:hanging="521" w:hangingChars="118"/>
        <w:jc w:val="center"/>
        <w:rPr>
          <w:rFonts w:ascii="Times New Roman" w:hAnsi="Times New Roman"/>
          <w:b/>
          <w:sz w:val="44"/>
          <w:szCs w:val="44"/>
        </w:rPr>
      </w:pPr>
      <w:r>
        <w:rPr>
          <w:rFonts w:hint="eastAsia" w:ascii="Times New Roman" w:hAnsi="Times New Roman"/>
          <w:b/>
          <w:sz w:val="44"/>
          <w:szCs w:val="44"/>
        </w:rPr>
        <w:t>钦州港30万吨级油码头拖轮临时应急通道</w:t>
      </w:r>
    </w:p>
    <w:p>
      <w:pPr>
        <w:spacing w:afterLines="50" w:line="480" w:lineRule="auto"/>
        <w:ind w:left="333" w:leftChars="-135" w:hanging="616" w:hangingChars="118"/>
        <w:jc w:val="center"/>
        <w:rPr>
          <w:rFonts w:ascii="Times New Roman" w:hAnsi="Times New Roman"/>
          <w:b/>
          <w:sz w:val="52"/>
          <w:szCs w:val="52"/>
        </w:rPr>
      </w:pPr>
      <w:r>
        <w:rPr>
          <w:rFonts w:hint="eastAsia" w:ascii="Times New Roman" w:hAnsi="Times New Roman"/>
          <w:b/>
          <w:sz w:val="52"/>
          <w:szCs w:val="52"/>
        </w:rPr>
        <w:t>海域使用论证报告表</w:t>
      </w:r>
    </w:p>
    <w:p>
      <w:pPr>
        <w:spacing w:afterLines="50" w:line="480" w:lineRule="auto"/>
        <w:ind w:left="143" w:leftChars="-135" w:hanging="426" w:hangingChars="118"/>
        <w:jc w:val="center"/>
        <w:outlineLvl w:val="0"/>
        <w:rPr>
          <w:rFonts w:ascii="Times New Roman" w:hAnsi="Times New Roman"/>
          <w:b/>
          <w:sz w:val="36"/>
          <w:szCs w:val="36"/>
        </w:rPr>
      </w:pPr>
      <w:r>
        <w:rPr>
          <w:rFonts w:hint="eastAsia" w:ascii="Times New Roman" w:hAnsi="Times New Roman"/>
          <w:b/>
          <w:sz w:val="36"/>
          <w:szCs w:val="36"/>
        </w:rPr>
        <w:t>（</w:t>
      </w:r>
      <w:r>
        <w:rPr>
          <w:rFonts w:hint="eastAsia" w:ascii="Times New Roman" w:hAnsi="Times New Roman"/>
          <w:b/>
          <w:sz w:val="36"/>
          <w:szCs w:val="36"/>
          <w:lang w:val="en-US" w:eastAsia="zh-CN"/>
        </w:rPr>
        <w:t>公示稿</w:t>
      </w:r>
      <w:r>
        <w:rPr>
          <w:rFonts w:hint="eastAsia" w:ascii="Times New Roman" w:hAnsi="Times New Roman"/>
          <w:b/>
          <w:sz w:val="36"/>
          <w:szCs w:val="36"/>
        </w:rPr>
        <w:t>）</w:t>
      </w: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72" w:leftChars="-135" w:hanging="355" w:hangingChars="118"/>
        <w:jc w:val="center"/>
        <w:rPr>
          <w:rFonts w:ascii="Times New Roman" w:hAnsi="Times New Roman"/>
          <w:b/>
          <w:sz w:val="30"/>
          <w:szCs w:val="30"/>
        </w:rPr>
      </w:pPr>
    </w:p>
    <w:p>
      <w:pPr>
        <w:spacing w:afterLines="50" w:line="480" w:lineRule="auto"/>
        <w:ind w:left="72" w:leftChars="-135" w:hanging="355" w:hangingChars="118"/>
        <w:jc w:val="center"/>
        <w:rPr>
          <w:rFonts w:ascii="Times New Roman" w:hAnsi="Times New Roman"/>
          <w:b/>
          <w:sz w:val="30"/>
          <w:szCs w:val="30"/>
        </w:rPr>
      </w:pPr>
    </w:p>
    <w:p>
      <w:pPr>
        <w:spacing w:beforeLines="50" w:line="360" w:lineRule="auto"/>
        <w:jc w:val="center"/>
        <w:rPr>
          <w:b/>
          <w:sz w:val="32"/>
          <w:szCs w:val="32"/>
        </w:rPr>
      </w:pPr>
      <w:r>
        <w:rPr>
          <w:rFonts w:hint="eastAsia"/>
          <w:b/>
          <w:sz w:val="32"/>
          <w:szCs w:val="32"/>
        </w:rPr>
        <w:t>广西</w:t>
      </w:r>
      <w:r>
        <w:rPr>
          <w:rFonts w:hint="eastAsia"/>
          <w:b/>
          <w:sz w:val="32"/>
          <w:szCs w:val="32"/>
          <w:lang w:val="en-US" w:eastAsia="zh-CN"/>
        </w:rPr>
        <w:t>中冠智合生态环境</w:t>
      </w:r>
      <w:r>
        <w:rPr>
          <w:rFonts w:hint="eastAsia"/>
          <w:b/>
          <w:sz w:val="32"/>
          <w:szCs w:val="32"/>
        </w:rPr>
        <w:t>有限公司</w:t>
      </w:r>
    </w:p>
    <w:p>
      <w:pPr>
        <w:spacing w:beforeLines="50" w:line="360" w:lineRule="auto"/>
        <w:jc w:val="center"/>
        <w:rPr>
          <w:b/>
          <w:sz w:val="32"/>
          <w:szCs w:val="32"/>
        </w:rPr>
      </w:pPr>
      <w:r>
        <w:rPr>
          <w:rFonts w:hint="eastAsia"/>
          <w:b/>
          <w:sz w:val="32"/>
          <w:szCs w:val="32"/>
        </w:rPr>
        <w:t>（统一社会信用代码：91450103682111305N）</w:t>
      </w:r>
    </w:p>
    <w:p>
      <w:pPr>
        <w:spacing w:beforeLines="50" w:line="360" w:lineRule="auto"/>
        <w:jc w:val="center"/>
        <w:rPr>
          <w:rFonts w:ascii="Times New Roman" w:hAnsi="Times New Roman"/>
          <w:b/>
          <w:sz w:val="32"/>
          <w:szCs w:val="32"/>
        </w:rPr>
      </w:pPr>
      <w:r>
        <w:rPr>
          <w:rFonts w:ascii="Times New Roman" w:hAnsi="Times New Roman"/>
          <w:b/>
          <w:sz w:val="32"/>
          <w:szCs w:val="32"/>
        </w:rPr>
        <w:t>20</w:t>
      </w:r>
      <w:r>
        <w:rPr>
          <w:rFonts w:hint="eastAsia" w:ascii="Times New Roman" w:hAnsi="Times New Roman"/>
          <w:b/>
          <w:sz w:val="32"/>
          <w:szCs w:val="32"/>
        </w:rPr>
        <w:t>23</w:t>
      </w:r>
      <w:r>
        <w:rPr>
          <w:rFonts w:ascii="Times New Roman"/>
          <w:b/>
          <w:sz w:val="32"/>
          <w:szCs w:val="32"/>
        </w:rPr>
        <w:t>年</w:t>
      </w:r>
      <w:r>
        <w:rPr>
          <w:rFonts w:hint="eastAsia" w:ascii="Times New Roman"/>
          <w:b/>
          <w:sz w:val="32"/>
          <w:szCs w:val="32"/>
        </w:rPr>
        <w:t>12</w:t>
      </w:r>
      <w:r>
        <w:rPr>
          <w:rFonts w:ascii="Times New Roman"/>
          <w:b/>
          <w:sz w:val="32"/>
          <w:szCs w:val="32"/>
        </w:rPr>
        <w:t>月</w:t>
      </w:r>
    </w:p>
    <w:p>
      <w:pPr>
        <w:spacing w:line="360" w:lineRule="auto"/>
        <w:jc w:val="center"/>
        <w:rPr>
          <w:sz w:val="24"/>
        </w:rPr>
      </w:pPr>
      <w:r>
        <w:rPr>
          <w:rFonts w:ascii="Times New Roman" w:hAnsi="Times New Roman"/>
          <w:b/>
          <w:sz w:val="30"/>
          <w:szCs w:val="30"/>
        </w:rPr>
        <w:br w:type="page"/>
      </w:r>
    </w:p>
    <w:p>
      <w:pPr>
        <w:pStyle w:val="30"/>
        <w:rPr>
          <w:rFonts w:ascii="宋体" w:hAnsi="宋体" w:eastAsia="宋体" w:cs="宋体"/>
          <w:szCs w:val="24"/>
          <w:highlight w:val="yellow"/>
        </w:rPr>
      </w:pPr>
      <w:r>
        <w:rPr>
          <w:rFonts w:hint="eastAsia" w:ascii="宋体" w:hAnsi="宋体" w:eastAsia="宋体" w:cs="宋体"/>
          <w:szCs w:val="24"/>
          <w:highlight w:val="yellow"/>
        </w:rPr>
        <w:t>本页为海域使用论证平台上生成的论证报告编制信用信息表。</w:t>
      </w:r>
      <w:bookmarkStart w:id="11" w:name="_GoBack"/>
      <w:bookmarkEnd w:id="11"/>
    </w:p>
    <w:p>
      <w:pPr>
        <w:spacing w:beforeLines="100" w:line="360" w:lineRule="auto"/>
        <w:rPr>
          <w:b/>
          <w:bCs/>
          <w:spacing w:val="20"/>
          <w:kern w:val="13"/>
          <w:sz w:val="28"/>
          <w:szCs w:val="28"/>
        </w:rPr>
      </w:pPr>
    </w:p>
    <w:p/>
    <w:p>
      <w:pPr>
        <w:widowControl/>
        <w:jc w:val="left"/>
        <w:rPr>
          <w:rFonts w:ascii="Times New Roman" w:hAnsi="Times New Roman"/>
        </w:rPr>
      </w:pPr>
    </w:p>
    <w:p>
      <w:pPr>
        <w:widowControl/>
        <w:jc w:val="left"/>
        <w:rPr>
          <w:rFonts w:ascii="Times New Roman" w:hAnsi="Times New Roman"/>
        </w:rPr>
      </w:pPr>
    </w:p>
    <w:p>
      <w:pPr>
        <w:widowControl/>
        <w:jc w:val="left"/>
        <w:rPr>
          <w:rFonts w:ascii="Times New Roman" w:hAnsi="Times New Roman"/>
        </w:rPr>
        <w:sectPr>
          <w:footerReference r:id="rId3" w:type="default"/>
          <w:pgSz w:w="11906" w:h="16838"/>
          <w:pgMar w:top="1440" w:right="1800" w:bottom="1440" w:left="1800" w:header="851" w:footer="992" w:gutter="0"/>
          <w:cols w:space="720" w:num="1"/>
          <w:docGrid w:type="lines" w:linePitch="312" w:charSpace="0"/>
        </w:sectPr>
      </w:pPr>
    </w:p>
    <w:tbl>
      <w:tblPr>
        <w:tblStyle w:val="2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89"/>
        <w:gridCol w:w="1397"/>
        <w:gridCol w:w="1612"/>
        <w:gridCol w:w="440"/>
        <w:gridCol w:w="1075"/>
        <w:gridCol w:w="617"/>
        <w:gridCol w:w="877"/>
        <w:gridCol w:w="17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restar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申请人</w:t>
            </w: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单位名称</w:t>
            </w:r>
          </w:p>
        </w:tc>
        <w:tc>
          <w:tcPr>
            <w:tcW w:w="3446" w:type="pct"/>
            <w:gridSpan w:val="6"/>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广西钦州保税港区泰港石化码头有限公司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法人代表</w:t>
            </w:r>
          </w:p>
        </w:tc>
        <w:tc>
          <w:tcPr>
            <w:tcW w:w="868"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姓名</w:t>
            </w:r>
          </w:p>
        </w:tc>
        <w:tc>
          <w:tcPr>
            <w:tcW w:w="816" w:type="pct"/>
            <w:gridSpan w:val="2"/>
            <w:vAlign w:val="center"/>
          </w:tcPr>
          <w:p>
            <w:pPr>
              <w:jc w:val="center"/>
              <w:rPr>
                <w:rFonts w:hint="default"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val="en-US" w:eastAsia="zh-CN"/>
              </w:rPr>
              <w:t>谢宏伟</w:t>
            </w:r>
          </w:p>
        </w:tc>
        <w:tc>
          <w:tcPr>
            <w:tcW w:w="804" w:type="pct"/>
            <w:gridSpan w:val="2"/>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职务</w:t>
            </w:r>
          </w:p>
        </w:tc>
        <w:tc>
          <w:tcPr>
            <w:tcW w:w="958" w:type="pct"/>
            <w:vAlign w:val="center"/>
          </w:tcPr>
          <w:p>
            <w:pPr>
              <w:jc w:val="center"/>
              <w:rPr>
                <w:rFonts w:hint="eastAsia"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val="en-US" w:eastAsia="zh-CN"/>
              </w:rPr>
              <w:t>总经理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restar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联系人</w:t>
            </w:r>
          </w:p>
        </w:tc>
        <w:tc>
          <w:tcPr>
            <w:tcW w:w="868"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姓名</w:t>
            </w:r>
          </w:p>
        </w:tc>
        <w:tc>
          <w:tcPr>
            <w:tcW w:w="816" w:type="pct"/>
            <w:gridSpan w:val="2"/>
            <w:vAlign w:val="center"/>
          </w:tcPr>
          <w:p>
            <w:pPr>
              <w:jc w:val="center"/>
              <w:rPr>
                <w:rFonts w:ascii="Times New Roman" w:hAnsi="Times New Roman"/>
                <w:color w:val="auto"/>
                <w:sz w:val="24"/>
                <w:szCs w:val="24"/>
                <w:highlight w:val="none"/>
              </w:rPr>
            </w:pPr>
          </w:p>
        </w:tc>
        <w:tc>
          <w:tcPr>
            <w:tcW w:w="804" w:type="pct"/>
            <w:gridSpan w:val="2"/>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职务</w:t>
            </w:r>
          </w:p>
        </w:tc>
        <w:tc>
          <w:tcPr>
            <w:tcW w:w="958" w:type="pct"/>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continue"/>
            <w:vAlign w:val="center"/>
          </w:tcPr>
          <w:p>
            <w:pPr>
              <w:jc w:val="center"/>
              <w:rPr>
                <w:rFonts w:ascii="Times New Roman" w:hAnsi="Times New Roman"/>
                <w:color w:val="auto"/>
                <w:sz w:val="24"/>
                <w:szCs w:val="24"/>
                <w:highlight w:val="none"/>
              </w:rPr>
            </w:pPr>
          </w:p>
        </w:tc>
        <w:tc>
          <w:tcPr>
            <w:tcW w:w="868" w:type="pct"/>
            <w:vAlign w:val="center"/>
          </w:tcPr>
          <w:p>
            <w:pPr>
              <w:jc w:val="center"/>
              <w:rPr>
                <w:rFonts w:hint="eastAsia" w:ascii="Times New Roman" w:hAnsi="Times New Roman"/>
                <w:color w:val="auto"/>
                <w:sz w:val="24"/>
                <w:szCs w:val="24"/>
                <w:highlight w:val="none"/>
              </w:rPr>
            </w:pPr>
            <w:r>
              <w:rPr>
                <w:rFonts w:hint="eastAsia" w:ascii="Times New Roman" w:hAnsi="Times New Roman"/>
                <w:color w:val="auto"/>
                <w:sz w:val="24"/>
                <w:szCs w:val="24"/>
                <w:highlight w:val="none"/>
              </w:rPr>
              <w:t>通讯地址</w:t>
            </w:r>
          </w:p>
        </w:tc>
        <w:tc>
          <w:tcPr>
            <w:tcW w:w="2578" w:type="pct"/>
            <w:gridSpan w:val="5"/>
            <w:vAlign w:val="center"/>
          </w:tcPr>
          <w:p>
            <w:pPr>
              <w:jc w:val="center"/>
              <w:rPr>
                <w:rFonts w:hint="eastAsia" w:ascii="Times New Roman" w:hAnsi="Times New Roman"/>
                <w:color w:val="auto"/>
                <w:sz w:val="24"/>
                <w:szCs w:val="24"/>
                <w:highlight w:val="none"/>
              </w:rPr>
            </w:pPr>
            <w:r>
              <w:rPr>
                <w:rFonts w:hint="eastAsia" w:ascii="Times New Roman" w:hAnsi="Times New Roman"/>
                <w:color w:val="auto"/>
                <w:sz w:val="24"/>
                <w:szCs w:val="24"/>
                <w:highlight w:val="none"/>
              </w:rPr>
              <w:t>中国（广西）自由贸易试验区钦州港片区保税港区八大街1号北部湾国际门户港航运服务中心A座11楼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restart"/>
            <w:vAlign w:val="center"/>
          </w:tcPr>
          <w:p>
            <w:pPr>
              <w:spacing w:line="360" w:lineRule="auto"/>
              <w:jc w:val="center"/>
              <w:rPr>
                <w:rFonts w:ascii="Times New Roman" w:hAnsi="Times New Roman"/>
                <w:color w:val="auto"/>
                <w:sz w:val="24"/>
                <w:szCs w:val="24"/>
                <w:highlight w:val="none"/>
              </w:rPr>
            </w:pPr>
            <w:r>
              <w:rPr>
                <w:rFonts w:ascii="Times New Roman" w:hAnsi="Times New Roman"/>
                <w:color w:val="auto"/>
                <w:sz w:val="24"/>
                <w:szCs w:val="24"/>
                <w:highlight w:val="none"/>
              </w:rPr>
              <w:t>项目用海</w:t>
            </w:r>
          </w:p>
          <w:p>
            <w:pPr>
              <w:spacing w:line="360" w:lineRule="auto"/>
              <w:jc w:val="center"/>
              <w:rPr>
                <w:rFonts w:ascii="Times New Roman" w:hAnsi="Times New Roman"/>
                <w:color w:val="auto"/>
                <w:sz w:val="24"/>
                <w:szCs w:val="24"/>
                <w:highlight w:val="none"/>
              </w:rPr>
            </w:pPr>
            <w:r>
              <w:rPr>
                <w:rFonts w:ascii="Times New Roman" w:hAnsi="Times New Roman"/>
                <w:color w:val="auto"/>
                <w:sz w:val="24"/>
                <w:szCs w:val="24"/>
                <w:highlight w:val="none"/>
              </w:rPr>
              <w:t>基本情况</w:t>
            </w: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项目名称</w:t>
            </w:r>
          </w:p>
        </w:tc>
        <w:tc>
          <w:tcPr>
            <w:tcW w:w="3446" w:type="pct"/>
            <w:gridSpan w:val="6"/>
            <w:vAlign w:val="center"/>
          </w:tcPr>
          <w:p>
            <w:pPr>
              <w:jc w:val="center"/>
              <w:rPr>
                <w:rFonts w:ascii="Times New Roman" w:hAnsi="Times New Roman"/>
                <w:color w:val="auto"/>
                <w:sz w:val="24"/>
                <w:szCs w:val="24"/>
                <w:highlight w:val="none"/>
              </w:rPr>
            </w:pPr>
            <w:r>
              <w:rPr>
                <w:rFonts w:hint="eastAsia"/>
                <w:color w:val="auto"/>
                <w:sz w:val="24"/>
                <w:szCs w:val="24"/>
                <w:highlight w:val="none"/>
              </w:rPr>
              <w:t>钦州港30万吨级油码头拖轮临时应急通道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项目地址</w:t>
            </w:r>
          </w:p>
        </w:tc>
        <w:tc>
          <w:tcPr>
            <w:tcW w:w="3446" w:type="pct"/>
            <w:gridSpan w:val="6"/>
            <w:vAlign w:val="center"/>
          </w:tcPr>
          <w:p>
            <w:pPr>
              <w:jc w:val="center"/>
              <w:rPr>
                <w:color w:val="auto"/>
                <w:sz w:val="24"/>
                <w:szCs w:val="24"/>
                <w:highlight w:val="none"/>
              </w:rPr>
            </w:pPr>
            <w:r>
              <w:rPr>
                <w:rFonts w:hint="eastAsia"/>
                <w:color w:val="auto"/>
                <w:sz w:val="24"/>
                <w:szCs w:val="24"/>
                <w:highlight w:val="none"/>
              </w:rPr>
              <w:t>钦州市_中国（广西）自由贸易试验区钦州港片区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项目性质</w:t>
            </w:r>
          </w:p>
        </w:tc>
        <w:tc>
          <w:tcPr>
            <w:tcW w:w="1683" w:type="pct"/>
            <w:gridSpan w:val="3"/>
            <w:vAlign w:val="center"/>
          </w:tcPr>
          <w:p>
            <w:pPr>
              <w:jc w:val="left"/>
              <w:rPr>
                <w:rFonts w:ascii="Times New Roman" w:hAnsi="Times New Roman"/>
                <w:color w:val="auto"/>
                <w:sz w:val="24"/>
                <w:szCs w:val="24"/>
                <w:highlight w:val="none"/>
              </w:rPr>
            </w:pPr>
            <w:r>
              <w:rPr>
                <w:rFonts w:ascii="Times New Roman" w:hAnsi="Times New Roman"/>
                <w:color w:val="auto"/>
                <w:sz w:val="24"/>
                <w:szCs w:val="24"/>
                <w:highlight w:val="none"/>
              </w:rPr>
              <w:t>公益性</w:t>
            </w:r>
            <w:r>
              <w:rPr>
                <w:rFonts w:hint="eastAsia" w:ascii="Times New Roman" w:hAnsi="Times New Roman"/>
                <w:color w:val="auto"/>
                <w:sz w:val="24"/>
                <w:szCs w:val="24"/>
                <w:highlight w:val="none"/>
              </w:rPr>
              <w:t>（）</w:t>
            </w:r>
          </w:p>
        </w:tc>
        <w:tc>
          <w:tcPr>
            <w:tcW w:w="1762" w:type="pct"/>
            <w:gridSpan w:val="3"/>
            <w:vAlign w:val="center"/>
          </w:tcPr>
          <w:p>
            <w:pPr>
              <w:jc w:val="left"/>
              <w:rPr>
                <w:rFonts w:ascii="Times New Roman" w:hAnsi="Times New Roman"/>
                <w:color w:val="auto"/>
                <w:sz w:val="24"/>
                <w:szCs w:val="24"/>
                <w:highlight w:val="none"/>
              </w:rPr>
            </w:pPr>
            <w:r>
              <w:rPr>
                <w:rFonts w:ascii="Times New Roman" w:hAnsi="Times New Roman"/>
                <w:color w:val="auto"/>
                <w:sz w:val="24"/>
                <w:szCs w:val="24"/>
                <w:highlight w:val="none"/>
              </w:rPr>
              <w:t>经营性</w:t>
            </w:r>
            <w:r>
              <w:rPr>
                <w:rFonts w:hint="eastAsia" w:ascii="Times New Roman" w:hAnsi="Times New Roman"/>
                <w:color w:val="auto"/>
                <w:sz w:val="24"/>
                <w:szCs w:val="24"/>
                <w:highlight w:val="none"/>
              </w:rPr>
              <w:t>（</w:t>
            </w:r>
            <w:r>
              <w:rPr>
                <w:rFonts w:hint="eastAsia" w:ascii="宋体" w:hAnsi="宋体"/>
                <w:color w:val="auto"/>
                <w:sz w:val="24"/>
                <w:szCs w:val="24"/>
                <w:highlight w:val="none"/>
              </w:rPr>
              <w:t>√</w:t>
            </w:r>
            <w:r>
              <w:rPr>
                <w:rFonts w:hint="eastAsia" w:ascii="Times New Roman" w:hAnsi="Times New Roman"/>
                <w:color w:val="auto"/>
                <w:sz w:val="24"/>
                <w:szCs w:val="24"/>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用海面积</w:t>
            </w:r>
          </w:p>
        </w:tc>
        <w:tc>
          <w:tcPr>
            <w:tcW w:w="1683" w:type="pct"/>
            <w:gridSpan w:val="3"/>
            <w:tcBorders>
              <w:righ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27.1569hm</w:t>
            </w:r>
            <w:r>
              <w:rPr>
                <w:rFonts w:hint="eastAsia" w:ascii="Times New Roman" w:hAnsi="Times New Roman"/>
                <w:color w:val="auto"/>
                <w:sz w:val="24"/>
                <w:szCs w:val="24"/>
                <w:highlight w:val="none"/>
                <w:vertAlign w:val="superscript"/>
              </w:rPr>
              <w:t>2</w:t>
            </w:r>
          </w:p>
        </w:tc>
        <w:tc>
          <w:tcPr>
            <w:tcW w:w="804" w:type="pct"/>
            <w:gridSpan w:val="2"/>
            <w:tcBorders>
              <w:left w:val="single" w:color="auto" w:sz="4" w:space="0"/>
              <w:right w:val="single" w:color="auto" w:sz="4" w:space="0"/>
            </w:tcBorders>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投资金额</w:t>
            </w:r>
          </w:p>
        </w:tc>
        <w:tc>
          <w:tcPr>
            <w:tcW w:w="958" w:type="pct"/>
            <w:tcBorders>
              <w:left w:val="single" w:color="auto" w:sz="4" w:space="0"/>
            </w:tcBorders>
            <w:vAlign w:val="center"/>
          </w:tcPr>
          <w:p>
            <w:pPr>
              <w:ind w:firstLine="120" w:firstLineChars="50"/>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597.31万元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用海期限</w:t>
            </w:r>
          </w:p>
        </w:tc>
        <w:tc>
          <w:tcPr>
            <w:tcW w:w="1683" w:type="pct"/>
            <w:gridSpan w:val="3"/>
            <w:tcBorders>
              <w:right w:val="single" w:color="auto" w:sz="4" w:space="0"/>
            </w:tcBorders>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5年</w:t>
            </w:r>
          </w:p>
        </w:tc>
        <w:tc>
          <w:tcPr>
            <w:tcW w:w="804" w:type="pct"/>
            <w:gridSpan w:val="2"/>
            <w:tcBorders>
              <w:left w:val="single" w:color="auto" w:sz="4" w:space="0"/>
              <w:right w:val="single" w:color="auto" w:sz="4" w:space="0"/>
            </w:tcBorders>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预计就业</w:t>
            </w:r>
          </w:p>
          <w:p>
            <w:pPr>
              <w:jc w:val="center"/>
              <w:rPr>
                <w:rFonts w:ascii="Times New Roman" w:hAnsi="Times New Roman"/>
                <w:color w:val="auto"/>
                <w:sz w:val="24"/>
                <w:szCs w:val="24"/>
                <w:highlight w:val="none"/>
              </w:rPr>
            </w:pPr>
            <w:r>
              <w:rPr>
                <w:rFonts w:ascii="Times New Roman" w:hAnsi="Times New Roman"/>
                <w:color w:val="auto"/>
                <w:sz w:val="24"/>
                <w:szCs w:val="24"/>
                <w:highlight w:val="none"/>
              </w:rPr>
              <w:t>人数</w:t>
            </w:r>
          </w:p>
        </w:tc>
        <w:tc>
          <w:tcPr>
            <w:tcW w:w="958" w:type="pct"/>
            <w:tcBorders>
              <w:lef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20人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restart"/>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占用岸线</w:t>
            </w:r>
          </w:p>
        </w:tc>
        <w:tc>
          <w:tcPr>
            <w:tcW w:w="868" w:type="pct"/>
            <w:tcBorders>
              <w:right w:val="single" w:color="auto" w:sz="4" w:space="0"/>
            </w:tcBorders>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总长度</w:t>
            </w:r>
          </w:p>
        </w:tc>
        <w:tc>
          <w:tcPr>
            <w:tcW w:w="816" w:type="pct"/>
            <w:gridSpan w:val="2"/>
            <w:tcBorders>
              <w:lef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0</w:t>
            </w:r>
            <w:r>
              <w:rPr>
                <w:rFonts w:ascii="Times New Roman" w:hAnsi="Times New Roman"/>
                <w:color w:val="auto"/>
                <w:sz w:val="24"/>
                <w:szCs w:val="24"/>
                <w:highlight w:val="none"/>
              </w:rPr>
              <w:t>m</w:t>
            </w:r>
          </w:p>
        </w:tc>
        <w:tc>
          <w:tcPr>
            <w:tcW w:w="804" w:type="pct"/>
            <w:gridSpan w:val="2"/>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预计拉动区域经济产值</w:t>
            </w:r>
          </w:p>
        </w:tc>
        <w:tc>
          <w:tcPr>
            <w:tcW w:w="958" w:type="pct"/>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2000</w:t>
            </w:r>
            <w:r>
              <w:rPr>
                <w:rFonts w:ascii="Times New Roman" w:hAnsi="Times New Roman"/>
                <w:color w:val="auto"/>
                <w:sz w:val="24"/>
                <w:szCs w:val="24"/>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continue"/>
            <w:vAlign w:val="center"/>
          </w:tcPr>
          <w:p>
            <w:pPr>
              <w:jc w:val="center"/>
              <w:rPr>
                <w:rFonts w:ascii="Times New Roman" w:hAnsi="Times New Roman"/>
                <w:color w:val="auto"/>
                <w:sz w:val="24"/>
                <w:szCs w:val="24"/>
                <w:highlight w:val="none"/>
              </w:rPr>
            </w:pPr>
          </w:p>
        </w:tc>
        <w:tc>
          <w:tcPr>
            <w:tcW w:w="868" w:type="pct"/>
            <w:tcBorders>
              <w:righ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自然岸线</w:t>
            </w:r>
          </w:p>
        </w:tc>
        <w:tc>
          <w:tcPr>
            <w:tcW w:w="816" w:type="pct"/>
            <w:gridSpan w:val="2"/>
            <w:tcBorders>
              <w:lef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0</w:t>
            </w:r>
            <w:r>
              <w:rPr>
                <w:rFonts w:ascii="Times New Roman" w:hAnsi="Times New Roman"/>
                <w:color w:val="auto"/>
                <w:sz w:val="24"/>
                <w:szCs w:val="24"/>
                <w:highlight w:val="none"/>
              </w:rPr>
              <w:t>m</w:t>
            </w:r>
          </w:p>
        </w:tc>
        <w:tc>
          <w:tcPr>
            <w:tcW w:w="804" w:type="pct"/>
            <w:gridSpan w:val="2"/>
            <w:vAlign w:val="center"/>
          </w:tcPr>
          <w:p>
            <w:pPr>
              <w:jc w:val="center"/>
              <w:rPr>
                <w:rFonts w:ascii="Times New Roman" w:hAnsi="Times New Roman"/>
                <w:color w:val="auto"/>
                <w:sz w:val="24"/>
                <w:szCs w:val="24"/>
                <w:highlight w:val="none"/>
              </w:rPr>
            </w:pPr>
          </w:p>
        </w:tc>
        <w:tc>
          <w:tcPr>
            <w:tcW w:w="958" w:type="pct"/>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continue"/>
            <w:vAlign w:val="center"/>
          </w:tcPr>
          <w:p>
            <w:pPr>
              <w:jc w:val="center"/>
              <w:rPr>
                <w:rFonts w:ascii="Times New Roman" w:hAnsi="Times New Roman"/>
                <w:color w:val="auto"/>
                <w:sz w:val="24"/>
                <w:szCs w:val="24"/>
                <w:highlight w:val="none"/>
              </w:rPr>
            </w:pPr>
          </w:p>
        </w:tc>
        <w:tc>
          <w:tcPr>
            <w:tcW w:w="868" w:type="pct"/>
            <w:tcBorders>
              <w:righ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人工岸线</w:t>
            </w:r>
          </w:p>
        </w:tc>
        <w:tc>
          <w:tcPr>
            <w:tcW w:w="816" w:type="pct"/>
            <w:gridSpan w:val="2"/>
            <w:tcBorders>
              <w:lef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0</w:t>
            </w:r>
            <w:r>
              <w:rPr>
                <w:rFonts w:ascii="Times New Roman" w:hAnsi="Times New Roman"/>
                <w:color w:val="auto"/>
                <w:sz w:val="24"/>
                <w:szCs w:val="24"/>
                <w:highlight w:val="none"/>
              </w:rPr>
              <w:t>m</w:t>
            </w:r>
          </w:p>
        </w:tc>
        <w:tc>
          <w:tcPr>
            <w:tcW w:w="804" w:type="pct"/>
            <w:gridSpan w:val="2"/>
            <w:vAlign w:val="center"/>
          </w:tcPr>
          <w:p>
            <w:pPr>
              <w:jc w:val="center"/>
              <w:rPr>
                <w:rFonts w:ascii="Times New Roman" w:hAnsi="Times New Roman"/>
                <w:color w:val="auto"/>
                <w:sz w:val="24"/>
                <w:szCs w:val="24"/>
                <w:highlight w:val="none"/>
              </w:rPr>
            </w:pPr>
          </w:p>
        </w:tc>
        <w:tc>
          <w:tcPr>
            <w:tcW w:w="958" w:type="pct"/>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Merge w:val="continue"/>
            <w:vAlign w:val="center"/>
          </w:tcPr>
          <w:p>
            <w:pPr>
              <w:jc w:val="center"/>
              <w:rPr>
                <w:rFonts w:ascii="Times New Roman" w:hAnsi="Times New Roman"/>
                <w:color w:val="auto"/>
                <w:sz w:val="24"/>
                <w:szCs w:val="24"/>
                <w:highlight w:val="none"/>
              </w:rPr>
            </w:pPr>
          </w:p>
        </w:tc>
        <w:tc>
          <w:tcPr>
            <w:tcW w:w="868" w:type="pct"/>
            <w:tcBorders>
              <w:righ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其他岸线</w:t>
            </w:r>
          </w:p>
        </w:tc>
        <w:tc>
          <w:tcPr>
            <w:tcW w:w="816" w:type="pct"/>
            <w:gridSpan w:val="2"/>
            <w:tcBorders>
              <w:left w:val="single" w:color="auto" w:sz="4" w:space="0"/>
              <w:righ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0</w:t>
            </w:r>
            <w:r>
              <w:rPr>
                <w:rFonts w:ascii="Times New Roman" w:hAnsi="Times New Roman"/>
                <w:color w:val="auto"/>
                <w:sz w:val="24"/>
                <w:szCs w:val="24"/>
                <w:highlight w:val="none"/>
              </w:rPr>
              <w:t>m</w:t>
            </w:r>
          </w:p>
        </w:tc>
        <w:tc>
          <w:tcPr>
            <w:tcW w:w="804" w:type="pct"/>
            <w:gridSpan w:val="2"/>
            <w:tcBorders>
              <w:left w:val="single" w:color="auto" w:sz="4" w:space="0"/>
            </w:tcBorders>
            <w:vAlign w:val="center"/>
          </w:tcPr>
          <w:p>
            <w:pPr>
              <w:jc w:val="center"/>
              <w:rPr>
                <w:rFonts w:ascii="Times New Roman" w:hAnsi="Times New Roman"/>
                <w:color w:val="auto"/>
                <w:sz w:val="24"/>
                <w:szCs w:val="24"/>
                <w:highlight w:val="none"/>
              </w:rPr>
            </w:pPr>
          </w:p>
        </w:tc>
        <w:tc>
          <w:tcPr>
            <w:tcW w:w="958" w:type="pct"/>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752" w:type="pct"/>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海域使用</w:t>
            </w:r>
            <w:r>
              <w:rPr>
                <w:rFonts w:ascii="Times New Roman" w:hAnsi="Times New Roman"/>
                <w:color w:val="auto"/>
                <w:sz w:val="24"/>
                <w:szCs w:val="24"/>
                <w:highlight w:val="none"/>
              </w:rPr>
              <w:t>类型</w:t>
            </w:r>
          </w:p>
        </w:tc>
        <w:tc>
          <w:tcPr>
            <w:tcW w:w="1683" w:type="pct"/>
            <w:gridSpan w:val="3"/>
            <w:tcBorders>
              <w:right w:val="single" w:color="auto" w:sz="4" w:space="0"/>
            </w:tcBorders>
            <w:vAlign w:val="center"/>
          </w:tcPr>
          <w:p>
            <w:pPr>
              <w:jc w:val="center"/>
              <w:rPr>
                <w:rFonts w:ascii="Times New Roman" w:hAnsi="Times New Roman"/>
                <w:color w:val="auto"/>
                <w:sz w:val="24"/>
                <w:szCs w:val="24"/>
                <w:highlight w:val="none"/>
              </w:rPr>
            </w:pPr>
            <w:r>
              <w:rPr>
                <w:rFonts w:hint="eastAsia" w:ascii="宋体" w:hAnsi="宋体" w:cs="宋体"/>
                <w:color w:val="auto"/>
                <w:highlight w:val="none"/>
              </w:rPr>
              <w:t>交通运输用海——航运用海</w:t>
            </w:r>
          </w:p>
        </w:tc>
        <w:tc>
          <w:tcPr>
            <w:tcW w:w="804" w:type="pct"/>
            <w:gridSpan w:val="2"/>
            <w:tcBorders>
              <w:left w:val="single" w:color="auto" w:sz="4" w:space="0"/>
              <w:right w:val="single" w:color="auto" w:sz="4" w:space="0"/>
            </w:tcBorders>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新增岸线</w:t>
            </w:r>
          </w:p>
        </w:tc>
        <w:tc>
          <w:tcPr>
            <w:tcW w:w="958" w:type="pct"/>
            <w:tcBorders>
              <w:left w:val="single" w:color="auto" w:sz="4" w:space="0"/>
            </w:tcBorders>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0</w:t>
            </w:r>
            <w:r>
              <w:rPr>
                <w:rFonts w:ascii="Times New Roman" w:hAnsi="Times New Roman"/>
                <w:color w:val="auto"/>
                <w:sz w:val="24"/>
                <w:szCs w:val="24"/>
                <w:highlight w:val="none"/>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1857" w:type="pct"/>
            <w:gridSpan w:val="3"/>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用海方式</w:t>
            </w:r>
          </w:p>
        </w:tc>
        <w:tc>
          <w:tcPr>
            <w:tcW w:w="911" w:type="pct"/>
            <w:gridSpan w:val="2"/>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面积</w:t>
            </w:r>
          </w:p>
        </w:tc>
        <w:tc>
          <w:tcPr>
            <w:tcW w:w="1430" w:type="pct"/>
            <w:gridSpan w:val="2"/>
            <w:vAlign w:val="center"/>
          </w:tcPr>
          <w:p>
            <w:pPr>
              <w:jc w:val="center"/>
              <w:rPr>
                <w:rFonts w:ascii="Times New Roman" w:hAnsi="Times New Roman"/>
                <w:color w:val="auto"/>
                <w:sz w:val="24"/>
                <w:szCs w:val="24"/>
                <w:highlight w:val="none"/>
              </w:rPr>
            </w:pPr>
            <w:r>
              <w:rPr>
                <w:rFonts w:ascii="Times New Roman" w:hAnsi="Times New Roman"/>
                <w:color w:val="auto"/>
                <w:sz w:val="24"/>
                <w:szCs w:val="24"/>
                <w:highlight w:val="none"/>
              </w:rPr>
              <w:t>具体用途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1857" w:type="pct"/>
            <w:gridSpan w:val="3"/>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其他开放式用海</w:t>
            </w:r>
          </w:p>
        </w:tc>
        <w:tc>
          <w:tcPr>
            <w:tcW w:w="911" w:type="pct"/>
            <w:gridSpan w:val="2"/>
            <w:vAlign w:val="center"/>
          </w:tcPr>
          <w:p>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27.1569hm</w:t>
            </w:r>
            <w:r>
              <w:rPr>
                <w:rFonts w:hint="eastAsia" w:ascii="Times New Roman" w:hAnsi="Times New Roman"/>
                <w:color w:val="auto"/>
                <w:sz w:val="24"/>
                <w:szCs w:val="24"/>
                <w:highlight w:val="none"/>
                <w:vertAlign w:val="superscript"/>
              </w:rPr>
              <w:t>2</w:t>
            </w:r>
          </w:p>
        </w:tc>
        <w:tc>
          <w:tcPr>
            <w:tcW w:w="1430" w:type="pct"/>
            <w:gridSpan w:val="2"/>
            <w:vAlign w:val="center"/>
          </w:tcPr>
          <w:p>
            <w:pPr>
              <w:jc w:val="center"/>
              <w:rPr>
                <w:rFonts w:ascii="Times New Roman" w:hAnsi="Times New Roman"/>
                <w:color w:val="auto"/>
                <w:sz w:val="24"/>
                <w:szCs w:val="24"/>
                <w:highlight w:val="none"/>
              </w:rPr>
            </w:pPr>
            <w:r>
              <w:rPr>
                <w:rFonts w:hint="eastAsia"/>
                <w:color w:val="auto"/>
                <w:sz w:val="24"/>
                <w:szCs w:val="24"/>
                <w:highlight w:val="none"/>
              </w:rPr>
              <w:t>拖轮临时应急通道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1857" w:type="pct"/>
            <w:gridSpan w:val="3"/>
            <w:vAlign w:val="center"/>
          </w:tcPr>
          <w:p>
            <w:pPr>
              <w:jc w:val="center"/>
              <w:rPr>
                <w:rFonts w:ascii="Times New Roman" w:hAnsi="Times New Roman"/>
                <w:color w:val="auto"/>
                <w:sz w:val="24"/>
                <w:szCs w:val="24"/>
                <w:highlight w:val="none"/>
              </w:rPr>
            </w:pPr>
          </w:p>
        </w:tc>
        <w:tc>
          <w:tcPr>
            <w:tcW w:w="911" w:type="pct"/>
            <w:gridSpan w:val="2"/>
            <w:vAlign w:val="center"/>
          </w:tcPr>
          <w:p>
            <w:pPr>
              <w:jc w:val="center"/>
              <w:rPr>
                <w:rFonts w:ascii="Times New Roman" w:hAnsi="Times New Roman"/>
                <w:color w:val="auto"/>
                <w:sz w:val="24"/>
                <w:szCs w:val="24"/>
                <w:highlight w:val="none"/>
              </w:rPr>
            </w:pPr>
          </w:p>
        </w:tc>
        <w:tc>
          <w:tcPr>
            <w:tcW w:w="1430" w:type="pct"/>
            <w:gridSpan w:val="2"/>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trPr>
        <w:tc>
          <w:tcPr>
            <w:tcW w:w="802" w:type="pct"/>
            <w:vMerge w:val="continue"/>
            <w:vAlign w:val="center"/>
          </w:tcPr>
          <w:p>
            <w:pPr>
              <w:jc w:val="center"/>
              <w:rPr>
                <w:rFonts w:ascii="Times New Roman" w:hAnsi="Times New Roman"/>
                <w:color w:val="auto"/>
                <w:sz w:val="24"/>
                <w:szCs w:val="24"/>
                <w:highlight w:val="none"/>
              </w:rPr>
            </w:pPr>
          </w:p>
        </w:tc>
        <w:tc>
          <w:tcPr>
            <w:tcW w:w="1857" w:type="pct"/>
            <w:gridSpan w:val="3"/>
            <w:vAlign w:val="center"/>
          </w:tcPr>
          <w:p>
            <w:pPr>
              <w:jc w:val="center"/>
              <w:rPr>
                <w:rFonts w:ascii="Times New Roman" w:hAnsi="Times New Roman"/>
                <w:color w:val="auto"/>
                <w:sz w:val="24"/>
                <w:szCs w:val="24"/>
                <w:highlight w:val="none"/>
              </w:rPr>
            </w:pPr>
          </w:p>
        </w:tc>
        <w:tc>
          <w:tcPr>
            <w:tcW w:w="911" w:type="pct"/>
            <w:gridSpan w:val="2"/>
            <w:vAlign w:val="center"/>
          </w:tcPr>
          <w:p>
            <w:pPr>
              <w:jc w:val="center"/>
              <w:rPr>
                <w:rFonts w:ascii="Times New Roman" w:hAnsi="Times New Roman"/>
                <w:color w:val="auto"/>
                <w:sz w:val="24"/>
                <w:szCs w:val="24"/>
                <w:highlight w:val="none"/>
              </w:rPr>
            </w:pPr>
          </w:p>
        </w:tc>
        <w:tc>
          <w:tcPr>
            <w:tcW w:w="1430" w:type="pct"/>
            <w:gridSpan w:val="2"/>
            <w:vAlign w:val="center"/>
          </w:tcPr>
          <w:p>
            <w:pPr>
              <w:jc w:val="center"/>
              <w:rPr>
                <w:rFonts w:ascii="Times New Roman" w:hAnsi="Times New Roman"/>
                <w:color w:val="auto"/>
                <w:sz w:val="24"/>
                <w:szCs w:val="24"/>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spacing w:line="360" w:lineRule="auto"/>
              <w:rPr>
                <w:rFonts w:ascii="Times New Roman" w:hAnsi="Times New Roman"/>
                <w:b/>
                <w:color w:val="auto"/>
                <w:sz w:val="30"/>
                <w:szCs w:val="30"/>
                <w:highlight w:val="none"/>
              </w:rPr>
            </w:pPr>
            <w:r>
              <w:rPr>
                <w:rFonts w:ascii="Times New Roman" w:hAnsi="Times New Roman"/>
                <w:b/>
                <w:color w:val="auto"/>
                <w:sz w:val="30"/>
                <w:szCs w:val="30"/>
                <w:highlight w:val="none"/>
              </w:rPr>
              <w:t xml:space="preserve">1 </w:t>
            </w:r>
            <w:r>
              <w:rPr>
                <w:rFonts w:ascii="Times New Roman" w:hAnsi="宋体"/>
                <w:b/>
                <w:color w:val="auto"/>
                <w:sz w:val="30"/>
                <w:szCs w:val="30"/>
                <w:highlight w:val="none"/>
              </w:rPr>
              <w:t>项目</w:t>
            </w:r>
            <w:r>
              <w:rPr>
                <w:rFonts w:hint="eastAsia" w:ascii="Times New Roman" w:hAnsi="宋体"/>
                <w:b/>
                <w:color w:val="auto"/>
                <w:sz w:val="30"/>
                <w:szCs w:val="30"/>
                <w:highlight w:val="none"/>
              </w:rPr>
              <w:t>用海基本情况</w:t>
            </w:r>
          </w:p>
          <w:p>
            <w:pPr>
              <w:spacing w:line="360" w:lineRule="auto"/>
              <w:rPr>
                <w:rFonts w:ascii="Times New Roman" w:hAnsi="Times New Roman"/>
                <w:b/>
                <w:color w:val="auto"/>
                <w:sz w:val="24"/>
                <w:szCs w:val="24"/>
                <w:highlight w:val="none"/>
              </w:rPr>
            </w:pPr>
            <w:r>
              <w:rPr>
                <w:rFonts w:ascii="Times New Roman" w:hAnsi="Times New Roman"/>
                <w:b/>
                <w:color w:val="auto"/>
                <w:sz w:val="24"/>
                <w:szCs w:val="24"/>
                <w:highlight w:val="none"/>
              </w:rPr>
              <w:t>1.1</w:t>
            </w:r>
            <w:r>
              <w:rPr>
                <w:rFonts w:hint="eastAsia" w:ascii="Times New Roman" w:hAnsi="Times New Roman"/>
                <w:b/>
                <w:color w:val="auto"/>
                <w:sz w:val="24"/>
                <w:szCs w:val="24"/>
                <w:highlight w:val="none"/>
              </w:rPr>
              <w:t>项目性质、地理位置</w:t>
            </w:r>
          </w:p>
          <w:p>
            <w:pPr>
              <w:spacing w:line="360" w:lineRule="auto"/>
              <w:ind w:firstLine="513" w:firstLineChars="214"/>
              <w:rPr>
                <w:color w:val="auto"/>
                <w:sz w:val="24"/>
                <w:szCs w:val="24"/>
                <w:highlight w:val="none"/>
              </w:rPr>
            </w:pPr>
            <w:r>
              <w:rPr>
                <w:rFonts w:hint="eastAsia"/>
                <w:color w:val="auto"/>
                <w:sz w:val="24"/>
                <w:szCs w:val="24"/>
                <w:highlight w:val="none"/>
              </w:rPr>
              <w:t>项目性质：经营性海域使用权出让项目</w:t>
            </w:r>
          </w:p>
          <w:p>
            <w:pPr>
              <w:spacing w:line="360" w:lineRule="auto"/>
              <w:ind w:firstLine="513" w:firstLineChars="214"/>
              <w:rPr>
                <w:rFonts w:ascii="Times New Roman" w:hAnsi="Times New Roman"/>
                <w:color w:val="auto"/>
                <w:sz w:val="24"/>
                <w:szCs w:val="24"/>
                <w:highlight w:val="none"/>
              </w:rPr>
            </w:pPr>
            <w:r>
              <w:rPr>
                <w:rFonts w:hint="eastAsia" w:ascii="Times New Roman" w:hAnsi="宋体"/>
                <w:color w:val="auto"/>
                <w:sz w:val="24"/>
                <w:szCs w:val="24"/>
                <w:highlight w:val="none"/>
              </w:rPr>
              <w:t>地理位置：</w:t>
            </w:r>
            <w:r>
              <w:rPr>
                <w:rFonts w:hint="eastAsia" w:ascii="Times New Roman" w:hAnsi="Times New Roman"/>
                <w:color w:val="auto"/>
                <w:sz w:val="24"/>
                <w:szCs w:val="24"/>
                <w:highlight w:val="none"/>
              </w:rPr>
              <w:t>位于钦州市_中国（广西）自由贸易试验区钦州港片区钦州港海域</w:t>
            </w:r>
            <w:r>
              <w:rPr>
                <w:rFonts w:ascii="Times New Roman" w:hAnsi="Times New Roman"/>
                <w:color w:val="auto"/>
                <w:sz w:val="24"/>
                <w:szCs w:val="24"/>
                <w:highlight w:val="none"/>
              </w:rPr>
              <w:t>，见图1-1。</w:t>
            </w:r>
          </w:p>
          <w:p>
            <w:pPr>
              <w:spacing w:line="360" w:lineRule="auto"/>
              <w:jc w:val="center"/>
              <w:rPr>
                <w:rFonts w:ascii="Times New Roman" w:hAnsi="Times New Roman"/>
                <w:color w:val="auto"/>
                <w:sz w:val="24"/>
                <w:szCs w:val="24"/>
                <w:highlight w:val="none"/>
              </w:rPr>
            </w:pPr>
            <w:r>
              <w:rPr>
                <w:rFonts w:ascii="Times New Roman" w:hAnsi="Times New Roman"/>
                <w:b/>
                <w:color w:val="auto"/>
                <w:sz w:val="30"/>
                <w:szCs w:val="30"/>
                <w:highlight w:val="none"/>
              </w:rPr>
              <w:pict>
                <v:shape id="_x0000_s1033" o:spid="_x0000_s1033" o:spt="61" type="#_x0000_t61" style="position:absolute;left:0pt;margin-left:102.3pt;margin-top:216.5pt;height:22.3pt;width:65.15pt;z-index:251664384;mso-width-relative:page;mso-height-relative:page;" stroked="t" coordsize="21600,21600" adj="38376,-33223">
                  <v:path/>
                  <v:fill opacity="0f" focussize="0,0"/>
                  <v:stroke color="#FF0000" joinstyle="miter"/>
                  <v:imagedata o:title=""/>
                  <o:lock v:ext="edit"/>
                  <v:textbox>
                    <w:txbxContent>
                      <w:p>
                        <w:pPr>
                          <w:rPr>
                            <w:color w:val="FF0000"/>
                          </w:rPr>
                        </w:pPr>
                        <w:r>
                          <w:rPr>
                            <w:color w:val="FF0000"/>
                          </w:rPr>
                          <w:t>项目位置</w:t>
                        </w:r>
                      </w:p>
                      <w:p/>
                    </w:txbxContent>
                  </v:textbox>
                </v:shape>
              </w:pict>
            </w:r>
            <w:r>
              <w:rPr>
                <w:color w:val="auto"/>
                <w:highlight w:val="none"/>
              </w:rPr>
              <w:pict>
                <v:shape id="自选图形 62" o:spid="_x0000_s1026" o:spt="61" type="#_x0000_t61" style="position:absolute;left:0pt;margin-left:136.65pt;margin-top:152.6pt;height:25.75pt;width:69pt;z-index:251659264;mso-width-relative:page;mso-height-relative:page;" filled="f" coordsize="21600,21600" o:gfxdata="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TOrx+tgAAAALAQAADwAAAAAAAAABACAAAAAiAAAAZHJzL2Rvd25y&#10;ZXYueG1sUEsBAhQAFAAAAAgAh07iQMFL0Po3AgAAZAQAAA4AAAAAAAAAAQAgAAAAJwEAAGRycy9l&#10;Mm9Eb2MueG1sUEsFBgAAAAAGAAYAWQEAANAFAAAAAA==&#10;" adj="28815,-4236">
                  <v:path/>
                  <v:fill on="f" focussize="0,0"/>
                  <v:stroke joinstyle="miter"/>
                  <v:imagedata o:title=""/>
                  <o:lock v:ext="edit"/>
                  <v:textbox>
                    <w:txbxContent>
                      <w:p>
                        <w:pPr>
                          <w:rPr>
                            <w:b/>
                            <w:bCs/>
                            <w:sz w:val="24"/>
                            <w:szCs w:val="24"/>
                          </w:rPr>
                        </w:pPr>
                        <w:r>
                          <w:rPr>
                            <w:rFonts w:hint="eastAsia"/>
                            <w:b/>
                            <w:bCs/>
                            <w:sz w:val="24"/>
                            <w:szCs w:val="24"/>
                          </w:rPr>
                          <w:t>项目位置</w:t>
                        </w:r>
                      </w:p>
                    </w:txbxContent>
                  </v:textbox>
                </v:shape>
              </w:pict>
            </w:r>
            <w:r>
              <w:rPr>
                <w:color w:val="auto"/>
                <w:highlight w:val="none"/>
              </w:rPr>
              <w:pict>
                <v:shape id="_x0000_i1025" o:spt="75" type="#_x0000_t75" style="height:279.5pt;width:453pt;" filled="f" o:preferrelative="t" stroked="f" coordsize="21600,21600">
                  <v:path/>
                  <v:fill on="f" focussize="0,0"/>
                  <v:stroke on="f" joinstyle="miter"/>
                  <v:imagedata r:id="rId10" o:title="位置图-卫星图"/>
                  <o:lock v:ext="edit" aspectratio="t"/>
                  <w10:wrap type="none"/>
                  <w10:anchorlock/>
                </v:shape>
              </w:pict>
            </w:r>
          </w:p>
          <w:p>
            <w:pPr>
              <w:spacing w:beforeLines="50" w:afterLines="50"/>
              <w:jc w:val="center"/>
              <w:rPr>
                <w:rFonts w:ascii="Times New Roman" w:hAnsi="Times New Roman"/>
                <w:b/>
                <w:color w:val="auto"/>
                <w:sz w:val="24"/>
                <w:szCs w:val="24"/>
                <w:highlight w:val="none"/>
              </w:rPr>
            </w:pPr>
            <w:r>
              <w:rPr>
                <w:rFonts w:ascii="Times New Roman" w:hAnsi="宋体"/>
                <w:b/>
                <w:color w:val="auto"/>
                <w:sz w:val="24"/>
                <w:szCs w:val="24"/>
                <w:highlight w:val="none"/>
              </w:rPr>
              <w:t>图</w:t>
            </w:r>
            <w:r>
              <w:rPr>
                <w:rFonts w:ascii="Times New Roman" w:hAnsi="Times New Roman"/>
                <w:b/>
                <w:color w:val="auto"/>
                <w:sz w:val="24"/>
                <w:szCs w:val="24"/>
                <w:highlight w:val="none"/>
              </w:rPr>
              <w:t>1</w:t>
            </w:r>
            <w:r>
              <w:rPr>
                <w:rFonts w:hint="eastAsia" w:ascii="Times New Roman" w:hAnsi="Times New Roman"/>
                <w:b/>
                <w:color w:val="auto"/>
                <w:sz w:val="24"/>
                <w:szCs w:val="24"/>
                <w:highlight w:val="none"/>
              </w:rPr>
              <w:t>-1</w:t>
            </w:r>
            <w:r>
              <w:rPr>
                <w:rFonts w:ascii="Times New Roman" w:hAnsi="宋体"/>
                <w:b/>
                <w:color w:val="auto"/>
                <w:sz w:val="24"/>
                <w:szCs w:val="24"/>
                <w:highlight w:val="none"/>
              </w:rPr>
              <w:t>项</w:t>
            </w:r>
            <w:r>
              <w:rPr>
                <w:rFonts w:hint="eastAsia" w:ascii="Times New Roman" w:hAnsi="宋体"/>
                <w:b/>
                <w:color w:val="auto"/>
                <w:sz w:val="24"/>
                <w:szCs w:val="24"/>
                <w:highlight w:val="none"/>
              </w:rPr>
              <w:t>目地理位置示意图</w:t>
            </w:r>
          </w:p>
          <w:p>
            <w:pPr>
              <w:spacing w:line="360" w:lineRule="auto"/>
              <w:rPr>
                <w:rFonts w:ascii="Times New Roman" w:hAnsi="Times New Roman"/>
                <w:b/>
                <w:color w:val="auto"/>
                <w:sz w:val="24"/>
                <w:szCs w:val="24"/>
                <w:highlight w:val="none"/>
              </w:rPr>
            </w:pPr>
            <w:r>
              <w:rPr>
                <w:rFonts w:ascii="Times New Roman" w:hAnsi="Times New Roman"/>
                <w:b/>
                <w:color w:val="auto"/>
                <w:sz w:val="24"/>
                <w:szCs w:val="24"/>
                <w:highlight w:val="none"/>
              </w:rPr>
              <w:t>1.</w:t>
            </w:r>
            <w:r>
              <w:rPr>
                <w:rFonts w:hint="eastAsia" w:ascii="Times New Roman" w:hAnsi="Times New Roman"/>
                <w:b/>
                <w:color w:val="auto"/>
                <w:sz w:val="24"/>
                <w:szCs w:val="24"/>
                <w:highlight w:val="none"/>
              </w:rPr>
              <w:t>2建设内容和用海平面布置</w:t>
            </w:r>
          </w:p>
          <w:p>
            <w:pPr>
              <w:spacing w:line="360" w:lineRule="auto"/>
              <w:ind w:firstLine="585"/>
              <w:rPr>
                <w:rFonts w:ascii="Times New Roman"/>
                <w:color w:val="auto"/>
                <w:sz w:val="24"/>
                <w:szCs w:val="24"/>
                <w:highlight w:val="none"/>
                <w:lang w:val="zh-CN"/>
              </w:rPr>
            </w:pPr>
            <w:r>
              <w:rPr>
                <w:rFonts w:hint="eastAsia" w:hAnsi="宋体"/>
                <w:color w:val="auto"/>
                <w:sz w:val="24"/>
                <w:szCs w:val="24"/>
                <w:highlight w:val="none"/>
              </w:rPr>
              <w:t>本</w:t>
            </w:r>
            <w:r>
              <w:rPr>
                <w:rFonts w:hAnsi="宋体"/>
                <w:color w:val="auto"/>
                <w:sz w:val="24"/>
                <w:szCs w:val="24"/>
                <w:highlight w:val="none"/>
              </w:rPr>
              <w:t>项目</w:t>
            </w:r>
            <w:r>
              <w:rPr>
                <w:rFonts w:hint="eastAsia"/>
                <w:color w:val="auto"/>
                <w:sz w:val="24"/>
                <w:szCs w:val="24"/>
                <w:highlight w:val="none"/>
              </w:rPr>
              <w:t>钦州港30万吨级油码头拖轮临时应急通道（以下简称“临时通道”）</w:t>
            </w:r>
            <w:r>
              <w:rPr>
                <w:rFonts w:hint="eastAsia" w:hAnsi="宋体"/>
                <w:color w:val="auto"/>
                <w:sz w:val="24"/>
                <w:szCs w:val="24"/>
                <w:highlight w:val="none"/>
              </w:rPr>
              <w:t>为新建其他开放式用海项目，</w:t>
            </w:r>
            <w:r>
              <w:rPr>
                <w:rFonts w:hint="eastAsia"/>
                <w:color w:val="auto"/>
                <w:sz w:val="24"/>
                <w:szCs w:val="24"/>
                <w:highlight w:val="none"/>
              </w:rPr>
              <w:t>建设内容</w:t>
            </w:r>
            <w:r>
              <w:rPr>
                <w:rFonts w:hint="eastAsia" w:ascii="Times New Roman"/>
                <w:color w:val="auto"/>
                <w:sz w:val="24"/>
                <w:szCs w:val="24"/>
                <w:highlight w:val="none"/>
              </w:rPr>
              <w:t>为疏浚拖轮临时应急通道和设置助航标志</w:t>
            </w:r>
            <w:r>
              <w:rPr>
                <w:rFonts w:ascii="Times New Roman"/>
                <w:color w:val="auto"/>
                <w:sz w:val="24"/>
                <w:szCs w:val="24"/>
                <w:highlight w:val="none"/>
                <w:lang w:val="zh-CN"/>
              </w:rPr>
              <w:t>，</w:t>
            </w:r>
            <w:r>
              <w:rPr>
                <w:rFonts w:hint="eastAsia" w:ascii="Times New Roman"/>
                <w:color w:val="auto"/>
                <w:sz w:val="24"/>
                <w:szCs w:val="24"/>
                <w:highlight w:val="none"/>
              </w:rPr>
              <w:t>临时</w:t>
            </w:r>
            <w:r>
              <w:rPr>
                <w:rFonts w:hint="eastAsia" w:ascii="Times New Roman"/>
                <w:color w:val="auto"/>
                <w:sz w:val="24"/>
                <w:szCs w:val="24"/>
                <w:highlight w:val="none"/>
                <w:lang w:val="zh-CN"/>
              </w:rPr>
              <w:t>通道按单线通道设计，</w:t>
            </w:r>
            <w:r>
              <w:rPr>
                <w:rFonts w:hint="eastAsia" w:ascii="Times New Roman"/>
                <w:color w:val="auto"/>
                <w:sz w:val="24"/>
                <w:szCs w:val="24"/>
                <w:highlight w:val="none"/>
              </w:rPr>
              <w:t>临时</w:t>
            </w:r>
            <w:r>
              <w:rPr>
                <w:rFonts w:hint="eastAsia" w:ascii="Times New Roman"/>
                <w:color w:val="auto"/>
                <w:sz w:val="24"/>
                <w:szCs w:val="24"/>
                <w:highlight w:val="none"/>
                <w:lang w:val="zh-CN"/>
              </w:rPr>
              <w:t>通道</w:t>
            </w:r>
            <w:r>
              <w:rPr>
                <w:rFonts w:hint="eastAsia" w:ascii="Times New Roman"/>
                <w:color w:val="auto"/>
                <w:sz w:val="24"/>
                <w:szCs w:val="24"/>
                <w:highlight w:val="none"/>
              </w:rPr>
              <w:t>总</w:t>
            </w:r>
            <w:r>
              <w:rPr>
                <w:rFonts w:hint="eastAsia" w:ascii="Times New Roman"/>
                <w:color w:val="auto"/>
                <w:sz w:val="24"/>
                <w:szCs w:val="24"/>
                <w:highlight w:val="none"/>
                <w:lang w:val="zh-CN"/>
              </w:rPr>
              <w:t>长度</w:t>
            </w:r>
            <w:r>
              <w:rPr>
                <w:rFonts w:hint="eastAsia" w:ascii="Times New Roman"/>
                <w:color w:val="auto"/>
                <w:sz w:val="24"/>
                <w:szCs w:val="24"/>
                <w:highlight w:val="none"/>
              </w:rPr>
              <w:t>3.082</w:t>
            </w:r>
            <w:r>
              <w:rPr>
                <w:rFonts w:hint="eastAsia" w:ascii="Times New Roman" w:hAnsi="Times New Roman" w:eastAsiaTheme="majorEastAsia"/>
                <w:color w:val="auto"/>
                <w:sz w:val="24"/>
                <w:szCs w:val="24"/>
                <w:highlight w:val="none"/>
              </w:rPr>
              <w:t>k</w:t>
            </w:r>
            <w:r>
              <w:rPr>
                <w:rFonts w:ascii="Times New Roman" w:hAnsi="Times New Roman" w:eastAsiaTheme="majorEastAsia"/>
                <w:color w:val="auto"/>
                <w:sz w:val="24"/>
                <w:szCs w:val="24"/>
                <w:highlight w:val="none"/>
              </w:rPr>
              <w:t>m</w:t>
            </w:r>
            <w:r>
              <w:rPr>
                <w:rFonts w:hint="eastAsia" w:ascii="Times New Roman"/>
                <w:color w:val="auto"/>
                <w:sz w:val="24"/>
                <w:szCs w:val="24"/>
                <w:highlight w:val="none"/>
                <w:lang w:val="zh-CN"/>
              </w:rPr>
              <w:t>，</w:t>
            </w:r>
            <w:r>
              <w:rPr>
                <w:rFonts w:hint="eastAsia" w:ascii="Times New Roman"/>
                <w:color w:val="auto"/>
                <w:sz w:val="24"/>
                <w:szCs w:val="24"/>
                <w:highlight w:val="none"/>
              </w:rPr>
              <w:t>设计</w:t>
            </w:r>
            <w:r>
              <w:rPr>
                <w:rFonts w:hint="eastAsia" w:ascii="Times New Roman"/>
                <w:color w:val="auto"/>
                <w:sz w:val="24"/>
                <w:szCs w:val="24"/>
                <w:highlight w:val="none"/>
                <w:lang w:val="zh-CN"/>
              </w:rPr>
              <w:t>宽度4</w:t>
            </w:r>
            <w:r>
              <w:rPr>
                <w:rFonts w:hint="eastAsia" w:ascii="Times New Roman"/>
                <w:color w:val="auto"/>
                <w:sz w:val="24"/>
                <w:szCs w:val="24"/>
                <w:highlight w:val="none"/>
              </w:rPr>
              <w:t>6</w:t>
            </w:r>
            <w:r>
              <w:rPr>
                <w:rFonts w:hint="eastAsia" w:ascii="Times New Roman"/>
                <w:color w:val="auto"/>
                <w:sz w:val="24"/>
                <w:szCs w:val="24"/>
                <w:highlight w:val="none"/>
                <w:lang w:val="zh-CN"/>
              </w:rPr>
              <w:t>m，</w:t>
            </w:r>
            <w:r>
              <w:rPr>
                <w:rFonts w:hint="eastAsia" w:ascii="Times New Roman"/>
                <w:color w:val="auto"/>
                <w:sz w:val="24"/>
                <w:szCs w:val="24"/>
                <w:highlight w:val="none"/>
              </w:rPr>
              <w:t>设计底标高-5.60</w:t>
            </w:r>
            <w:r>
              <w:rPr>
                <w:rFonts w:hint="eastAsia" w:ascii="Times New Roman"/>
                <w:color w:val="auto"/>
                <w:sz w:val="24"/>
                <w:szCs w:val="24"/>
                <w:highlight w:val="none"/>
                <w:lang w:val="zh-CN"/>
              </w:rPr>
              <w:t>m，疏浚工程</w:t>
            </w:r>
            <w:r>
              <w:rPr>
                <w:rFonts w:hint="eastAsia" w:ascii="Times New Roman"/>
                <w:color w:val="auto"/>
                <w:sz w:val="24"/>
                <w:szCs w:val="24"/>
                <w:highlight w:val="none"/>
              </w:rPr>
              <w:t>开挖</w:t>
            </w:r>
            <w:r>
              <w:rPr>
                <w:rFonts w:hint="eastAsia" w:ascii="Times New Roman"/>
                <w:color w:val="auto"/>
                <w:sz w:val="24"/>
                <w:szCs w:val="24"/>
                <w:highlight w:val="none"/>
                <w:lang w:val="zh-CN"/>
              </w:rPr>
              <w:t>量</w:t>
            </w:r>
            <w:r>
              <w:rPr>
                <w:rFonts w:hint="eastAsia" w:ascii="Times New Roman"/>
                <w:color w:val="auto"/>
                <w:sz w:val="24"/>
                <w:szCs w:val="24"/>
                <w:highlight w:val="none"/>
              </w:rPr>
              <w:t>11.13</w:t>
            </w:r>
            <w:r>
              <w:rPr>
                <w:rFonts w:hint="eastAsia" w:ascii="Times New Roman"/>
                <w:color w:val="auto"/>
                <w:sz w:val="24"/>
                <w:szCs w:val="24"/>
                <w:highlight w:val="none"/>
                <w:lang w:val="zh-CN"/>
              </w:rPr>
              <w:t>万方，</w:t>
            </w:r>
            <w:r>
              <w:rPr>
                <w:rFonts w:hint="eastAsia" w:ascii="Times New Roman"/>
                <w:color w:val="auto"/>
                <w:sz w:val="24"/>
                <w:szCs w:val="24"/>
                <w:highlight w:val="none"/>
              </w:rPr>
              <w:t>超挖量7.36万方，合计开挖量18.5万方</w:t>
            </w:r>
            <w:r>
              <w:rPr>
                <w:rFonts w:ascii="Times New Roman"/>
                <w:color w:val="auto"/>
                <w:sz w:val="24"/>
                <w:szCs w:val="24"/>
                <w:highlight w:val="none"/>
                <w:lang w:val="zh-CN"/>
              </w:rPr>
              <w:t>。</w:t>
            </w:r>
          </w:p>
          <w:p>
            <w:pPr>
              <w:spacing w:line="360" w:lineRule="auto"/>
              <w:ind w:firstLine="585"/>
              <w:rPr>
                <w:rFonts w:ascii="Times New Roman"/>
                <w:color w:val="auto"/>
                <w:sz w:val="24"/>
                <w:szCs w:val="24"/>
                <w:highlight w:val="none"/>
                <w:lang w:val="zh-CN"/>
              </w:rPr>
            </w:pPr>
            <w:r>
              <w:rPr>
                <w:rFonts w:hint="eastAsia" w:ascii="Times New Roman"/>
                <w:color w:val="auto"/>
                <w:sz w:val="24"/>
                <w:szCs w:val="24"/>
                <w:highlight w:val="none"/>
              </w:rPr>
              <w:t>项目</w:t>
            </w:r>
            <w:r>
              <w:rPr>
                <w:rFonts w:hint="eastAsia" w:hAnsi="宋体"/>
                <w:color w:val="auto"/>
                <w:sz w:val="24"/>
                <w:szCs w:val="24"/>
                <w:highlight w:val="none"/>
              </w:rPr>
              <w:t>总投资</w:t>
            </w:r>
            <w:r>
              <w:rPr>
                <w:rFonts w:ascii="Times New Roman"/>
                <w:color w:val="auto"/>
                <w:sz w:val="24"/>
                <w:szCs w:val="24"/>
                <w:highlight w:val="none"/>
              </w:rPr>
              <w:t>估算为</w:t>
            </w:r>
            <w:r>
              <w:rPr>
                <w:rFonts w:hint="eastAsia" w:ascii="Times New Roman" w:hAnsi="Times New Roman"/>
                <w:color w:val="auto"/>
                <w:sz w:val="24"/>
                <w:szCs w:val="24"/>
                <w:highlight w:val="none"/>
              </w:rPr>
              <w:t>597.31万元</w:t>
            </w:r>
            <w:r>
              <w:rPr>
                <w:rFonts w:ascii="Times New Roman" w:hAnsi="Times New Roman"/>
                <w:color w:val="auto"/>
                <w:sz w:val="24"/>
                <w:szCs w:val="24"/>
                <w:highlight w:val="none"/>
              </w:rPr>
              <w:t>，</w:t>
            </w:r>
          </w:p>
          <w:p>
            <w:pPr>
              <w:spacing w:line="360" w:lineRule="auto"/>
              <w:ind w:firstLine="585"/>
              <w:rPr>
                <w:rFonts w:ascii="Times New Roman"/>
                <w:color w:val="auto"/>
                <w:sz w:val="24"/>
                <w:szCs w:val="24"/>
                <w:highlight w:val="none"/>
                <w:lang w:val="zh-CN"/>
              </w:rPr>
            </w:pPr>
            <w:r>
              <w:rPr>
                <w:rFonts w:ascii="Times New Roman"/>
                <w:color w:val="auto"/>
                <w:sz w:val="24"/>
                <w:szCs w:val="24"/>
                <w:highlight w:val="none"/>
                <w:lang w:val="zh-CN"/>
              </w:rPr>
              <w:t>项目用海总面积</w:t>
            </w:r>
            <w:r>
              <w:rPr>
                <w:rFonts w:ascii="Times New Roman" w:hAnsi="Times New Roman" w:eastAsiaTheme="majorEastAsia"/>
                <w:color w:val="auto"/>
                <w:sz w:val="24"/>
                <w:szCs w:val="24"/>
                <w:highlight w:val="none"/>
              </w:rPr>
              <w:t>27.1569hm</w:t>
            </w:r>
            <w:r>
              <w:rPr>
                <w:rFonts w:ascii="Times New Roman" w:hAnsi="Times New Roman" w:eastAsiaTheme="majorEastAsia"/>
                <w:color w:val="auto"/>
                <w:sz w:val="24"/>
                <w:szCs w:val="24"/>
                <w:highlight w:val="none"/>
                <w:vertAlign w:val="superscript"/>
              </w:rPr>
              <w:t>2</w:t>
            </w:r>
            <w:r>
              <w:rPr>
                <w:rFonts w:ascii="Times New Roman"/>
                <w:color w:val="auto"/>
                <w:sz w:val="24"/>
                <w:szCs w:val="24"/>
                <w:highlight w:val="none"/>
                <w:lang w:val="zh-CN"/>
              </w:rPr>
              <w:t>，</w:t>
            </w:r>
            <w:r>
              <w:rPr>
                <w:rFonts w:hint="eastAsia" w:ascii="Times New Roman"/>
                <w:color w:val="auto"/>
                <w:sz w:val="24"/>
                <w:szCs w:val="24"/>
                <w:highlight w:val="none"/>
                <w:lang w:val="zh-CN"/>
              </w:rPr>
              <w:t>拖轮</w:t>
            </w:r>
            <w:r>
              <w:rPr>
                <w:rFonts w:hint="eastAsia" w:ascii="Times New Roman"/>
                <w:color w:val="auto"/>
                <w:sz w:val="24"/>
                <w:szCs w:val="24"/>
                <w:highlight w:val="none"/>
              </w:rPr>
              <w:t>临时</w:t>
            </w:r>
            <w:r>
              <w:rPr>
                <w:rFonts w:hint="eastAsia" w:ascii="Times New Roman"/>
                <w:color w:val="auto"/>
                <w:sz w:val="24"/>
                <w:szCs w:val="24"/>
                <w:highlight w:val="none"/>
                <w:lang w:val="zh-CN"/>
              </w:rPr>
              <w:t>应急通道位置</w:t>
            </w:r>
            <w:r>
              <w:rPr>
                <w:rFonts w:hint="eastAsia" w:ascii="Times New Roman"/>
                <w:color w:val="auto"/>
                <w:sz w:val="24"/>
                <w:szCs w:val="24"/>
                <w:highlight w:val="none"/>
              </w:rPr>
              <w:t>设计</w:t>
            </w:r>
            <w:r>
              <w:rPr>
                <w:rFonts w:hint="eastAsia" w:ascii="Times New Roman"/>
                <w:color w:val="auto"/>
                <w:sz w:val="24"/>
                <w:szCs w:val="24"/>
                <w:highlight w:val="none"/>
                <w:lang w:val="zh-CN"/>
              </w:rPr>
              <w:t>由</w:t>
            </w:r>
            <w:r>
              <w:rPr>
                <w:rFonts w:hint="eastAsia" w:ascii="Times New Roman"/>
                <w:color w:val="auto"/>
                <w:sz w:val="24"/>
                <w:szCs w:val="24"/>
                <w:highlight w:val="none"/>
              </w:rPr>
              <w:t>钦州</w:t>
            </w:r>
            <w:r>
              <w:rPr>
                <w:rFonts w:hint="eastAsia" w:ascii="Times New Roman"/>
                <w:color w:val="auto"/>
                <w:sz w:val="24"/>
                <w:szCs w:val="24"/>
                <w:highlight w:val="none"/>
                <w:lang w:val="zh-CN"/>
              </w:rPr>
              <w:t>东航道38#</w:t>
            </w:r>
            <w:r>
              <w:rPr>
                <w:rFonts w:hint="eastAsia" w:ascii="Times New Roman"/>
                <w:color w:val="auto"/>
                <w:sz w:val="24"/>
                <w:szCs w:val="24"/>
                <w:highlight w:val="none"/>
              </w:rPr>
              <w:t>~</w:t>
            </w:r>
            <w:r>
              <w:rPr>
                <w:rFonts w:hint="eastAsia" w:ascii="Times New Roman"/>
                <w:color w:val="auto"/>
                <w:sz w:val="24"/>
                <w:szCs w:val="24"/>
                <w:highlight w:val="none"/>
                <w:lang w:val="zh-CN"/>
              </w:rPr>
              <w:t>39#航标附近起始至30万吨级油轮支航道末端与港池连接处。</w:t>
            </w:r>
          </w:p>
          <w:p>
            <w:pPr>
              <w:spacing w:line="360" w:lineRule="auto"/>
              <w:ind w:firstLine="585"/>
              <w:rPr>
                <w:rFonts w:ascii="Times New Roman"/>
                <w:b/>
                <w:bCs/>
                <w:color w:val="auto"/>
                <w:sz w:val="24"/>
                <w:szCs w:val="24"/>
                <w:highlight w:val="none"/>
                <w:lang w:val="zh-CN"/>
              </w:rPr>
            </w:pPr>
            <w:r>
              <w:rPr>
                <w:rFonts w:hint="eastAsia" w:ascii="Times New Roman"/>
                <w:color w:val="auto"/>
                <w:sz w:val="24"/>
                <w:szCs w:val="24"/>
                <w:highlight w:val="none"/>
              </w:rPr>
              <w:t>本项目不涉及立体分层用海需求。</w:t>
            </w:r>
            <w:r>
              <w:rPr>
                <w:rFonts w:hint="eastAsia" w:ascii="Times New Roman"/>
                <w:color w:val="auto"/>
                <w:sz w:val="24"/>
                <w:szCs w:val="24"/>
                <w:highlight w:val="none"/>
                <w:lang w:val="zh-CN"/>
              </w:rPr>
              <w:t>项目平面布置示意图见</w:t>
            </w:r>
            <w:r>
              <w:rPr>
                <w:rFonts w:hint="eastAsia" w:ascii="Times New Roman"/>
                <w:color w:val="auto"/>
                <w:sz w:val="24"/>
                <w:szCs w:val="24"/>
                <w:highlight w:val="none"/>
              </w:rPr>
              <w:t>附图1</w:t>
            </w:r>
            <w:r>
              <w:rPr>
                <w:rFonts w:hint="eastAsia" w:ascii="Times New Roman"/>
                <w:color w:val="auto"/>
                <w:sz w:val="24"/>
                <w:szCs w:val="24"/>
                <w:highlight w:val="none"/>
                <w:lang w:val="zh-CN"/>
              </w:rPr>
              <w:t>。</w:t>
            </w:r>
          </w:p>
          <w:p>
            <w:pPr>
              <w:pStyle w:val="54"/>
              <w:ind w:firstLine="0"/>
              <w:rPr>
                <w:color w:val="auto"/>
                <w:highlight w:val="none"/>
              </w:rPr>
            </w:pPr>
            <w:r>
              <w:rPr>
                <w:rFonts w:hAnsi="Times New Roman"/>
                <w:color w:val="auto"/>
                <w:highlight w:val="none"/>
              </w:rPr>
              <w:t>1.</w:t>
            </w:r>
            <w:r>
              <w:rPr>
                <w:rFonts w:hint="eastAsia" w:hAnsi="Times New Roman"/>
                <w:color w:val="auto"/>
                <w:highlight w:val="none"/>
              </w:rPr>
              <w:t>3</w:t>
            </w:r>
            <w:r>
              <w:rPr>
                <w:rFonts w:hint="eastAsia"/>
                <w:color w:val="auto"/>
                <w:highlight w:val="none"/>
              </w:rPr>
              <w:t>设计船型及参数</w:t>
            </w:r>
          </w:p>
          <w:p>
            <w:pPr>
              <w:spacing w:line="360" w:lineRule="auto"/>
              <w:ind w:firstLine="435"/>
              <w:rPr>
                <w:rFonts w:ascii="Times New Roman" w:hAnsi="Times New Roman"/>
                <w:color w:val="auto"/>
                <w:sz w:val="24"/>
                <w:szCs w:val="24"/>
                <w:highlight w:val="none"/>
              </w:rPr>
            </w:pPr>
            <w:r>
              <w:rPr>
                <w:rFonts w:hint="eastAsia" w:ascii="Times New Roman" w:hAnsi="Times New Roman"/>
                <w:color w:val="auto"/>
                <w:sz w:val="24"/>
                <w:szCs w:val="24"/>
                <w:highlight w:val="none"/>
              </w:rPr>
              <w:t>设计代表船型见下表。</w:t>
            </w:r>
          </w:p>
          <w:p>
            <w:pPr>
              <w:spacing w:line="360" w:lineRule="auto"/>
              <w:ind w:firstLine="435"/>
              <w:jc w:val="center"/>
              <w:rPr>
                <w:rFonts w:ascii="Times New Roman" w:hAnsi="Times New Roman"/>
                <w:b/>
                <w:bCs/>
                <w:color w:val="auto"/>
                <w:sz w:val="24"/>
                <w:szCs w:val="24"/>
                <w:highlight w:val="none"/>
              </w:rPr>
            </w:pPr>
            <w:r>
              <w:rPr>
                <w:rFonts w:hint="eastAsia" w:ascii="Times New Roman" w:hAnsi="Times New Roman"/>
                <w:b/>
                <w:bCs/>
                <w:color w:val="auto"/>
                <w:sz w:val="24"/>
                <w:szCs w:val="24"/>
                <w:highlight w:val="none"/>
              </w:rPr>
              <w:t>表1-1  设计代表船型主尺度表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3"/>
              <w:gridCol w:w="1005"/>
              <w:gridCol w:w="930"/>
              <w:gridCol w:w="795"/>
              <w:gridCol w:w="1515"/>
              <w:gridCol w:w="2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3" w:type="dxa"/>
                  <w:vMerge w:val="restart"/>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名称</w:t>
                  </w:r>
                </w:p>
              </w:tc>
              <w:tc>
                <w:tcPr>
                  <w:tcW w:w="4245" w:type="dxa"/>
                  <w:gridSpan w:val="4"/>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设计船型尺度（m）</w:t>
                  </w:r>
                </w:p>
              </w:tc>
              <w:tc>
                <w:tcPr>
                  <w:tcW w:w="2312" w:type="dxa"/>
                  <w:vMerge w:val="restart"/>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3" w:type="dxa"/>
                  <w:vMerge w:val="continue"/>
                </w:tcPr>
                <w:p>
                  <w:pPr>
                    <w:spacing w:line="360" w:lineRule="auto"/>
                    <w:rPr>
                      <w:rFonts w:ascii="Times New Roman" w:hAnsi="Times New Roman"/>
                      <w:color w:val="auto"/>
                      <w:sz w:val="24"/>
                      <w:szCs w:val="24"/>
                      <w:highlight w:val="none"/>
                    </w:rPr>
                  </w:pPr>
                </w:p>
              </w:tc>
              <w:tc>
                <w:tcPr>
                  <w:tcW w:w="100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总长L</w:t>
                  </w:r>
                </w:p>
              </w:tc>
              <w:tc>
                <w:tcPr>
                  <w:tcW w:w="930"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型宽B</w:t>
                  </w:r>
                </w:p>
              </w:tc>
              <w:tc>
                <w:tcPr>
                  <w:tcW w:w="79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型深</w:t>
                  </w:r>
                </w:p>
              </w:tc>
              <w:tc>
                <w:tcPr>
                  <w:tcW w:w="151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设计吃水T</w:t>
                  </w:r>
                </w:p>
              </w:tc>
              <w:tc>
                <w:tcPr>
                  <w:tcW w:w="2312" w:type="dxa"/>
                  <w:vMerge w:val="continue"/>
                </w:tcPr>
                <w:p>
                  <w:pPr>
                    <w:spacing w:line="360" w:lineRule="auto"/>
                    <w:rPr>
                      <w:rFonts w:ascii="Times New Roman" w:hAnsi="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3"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新北部湾港22号拖轮</w:t>
                  </w:r>
                </w:p>
              </w:tc>
              <w:tc>
                <w:tcPr>
                  <w:tcW w:w="100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37.5</w:t>
                  </w:r>
                </w:p>
              </w:tc>
              <w:tc>
                <w:tcPr>
                  <w:tcW w:w="930"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11.0</w:t>
                  </w:r>
                </w:p>
              </w:tc>
              <w:tc>
                <w:tcPr>
                  <w:tcW w:w="79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5.1</w:t>
                  </w:r>
                </w:p>
              </w:tc>
              <w:tc>
                <w:tcPr>
                  <w:tcW w:w="1515"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4.1</w:t>
                  </w:r>
                </w:p>
              </w:tc>
              <w:tc>
                <w:tcPr>
                  <w:tcW w:w="2312" w:type="dxa"/>
                </w:tcPr>
                <w:p>
                  <w:pPr>
                    <w:spacing w:line="360" w:lineRule="auto"/>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主机：2×2560kw</w:t>
                  </w:r>
                </w:p>
              </w:tc>
            </w:tr>
          </w:tbl>
          <w:p>
            <w:pPr>
              <w:spacing w:line="360" w:lineRule="auto"/>
              <w:ind w:firstLine="435"/>
              <w:rPr>
                <w:rFonts w:ascii="Times New Roman" w:hAnsi="Times New Roman"/>
                <w:color w:val="auto"/>
                <w:sz w:val="24"/>
                <w:szCs w:val="24"/>
                <w:highlight w:val="none"/>
              </w:rPr>
            </w:pPr>
          </w:p>
          <w:p>
            <w:pPr>
              <w:pStyle w:val="54"/>
              <w:ind w:firstLine="0"/>
              <w:rPr>
                <w:color w:val="auto"/>
                <w:highlight w:val="none"/>
              </w:rPr>
            </w:pPr>
            <w:r>
              <w:rPr>
                <w:rFonts w:hint="eastAsia"/>
                <w:color w:val="auto"/>
                <w:highlight w:val="none"/>
              </w:rPr>
              <w:t>1.4施工</w:t>
            </w:r>
            <w:r>
              <w:rPr>
                <w:rFonts w:hint="eastAsia"/>
                <w:bCs/>
                <w:color w:val="auto"/>
                <w:highlight w:val="none"/>
              </w:rPr>
              <w:t>工艺</w:t>
            </w:r>
          </w:p>
          <w:p>
            <w:pPr>
              <w:spacing w:line="360" w:lineRule="auto"/>
              <w:ind w:firstLine="435"/>
              <w:rPr>
                <w:rFonts w:ascii="Times New Roman" w:hAnsi="Times New Roman"/>
                <w:color w:val="auto"/>
                <w:sz w:val="24"/>
                <w:szCs w:val="24"/>
                <w:highlight w:val="none"/>
              </w:rPr>
            </w:pPr>
            <w:r>
              <w:rPr>
                <w:rFonts w:hint="eastAsia"/>
                <w:color w:val="auto"/>
                <w:sz w:val="24"/>
                <w:szCs w:val="24"/>
                <w:highlight w:val="none"/>
              </w:rPr>
              <w:t>项目海上施工主要是疏浚工程及航标导标的安装，</w:t>
            </w:r>
            <w:r>
              <w:rPr>
                <w:rFonts w:hint="eastAsia" w:ascii="Times New Roman" w:hAnsi="宋体"/>
                <w:color w:val="auto"/>
                <w:sz w:val="24"/>
                <w:szCs w:val="24"/>
                <w:highlight w:val="none"/>
              </w:rPr>
              <w:t>施工期为3个月</w:t>
            </w:r>
            <w:r>
              <w:rPr>
                <w:rFonts w:hint="eastAsia"/>
                <w:color w:val="auto"/>
                <w:sz w:val="24"/>
                <w:szCs w:val="24"/>
                <w:highlight w:val="none"/>
              </w:rPr>
              <w:t>。</w:t>
            </w:r>
          </w:p>
          <w:p>
            <w:pPr>
              <w:tabs>
                <w:tab w:val="left" w:pos="501"/>
                <w:tab w:val="left" w:pos="5868"/>
              </w:tabs>
              <w:snapToGrid w:val="0"/>
              <w:spacing w:line="440" w:lineRule="exact"/>
              <w:ind w:left="480"/>
              <w:rPr>
                <w:rFonts w:ascii="Times New Roman" w:hAnsi="Times New Roman"/>
                <w:color w:val="auto"/>
                <w:sz w:val="24"/>
                <w:szCs w:val="24"/>
                <w:highlight w:val="none"/>
              </w:rPr>
            </w:pPr>
            <w:r>
              <w:rPr>
                <w:rFonts w:ascii="Times New Roman" w:hAnsi="Times New Roman"/>
                <w:color w:val="auto"/>
                <w:sz w:val="24"/>
                <w:szCs w:val="24"/>
                <w:highlight w:val="none"/>
              </w:rPr>
              <w:t>A.</w:t>
            </w:r>
            <w:r>
              <w:rPr>
                <w:rFonts w:hint="eastAsia" w:ascii="Times New Roman"/>
                <w:color w:val="auto"/>
                <w:sz w:val="24"/>
                <w:szCs w:val="24"/>
                <w:highlight w:val="none"/>
              </w:rPr>
              <w:t>疏浚工程</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(1)土质分类</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根据航道地质资料，本次疏浚物大部分为淤泥，其次为砂和粘土。采用</w:t>
            </w:r>
            <w:r>
              <w:rPr>
                <w:rFonts w:ascii="Times New Roman"/>
                <w:color w:val="auto"/>
                <w:sz w:val="24"/>
                <w:szCs w:val="24"/>
                <w:highlight w:val="none"/>
              </w:rPr>
              <w:t>8m³</w:t>
            </w:r>
            <w:r>
              <w:rPr>
                <w:rFonts w:hint="eastAsia" w:ascii="Times New Roman"/>
                <w:color w:val="auto"/>
                <w:sz w:val="24"/>
                <w:szCs w:val="24"/>
                <w:highlight w:val="none"/>
              </w:rPr>
              <w:t>抓斗挖泥船施工方式进行疏浚。</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（2）疏浚施工工艺</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抓斗船施工是利用自身泥斗的自重开挖泥土，抓斗船的泥斗通过钢丝缆转机相连，以控制转机转动来实现泥斗的升降及张合。施工时，先下放泥斗并完全张开，待泥斗下放到泥层表面时，由于泥斗的自重及斗齿作用，部分泥斗将陷入泥中，随后开始闭合泥斗，泥斗闭合的同时，泥斗将“吸入”更深的泥层当中。待泥斗完全闭合后，开始提升装满泥的泥斗，提升上来后，将泥斗转到停靠在抓斗船旁边的泥驳船上方，张斗将其中的泥投放至泥驳船中，然后继续挖泥。如此反复操作，待泥驳船装满后， 航行至卸泥区卸泥，随后返航靠抓斗船继续装泥。</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抓斗式挖泥船工作流程为：张开空抓斗抛入开挖点→闭斗装泥→提升重斗→转动斗臂将重斗移到运输船上方→开斗卸泥→反向转动斗臂再将空斗抛入开挖点。抓斗式挖泥船施工示意图见图1-2。</w:t>
            </w:r>
          </w:p>
          <w:p>
            <w:pPr>
              <w:spacing w:line="360" w:lineRule="auto"/>
              <w:jc w:val="center"/>
              <w:rPr>
                <w:rFonts w:ascii="Times New Roman"/>
                <w:color w:val="auto"/>
                <w:sz w:val="24"/>
                <w:szCs w:val="24"/>
                <w:highlight w:val="none"/>
              </w:rPr>
            </w:pPr>
            <w:r>
              <w:rPr>
                <w:rFonts w:hint="eastAsia" w:ascii="Times New Roman"/>
                <w:color w:val="auto"/>
                <w:sz w:val="24"/>
                <w:szCs w:val="24"/>
                <w:highlight w:val="none"/>
              </w:rPr>
              <w:drawing>
                <wp:inline distT="0" distB="0" distL="0" distR="0">
                  <wp:extent cx="4298950" cy="1854835"/>
                  <wp:effectExtent l="19050" t="0" r="635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noChangeArrowheads="1"/>
                          </pic:cNvPicPr>
                        </pic:nvPicPr>
                        <pic:blipFill>
                          <a:blip r:embed="rId11"/>
                          <a:srcRect/>
                          <a:stretch>
                            <a:fillRect/>
                          </a:stretch>
                        </pic:blipFill>
                        <pic:spPr>
                          <a:xfrm>
                            <a:off x="0" y="0"/>
                            <a:ext cx="4304444" cy="1857658"/>
                          </a:xfrm>
                          <a:prstGeom prst="rect">
                            <a:avLst/>
                          </a:prstGeom>
                          <a:noFill/>
                          <a:ln w="9525">
                            <a:noFill/>
                            <a:miter lim="800000"/>
                            <a:headEnd/>
                            <a:tailEnd/>
                          </a:ln>
                        </pic:spPr>
                      </pic:pic>
                    </a:graphicData>
                  </a:graphic>
                </wp:inline>
              </w:drawing>
            </w:r>
          </w:p>
          <w:p>
            <w:pPr>
              <w:spacing w:line="360" w:lineRule="auto"/>
              <w:ind w:firstLine="435"/>
              <w:jc w:val="center"/>
              <w:rPr>
                <w:rFonts w:ascii="Times New Roman"/>
                <w:color w:val="auto"/>
                <w:sz w:val="24"/>
                <w:szCs w:val="24"/>
                <w:highlight w:val="none"/>
              </w:rPr>
            </w:pPr>
            <w:r>
              <w:rPr>
                <w:rFonts w:hint="eastAsia"/>
                <w:color w:val="auto"/>
                <w:sz w:val="24"/>
                <w:szCs w:val="24"/>
                <w:highlight w:val="none"/>
              </w:rPr>
              <w:t>图1-</w:t>
            </w:r>
            <w:r>
              <w:rPr>
                <w:color w:val="auto"/>
                <w:sz w:val="24"/>
                <w:szCs w:val="24"/>
                <w:highlight w:val="none"/>
              </w:rPr>
              <w:t xml:space="preserve">2 </w:t>
            </w:r>
            <w:r>
              <w:rPr>
                <w:rFonts w:hint="eastAsia"/>
                <w:color w:val="auto"/>
                <w:sz w:val="24"/>
                <w:szCs w:val="24"/>
                <w:highlight w:val="none"/>
              </w:rPr>
              <w:t>抓斗船施工方式示意图</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项目施工流程如下:</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抓斗船定位→抓斗船挖泥施工→装驳→航行至卸泥区→泥驳船卸泥→泥驳船返回至施工区</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抓斗船使用DGPS定位。施工进场前，工程技术人员将施工区水域、地形、地貌等要素编制成数字地图输入到抓斗船挖泥操控室的计算机，即可在屏幕上显示施工区位置、水深等情况。在拖带船的拖带及定位系统的指引下，抓斗船被拖到施工区，由船长通知拖带船慢速前进，进入概位后停车，随即放下抓斗，定住船位。然后再根据水流、风向情况，依次抛锚展布。</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抓斗挖泥船一般采取纵挖式施工，分条施工。根据船宽等因素将施工区划分为若干条，每条宽度约10~12m。在挖槽各施工条与条之间交接处按一层接搭2~3m的重叠宽度，并加强施工过程检测工作，以防止漏挖，确保工程质量。</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开挖过程中，根据施工断面图形、实时接收的潮位变化情况及时调整下斗深度，控制挖深，并定期对挖泥船泥斗深度显示器进行校准。</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本工程配2艘2000吨的运输驳船运输疏浚物。</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（3）疏浚土处理方式</w:t>
            </w:r>
          </w:p>
          <w:p>
            <w:pPr>
              <w:spacing w:line="360" w:lineRule="auto"/>
              <w:ind w:firstLine="435"/>
              <w:rPr>
                <w:rFonts w:ascii="Times New Roman"/>
                <w:color w:val="auto"/>
                <w:sz w:val="24"/>
                <w:szCs w:val="24"/>
                <w:highlight w:val="none"/>
              </w:rPr>
            </w:pPr>
            <w:r>
              <w:rPr>
                <w:rFonts w:hint="eastAsia" w:ascii="Times New Roman"/>
                <w:color w:val="auto"/>
                <w:sz w:val="24"/>
                <w:szCs w:val="24"/>
                <w:highlight w:val="none"/>
              </w:rPr>
              <w:t>疏浚土的处理采用外抛处理方案，配2000m³泥驳船运至钦州港30万吨级进港航道疏浚工程疏浚物临时性海洋倾倒区B 区（坐标108°25’E-108°27'E、21°15'N-21°17'N，面积约9.9km</w:t>
            </w:r>
            <w:r>
              <w:rPr>
                <w:rFonts w:hint="eastAsia" w:ascii="Times New Roman"/>
                <w:color w:val="auto"/>
                <w:sz w:val="24"/>
                <w:szCs w:val="24"/>
                <w:highlight w:val="none"/>
                <w:vertAlign w:val="superscript"/>
              </w:rPr>
              <w:t>2</w:t>
            </w:r>
            <w:r>
              <w:rPr>
                <w:rFonts w:hint="eastAsia" w:ascii="Times New Roman"/>
                <w:color w:val="auto"/>
                <w:sz w:val="24"/>
                <w:szCs w:val="24"/>
                <w:highlight w:val="none"/>
              </w:rPr>
              <w:t>）处理，运距约30km。</w:t>
            </w:r>
          </w:p>
          <w:p>
            <w:pPr>
              <w:tabs>
                <w:tab w:val="left" w:pos="501"/>
                <w:tab w:val="left" w:pos="5868"/>
              </w:tabs>
              <w:snapToGrid w:val="0"/>
              <w:spacing w:line="440" w:lineRule="exact"/>
              <w:ind w:left="480"/>
              <w:rPr>
                <w:rFonts w:ascii="Times New Roman" w:hAnsi="Times New Roman"/>
                <w:color w:val="auto"/>
                <w:sz w:val="24"/>
                <w:szCs w:val="24"/>
                <w:highlight w:val="none"/>
              </w:rPr>
            </w:pPr>
            <w:r>
              <w:rPr>
                <w:rFonts w:ascii="Times New Roman" w:hAnsi="Times New Roman"/>
                <w:color w:val="auto"/>
                <w:sz w:val="24"/>
                <w:szCs w:val="24"/>
                <w:highlight w:val="none"/>
              </w:rPr>
              <w:t>B.</w:t>
            </w:r>
            <w:r>
              <w:rPr>
                <w:rFonts w:hint="eastAsia"/>
                <w:color w:val="auto"/>
                <w:sz w:val="24"/>
                <w:szCs w:val="24"/>
                <w:highlight w:val="none"/>
              </w:rPr>
              <w:t>航标导标的安装</w:t>
            </w:r>
          </w:p>
          <w:p>
            <w:pPr>
              <w:tabs>
                <w:tab w:val="left" w:pos="501"/>
                <w:tab w:val="left" w:pos="5868"/>
              </w:tabs>
              <w:snapToGrid w:val="0"/>
              <w:spacing w:line="440" w:lineRule="exact"/>
              <w:ind w:firstLine="480" w:firstLineChars="200"/>
              <w:rPr>
                <w:rFonts w:ascii="Times New Roman" w:hAnsi="Times New Roman"/>
                <w:color w:val="auto"/>
                <w:sz w:val="24"/>
                <w:szCs w:val="24"/>
                <w:highlight w:val="none"/>
              </w:rPr>
            </w:pPr>
            <w:r>
              <w:rPr>
                <w:rFonts w:hint="eastAsia" w:ascii="Times New Roman"/>
                <w:color w:val="auto"/>
                <w:sz w:val="24"/>
                <w:szCs w:val="24"/>
                <w:highlight w:val="none"/>
              </w:rPr>
              <w:t>根据需要</w:t>
            </w:r>
            <w:r>
              <w:rPr>
                <w:rFonts w:ascii="Times New Roman"/>
                <w:color w:val="auto"/>
                <w:sz w:val="24"/>
                <w:szCs w:val="24"/>
                <w:highlight w:val="none"/>
              </w:rPr>
              <w:t>在应急通道两侧安装</w:t>
            </w:r>
            <w:r>
              <w:rPr>
                <w:rFonts w:hint="eastAsia"/>
                <w:color w:val="auto"/>
                <w:sz w:val="24"/>
                <w:szCs w:val="24"/>
                <w:highlight w:val="none"/>
              </w:rPr>
              <w:t>航标导标若干</w:t>
            </w:r>
            <w:r>
              <w:rPr>
                <w:rFonts w:ascii="Times New Roman"/>
                <w:color w:val="auto"/>
                <w:sz w:val="24"/>
                <w:szCs w:val="24"/>
                <w:highlight w:val="none"/>
              </w:rPr>
              <w:t>。</w:t>
            </w:r>
          </w:p>
          <w:p>
            <w:pPr>
              <w:spacing w:line="360" w:lineRule="auto"/>
              <w:rPr>
                <w:rFonts w:ascii="Times New Roman" w:hAnsi="Times New Roman"/>
                <w:b/>
                <w:color w:val="auto"/>
                <w:sz w:val="24"/>
                <w:szCs w:val="24"/>
                <w:highlight w:val="none"/>
              </w:rPr>
            </w:pPr>
            <w:bookmarkStart w:id="0" w:name="_Toc144280465"/>
            <w:r>
              <w:rPr>
                <w:rFonts w:hint="eastAsia" w:ascii="Times New Roman" w:hAnsi="Times New Roman"/>
                <w:b/>
                <w:color w:val="auto"/>
                <w:sz w:val="24"/>
                <w:szCs w:val="24"/>
                <w:highlight w:val="none"/>
              </w:rPr>
              <w:t>1.5用海需求</w:t>
            </w:r>
            <w:bookmarkEnd w:id="0"/>
          </w:p>
          <w:p>
            <w:pPr>
              <w:spacing w:line="360" w:lineRule="auto"/>
              <w:ind w:firstLine="435"/>
              <w:rPr>
                <w:bCs/>
                <w:color w:val="auto"/>
                <w:sz w:val="24"/>
                <w:szCs w:val="24"/>
                <w:highlight w:val="none"/>
              </w:rPr>
            </w:pPr>
            <w:r>
              <w:rPr>
                <w:rFonts w:ascii="Times New Roman" w:hAnsi="Times New Roman"/>
                <w:color w:val="auto"/>
                <w:kern w:val="0"/>
                <w:sz w:val="24"/>
                <w:szCs w:val="20"/>
                <w:highlight w:val="none"/>
              </w:rPr>
              <w:t>项目用海需求主要是</w:t>
            </w:r>
            <w:r>
              <w:rPr>
                <w:rFonts w:hint="eastAsia" w:ascii="Times New Roman" w:hAnsi="Times New Roman"/>
                <w:color w:val="auto"/>
                <w:sz w:val="24"/>
                <w:szCs w:val="24"/>
                <w:highlight w:val="none"/>
              </w:rPr>
              <w:t>拖轮临时</w:t>
            </w:r>
            <w:r>
              <w:rPr>
                <w:rFonts w:ascii="Times New Roman"/>
                <w:color w:val="auto"/>
                <w:sz w:val="24"/>
                <w:szCs w:val="24"/>
                <w:highlight w:val="none"/>
              </w:rPr>
              <w:t>应急通道</w:t>
            </w:r>
            <w:r>
              <w:rPr>
                <w:rFonts w:hint="eastAsia" w:ascii="Times New Roman" w:hAnsi="Times New Roman"/>
                <w:color w:val="auto"/>
                <w:sz w:val="24"/>
                <w:szCs w:val="24"/>
                <w:highlight w:val="none"/>
              </w:rPr>
              <w:t>开放式用海</w:t>
            </w:r>
            <w:r>
              <w:rPr>
                <w:rFonts w:hint="eastAsia" w:ascii="Times New Roman" w:hAnsi="Times New Roman"/>
                <w:color w:val="auto"/>
                <w:kern w:val="0"/>
                <w:sz w:val="24"/>
                <w:szCs w:val="20"/>
                <w:highlight w:val="none"/>
              </w:rPr>
              <w:t>需求</w:t>
            </w:r>
            <w:r>
              <w:rPr>
                <w:rFonts w:ascii="Times New Roman" w:hAnsi="Times New Roman"/>
                <w:color w:val="auto"/>
                <w:kern w:val="0"/>
                <w:sz w:val="24"/>
                <w:szCs w:val="20"/>
                <w:highlight w:val="none"/>
              </w:rPr>
              <w:t>。</w:t>
            </w:r>
          </w:p>
          <w:p>
            <w:pPr>
              <w:pStyle w:val="30"/>
              <w:rPr>
                <w:color w:val="auto"/>
                <w:szCs w:val="24"/>
                <w:highlight w:val="none"/>
              </w:rPr>
            </w:pPr>
            <w:r>
              <w:rPr>
                <w:rFonts w:eastAsiaTheme="majorEastAsia"/>
                <w:color w:val="auto"/>
                <w:szCs w:val="24"/>
                <w:highlight w:val="none"/>
              </w:rPr>
              <w:t>用海面积和期限：项目用海面积</w:t>
            </w:r>
            <w:r>
              <w:rPr>
                <w:rFonts w:hint="eastAsia" w:eastAsiaTheme="majorEastAsia"/>
                <w:color w:val="auto"/>
                <w:szCs w:val="24"/>
                <w:highlight w:val="none"/>
              </w:rPr>
              <w:t>27.1569hm</w:t>
            </w:r>
            <w:r>
              <w:rPr>
                <w:rFonts w:hint="eastAsia" w:eastAsiaTheme="majorEastAsia"/>
                <w:color w:val="auto"/>
                <w:szCs w:val="24"/>
                <w:highlight w:val="none"/>
                <w:vertAlign w:val="superscript"/>
              </w:rPr>
              <w:t>2</w:t>
            </w:r>
            <w:r>
              <w:rPr>
                <w:rFonts w:eastAsiaTheme="majorEastAsia"/>
                <w:color w:val="auto"/>
                <w:szCs w:val="24"/>
                <w:highlight w:val="none"/>
              </w:rPr>
              <w:t>，用海范围在东经108°38’19.782”～10</w:t>
            </w:r>
            <w:r>
              <w:rPr>
                <w:rFonts w:hint="eastAsia" w:eastAsiaTheme="majorEastAsia"/>
                <w:color w:val="auto"/>
                <w:szCs w:val="24"/>
                <w:highlight w:val="none"/>
              </w:rPr>
              <w:t>8</w:t>
            </w:r>
            <w:r>
              <w:rPr>
                <w:rFonts w:eastAsiaTheme="majorEastAsia"/>
                <w:color w:val="auto"/>
                <w:szCs w:val="24"/>
                <w:highlight w:val="none"/>
              </w:rPr>
              <w:t>°</w:t>
            </w:r>
            <w:r>
              <w:rPr>
                <w:rFonts w:hint="eastAsia" w:eastAsiaTheme="majorEastAsia"/>
                <w:color w:val="auto"/>
                <w:szCs w:val="24"/>
                <w:highlight w:val="none"/>
              </w:rPr>
              <w:t>39</w:t>
            </w:r>
            <w:r>
              <w:rPr>
                <w:rFonts w:eastAsiaTheme="majorEastAsia"/>
                <w:color w:val="auto"/>
                <w:szCs w:val="24"/>
                <w:highlight w:val="none"/>
              </w:rPr>
              <w:t>'</w:t>
            </w:r>
            <w:r>
              <w:rPr>
                <w:rFonts w:hint="eastAsia" w:eastAsiaTheme="majorEastAsia"/>
                <w:color w:val="auto"/>
                <w:szCs w:val="24"/>
                <w:highlight w:val="none"/>
              </w:rPr>
              <w:t>58.363</w:t>
            </w:r>
            <w:r>
              <w:rPr>
                <w:rFonts w:eastAsiaTheme="majorEastAsia"/>
                <w:color w:val="auto"/>
                <w:szCs w:val="24"/>
                <w:highlight w:val="none"/>
              </w:rPr>
              <w:t>"，北纬21°</w:t>
            </w:r>
            <w:r>
              <w:rPr>
                <w:rFonts w:hint="eastAsia" w:eastAsiaTheme="majorEastAsia"/>
                <w:color w:val="auto"/>
                <w:szCs w:val="24"/>
                <w:highlight w:val="none"/>
              </w:rPr>
              <w:t>31</w:t>
            </w:r>
            <w:r>
              <w:rPr>
                <w:rFonts w:eastAsiaTheme="majorEastAsia"/>
                <w:color w:val="auto"/>
                <w:szCs w:val="24"/>
                <w:highlight w:val="none"/>
              </w:rPr>
              <w:t>'</w:t>
            </w:r>
            <w:r>
              <w:rPr>
                <w:rFonts w:hint="eastAsia" w:eastAsiaTheme="majorEastAsia"/>
                <w:color w:val="auto"/>
                <w:szCs w:val="24"/>
                <w:highlight w:val="none"/>
              </w:rPr>
              <w:t>57.897</w:t>
            </w:r>
            <w:r>
              <w:rPr>
                <w:rFonts w:eastAsiaTheme="majorEastAsia"/>
                <w:color w:val="auto"/>
                <w:szCs w:val="24"/>
                <w:highlight w:val="none"/>
              </w:rPr>
              <w:t>"～21°</w:t>
            </w:r>
            <w:r>
              <w:rPr>
                <w:rFonts w:hint="eastAsia" w:eastAsiaTheme="majorEastAsia"/>
                <w:color w:val="auto"/>
                <w:szCs w:val="24"/>
                <w:highlight w:val="none"/>
              </w:rPr>
              <w:t>32</w:t>
            </w:r>
            <w:r>
              <w:rPr>
                <w:rFonts w:eastAsiaTheme="majorEastAsia"/>
                <w:color w:val="auto"/>
                <w:szCs w:val="24"/>
                <w:highlight w:val="none"/>
              </w:rPr>
              <w:t>'</w:t>
            </w:r>
            <w:r>
              <w:rPr>
                <w:rFonts w:hint="eastAsia" w:eastAsiaTheme="majorEastAsia"/>
                <w:color w:val="auto"/>
                <w:szCs w:val="24"/>
                <w:highlight w:val="none"/>
              </w:rPr>
              <w:t>39.894</w:t>
            </w:r>
            <w:r>
              <w:rPr>
                <w:rFonts w:eastAsiaTheme="majorEastAsia"/>
                <w:color w:val="auto"/>
                <w:szCs w:val="24"/>
                <w:highlight w:val="none"/>
              </w:rPr>
              <w:t>"坐标范围内，宗海图详见图1-3</w:t>
            </w:r>
            <w:r>
              <w:rPr>
                <w:rFonts w:hint="eastAsia" w:eastAsiaTheme="majorEastAsia"/>
                <w:color w:val="auto"/>
                <w:szCs w:val="24"/>
                <w:highlight w:val="none"/>
              </w:rPr>
              <w:t>~</w:t>
            </w:r>
            <w:r>
              <w:rPr>
                <w:rFonts w:eastAsiaTheme="majorEastAsia"/>
                <w:color w:val="auto"/>
                <w:szCs w:val="24"/>
                <w:highlight w:val="none"/>
              </w:rPr>
              <w:t>图1-</w:t>
            </w:r>
            <w:r>
              <w:rPr>
                <w:rFonts w:hint="eastAsia" w:eastAsiaTheme="majorEastAsia"/>
                <w:color w:val="auto"/>
                <w:szCs w:val="24"/>
                <w:highlight w:val="none"/>
              </w:rPr>
              <w:t>5</w:t>
            </w:r>
            <w:r>
              <w:rPr>
                <w:rFonts w:eastAsiaTheme="majorEastAsia"/>
                <w:color w:val="auto"/>
                <w:szCs w:val="24"/>
                <w:highlight w:val="none"/>
              </w:rPr>
              <w:t>。</w:t>
            </w:r>
            <w:r>
              <w:rPr>
                <w:rFonts w:hint="eastAsia" w:eastAsiaTheme="majorEastAsia"/>
                <w:color w:val="auto"/>
                <w:szCs w:val="24"/>
                <w:highlight w:val="none"/>
              </w:rPr>
              <w:t>项目</w:t>
            </w:r>
            <w:r>
              <w:rPr>
                <w:rFonts w:eastAsiaTheme="majorEastAsia"/>
                <w:color w:val="auto"/>
                <w:szCs w:val="24"/>
                <w:highlight w:val="none"/>
              </w:rPr>
              <w:t>申请用海期限为</w:t>
            </w:r>
            <w:r>
              <w:rPr>
                <w:rFonts w:hint="eastAsia" w:eastAsiaTheme="majorEastAsia"/>
                <w:color w:val="auto"/>
                <w:szCs w:val="24"/>
                <w:highlight w:val="none"/>
              </w:rPr>
              <w:t>5</w:t>
            </w:r>
            <w:r>
              <w:rPr>
                <w:rFonts w:eastAsiaTheme="majorEastAsia"/>
                <w:color w:val="auto"/>
                <w:szCs w:val="24"/>
                <w:highlight w:val="none"/>
              </w:rPr>
              <w:t>年。</w:t>
            </w:r>
          </w:p>
          <w:p>
            <w:pPr>
              <w:pStyle w:val="30"/>
              <w:rPr>
                <w:rFonts w:ascii="宋体" w:hAnsi="宋体" w:eastAsia="宋体" w:cs="宋体"/>
                <w:color w:val="auto"/>
                <w:highlight w:val="none"/>
              </w:rPr>
            </w:pPr>
            <w:r>
              <w:rPr>
                <w:rFonts w:eastAsia="宋体"/>
                <w:color w:val="auto"/>
                <w:highlight w:val="none"/>
              </w:rPr>
              <w:t>用海类型</w:t>
            </w:r>
            <w:r>
              <w:rPr>
                <w:rFonts w:hint="eastAsia" w:eastAsia="宋体"/>
                <w:color w:val="auto"/>
                <w:highlight w:val="none"/>
              </w:rPr>
              <w:t>：</w:t>
            </w:r>
            <w:r>
              <w:rPr>
                <w:rFonts w:eastAsia="宋体"/>
                <w:color w:val="auto"/>
                <w:highlight w:val="none"/>
              </w:rPr>
              <w:t>按《海域使用分类》（HY/T123-2009），本项目用海的海域使用类型</w:t>
            </w:r>
            <w:r>
              <w:rPr>
                <w:rFonts w:hint="eastAsia" w:ascii="宋体" w:hAnsi="宋体" w:eastAsia="宋体" w:cs="宋体"/>
                <w:color w:val="auto"/>
                <w:highlight w:val="none"/>
              </w:rPr>
              <w:t>为“其他用海”（一级类）中的“其他用海”（二级类）；按</w:t>
            </w:r>
            <w:r>
              <w:rPr>
                <w:rFonts w:hint="eastAsia" w:eastAsia="宋体"/>
                <w:color w:val="auto"/>
                <w:highlight w:val="none"/>
              </w:rPr>
              <w:t>《国土空间调查、规划、用途管制用地用海分类指南》（自然资发〔2023</w:t>
            </w:r>
            <w:r>
              <w:rPr>
                <w:rFonts w:eastAsia="宋体"/>
                <w:color w:val="auto"/>
                <w:highlight w:val="none"/>
              </w:rPr>
              <w:t>〕</w:t>
            </w:r>
            <w:r>
              <w:rPr>
                <w:rFonts w:hint="eastAsia" w:eastAsia="宋体"/>
                <w:color w:val="auto"/>
                <w:highlight w:val="none"/>
              </w:rPr>
              <w:t>234</w:t>
            </w:r>
            <w:r>
              <w:rPr>
                <w:rFonts w:eastAsia="宋体"/>
                <w:color w:val="auto"/>
                <w:highlight w:val="none"/>
              </w:rPr>
              <w:t>号），</w:t>
            </w:r>
            <w:r>
              <w:rPr>
                <w:rFonts w:hint="eastAsia" w:eastAsia="宋体"/>
                <w:color w:val="auto"/>
                <w:highlight w:val="none"/>
              </w:rPr>
              <w:t>本</w:t>
            </w:r>
            <w:r>
              <w:rPr>
                <w:rFonts w:eastAsia="宋体"/>
                <w:color w:val="auto"/>
                <w:highlight w:val="none"/>
              </w:rPr>
              <w:t>项目的用海类型为</w:t>
            </w:r>
            <w:r>
              <w:rPr>
                <w:rFonts w:hint="eastAsia" w:ascii="宋体" w:hAnsi="宋体" w:eastAsia="宋体" w:cs="宋体"/>
                <w:color w:val="auto"/>
                <w:highlight w:val="none"/>
              </w:rPr>
              <w:t>“交通运输用海”（一级类）中的“航运用海”（二级类）。</w:t>
            </w:r>
          </w:p>
          <w:p>
            <w:pPr>
              <w:pStyle w:val="30"/>
              <w:rPr>
                <w:rFonts w:ascii="宋体" w:hAnsi="宋体" w:eastAsia="宋体" w:cs="宋体"/>
                <w:color w:val="auto"/>
                <w:highlight w:val="none"/>
              </w:rPr>
            </w:pPr>
            <w:r>
              <w:rPr>
                <w:rFonts w:eastAsia="宋体"/>
                <w:color w:val="auto"/>
                <w:highlight w:val="none"/>
              </w:rPr>
              <w:t>用海方式</w:t>
            </w:r>
            <w:r>
              <w:rPr>
                <w:rFonts w:hint="eastAsia" w:eastAsia="宋体"/>
                <w:color w:val="auto"/>
                <w:highlight w:val="none"/>
              </w:rPr>
              <w:t>：</w:t>
            </w:r>
            <w:r>
              <w:rPr>
                <w:rFonts w:eastAsia="宋体"/>
                <w:color w:val="auto"/>
                <w:highlight w:val="none"/>
              </w:rPr>
              <w:t>按《海域使用分类》（HY/T123-2009），项目用海方式为</w:t>
            </w:r>
            <w:r>
              <w:rPr>
                <w:rFonts w:hint="eastAsia" w:ascii="宋体" w:hAnsi="宋体" w:eastAsia="宋体" w:cs="宋体"/>
                <w:color w:val="auto"/>
                <w:highlight w:val="none"/>
              </w:rPr>
              <w:t>：“开放式”（一级方式）中的“专用航道、锚地及其他开放式”（二级方式）；</w:t>
            </w:r>
            <w:r>
              <w:rPr>
                <w:rFonts w:eastAsia="宋体"/>
                <w:color w:val="auto"/>
                <w:highlight w:val="none"/>
              </w:rPr>
              <w:t>按</w:t>
            </w:r>
            <w:r>
              <w:rPr>
                <w:rFonts w:hint="eastAsia" w:eastAsia="宋体"/>
                <w:color w:val="auto"/>
                <w:highlight w:val="none"/>
              </w:rPr>
              <w:t>《</w:t>
            </w:r>
            <w:r>
              <w:rPr>
                <w:rFonts w:eastAsia="宋体"/>
                <w:color w:val="auto"/>
                <w:highlight w:val="none"/>
              </w:rPr>
              <w:t>财政部国家海洋局印发</w:t>
            </w:r>
            <w:r>
              <w:rPr>
                <w:rFonts w:hint="eastAsia" w:eastAsia="宋体"/>
                <w:color w:val="auto"/>
                <w:highlight w:val="none"/>
              </w:rPr>
              <w:t>&lt;</w:t>
            </w:r>
            <w:r>
              <w:rPr>
                <w:rFonts w:eastAsia="宋体"/>
                <w:color w:val="auto"/>
                <w:highlight w:val="none"/>
              </w:rPr>
              <w:t>关于调整海域无居民海岛使用金征收标准</w:t>
            </w:r>
            <w:r>
              <w:rPr>
                <w:rFonts w:hint="eastAsia" w:eastAsia="宋体"/>
                <w:color w:val="auto"/>
                <w:highlight w:val="none"/>
              </w:rPr>
              <w:t>&gt;</w:t>
            </w:r>
            <w:r>
              <w:rPr>
                <w:rFonts w:eastAsia="宋体"/>
                <w:color w:val="auto"/>
                <w:highlight w:val="none"/>
              </w:rPr>
              <w:t>的通知</w:t>
            </w:r>
            <w:r>
              <w:rPr>
                <w:rFonts w:hint="eastAsia" w:eastAsia="宋体"/>
                <w:color w:val="auto"/>
                <w:highlight w:val="none"/>
              </w:rPr>
              <w:t>》</w:t>
            </w:r>
            <w:r>
              <w:rPr>
                <w:rFonts w:eastAsia="宋体"/>
                <w:color w:val="auto"/>
                <w:highlight w:val="none"/>
              </w:rPr>
              <w:t>（财综〔2018〕15号），项目用海方式为</w:t>
            </w:r>
            <w:r>
              <w:rPr>
                <w:rFonts w:hint="eastAsia" w:ascii="宋体" w:hAnsi="宋体" w:eastAsia="宋体" w:cs="宋体"/>
                <w:color w:val="auto"/>
                <w:highlight w:val="none"/>
              </w:rPr>
              <w:t>“开放式用海”——“其他开放式用海”。</w:t>
            </w:r>
          </w:p>
          <w:p>
            <w:pPr>
              <w:spacing w:line="360" w:lineRule="auto"/>
              <w:jc w:val="center"/>
              <w:rPr>
                <w:rFonts w:ascii="Times New Roman" w:hAnsi="Times New Roman"/>
                <w:color w:val="auto"/>
                <w:sz w:val="24"/>
                <w:szCs w:val="24"/>
                <w:highlight w:val="none"/>
              </w:rPr>
            </w:pPr>
          </w:p>
          <w:p>
            <w:pPr>
              <w:spacing w:line="360" w:lineRule="auto"/>
              <w:jc w:val="center"/>
              <w:rPr>
                <w:rFonts w:ascii="Times New Roman" w:hAnsi="Times New Roman"/>
                <w:b/>
                <w:bCs/>
                <w:color w:val="auto"/>
                <w:sz w:val="24"/>
                <w:szCs w:val="24"/>
                <w:highlight w:val="none"/>
              </w:rPr>
            </w:pPr>
            <w:r>
              <w:rPr>
                <w:rFonts w:ascii="Times New Roman" w:hAnsi="Times New Roman"/>
                <w:b/>
                <w:bCs/>
                <w:color w:val="auto"/>
                <w:sz w:val="24"/>
                <w:szCs w:val="24"/>
                <w:highlight w:val="none"/>
              </w:rPr>
              <w:pict>
                <v:shape id="_x0000_i1026" o:spt="75" alt="49985f2544898c775ee9b9c34ea5a7c" type="#_x0000_t75" style="height:443pt;width:626.5pt;rotation:-5898240f;" filled="f" o:preferrelative="t" stroked="f" coordsize="21600,21600">
                  <v:path/>
                  <v:fill on="f" focussize="0,0"/>
                  <v:stroke on="f" joinstyle="miter"/>
                  <v:imagedata r:id="rId12" o:title="49985f2544898c775ee9b9c34ea5a7c"/>
                  <o:lock v:ext="edit" aspectratio="t"/>
                  <w10:wrap type="none"/>
                  <w10:anchorlock/>
                </v:shape>
              </w:pict>
            </w:r>
          </w:p>
          <w:p>
            <w:pPr>
              <w:spacing w:line="360" w:lineRule="auto"/>
              <w:ind w:firstLine="435"/>
              <w:jc w:val="center"/>
              <w:rPr>
                <w:rFonts w:ascii="Times New Roman" w:hAnsi="Times New Roman"/>
                <w:b/>
                <w:bCs/>
                <w:color w:val="auto"/>
                <w:sz w:val="24"/>
                <w:szCs w:val="24"/>
                <w:highlight w:val="none"/>
              </w:rPr>
            </w:pPr>
            <w:r>
              <w:rPr>
                <w:rFonts w:ascii="Times New Roman" w:hAnsi="Times New Roman"/>
                <w:b/>
                <w:bCs/>
                <w:color w:val="auto"/>
                <w:sz w:val="24"/>
                <w:szCs w:val="24"/>
                <w:highlight w:val="none"/>
              </w:rPr>
              <w:t>图1-</w:t>
            </w:r>
            <w:r>
              <w:rPr>
                <w:rFonts w:hint="eastAsia" w:ascii="Times New Roman" w:hAnsi="Times New Roman"/>
                <w:b/>
                <w:bCs/>
                <w:color w:val="auto"/>
                <w:sz w:val="24"/>
                <w:szCs w:val="24"/>
                <w:highlight w:val="none"/>
              </w:rPr>
              <w:t>4  项目宗海界址图</w:t>
            </w:r>
          </w:p>
          <w:p>
            <w:pPr>
              <w:spacing w:line="360" w:lineRule="auto"/>
              <w:rPr>
                <w:rFonts w:hint="eastAsia" w:ascii="Times New Roman" w:hAnsi="Times New Roman"/>
                <w:b/>
                <w:color w:val="auto"/>
                <w:sz w:val="24"/>
                <w:szCs w:val="24"/>
                <w:highlight w:val="none"/>
              </w:rPr>
            </w:pPr>
            <w:bookmarkStart w:id="1" w:name="_Toc148518472"/>
          </w:p>
          <w:p>
            <w:pPr>
              <w:spacing w:line="360" w:lineRule="auto"/>
              <w:rPr>
                <w:rFonts w:ascii="Times New Roman" w:hAnsi="Times New Roman"/>
                <w:b/>
                <w:color w:val="auto"/>
                <w:sz w:val="24"/>
                <w:szCs w:val="24"/>
                <w:highlight w:val="none"/>
              </w:rPr>
            </w:pPr>
            <w:r>
              <w:rPr>
                <w:rFonts w:hint="eastAsia" w:ascii="Times New Roman" w:hAnsi="Times New Roman"/>
                <w:b/>
                <w:color w:val="auto"/>
                <w:sz w:val="24"/>
                <w:szCs w:val="24"/>
                <w:highlight w:val="none"/>
              </w:rPr>
              <w:t>1.6 论证</w:t>
            </w:r>
            <w:bookmarkEnd w:id="1"/>
            <w:r>
              <w:rPr>
                <w:rFonts w:hint="eastAsia" w:ascii="Times New Roman" w:hAnsi="Times New Roman"/>
                <w:b/>
                <w:color w:val="auto"/>
                <w:sz w:val="24"/>
                <w:szCs w:val="24"/>
                <w:highlight w:val="none"/>
              </w:rPr>
              <w:t>基本要素</w:t>
            </w:r>
          </w:p>
          <w:p>
            <w:pPr>
              <w:pStyle w:val="102"/>
              <w:rPr>
                <w:rFonts w:eastAsia="宋体"/>
                <w:color w:val="auto"/>
                <w:highlight w:val="none"/>
              </w:rPr>
            </w:pPr>
            <w:r>
              <w:rPr>
                <w:rFonts w:hint="eastAsia" w:eastAsia="宋体"/>
                <w:color w:val="auto"/>
                <w:highlight w:val="none"/>
              </w:rPr>
              <w:t>（1）主要论证依据</w:t>
            </w:r>
          </w:p>
          <w:p>
            <w:pPr>
              <w:spacing w:line="360" w:lineRule="auto"/>
              <w:ind w:firstLine="566" w:firstLineChars="236"/>
              <w:rPr>
                <w:rFonts w:ascii="Times New Roman" w:hAnsi="Times New Roman"/>
                <w:color w:val="auto"/>
                <w:kern w:val="0"/>
                <w:sz w:val="24"/>
                <w:szCs w:val="24"/>
                <w:highlight w:val="none"/>
              </w:rPr>
            </w:pPr>
            <w:r>
              <w:rPr>
                <w:rFonts w:ascii="Times New Roman"/>
                <w:color w:val="auto"/>
                <w:kern w:val="0"/>
                <w:sz w:val="24"/>
                <w:szCs w:val="24"/>
                <w:highlight w:val="none"/>
              </w:rPr>
              <w:t>（</w:t>
            </w:r>
            <w:r>
              <w:rPr>
                <w:rFonts w:ascii="Times New Roman" w:hAnsi="Times New Roman"/>
                <w:color w:val="auto"/>
                <w:kern w:val="0"/>
                <w:sz w:val="24"/>
                <w:szCs w:val="24"/>
                <w:highlight w:val="none"/>
              </w:rPr>
              <w:t>1</w:t>
            </w:r>
            <w:r>
              <w:rPr>
                <w:rFonts w:ascii="Times New Roman"/>
                <w:color w:val="auto"/>
                <w:kern w:val="0"/>
                <w:sz w:val="24"/>
                <w:szCs w:val="24"/>
                <w:highlight w:val="none"/>
              </w:rPr>
              <w:t>）《中华人民共和国海域使用管理法》，</w:t>
            </w:r>
            <w:r>
              <w:rPr>
                <w:rFonts w:ascii="Times New Roman" w:hAnsi="Times New Roman"/>
                <w:color w:val="auto"/>
                <w:kern w:val="0"/>
                <w:sz w:val="24"/>
                <w:szCs w:val="24"/>
                <w:highlight w:val="none"/>
              </w:rPr>
              <w:t>2002.01.01</w:t>
            </w:r>
            <w:r>
              <w:rPr>
                <w:rFonts w:ascii="Times New Roman"/>
                <w:color w:val="auto"/>
                <w:kern w:val="0"/>
                <w:sz w:val="24"/>
                <w:szCs w:val="24"/>
                <w:highlight w:val="none"/>
              </w:rPr>
              <w:t>；</w:t>
            </w:r>
          </w:p>
          <w:p>
            <w:pPr>
              <w:spacing w:line="360" w:lineRule="auto"/>
              <w:ind w:firstLine="566" w:firstLineChars="236"/>
              <w:rPr>
                <w:rFonts w:ascii="Times New Roman" w:hAnsi="Times New Roman"/>
                <w:color w:val="auto"/>
                <w:kern w:val="0"/>
                <w:sz w:val="24"/>
                <w:szCs w:val="24"/>
                <w:highlight w:val="none"/>
              </w:rPr>
            </w:pPr>
            <w:r>
              <w:rPr>
                <w:rFonts w:ascii="Times New Roman"/>
                <w:color w:val="auto"/>
                <w:kern w:val="0"/>
                <w:sz w:val="24"/>
                <w:szCs w:val="24"/>
                <w:highlight w:val="none"/>
              </w:rPr>
              <w:t>（</w:t>
            </w:r>
            <w:r>
              <w:rPr>
                <w:rFonts w:ascii="Times New Roman" w:hAnsi="Times New Roman"/>
                <w:color w:val="auto"/>
                <w:kern w:val="0"/>
                <w:sz w:val="24"/>
                <w:szCs w:val="24"/>
                <w:highlight w:val="none"/>
              </w:rPr>
              <w:t>2</w:t>
            </w:r>
            <w:r>
              <w:rPr>
                <w:rFonts w:ascii="Times New Roman"/>
                <w:color w:val="auto"/>
                <w:kern w:val="0"/>
                <w:sz w:val="24"/>
                <w:szCs w:val="24"/>
                <w:highlight w:val="none"/>
              </w:rPr>
              <w:t>）《中华人民共和国海洋环境保护法》（修正），</w:t>
            </w:r>
            <w:r>
              <w:rPr>
                <w:rFonts w:ascii="Times New Roman" w:hAnsi="Times New Roman"/>
                <w:color w:val="auto"/>
                <w:kern w:val="0"/>
                <w:sz w:val="24"/>
                <w:szCs w:val="24"/>
                <w:highlight w:val="none"/>
              </w:rPr>
              <w:t>2017.11.05</w:t>
            </w:r>
            <w:r>
              <w:rPr>
                <w:rFonts w:ascii="Times New Roman"/>
                <w:color w:val="auto"/>
                <w:kern w:val="0"/>
                <w:sz w:val="24"/>
                <w:szCs w:val="24"/>
                <w:highlight w:val="none"/>
              </w:rPr>
              <w:t>；</w:t>
            </w:r>
          </w:p>
          <w:p>
            <w:pPr>
              <w:spacing w:line="360" w:lineRule="auto"/>
              <w:ind w:firstLine="566" w:firstLineChars="236"/>
              <w:rPr>
                <w:rFonts w:ascii="Times New Roman" w:hAnsi="Times New Roman"/>
                <w:color w:val="auto"/>
                <w:kern w:val="0"/>
                <w:sz w:val="24"/>
                <w:szCs w:val="24"/>
                <w:highlight w:val="none"/>
              </w:rPr>
            </w:pPr>
            <w:r>
              <w:rPr>
                <w:rFonts w:ascii="Times New Roman"/>
                <w:color w:val="auto"/>
                <w:kern w:val="0"/>
                <w:sz w:val="24"/>
                <w:szCs w:val="24"/>
                <w:highlight w:val="none"/>
              </w:rPr>
              <w:t>（</w:t>
            </w:r>
            <w:r>
              <w:rPr>
                <w:rFonts w:ascii="Times New Roman" w:hAnsi="Times New Roman"/>
                <w:color w:val="auto"/>
                <w:kern w:val="0"/>
                <w:sz w:val="24"/>
                <w:szCs w:val="24"/>
                <w:highlight w:val="none"/>
              </w:rPr>
              <w:t>3</w:t>
            </w:r>
            <w:r>
              <w:rPr>
                <w:rFonts w:ascii="Times New Roman"/>
                <w:color w:val="auto"/>
                <w:kern w:val="0"/>
                <w:sz w:val="24"/>
                <w:szCs w:val="24"/>
                <w:highlight w:val="none"/>
              </w:rPr>
              <w:t>）《中华人民共和国渔业法》（修订），</w:t>
            </w:r>
            <w:r>
              <w:rPr>
                <w:rFonts w:ascii="Times New Roman" w:hAnsi="Times New Roman"/>
                <w:color w:val="auto"/>
                <w:kern w:val="0"/>
                <w:sz w:val="24"/>
                <w:szCs w:val="24"/>
                <w:highlight w:val="none"/>
              </w:rPr>
              <w:t>2013.12.28</w:t>
            </w:r>
            <w:r>
              <w:rPr>
                <w:rFonts w:ascii="Times New Roman"/>
                <w:color w:val="auto"/>
                <w:kern w:val="0"/>
                <w:sz w:val="24"/>
                <w:szCs w:val="24"/>
                <w:highlight w:val="none"/>
              </w:rPr>
              <w:t>；</w:t>
            </w:r>
          </w:p>
          <w:p>
            <w:pPr>
              <w:spacing w:line="360" w:lineRule="auto"/>
              <w:ind w:firstLine="566" w:firstLineChars="236"/>
              <w:rPr>
                <w:rFonts w:ascii="Times New Roman" w:hAnsi="Times New Roman"/>
                <w:color w:val="auto"/>
                <w:kern w:val="0"/>
                <w:sz w:val="24"/>
                <w:szCs w:val="24"/>
                <w:highlight w:val="none"/>
              </w:rPr>
            </w:pPr>
            <w:r>
              <w:rPr>
                <w:rFonts w:ascii="Times New Roman"/>
                <w:color w:val="auto"/>
                <w:kern w:val="0"/>
                <w:sz w:val="24"/>
                <w:szCs w:val="24"/>
                <w:highlight w:val="none"/>
              </w:rPr>
              <w:t>（</w:t>
            </w:r>
            <w:r>
              <w:rPr>
                <w:rFonts w:ascii="Times New Roman" w:hAnsi="Times New Roman"/>
                <w:color w:val="auto"/>
                <w:kern w:val="0"/>
                <w:sz w:val="24"/>
                <w:szCs w:val="24"/>
                <w:highlight w:val="none"/>
              </w:rPr>
              <w:t>4</w:t>
            </w:r>
            <w:r>
              <w:rPr>
                <w:rFonts w:ascii="Times New Roman"/>
                <w:color w:val="auto"/>
                <w:kern w:val="0"/>
                <w:sz w:val="24"/>
                <w:szCs w:val="24"/>
                <w:highlight w:val="none"/>
              </w:rPr>
              <w:t>）《中华人民共和国海上交通安全法》（修正），</w:t>
            </w:r>
            <w:r>
              <w:rPr>
                <w:rFonts w:ascii="Times New Roman" w:hAnsi="Times New Roman"/>
                <w:color w:val="auto"/>
                <w:kern w:val="0"/>
                <w:sz w:val="24"/>
                <w:szCs w:val="24"/>
                <w:highlight w:val="none"/>
              </w:rPr>
              <w:t>20</w:t>
            </w:r>
            <w:r>
              <w:rPr>
                <w:rFonts w:hint="eastAsia" w:ascii="Times New Roman" w:hAnsi="Times New Roman"/>
                <w:color w:val="auto"/>
                <w:kern w:val="0"/>
                <w:sz w:val="24"/>
                <w:szCs w:val="24"/>
                <w:highlight w:val="none"/>
              </w:rPr>
              <w:t>21.09.01</w:t>
            </w:r>
            <w:r>
              <w:rPr>
                <w:rFonts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（5）《中华人民共和国港口法》（修正），201</w:t>
            </w:r>
            <w:r>
              <w:rPr>
                <w:rFonts w:hint="eastAsia" w:ascii="Times New Roman"/>
                <w:color w:val="auto"/>
                <w:kern w:val="0"/>
                <w:sz w:val="24"/>
                <w:szCs w:val="24"/>
                <w:highlight w:val="none"/>
              </w:rPr>
              <w:t>7.11.04</w:t>
            </w:r>
            <w:r>
              <w:rPr>
                <w:rFonts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（6）《中华人民共和国水上水下作业和活动通航安全管理规定》，</w:t>
            </w:r>
            <w:r>
              <w:rPr>
                <w:rFonts w:hint="eastAsia" w:ascii="Times New Roman"/>
                <w:color w:val="auto"/>
                <w:kern w:val="0"/>
                <w:sz w:val="24"/>
                <w:szCs w:val="24"/>
                <w:highlight w:val="none"/>
              </w:rPr>
              <w:t>2021.09.01；</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（7）《关于规范海域使用论证材料编制的通知》，自然资规〔2021〕1号，2021.01.08；</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（8）《自然资源部关于进一步做好用地用海要素保障的通知》，自然资发〔</w:t>
            </w:r>
            <w:r>
              <w:rPr>
                <w:rFonts w:ascii="Times New Roman"/>
                <w:color w:val="auto"/>
                <w:kern w:val="0"/>
                <w:sz w:val="24"/>
                <w:szCs w:val="24"/>
                <w:highlight w:val="none"/>
              </w:rPr>
              <w:t>202</w:t>
            </w:r>
            <w:r>
              <w:rPr>
                <w:rFonts w:hint="eastAsia" w:ascii="Times New Roman"/>
                <w:color w:val="auto"/>
                <w:kern w:val="0"/>
                <w:sz w:val="24"/>
                <w:szCs w:val="24"/>
                <w:highlight w:val="none"/>
              </w:rPr>
              <w:t>3〕89号，2023.06.13；</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w:t>
            </w:r>
            <w:r>
              <w:rPr>
                <w:rFonts w:hint="eastAsia" w:ascii="Times New Roman"/>
                <w:color w:val="auto"/>
                <w:kern w:val="0"/>
                <w:sz w:val="24"/>
                <w:szCs w:val="24"/>
                <w:highlight w:val="none"/>
              </w:rPr>
              <w:t>9</w:t>
            </w:r>
            <w:r>
              <w:rPr>
                <w:rFonts w:ascii="Times New Roman"/>
                <w:color w:val="auto"/>
                <w:kern w:val="0"/>
                <w:sz w:val="24"/>
                <w:szCs w:val="24"/>
                <w:highlight w:val="none"/>
              </w:rPr>
              <w:t>）《广西壮族自治区海域使用管理条例》，2016.03.01；</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（10）</w:t>
            </w:r>
            <w:r>
              <w:rPr>
                <w:rFonts w:ascii="Times New Roman"/>
                <w:color w:val="auto"/>
                <w:kern w:val="0"/>
                <w:sz w:val="24"/>
                <w:szCs w:val="24"/>
                <w:highlight w:val="none"/>
              </w:rPr>
              <w:t>《广西壮族自治区</w:t>
            </w:r>
            <w:r>
              <w:rPr>
                <w:rFonts w:hint="eastAsia" w:ascii="Times New Roman"/>
                <w:color w:val="auto"/>
                <w:kern w:val="0"/>
                <w:sz w:val="24"/>
                <w:szCs w:val="24"/>
                <w:highlight w:val="none"/>
              </w:rPr>
              <w:t>海洋环境保护</w:t>
            </w:r>
            <w:r>
              <w:rPr>
                <w:rFonts w:ascii="Times New Roman"/>
                <w:color w:val="auto"/>
                <w:kern w:val="0"/>
                <w:sz w:val="24"/>
                <w:szCs w:val="24"/>
                <w:highlight w:val="none"/>
              </w:rPr>
              <w:t>条例》，201</w:t>
            </w:r>
            <w:r>
              <w:rPr>
                <w:rFonts w:hint="eastAsia" w:ascii="Times New Roman"/>
                <w:color w:val="auto"/>
                <w:kern w:val="0"/>
                <w:sz w:val="24"/>
                <w:szCs w:val="24"/>
                <w:highlight w:val="none"/>
              </w:rPr>
              <w:t>4.02</w:t>
            </w:r>
            <w:r>
              <w:rPr>
                <w:rFonts w:ascii="Times New Roman"/>
                <w:color w:val="auto"/>
                <w:kern w:val="0"/>
                <w:sz w:val="24"/>
                <w:szCs w:val="24"/>
                <w:highlight w:val="none"/>
              </w:rPr>
              <w:t>.01；</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（11）《广西壮族自治区海洋主体功能区规划》，桂政发</w:t>
            </w:r>
            <w:r>
              <w:rPr>
                <w:rFonts w:ascii="Times New Roman"/>
                <w:color w:val="auto"/>
                <w:kern w:val="0"/>
                <w:sz w:val="24"/>
                <w:szCs w:val="24"/>
                <w:highlight w:val="none"/>
              </w:rPr>
              <w:t>〔20</w:t>
            </w:r>
            <w:r>
              <w:rPr>
                <w:rFonts w:hint="eastAsia" w:ascii="Times New Roman"/>
                <w:color w:val="auto"/>
                <w:kern w:val="0"/>
                <w:sz w:val="24"/>
                <w:szCs w:val="24"/>
                <w:highlight w:val="none"/>
              </w:rPr>
              <w:t>18</w:t>
            </w:r>
            <w:r>
              <w:rPr>
                <w:rFonts w:ascii="Times New Roman"/>
                <w:color w:val="auto"/>
                <w:kern w:val="0"/>
                <w:sz w:val="24"/>
                <w:szCs w:val="24"/>
                <w:highlight w:val="none"/>
              </w:rPr>
              <w:t>〕</w:t>
            </w:r>
            <w:r>
              <w:rPr>
                <w:rFonts w:hint="eastAsia" w:ascii="Times New Roman"/>
                <w:color w:val="auto"/>
                <w:kern w:val="0"/>
                <w:sz w:val="24"/>
                <w:szCs w:val="24"/>
                <w:highlight w:val="none"/>
              </w:rPr>
              <w:t>23</w:t>
            </w:r>
            <w:r>
              <w:rPr>
                <w:rFonts w:ascii="Times New Roman"/>
                <w:color w:val="auto"/>
                <w:kern w:val="0"/>
                <w:sz w:val="24"/>
                <w:szCs w:val="24"/>
                <w:highlight w:val="none"/>
              </w:rPr>
              <w:t>号</w:t>
            </w:r>
            <w:r>
              <w:rPr>
                <w:rFonts w:hint="eastAsia"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（12）</w:t>
            </w:r>
            <w:r>
              <w:rPr>
                <w:rFonts w:ascii="Times New Roman"/>
                <w:color w:val="auto"/>
                <w:kern w:val="0"/>
                <w:sz w:val="24"/>
                <w:szCs w:val="24"/>
                <w:highlight w:val="none"/>
              </w:rPr>
              <w:t>《广西壮族自治区海洋功能区划</w:t>
            </w:r>
            <w:r>
              <w:rPr>
                <w:rFonts w:hint="eastAsia" w:ascii="Times New Roman"/>
                <w:color w:val="auto"/>
                <w:kern w:val="0"/>
                <w:sz w:val="24"/>
                <w:szCs w:val="24"/>
                <w:highlight w:val="none"/>
              </w:rPr>
              <w:t>（2011-2020年）</w:t>
            </w:r>
            <w:r>
              <w:rPr>
                <w:rFonts w:ascii="Times New Roman"/>
                <w:color w:val="auto"/>
                <w:kern w:val="0"/>
                <w:sz w:val="24"/>
                <w:szCs w:val="24"/>
                <w:highlight w:val="none"/>
              </w:rPr>
              <w:t>》，</w:t>
            </w:r>
            <w:r>
              <w:rPr>
                <w:rFonts w:hint="eastAsia" w:ascii="Times New Roman"/>
                <w:color w:val="auto"/>
                <w:kern w:val="0"/>
                <w:sz w:val="24"/>
                <w:szCs w:val="24"/>
                <w:highlight w:val="none"/>
              </w:rPr>
              <w:t>国函</w:t>
            </w:r>
            <w:r>
              <w:rPr>
                <w:rFonts w:ascii="Times New Roman"/>
                <w:color w:val="auto"/>
                <w:kern w:val="0"/>
                <w:sz w:val="24"/>
                <w:szCs w:val="24"/>
                <w:highlight w:val="none"/>
              </w:rPr>
              <w:t>〔20</w:t>
            </w:r>
            <w:r>
              <w:rPr>
                <w:rFonts w:hint="eastAsia" w:ascii="Times New Roman"/>
                <w:color w:val="auto"/>
                <w:kern w:val="0"/>
                <w:sz w:val="24"/>
                <w:szCs w:val="24"/>
                <w:highlight w:val="none"/>
              </w:rPr>
              <w:t>12</w:t>
            </w:r>
            <w:r>
              <w:rPr>
                <w:rFonts w:ascii="Times New Roman"/>
                <w:color w:val="auto"/>
                <w:kern w:val="0"/>
                <w:sz w:val="24"/>
                <w:szCs w:val="24"/>
                <w:highlight w:val="none"/>
              </w:rPr>
              <w:t>〕</w:t>
            </w:r>
            <w:r>
              <w:rPr>
                <w:rFonts w:hint="eastAsia" w:ascii="Times New Roman"/>
                <w:color w:val="auto"/>
                <w:kern w:val="0"/>
                <w:sz w:val="24"/>
                <w:szCs w:val="24"/>
                <w:highlight w:val="none"/>
              </w:rPr>
              <w:t>166号；</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（13）</w:t>
            </w:r>
            <w:r>
              <w:rPr>
                <w:rFonts w:ascii="Times New Roman"/>
                <w:color w:val="auto"/>
                <w:kern w:val="0"/>
                <w:sz w:val="24"/>
                <w:szCs w:val="24"/>
                <w:highlight w:val="none"/>
              </w:rPr>
              <w:t>《海域使用论证技术导则》，</w:t>
            </w:r>
            <w:r>
              <w:rPr>
                <w:rFonts w:hint="eastAsia" w:ascii="Times New Roman"/>
                <w:color w:val="auto"/>
                <w:kern w:val="0"/>
                <w:sz w:val="24"/>
                <w:szCs w:val="24"/>
                <w:highlight w:val="none"/>
              </w:rPr>
              <w:t>GB</w:t>
            </w:r>
            <w:r>
              <w:rPr>
                <w:rFonts w:ascii="Times New Roman"/>
                <w:color w:val="auto"/>
                <w:kern w:val="0"/>
                <w:sz w:val="24"/>
                <w:szCs w:val="24"/>
                <w:highlight w:val="none"/>
              </w:rPr>
              <w:t xml:space="preserve">/T </w:t>
            </w:r>
            <w:r>
              <w:rPr>
                <w:rFonts w:hint="eastAsia" w:ascii="Times New Roman"/>
                <w:color w:val="auto"/>
                <w:kern w:val="0"/>
                <w:sz w:val="24"/>
                <w:szCs w:val="24"/>
                <w:highlight w:val="none"/>
              </w:rPr>
              <w:t>42361</w:t>
            </w:r>
            <w:r>
              <w:rPr>
                <w:rFonts w:ascii="Times New Roman"/>
                <w:color w:val="auto"/>
                <w:kern w:val="0"/>
                <w:sz w:val="24"/>
                <w:szCs w:val="24"/>
                <w:highlight w:val="none"/>
              </w:rPr>
              <w:t>-20</w:t>
            </w:r>
            <w:r>
              <w:rPr>
                <w:rFonts w:hint="eastAsia" w:ascii="Times New Roman"/>
                <w:color w:val="auto"/>
                <w:kern w:val="0"/>
                <w:sz w:val="24"/>
                <w:szCs w:val="24"/>
                <w:highlight w:val="none"/>
              </w:rPr>
              <w:t>23</w:t>
            </w:r>
            <w:r>
              <w:rPr>
                <w:rFonts w:ascii="Times New Roman"/>
                <w:color w:val="auto"/>
                <w:kern w:val="0"/>
                <w:sz w:val="24"/>
                <w:szCs w:val="24"/>
                <w:highlight w:val="none"/>
              </w:rPr>
              <w:t>，20</w:t>
            </w:r>
            <w:r>
              <w:rPr>
                <w:rFonts w:hint="eastAsia" w:ascii="Times New Roman"/>
                <w:color w:val="auto"/>
                <w:kern w:val="0"/>
                <w:sz w:val="24"/>
                <w:szCs w:val="24"/>
                <w:highlight w:val="none"/>
              </w:rPr>
              <w:t>23.07.01</w:t>
            </w:r>
            <w:r>
              <w:rPr>
                <w:rFonts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w:t>
            </w:r>
            <w:r>
              <w:rPr>
                <w:rFonts w:hint="eastAsia" w:ascii="Times New Roman"/>
                <w:color w:val="auto"/>
                <w:kern w:val="0"/>
                <w:sz w:val="24"/>
                <w:szCs w:val="24"/>
                <w:highlight w:val="none"/>
              </w:rPr>
              <w:t>14</w:t>
            </w:r>
            <w:r>
              <w:rPr>
                <w:rFonts w:ascii="Times New Roman"/>
                <w:color w:val="auto"/>
                <w:kern w:val="0"/>
                <w:sz w:val="24"/>
                <w:szCs w:val="24"/>
                <w:highlight w:val="none"/>
              </w:rPr>
              <w:t>）</w:t>
            </w:r>
            <w:r>
              <w:rPr>
                <w:rFonts w:hint="eastAsia" w:ascii="Times New Roman"/>
                <w:color w:val="auto"/>
                <w:kern w:val="0"/>
                <w:sz w:val="24"/>
                <w:szCs w:val="24"/>
                <w:highlight w:val="none"/>
              </w:rPr>
              <w:t>《国土空间调查、规划、用途管制用地用海分类指南》，自然资发〔2023</w:t>
            </w:r>
            <w:r>
              <w:rPr>
                <w:rFonts w:ascii="Times New Roman"/>
                <w:color w:val="auto"/>
                <w:kern w:val="0"/>
                <w:sz w:val="24"/>
                <w:szCs w:val="24"/>
                <w:highlight w:val="none"/>
              </w:rPr>
              <w:t>〕</w:t>
            </w:r>
            <w:r>
              <w:rPr>
                <w:rFonts w:hint="eastAsia" w:ascii="Times New Roman"/>
                <w:color w:val="auto"/>
                <w:kern w:val="0"/>
                <w:sz w:val="24"/>
                <w:szCs w:val="24"/>
                <w:highlight w:val="none"/>
              </w:rPr>
              <w:t>234</w:t>
            </w:r>
            <w:r>
              <w:rPr>
                <w:rFonts w:ascii="Times New Roman"/>
                <w:color w:val="auto"/>
                <w:kern w:val="0"/>
                <w:sz w:val="24"/>
                <w:szCs w:val="24"/>
                <w:highlight w:val="none"/>
              </w:rPr>
              <w:t>号</w:t>
            </w:r>
            <w:r>
              <w:rPr>
                <w:rFonts w:hint="eastAsia"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（1</w:t>
            </w:r>
            <w:r>
              <w:rPr>
                <w:rFonts w:hint="eastAsia" w:ascii="Times New Roman"/>
                <w:color w:val="auto"/>
                <w:kern w:val="0"/>
                <w:sz w:val="24"/>
                <w:szCs w:val="24"/>
                <w:highlight w:val="none"/>
              </w:rPr>
              <w:t>5</w:t>
            </w:r>
            <w:r>
              <w:rPr>
                <w:rFonts w:ascii="Times New Roman"/>
                <w:color w:val="auto"/>
                <w:kern w:val="0"/>
                <w:sz w:val="24"/>
                <w:szCs w:val="24"/>
                <w:highlight w:val="none"/>
              </w:rPr>
              <w:t>）</w:t>
            </w:r>
            <w:r>
              <w:rPr>
                <w:rFonts w:hint="eastAsia" w:ascii="Times New Roman"/>
                <w:color w:val="auto"/>
                <w:kern w:val="0"/>
                <w:sz w:val="24"/>
                <w:szCs w:val="24"/>
                <w:highlight w:val="none"/>
              </w:rPr>
              <w:t>《财政部 国家海洋局印发&lt;</w:t>
            </w:r>
            <w:r>
              <w:rPr>
                <w:rFonts w:ascii="Times New Roman"/>
                <w:color w:val="auto"/>
                <w:kern w:val="0"/>
                <w:sz w:val="24"/>
                <w:szCs w:val="24"/>
                <w:highlight w:val="none"/>
              </w:rPr>
              <w:t>关于调整海域无居民海岛使用金征收标准</w:t>
            </w:r>
            <w:r>
              <w:rPr>
                <w:rFonts w:hint="eastAsia" w:ascii="Times New Roman"/>
                <w:color w:val="auto"/>
                <w:kern w:val="0"/>
                <w:sz w:val="24"/>
                <w:szCs w:val="24"/>
                <w:highlight w:val="none"/>
              </w:rPr>
              <w:t>&gt;的通知》，</w:t>
            </w:r>
            <w:r>
              <w:rPr>
                <w:rFonts w:ascii="Times New Roman"/>
                <w:color w:val="auto"/>
                <w:kern w:val="0"/>
                <w:sz w:val="24"/>
                <w:szCs w:val="24"/>
                <w:highlight w:val="none"/>
              </w:rPr>
              <w:t>财综〔2018〕15号</w:t>
            </w:r>
            <w:r>
              <w:rPr>
                <w:rFonts w:hint="eastAsia"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（1</w:t>
            </w:r>
            <w:r>
              <w:rPr>
                <w:rFonts w:hint="eastAsia" w:ascii="Times New Roman"/>
                <w:color w:val="auto"/>
                <w:kern w:val="0"/>
                <w:sz w:val="24"/>
                <w:szCs w:val="24"/>
                <w:highlight w:val="none"/>
              </w:rPr>
              <w:t>6</w:t>
            </w:r>
            <w:r>
              <w:rPr>
                <w:rFonts w:ascii="Times New Roman"/>
                <w:color w:val="auto"/>
                <w:kern w:val="0"/>
                <w:sz w:val="24"/>
                <w:szCs w:val="24"/>
                <w:highlight w:val="none"/>
              </w:rPr>
              <w:t>）《海域使用分类》，HY/T 123-2009；</w:t>
            </w:r>
          </w:p>
          <w:p>
            <w:pPr>
              <w:spacing w:line="360" w:lineRule="auto"/>
              <w:ind w:firstLine="566" w:firstLineChars="236"/>
              <w:rPr>
                <w:rFonts w:ascii="Times New Roman"/>
                <w:color w:val="auto"/>
                <w:kern w:val="0"/>
                <w:sz w:val="24"/>
                <w:szCs w:val="24"/>
                <w:highlight w:val="none"/>
              </w:rPr>
            </w:pPr>
            <w:r>
              <w:rPr>
                <w:rFonts w:ascii="Times New Roman"/>
                <w:color w:val="auto"/>
                <w:kern w:val="0"/>
                <w:sz w:val="24"/>
                <w:szCs w:val="24"/>
                <w:highlight w:val="none"/>
              </w:rPr>
              <w:t>（1</w:t>
            </w:r>
            <w:r>
              <w:rPr>
                <w:rFonts w:hint="eastAsia" w:ascii="Times New Roman"/>
                <w:color w:val="auto"/>
                <w:kern w:val="0"/>
                <w:sz w:val="24"/>
                <w:szCs w:val="24"/>
                <w:highlight w:val="none"/>
              </w:rPr>
              <w:t>7</w:t>
            </w:r>
            <w:r>
              <w:rPr>
                <w:rFonts w:ascii="Times New Roman"/>
                <w:color w:val="auto"/>
                <w:kern w:val="0"/>
                <w:sz w:val="24"/>
                <w:szCs w:val="24"/>
                <w:highlight w:val="none"/>
              </w:rPr>
              <w:t>）《海籍调查规范》，HY/T 124-2009；</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（18）</w:t>
            </w:r>
            <w:r>
              <w:rPr>
                <w:rFonts w:ascii="Times New Roman"/>
                <w:color w:val="auto"/>
                <w:kern w:val="0"/>
                <w:sz w:val="24"/>
                <w:szCs w:val="24"/>
                <w:highlight w:val="none"/>
              </w:rPr>
              <w:t>《海域使用面积测量规范》，HY070-2003；</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（19）</w:t>
            </w:r>
            <w:r>
              <w:rPr>
                <w:rFonts w:ascii="Times New Roman"/>
                <w:color w:val="auto"/>
                <w:kern w:val="0"/>
                <w:sz w:val="24"/>
                <w:szCs w:val="24"/>
                <w:highlight w:val="none"/>
              </w:rPr>
              <w:t>《宗海图编绘技术规范》，HY/T251</w:t>
            </w:r>
            <w:r>
              <w:rPr>
                <w:rFonts w:hint="eastAsia" w:ascii="Times New Roman"/>
                <w:color w:val="auto"/>
                <w:kern w:val="0"/>
                <w:sz w:val="24"/>
                <w:szCs w:val="24"/>
                <w:highlight w:val="none"/>
              </w:rPr>
              <w:t>-</w:t>
            </w:r>
            <w:r>
              <w:rPr>
                <w:rFonts w:ascii="Times New Roman"/>
                <w:color w:val="auto"/>
                <w:kern w:val="0"/>
                <w:sz w:val="24"/>
                <w:szCs w:val="24"/>
                <w:highlight w:val="none"/>
              </w:rPr>
              <w:t>2018</w:t>
            </w:r>
            <w:r>
              <w:rPr>
                <w:rFonts w:hint="eastAsia" w:ascii="Times New Roman"/>
                <w:color w:val="auto"/>
                <w:kern w:val="0"/>
                <w:sz w:val="24"/>
                <w:szCs w:val="24"/>
                <w:highlight w:val="none"/>
              </w:rPr>
              <w:t>；</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（20）《海港总体设计规范》，JTS 165-2013；</w:t>
            </w:r>
          </w:p>
          <w:p>
            <w:pPr>
              <w:spacing w:line="360" w:lineRule="auto"/>
              <w:ind w:firstLine="566" w:firstLineChars="236"/>
              <w:rPr>
                <w:rFonts w:ascii="Times New Roman"/>
                <w:color w:val="auto"/>
                <w:kern w:val="0"/>
                <w:sz w:val="24"/>
                <w:szCs w:val="24"/>
                <w:highlight w:val="none"/>
              </w:rPr>
            </w:pPr>
            <w:r>
              <w:rPr>
                <w:rFonts w:hint="eastAsia" w:ascii="Times New Roman"/>
                <w:color w:val="auto"/>
                <w:kern w:val="0"/>
                <w:sz w:val="24"/>
                <w:szCs w:val="24"/>
                <w:highlight w:val="none"/>
              </w:rPr>
              <w:t>（21）《钦州市国土空间规划》。</w:t>
            </w:r>
          </w:p>
          <w:p>
            <w:pPr>
              <w:pStyle w:val="102"/>
              <w:rPr>
                <w:rFonts w:eastAsia="宋体"/>
                <w:color w:val="auto"/>
                <w:highlight w:val="none"/>
              </w:rPr>
            </w:pPr>
            <w:r>
              <w:rPr>
                <w:rFonts w:hint="eastAsia" w:eastAsia="宋体"/>
                <w:color w:val="auto"/>
                <w:highlight w:val="none"/>
              </w:rPr>
              <w:t>（2）</w:t>
            </w:r>
            <w:r>
              <w:rPr>
                <w:rFonts w:eastAsia="宋体"/>
                <w:color w:val="auto"/>
                <w:highlight w:val="none"/>
              </w:rPr>
              <w:t>论证等级</w:t>
            </w:r>
          </w:p>
          <w:p>
            <w:pPr>
              <w:pStyle w:val="30"/>
              <w:rPr>
                <w:rStyle w:val="32"/>
                <w:rFonts w:eastAsia="宋体"/>
                <w:color w:val="auto"/>
                <w:highlight w:val="none"/>
              </w:rPr>
            </w:pPr>
            <w:r>
              <w:rPr>
                <w:rFonts w:eastAsia="宋体"/>
                <w:color w:val="auto"/>
                <w:highlight w:val="none"/>
              </w:rPr>
              <w:t>项目为</w:t>
            </w:r>
            <w:r>
              <w:rPr>
                <w:rFonts w:hint="eastAsia" w:eastAsia="宋体"/>
                <w:color w:val="auto"/>
                <w:highlight w:val="none"/>
              </w:rPr>
              <w:t>拖轮临时应急通道，不属于</w:t>
            </w:r>
            <w:r>
              <w:rPr>
                <w:rFonts w:eastAsia="宋体"/>
                <w:color w:val="auto"/>
                <w:highlight w:val="none"/>
              </w:rPr>
              <w:t>专用航道、锚地</w:t>
            </w:r>
            <w:r>
              <w:rPr>
                <w:rFonts w:hint="eastAsia" w:eastAsia="宋体"/>
                <w:color w:val="auto"/>
                <w:highlight w:val="none"/>
              </w:rPr>
              <w:t>，属于</w:t>
            </w:r>
            <w:r>
              <w:rPr>
                <w:rFonts w:eastAsia="宋体"/>
                <w:color w:val="auto"/>
                <w:highlight w:val="none"/>
              </w:rPr>
              <w:t>其他开放式用海，用海面积</w:t>
            </w:r>
            <w:r>
              <w:rPr>
                <w:rFonts w:hint="eastAsia"/>
                <w:color w:val="auto"/>
                <w:szCs w:val="24"/>
                <w:highlight w:val="none"/>
              </w:rPr>
              <w:t>27.1569</w:t>
            </w:r>
            <w:r>
              <w:rPr>
                <w:rFonts w:hint="eastAsia" w:eastAsia="宋体"/>
                <w:color w:val="auto"/>
                <w:szCs w:val="24"/>
                <w:highlight w:val="none"/>
              </w:rPr>
              <w:t>hm</w:t>
            </w:r>
            <w:r>
              <w:rPr>
                <w:rFonts w:hint="eastAsia" w:eastAsia="宋体"/>
                <w:color w:val="auto"/>
                <w:szCs w:val="24"/>
                <w:highlight w:val="none"/>
                <w:vertAlign w:val="superscript"/>
              </w:rPr>
              <w:t>2</w:t>
            </w:r>
            <w:r>
              <w:rPr>
                <w:rFonts w:eastAsia="宋体"/>
                <w:color w:val="auto"/>
                <w:highlight w:val="none"/>
              </w:rPr>
              <w:t>，根据《海域使用论证技术导则》</w:t>
            </w:r>
            <w:r>
              <w:rPr>
                <w:rFonts w:hint="eastAsia" w:eastAsia="宋体"/>
                <w:color w:val="auto"/>
                <w:highlight w:val="none"/>
              </w:rPr>
              <w:t>（</w:t>
            </w:r>
            <w:r>
              <w:rPr>
                <w:rFonts w:hint="eastAsia"/>
                <w:color w:val="auto"/>
                <w:kern w:val="0"/>
                <w:szCs w:val="24"/>
                <w:highlight w:val="none"/>
              </w:rPr>
              <w:t>GB</w:t>
            </w:r>
            <w:r>
              <w:rPr>
                <w:color w:val="auto"/>
                <w:kern w:val="0"/>
                <w:szCs w:val="24"/>
                <w:highlight w:val="none"/>
              </w:rPr>
              <w:t xml:space="preserve">/T </w:t>
            </w:r>
            <w:r>
              <w:rPr>
                <w:rFonts w:hint="eastAsia"/>
                <w:color w:val="auto"/>
                <w:kern w:val="0"/>
                <w:szCs w:val="24"/>
                <w:highlight w:val="none"/>
              </w:rPr>
              <w:t>42361</w:t>
            </w:r>
            <w:r>
              <w:rPr>
                <w:color w:val="auto"/>
                <w:kern w:val="0"/>
                <w:szCs w:val="24"/>
                <w:highlight w:val="none"/>
              </w:rPr>
              <w:t>-20</w:t>
            </w:r>
            <w:r>
              <w:rPr>
                <w:rFonts w:hint="eastAsia"/>
                <w:color w:val="auto"/>
                <w:kern w:val="0"/>
                <w:szCs w:val="24"/>
                <w:highlight w:val="none"/>
              </w:rPr>
              <w:t>23</w:t>
            </w:r>
            <w:r>
              <w:rPr>
                <w:rFonts w:hint="eastAsia" w:eastAsia="宋体"/>
                <w:color w:val="auto"/>
                <w:highlight w:val="none"/>
              </w:rPr>
              <w:t>）的</w:t>
            </w:r>
            <w:r>
              <w:rPr>
                <w:rFonts w:eastAsia="宋体"/>
                <w:color w:val="auto"/>
                <w:highlight w:val="none"/>
              </w:rPr>
              <w:t>论证等级判据，确定本项目</w:t>
            </w:r>
            <w:r>
              <w:rPr>
                <w:rStyle w:val="32"/>
                <w:rFonts w:eastAsia="宋体"/>
                <w:color w:val="auto"/>
                <w:highlight w:val="none"/>
              </w:rPr>
              <w:t>海域使用论证等级为三级</w:t>
            </w:r>
            <w:r>
              <w:rPr>
                <w:rFonts w:eastAsia="宋体"/>
                <w:color w:val="auto"/>
                <w:highlight w:val="none"/>
              </w:rPr>
              <w:t>（见表1.</w:t>
            </w:r>
            <w:r>
              <w:rPr>
                <w:rFonts w:hint="eastAsia" w:eastAsia="宋体"/>
                <w:color w:val="auto"/>
                <w:highlight w:val="none"/>
              </w:rPr>
              <w:t>6</w:t>
            </w:r>
            <w:r>
              <w:rPr>
                <w:rFonts w:eastAsia="宋体"/>
                <w:color w:val="auto"/>
                <w:highlight w:val="none"/>
              </w:rPr>
              <w:t>-1）</w:t>
            </w:r>
            <w:r>
              <w:rPr>
                <w:rStyle w:val="32"/>
                <w:rFonts w:eastAsia="宋体"/>
                <w:color w:val="auto"/>
                <w:highlight w:val="none"/>
              </w:rPr>
              <w:t>。</w:t>
            </w:r>
          </w:p>
          <w:p>
            <w:pPr>
              <w:pStyle w:val="40"/>
              <w:rPr>
                <w:color w:val="auto"/>
                <w:highlight w:val="none"/>
              </w:rPr>
            </w:pPr>
            <w:r>
              <w:rPr>
                <w:color w:val="auto"/>
                <w:highlight w:val="none"/>
              </w:rPr>
              <w:t>表1.</w:t>
            </w:r>
            <w:r>
              <w:rPr>
                <w:rFonts w:hint="eastAsia"/>
                <w:color w:val="auto"/>
                <w:highlight w:val="none"/>
              </w:rPr>
              <w:t>6</w:t>
            </w:r>
            <w:r>
              <w:rPr>
                <w:color w:val="auto"/>
                <w:highlight w:val="none"/>
              </w:rPr>
              <w:t xml:space="preserve">-1 </w:t>
            </w:r>
            <w:r>
              <w:rPr>
                <w:rFonts w:hint="eastAsia"/>
                <w:color w:val="auto"/>
                <w:highlight w:val="none"/>
              </w:rPr>
              <w:t>本项目</w:t>
            </w:r>
            <w:r>
              <w:rPr>
                <w:color w:val="auto"/>
                <w:highlight w:val="none"/>
              </w:rPr>
              <w:t>海域使用论证等级判据</w:t>
            </w:r>
          </w:p>
          <w:tbl>
            <w:tblPr>
              <w:tblStyle w:val="2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48"/>
              <w:gridCol w:w="1515"/>
              <w:gridCol w:w="3090"/>
              <w:gridCol w:w="1500"/>
              <w:gridCol w:w="11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6" w:hRule="atLeast"/>
                <w:jc w:val="center"/>
              </w:trPr>
              <w:tc>
                <w:tcPr>
                  <w:tcW w:w="1348" w:type="dxa"/>
                  <w:shd w:val="clear" w:color="auto" w:fill="auto"/>
                  <w:vAlign w:val="center"/>
                </w:tcPr>
                <w:p>
                  <w:pPr>
                    <w:jc w:val="center"/>
                    <w:rPr>
                      <w:rFonts w:ascii="Times New Roman" w:hAnsi="Times New Roman"/>
                      <w:bCs/>
                      <w:color w:val="auto"/>
                      <w:szCs w:val="21"/>
                      <w:highlight w:val="none"/>
                    </w:rPr>
                  </w:pPr>
                  <w:r>
                    <w:rPr>
                      <w:rFonts w:ascii="Times New Roman" w:hAnsi="Times New Roman"/>
                      <w:bCs/>
                      <w:color w:val="auto"/>
                      <w:szCs w:val="21"/>
                      <w:highlight w:val="none"/>
                    </w:rPr>
                    <w:t>一级</w:t>
                  </w:r>
                </w:p>
                <w:p>
                  <w:pPr>
                    <w:jc w:val="center"/>
                    <w:rPr>
                      <w:rFonts w:ascii="Times New Roman" w:hAnsi="Times New Roman"/>
                      <w:bCs/>
                      <w:color w:val="auto"/>
                      <w:szCs w:val="21"/>
                      <w:highlight w:val="none"/>
                    </w:rPr>
                  </w:pPr>
                  <w:r>
                    <w:rPr>
                      <w:rFonts w:ascii="Times New Roman" w:hAnsi="Times New Roman"/>
                      <w:bCs/>
                      <w:color w:val="auto"/>
                      <w:szCs w:val="21"/>
                      <w:highlight w:val="none"/>
                    </w:rPr>
                    <w:t>用海方式</w:t>
                  </w:r>
                </w:p>
              </w:tc>
              <w:tc>
                <w:tcPr>
                  <w:tcW w:w="1515" w:type="dxa"/>
                  <w:shd w:val="clear" w:color="auto" w:fill="auto"/>
                  <w:vAlign w:val="center"/>
                </w:tcPr>
                <w:p>
                  <w:pPr>
                    <w:jc w:val="center"/>
                    <w:rPr>
                      <w:rFonts w:ascii="Times New Roman" w:hAnsi="Times New Roman"/>
                      <w:bCs/>
                      <w:color w:val="auto"/>
                      <w:szCs w:val="21"/>
                      <w:highlight w:val="none"/>
                    </w:rPr>
                  </w:pPr>
                  <w:r>
                    <w:rPr>
                      <w:rFonts w:ascii="Times New Roman" w:hAnsi="Times New Roman"/>
                      <w:bCs/>
                      <w:color w:val="auto"/>
                      <w:szCs w:val="21"/>
                      <w:highlight w:val="none"/>
                    </w:rPr>
                    <w:t>二级用海方式</w:t>
                  </w:r>
                </w:p>
              </w:tc>
              <w:tc>
                <w:tcPr>
                  <w:tcW w:w="3090" w:type="dxa"/>
                  <w:shd w:val="clear" w:color="auto" w:fill="auto"/>
                  <w:vAlign w:val="center"/>
                </w:tcPr>
                <w:p>
                  <w:pPr>
                    <w:jc w:val="center"/>
                    <w:rPr>
                      <w:rFonts w:ascii="Times New Roman" w:hAnsi="Times New Roman"/>
                      <w:bCs/>
                      <w:color w:val="auto"/>
                      <w:szCs w:val="21"/>
                      <w:highlight w:val="none"/>
                    </w:rPr>
                  </w:pPr>
                  <w:r>
                    <w:rPr>
                      <w:rFonts w:ascii="Times New Roman" w:hAnsi="Times New Roman"/>
                      <w:bCs/>
                      <w:color w:val="auto"/>
                      <w:szCs w:val="21"/>
                      <w:highlight w:val="none"/>
                    </w:rPr>
                    <w:t>用海规模</w:t>
                  </w:r>
                </w:p>
              </w:tc>
              <w:tc>
                <w:tcPr>
                  <w:tcW w:w="1500" w:type="dxa"/>
                  <w:shd w:val="clear" w:color="auto" w:fill="auto"/>
                  <w:vAlign w:val="center"/>
                </w:tcPr>
                <w:p>
                  <w:pPr>
                    <w:jc w:val="center"/>
                    <w:rPr>
                      <w:rFonts w:ascii="Times New Roman" w:hAnsi="Times New Roman"/>
                      <w:bCs/>
                      <w:color w:val="auto"/>
                      <w:szCs w:val="21"/>
                      <w:highlight w:val="none"/>
                    </w:rPr>
                  </w:pPr>
                  <w:r>
                    <w:rPr>
                      <w:rFonts w:ascii="Times New Roman" w:hAnsi="Times New Roman"/>
                      <w:bCs/>
                      <w:color w:val="auto"/>
                      <w:szCs w:val="21"/>
                      <w:highlight w:val="none"/>
                    </w:rPr>
                    <w:t>所在海域</w:t>
                  </w:r>
                </w:p>
                <w:p>
                  <w:pPr>
                    <w:jc w:val="center"/>
                    <w:rPr>
                      <w:rFonts w:ascii="Times New Roman" w:hAnsi="Times New Roman"/>
                      <w:bCs/>
                      <w:color w:val="auto"/>
                      <w:szCs w:val="21"/>
                      <w:highlight w:val="none"/>
                    </w:rPr>
                  </w:pPr>
                  <w:r>
                    <w:rPr>
                      <w:rFonts w:ascii="Times New Roman" w:hAnsi="Times New Roman"/>
                      <w:bCs/>
                      <w:color w:val="auto"/>
                      <w:szCs w:val="21"/>
                      <w:highlight w:val="none"/>
                    </w:rPr>
                    <w:t>特征</w:t>
                  </w:r>
                </w:p>
              </w:tc>
              <w:tc>
                <w:tcPr>
                  <w:tcW w:w="1148" w:type="dxa"/>
                  <w:shd w:val="clear" w:color="auto" w:fill="auto"/>
                  <w:vAlign w:val="center"/>
                </w:tcPr>
                <w:p>
                  <w:pPr>
                    <w:jc w:val="center"/>
                    <w:rPr>
                      <w:rFonts w:ascii="Times New Roman" w:hAnsi="Times New Roman"/>
                      <w:bCs/>
                      <w:color w:val="auto"/>
                      <w:szCs w:val="21"/>
                      <w:highlight w:val="none"/>
                    </w:rPr>
                  </w:pPr>
                  <w:r>
                    <w:rPr>
                      <w:rFonts w:ascii="Times New Roman" w:hAnsi="Times New Roman"/>
                      <w:bCs/>
                      <w:color w:val="auto"/>
                      <w:szCs w:val="21"/>
                      <w:highlight w:val="none"/>
                    </w:rPr>
                    <w:t>论证等级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1348" w:type="dxa"/>
                  <w:tcBorders>
                    <w:top w:val="single" w:color="auto" w:sz="4" w:space="0"/>
                  </w:tcBorders>
                  <w:shd w:val="clear" w:color="auto" w:fill="auto"/>
                  <w:vAlign w:val="center"/>
                </w:tcPr>
                <w:p>
                  <w:pPr>
                    <w:spacing w:line="288" w:lineRule="auto"/>
                    <w:jc w:val="center"/>
                    <w:rPr>
                      <w:rFonts w:ascii="Times New Roman" w:hAnsi="Times New Roman"/>
                      <w:color w:val="auto"/>
                      <w:szCs w:val="21"/>
                      <w:highlight w:val="none"/>
                    </w:rPr>
                  </w:pPr>
                  <w:r>
                    <w:rPr>
                      <w:rFonts w:ascii="Times New Roman" w:hAnsi="Times New Roman"/>
                      <w:color w:val="auto"/>
                      <w:szCs w:val="21"/>
                      <w:highlight w:val="none"/>
                    </w:rPr>
                    <w:t>开放式</w:t>
                  </w:r>
                </w:p>
              </w:tc>
              <w:tc>
                <w:tcPr>
                  <w:tcW w:w="1515" w:type="dxa"/>
                  <w:tcBorders>
                    <w:top w:val="single" w:color="auto" w:sz="4" w:space="0"/>
                  </w:tcBorders>
                  <w:shd w:val="clear" w:color="auto" w:fill="auto"/>
                  <w:vAlign w:val="center"/>
                </w:tcPr>
                <w:p>
                  <w:pPr>
                    <w:spacing w:line="288" w:lineRule="auto"/>
                    <w:jc w:val="center"/>
                    <w:rPr>
                      <w:rFonts w:ascii="Times New Roman" w:hAnsi="Times New Roman"/>
                      <w:color w:val="auto"/>
                      <w:szCs w:val="21"/>
                      <w:highlight w:val="none"/>
                    </w:rPr>
                  </w:pPr>
                  <w:r>
                    <w:rPr>
                      <w:rFonts w:ascii="Times New Roman" w:hAnsi="Times New Roman"/>
                      <w:color w:val="auto"/>
                      <w:szCs w:val="21"/>
                      <w:highlight w:val="none"/>
                    </w:rPr>
                    <w:t>其他开放式</w:t>
                  </w:r>
                </w:p>
              </w:tc>
              <w:tc>
                <w:tcPr>
                  <w:tcW w:w="3090" w:type="dxa"/>
                  <w:shd w:val="clear" w:color="auto" w:fill="auto"/>
                  <w:vAlign w:val="center"/>
                </w:tcPr>
                <w:p>
                  <w:pPr>
                    <w:spacing w:line="288" w:lineRule="auto"/>
                    <w:jc w:val="center"/>
                    <w:rPr>
                      <w:rFonts w:ascii="Times New Roman" w:hAnsi="Times New Roman"/>
                      <w:color w:val="auto"/>
                      <w:szCs w:val="21"/>
                      <w:highlight w:val="none"/>
                    </w:rPr>
                  </w:pPr>
                  <w:r>
                    <w:rPr>
                      <w:rFonts w:hint="eastAsia" w:ascii="Times New Roman" w:hAnsi="Times New Roman"/>
                      <w:color w:val="auto"/>
                      <w:szCs w:val="21"/>
                      <w:highlight w:val="none"/>
                    </w:rPr>
                    <w:t>所有规模</w:t>
                  </w:r>
                </w:p>
              </w:tc>
              <w:tc>
                <w:tcPr>
                  <w:tcW w:w="1500" w:type="dxa"/>
                  <w:shd w:val="clear" w:color="auto" w:fill="auto"/>
                  <w:vAlign w:val="center"/>
                </w:tcPr>
                <w:p>
                  <w:pPr>
                    <w:spacing w:line="288" w:lineRule="auto"/>
                    <w:jc w:val="center"/>
                    <w:rPr>
                      <w:rFonts w:ascii="Times New Roman" w:hAnsi="Times New Roman"/>
                      <w:color w:val="auto"/>
                      <w:szCs w:val="21"/>
                      <w:highlight w:val="none"/>
                    </w:rPr>
                  </w:pPr>
                  <w:r>
                    <w:rPr>
                      <w:rFonts w:ascii="Times New Roman" w:hAnsi="Times New Roman"/>
                      <w:color w:val="auto"/>
                      <w:szCs w:val="21"/>
                      <w:highlight w:val="none"/>
                    </w:rPr>
                    <w:t>所有海域</w:t>
                  </w:r>
                </w:p>
              </w:tc>
              <w:tc>
                <w:tcPr>
                  <w:tcW w:w="1148" w:type="dxa"/>
                  <w:shd w:val="clear" w:color="auto" w:fill="auto"/>
                  <w:vAlign w:val="center"/>
                </w:tcPr>
                <w:p>
                  <w:pPr>
                    <w:spacing w:line="288" w:lineRule="auto"/>
                    <w:jc w:val="center"/>
                    <w:rPr>
                      <w:rFonts w:ascii="Times New Roman" w:hAnsi="Times New Roman"/>
                      <w:b/>
                      <w:color w:val="auto"/>
                      <w:szCs w:val="21"/>
                      <w:highlight w:val="none"/>
                    </w:rPr>
                  </w:pPr>
                  <w:r>
                    <w:rPr>
                      <w:rFonts w:ascii="Times New Roman" w:hAnsi="Times New Roman"/>
                      <w:b/>
                      <w:bCs/>
                      <w:color w:val="auto"/>
                      <w:szCs w:val="21"/>
                      <w:highlight w:val="none"/>
                    </w:rPr>
                    <w:t>三</w:t>
                  </w:r>
                </w:p>
              </w:tc>
            </w:tr>
          </w:tbl>
          <w:p>
            <w:pPr>
              <w:pStyle w:val="102"/>
              <w:rPr>
                <w:rFonts w:eastAsia="宋体"/>
                <w:color w:val="auto"/>
                <w:highlight w:val="none"/>
              </w:rPr>
            </w:pPr>
            <w:bookmarkStart w:id="2" w:name="_Toc104466231"/>
            <w:bookmarkStart w:id="3" w:name="_Toc147594658"/>
            <w:bookmarkStart w:id="4" w:name="_Toc146202825"/>
            <w:r>
              <w:rPr>
                <w:rFonts w:hint="eastAsia" w:eastAsia="宋体"/>
                <w:color w:val="auto"/>
                <w:highlight w:val="none"/>
              </w:rPr>
              <w:t>（3）</w:t>
            </w:r>
            <w:r>
              <w:rPr>
                <w:rFonts w:eastAsia="宋体"/>
                <w:color w:val="auto"/>
                <w:highlight w:val="none"/>
              </w:rPr>
              <w:t>论证范围</w:t>
            </w:r>
            <w:bookmarkEnd w:id="2"/>
            <w:bookmarkEnd w:id="3"/>
            <w:bookmarkEnd w:id="4"/>
          </w:p>
          <w:p>
            <w:pPr>
              <w:pStyle w:val="30"/>
              <w:rPr>
                <w:rFonts w:eastAsia="宋体"/>
                <w:color w:val="auto"/>
                <w:highlight w:val="none"/>
              </w:rPr>
            </w:pPr>
            <w:r>
              <w:rPr>
                <w:rFonts w:eastAsia="宋体"/>
                <w:color w:val="auto"/>
                <w:highlight w:val="none"/>
              </w:rPr>
              <w:t>根据《海域使用论证技术导则》</w:t>
            </w:r>
            <w:r>
              <w:rPr>
                <w:rFonts w:hint="eastAsia" w:eastAsia="宋体"/>
                <w:color w:val="auto"/>
                <w:highlight w:val="none"/>
              </w:rPr>
              <w:t>，</w:t>
            </w:r>
            <w:r>
              <w:rPr>
                <w:rFonts w:eastAsia="宋体"/>
                <w:color w:val="auto"/>
                <w:highlight w:val="none"/>
              </w:rPr>
              <w:t>证范围应依据项目用海情况、所在海域特征及周边海域开发利用现状等确定，应覆盖项目用海可能影响到的全部区域。一般情况下，三级论证范围以项目外缘线为起点向外扩展</w:t>
            </w:r>
            <w:r>
              <w:rPr>
                <w:rFonts w:hint="eastAsia" w:eastAsia="宋体"/>
                <w:color w:val="auto"/>
                <w:highlight w:val="none"/>
              </w:rPr>
              <w:t>1.</w:t>
            </w:r>
            <w:r>
              <w:rPr>
                <w:rFonts w:eastAsia="宋体"/>
                <w:color w:val="auto"/>
                <w:highlight w:val="none"/>
              </w:rPr>
              <w:t>5km。因此，本项目论证范围</w:t>
            </w:r>
            <w:r>
              <w:rPr>
                <w:rFonts w:hint="eastAsia" w:eastAsia="宋体"/>
                <w:color w:val="auto"/>
                <w:highlight w:val="none"/>
              </w:rPr>
              <w:t>为钦州港三墩作业区30万吨级油码头附近海域，坐标</w:t>
            </w:r>
            <w:r>
              <w:rPr>
                <w:rFonts w:eastAsia="宋体"/>
                <w:color w:val="auto"/>
                <w:highlight w:val="none"/>
              </w:rPr>
              <w:t>在21°</w:t>
            </w:r>
            <w:r>
              <w:rPr>
                <w:rFonts w:hint="eastAsia" w:eastAsia="宋体"/>
                <w:color w:val="auto"/>
                <w:highlight w:val="none"/>
              </w:rPr>
              <w:t>31</w:t>
            </w:r>
            <w:r>
              <w:rPr>
                <w:rFonts w:eastAsia="宋体"/>
                <w:color w:val="auto"/>
                <w:highlight w:val="none"/>
              </w:rPr>
              <w:t>′</w:t>
            </w:r>
            <w:r>
              <w:rPr>
                <w:rFonts w:hint="eastAsia" w:eastAsia="宋体"/>
                <w:color w:val="auto"/>
                <w:highlight w:val="none"/>
              </w:rPr>
              <w:t>10.84</w:t>
            </w:r>
            <w:r>
              <w:rPr>
                <w:rFonts w:eastAsia="宋体"/>
                <w:color w:val="auto"/>
                <w:highlight w:val="none"/>
              </w:rPr>
              <w:t>″N~21°</w:t>
            </w:r>
            <w:r>
              <w:rPr>
                <w:rFonts w:hint="eastAsia" w:eastAsia="宋体"/>
                <w:color w:val="auto"/>
                <w:highlight w:val="none"/>
              </w:rPr>
              <w:t>33</w:t>
            </w:r>
            <w:r>
              <w:rPr>
                <w:rFonts w:eastAsia="宋体"/>
                <w:color w:val="auto"/>
                <w:highlight w:val="none"/>
              </w:rPr>
              <w:t>′</w:t>
            </w:r>
            <w:r>
              <w:rPr>
                <w:rFonts w:hint="eastAsia" w:eastAsia="宋体"/>
                <w:color w:val="auto"/>
                <w:highlight w:val="none"/>
              </w:rPr>
              <w:t>31.52</w:t>
            </w:r>
            <w:r>
              <w:rPr>
                <w:rFonts w:eastAsia="宋体"/>
                <w:color w:val="auto"/>
                <w:highlight w:val="none"/>
              </w:rPr>
              <w:t>″N，10</w:t>
            </w:r>
            <w:r>
              <w:rPr>
                <w:rFonts w:hint="eastAsia" w:eastAsia="宋体"/>
                <w:color w:val="auto"/>
                <w:highlight w:val="none"/>
              </w:rPr>
              <w:t>8</w:t>
            </w:r>
            <w:r>
              <w:rPr>
                <w:rFonts w:eastAsia="宋体"/>
                <w:color w:val="auto"/>
                <w:highlight w:val="none"/>
              </w:rPr>
              <w:t>°</w:t>
            </w:r>
            <w:r>
              <w:rPr>
                <w:rFonts w:hint="eastAsia" w:eastAsia="宋体"/>
                <w:color w:val="auto"/>
                <w:highlight w:val="none"/>
              </w:rPr>
              <w:t>3</w:t>
            </w:r>
            <w:r>
              <w:rPr>
                <w:rFonts w:eastAsia="宋体"/>
                <w:color w:val="auto"/>
                <w:highlight w:val="none"/>
              </w:rPr>
              <w:t>7′</w:t>
            </w:r>
            <w:r>
              <w:rPr>
                <w:rFonts w:hint="eastAsia" w:eastAsia="宋体"/>
                <w:color w:val="auto"/>
                <w:highlight w:val="none"/>
              </w:rPr>
              <w:t>25.83</w:t>
            </w:r>
            <w:r>
              <w:rPr>
                <w:rFonts w:eastAsia="宋体"/>
                <w:color w:val="auto"/>
                <w:highlight w:val="none"/>
              </w:rPr>
              <w:t>″E~10</w:t>
            </w:r>
            <w:r>
              <w:rPr>
                <w:rFonts w:hint="eastAsia" w:eastAsia="宋体"/>
                <w:color w:val="auto"/>
                <w:highlight w:val="none"/>
              </w:rPr>
              <w:t>8</w:t>
            </w:r>
            <w:r>
              <w:rPr>
                <w:rFonts w:eastAsia="宋体"/>
                <w:color w:val="auto"/>
                <w:highlight w:val="none"/>
              </w:rPr>
              <w:t>°</w:t>
            </w:r>
            <w:r>
              <w:rPr>
                <w:rFonts w:hint="eastAsia" w:eastAsia="宋体"/>
                <w:color w:val="auto"/>
                <w:highlight w:val="none"/>
              </w:rPr>
              <w:t>40</w:t>
            </w:r>
            <w:r>
              <w:rPr>
                <w:rFonts w:eastAsia="宋体"/>
                <w:color w:val="auto"/>
                <w:highlight w:val="none"/>
              </w:rPr>
              <w:t>′</w:t>
            </w:r>
            <w:r>
              <w:rPr>
                <w:rFonts w:hint="eastAsia" w:eastAsia="宋体"/>
                <w:color w:val="auto"/>
                <w:highlight w:val="none"/>
              </w:rPr>
              <w:t>49.24</w:t>
            </w:r>
            <w:r>
              <w:rPr>
                <w:rFonts w:eastAsia="宋体"/>
                <w:color w:val="auto"/>
                <w:highlight w:val="none"/>
              </w:rPr>
              <w:t>″E</w:t>
            </w:r>
            <w:r>
              <w:rPr>
                <w:rFonts w:hint="eastAsia" w:eastAsia="宋体"/>
                <w:color w:val="auto"/>
                <w:highlight w:val="none"/>
              </w:rPr>
              <w:t>内</w:t>
            </w:r>
            <w:r>
              <w:rPr>
                <w:rFonts w:eastAsia="宋体"/>
                <w:color w:val="auto"/>
                <w:highlight w:val="none"/>
              </w:rPr>
              <w:t>，覆盖的海域面积约25.1k㎡（见图1</w:t>
            </w:r>
            <w:r>
              <w:rPr>
                <w:rFonts w:hint="eastAsia" w:eastAsia="宋体"/>
                <w:color w:val="auto"/>
                <w:highlight w:val="none"/>
              </w:rPr>
              <w:t>-6</w:t>
            </w:r>
            <w:r>
              <w:rPr>
                <w:rFonts w:eastAsia="宋体"/>
                <w:color w:val="auto"/>
                <w:highlight w:val="none"/>
              </w:rPr>
              <w:t>）。</w:t>
            </w:r>
          </w:p>
          <w:p>
            <w:pPr>
              <w:pStyle w:val="40"/>
              <w:spacing w:line="240" w:lineRule="auto"/>
              <w:rPr>
                <w:color w:val="auto"/>
                <w:highlight w:val="none"/>
              </w:rPr>
            </w:pPr>
            <w:r>
              <w:rPr>
                <w:color w:val="auto"/>
                <w:highlight w:val="none"/>
              </w:rPr>
              <w:pict>
                <v:shape id="_x0000_s1032" o:spid="_x0000_s1032" o:spt="61" type="#_x0000_t61" style="position:absolute;left:0pt;margin-left:47.55pt;margin-top:209.9pt;height:22.3pt;width:91.6pt;z-index:251663360;mso-width-relative:page;mso-height-relative:page;" stroked="t" coordsize="21600,21600" adj="33532,-33223">
                  <v:path/>
                  <v:fill opacity="0f" focussize="0,0"/>
                  <v:stroke color="#FF0000" joinstyle="miter"/>
                  <v:imagedata o:title=""/>
                  <o:lock v:ext="edit"/>
                  <v:textbox>
                    <w:txbxContent>
                      <w:p>
                        <w:pPr>
                          <w:rPr>
                            <w:color w:val="FF0000"/>
                          </w:rPr>
                        </w:pPr>
                        <w:r>
                          <w:rPr>
                            <w:color w:val="FF0000"/>
                          </w:rPr>
                          <w:t>论证范围示意图</w:t>
                        </w:r>
                      </w:p>
                      <w:p/>
                    </w:txbxContent>
                  </v:textbox>
                </v:shape>
              </w:pict>
            </w:r>
            <w:r>
              <w:rPr>
                <w:color w:val="auto"/>
                <w:highlight w:val="none"/>
              </w:rPr>
              <w:pict>
                <v:shape id="_x0000_i1027" o:spt="75" type="#_x0000_t75" style="height:286.5pt;width:453pt;" filled="f" o:preferrelative="t" stroked="f" coordsize="21600,21600">
                  <v:path/>
                  <v:fill on="f" focussize="0,0"/>
                  <v:stroke on="f" joinstyle="miter"/>
                  <v:imagedata r:id="rId13" o:title="论证范围图-卫星图"/>
                  <o:lock v:ext="edit" aspectratio="t"/>
                  <w10:wrap type="none"/>
                  <w10:anchorlock/>
                </v:shape>
              </w:pict>
            </w:r>
          </w:p>
          <w:p>
            <w:pPr>
              <w:pStyle w:val="40"/>
              <w:spacing w:line="240" w:lineRule="auto"/>
              <w:rPr>
                <w:color w:val="auto"/>
                <w:highlight w:val="none"/>
              </w:rPr>
            </w:pPr>
            <w:r>
              <w:rPr>
                <w:color w:val="auto"/>
                <w:highlight w:val="none"/>
              </w:rPr>
              <w:t>图1</w:t>
            </w:r>
            <w:r>
              <w:rPr>
                <w:rFonts w:hint="eastAsia"/>
                <w:color w:val="auto"/>
                <w:highlight w:val="none"/>
              </w:rPr>
              <w:t>-6</w:t>
            </w:r>
            <w:r>
              <w:rPr>
                <w:color w:val="auto"/>
                <w:highlight w:val="none"/>
              </w:rPr>
              <w:t xml:space="preserve"> 项目论证范围示意图</w:t>
            </w:r>
            <w:bookmarkStart w:id="5" w:name="_Toc127971435"/>
            <w:bookmarkStart w:id="6" w:name="_Toc146202826"/>
            <w:bookmarkStart w:id="7" w:name="_Toc147594659"/>
            <w:bookmarkStart w:id="8" w:name="_Toc141280878"/>
            <w:bookmarkStart w:id="9" w:name="_Toc104466232"/>
          </w:p>
          <w:p>
            <w:pPr>
              <w:pStyle w:val="102"/>
              <w:rPr>
                <w:rFonts w:eastAsia="宋体"/>
                <w:color w:val="auto"/>
                <w:highlight w:val="none"/>
              </w:rPr>
            </w:pPr>
            <w:r>
              <w:rPr>
                <w:rFonts w:hint="eastAsia" w:eastAsia="宋体"/>
                <w:color w:val="auto"/>
                <w:highlight w:val="none"/>
              </w:rPr>
              <w:t>（4）</w:t>
            </w:r>
            <w:r>
              <w:rPr>
                <w:rFonts w:eastAsia="宋体"/>
                <w:color w:val="auto"/>
                <w:highlight w:val="none"/>
              </w:rPr>
              <w:t>论证重点</w:t>
            </w:r>
            <w:bookmarkEnd w:id="5"/>
            <w:bookmarkEnd w:id="6"/>
            <w:bookmarkEnd w:id="7"/>
            <w:bookmarkEnd w:id="8"/>
            <w:bookmarkEnd w:id="9"/>
          </w:p>
          <w:p>
            <w:pPr>
              <w:spacing w:line="360" w:lineRule="auto"/>
              <w:ind w:firstLine="435"/>
              <w:rPr>
                <w:rFonts w:ascii="Times New Roman" w:hAnsi="Times New Roman"/>
                <w:color w:val="auto"/>
                <w:sz w:val="24"/>
                <w:highlight w:val="none"/>
              </w:rPr>
            </w:pPr>
            <w:r>
              <w:rPr>
                <w:rFonts w:hint="eastAsia" w:ascii="Times New Roman" w:hAnsi="Times New Roman"/>
                <w:color w:val="auto"/>
                <w:sz w:val="24"/>
                <w:highlight w:val="none"/>
              </w:rPr>
              <w:t>参照</w:t>
            </w:r>
            <w:r>
              <w:rPr>
                <w:rFonts w:ascii="Times New Roman" w:hAnsi="Times New Roman"/>
                <w:color w:val="auto"/>
                <w:sz w:val="24"/>
                <w:highlight w:val="none"/>
              </w:rPr>
              <w:t>《海域使用论证技术导则》</w:t>
            </w:r>
            <w:r>
              <w:rPr>
                <w:rFonts w:ascii="Times New Roman" w:hAnsi="Times New Roman"/>
                <w:color w:val="auto"/>
                <w:sz w:val="24"/>
                <w:szCs w:val="24"/>
                <w:highlight w:val="none"/>
              </w:rPr>
              <w:t>附录C，</w:t>
            </w:r>
            <w:r>
              <w:rPr>
                <w:rFonts w:hint="eastAsia" w:ascii="Times New Roman" w:hAnsi="Times New Roman"/>
                <w:color w:val="auto"/>
                <w:sz w:val="24"/>
                <w:highlight w:val="none"/>
              </w:rPr>
              <w:t>本</w:t>
            </w:r>
            <w:r>
              <w:rPr>
                <w:rFonts w:ascii="Times New Roman" w:hAnsi="Times New Roman"/>
                <w:color w:val="auto"/>
                <w:sz w:val="24"/>
                <w:highlight w:val="none"/>
              </w:rPr>
              <w:t>项目</w:t>
            </w:r>
            <w:r>
              <w:rPr>
                <w:rFonts w:hint="eastAsia" w:ascii="Times New Roman" w:hAnsi="Times New Roman"/>
                <w:color w:val="auto"/>
                <w:sz w:val="24"/>
                <w:highlight w:val="none"/>
              </w:rPr>
              <w:t>海域使用</w:t>
            </w:r>
            <w:r>
              <w:rPr>
                <w:rFonts w:ascii="Times New Roman" w:hAnsi="Times New Roman"/>
                <w:color w:val="auto"/>
                <w:sz w:val="24"/>
                <w:highlight w:val="none"/>
              </w:rPr>
              <w:t>论证重点为：</w:t>
            </w:r>
            <w:r>
              <w:rPr>
                <w:rFonts w:hint="eastAsia" w:ascii="Times New Roman" w:hAnsi="Times New Roman"/>
                <w:color w:val="auto"/>
                <w:sz w:val="24"/>
                <w:highlight w:val="none"/>
              </w:rPr>
              <w:t>选址合理性</w:t>
            </w:r>
            <w:r>
              <w:rPr>
                <w:rFonts w:ascii="Times New Roman" w:hAnsi="Times New Roman"/>
                <w:color w:val="auto"/>
                <w:sz w:val="24"/>
                <w:highlight w:val="none"/>
              </w:rPr>
              <w:t>和</w:t>
            </w:r>
            <w:r>
              <w:rPr>
                <w:rFonts w:hint="eastAsia" w:ascii="Times New Roman" w:hAnsi="Times New Roman"/>
                <w:color w:val="auto"/>
                <w:sz w:val="24"/>
                <w:highlight w:val="none"/>
              </w:rPr>
              <w:t>海域开发利用协调分析</w:t>
            </w:r>
            <w:r>
              <w:rPr>
                <w:rFonts w:ascii="Times New Roman" w:hAnsi="Times New Roman"/>
                <w:color w:val="auto"/>
                <w:sz w:val="24"/>
                <w:highlight w:val="none"/>
              </w:rPr>
              <w:t>。</w:t>
            </w:r>
          </w:p>
          <w:p>
            <w:pPr>
              <w:spacing w:line="336" w:lineRule="auto"/>
              <w:ind w:firstLine="34"/>
              <w:rPr>
                <w:rFonts w:ascii="Times New Roman" w:hAnsi="Times New Roman"/>
                <w:b/>
                <w:color w:val="auto"/>
                <w:sz w:val="24"/>
                <w:szCs w:val="24"/>
                <w:highlight w:val="none"/>
              </w:rPr>
            </w:pPr>
            <w:r>
              <w:rPr>
                <w:rFonts w:ascii="Times New Roman" w:hAnsi="Times New Roman"/>
                <w:b/>
                <w:color w:val="auto"/>
                <w:sz w:val="24"/>
                <w:szCs w:val="24"/>
                <w:highlight w:val="none"/>
              </w:rPr>
              <w:t>1.</w:t>
            </w:r>
            <w:r>
              <w:rPr>
                <w:rFonts w:hint="eastAsia" w:ascii="Times New Roman" w:hAnsi="Times New Roman"/>
                <w:b/>
                <w:color w:val="auto"/>
                <w:sz w:val="24"/>
                <w:szCs w:val="24"/>
                <w:highlight w:val="none"/>
              </w:rPr>
              <w:t>7</w:t>
            </w:r>
            <w:r>
              <w:rPr>
                <w:rFonts w:ascii="Times New Roman" w:hAnsi="宋体"/>
                <w:b/>
                <w:color w:val="auto"/>
                <w:sz w:val="24"/>
                <w:szCs w:val="24"/>
                <w:highlight w:val="none"/>
              </w:rPr>
              <w:t>项目用海必要性</w:t>
            </w:r>
          </w:p>
          <w:p>
            <w:pPr>
              <w:spacing w:line="360" w:lineRule="auto"/>
              <w:rPr>
                <w:rFonts w:ascii="Times New Roman" w:hAnsi="Times New Roman"/>
                <w:b/>
                <w:color w:val="auto"/>
                <w:sz w:val="24"/>
                <w:highlight w:val="none"/>
              </w:rPr>
            </w:pPr>
            <w:r>
              <w:rPr>
                <w:rFonts w:ascii="Times New Roman" w:hAnsi="Times New Roman"/>
                <w:b/>
                <w:color w:val="auto"/>
                <w:sz w:val="24"/>
                <w:highlight w:val="none"/>
              </w:rPr>
              <w:t>1.</w:t>
            </w:r>
            <w:r>
              <w:rPr>
                <w:rFonts w:hint="eastAsia" w:ascii="Times New Roman" w:hAnsi="Times New Roman"/>
                <w:b/>
                <w:color w:val="auto"/>
                <w:sz w:val="24"/>
                <w:highlight w:val="none"/>
              </w:rPr>
              <w:t>7</w:t>
            </w:r>
            <w:r>
              <w:rPr>
                <w:rFonts w:ascii="Times New Roman" w:hAnsi="Times New Roman"/>
                <w:b/>
                <w:color w:val="auto"/>
                <w:sz w:val="24"/>
                <w:highlight w:val="none"/>
              </w:rPr>
              <w:t xml:space="preserve">.1 </w:t>
            </w:r>
            <w:r>
              <w:rPr>
                <w:rFonts w:hint="eastAsia" w:ascii="Times New Roman"/>
                <w:b/>
                <w:color w:val="auto"/>
                <w:sz w:val="24"/>
                <w:highlight w:val="none"/>
              </w:rPr>
              <w:t>项目建设必要性</w:t>
            </w:r>
          </w:p>
          <w:p>
            <w:pPr>
              <w:spacing w:line="360" w:lineRule="auto"/>
              <w:ind w:firstLine="480" w:firstLineChars="200"/>
              <w:rPr>
                <w:rStyle w:val="26"/>
                <w:rFonts w:eastAsia="宋体"/>
                <w:color w:val="auto"/>
                <w:sz w:val="24"/>
                <w:highlight w:val="none"/>
              </w:rPr>
            </w:pPr>
            <w:r>
              <w:rPr>
                <w:rStyle w:val="26"/>
                <w:rFonts w:hint="eastAsia" w:ascii="Times New Roman" w:hAnsi="宋体" w:eastAsia="宋体"/>
                <w:bCs w:val="0"/>
                <w:color w:val="auto"/>
                <w:sz w:val="24"/>
                <w:szCs w:val="24"/>
                <w:highlight w:val="none"/>
              </w:rPr>
              <w:t>本项目是开放式用海项目，其用海必</w:t>
            </w:r>
            <w:r>
              <w:rPr>
                <w:rStyle w:val="26"/>
                <w:rFonts w:hint="eastAsia" w:eastAsia="宋体"/>
                <w:color w:val="auto"/>
                <w:sz w:val="24"/>
                <w:highlight w:val="none"/>
              </w:rPr>
              <w:t>要性取决于项目建设的必要性，主要体现在项目建设对海域利用、经济发展等方面的积极意义，具体如下：</w:t>
            </w:r>
          </w:p>
          <w:p>
            <w:pPr>
              <w:spacing w:line="360" w:lineRule="auto"/>
              <w:ind w:firstLine="480" w:firstLineChars="200"/>
              <w:jc w:val="left"/>
              <w:rPr>
                <w:rStyle w:val="26"/>
                <w:rFonts w:eastAsia="宋体"/>
                <w:color w:val="auto"/>
                <w:sz w:val="24"/>
                <w:highlight w:val="none"/>
              </w:rPr>
            </w:pPr>
            <w:r>
              <w:rPr>
                <w:rStyle w:val="26"/>
                <w:rFonts w:hint="eastAsia" w:eastAsia="宋体"/>
                <w:color w:val="auto"/>
                <w:sz w:val="24"/>
                <w:highlight w:val="none"/>
              </w:rPr>
              <w:t>按此方案建设拖轮应急通道，拖轮通道长度约2.7公里，拖轮进出码头将节省约12公里航程（7440+7405-2761=12084米），按照拖轮8节的航行速度（1节=1.852千米/小时），将节省约0.8小时（约49分钟）。项目建设可大大提高油轮进出港效率，促进钦州市石化产业的发展，对钦州市经济发展有重大意义。</w:t>
            </w:r>
          </w:p>
          <w:p>
            <w:pPr>
              <w:spacing w:line="384" w:lineRule="auto"/>
              <w:ind w:firstLine="420" w:firstLineChars="200"/>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473" w:hRule="atLeast"/>
        </w:trPr>
        <w:tc>
          <w:tcPr>
            <w:tcW w:w="5000" w:type="pct"/>
            <w:gridSpan w:val="8"/>
            <w:vAlign w:val="center"/>
          </w:tcPr>
          <w:p>
            <w:pPr>
              <w:spacing w:line="336" w:lineRule="auto"/>
              <w:rPr>
                <w:rFonts w:ascii="Times New Roman" w:hAnsi="宋体"/>
                <w:b/>
                <w:color w:val="auto"/>
                <w:sz w:val="30"/>
                <w:szCs w:val="30"/>
                <w:highlight w:val="none"/>
              </w:rPr>
            </w:pPr>
            <w:r>
              <w:rPr>
                <w:rFonts w:hint="eastAsia" w:ascii="Times New Roman" w:hAnsi="宋体"/>
                <w:b/>
                <w:color w:val="auto"/>
                <w:sz w:val="30"/>
                <w:szCs w:val="30"/>
                <w:highlight w:val="none"/>
              </w:rPr>
              <w:t>2 项目所在海域概况</w:t>
            </w:r>
          </w:p>
          <w:p>
            <w:pPr>
              <w:pStyle w:val="55"/>
              <w:spacing w:line="336" w:lineRule="auto"/>
              <w:ind w:firstLine="0"/>
              <w:rPr>
                <w:rFonts w:hAnsi="Times New Roman"/>
                <w:b/>
                <w:color w:val="auto"/>
                <w:highlight w:val="none"/>
              </w:rPr>
            </w:pPr>
            <w:r>
              <w:rPr>
                <w:rFonts w:hint="eastAsia" w:hAnsi="Times New Roman"/>
                <w:b/>
                <w:color w:val="auto"/>
                <w:highlight w:val="none"/>
              </w:rPr>
              <w:t>2.1</w:t>
            </w:r>
            <w:r>
              <w:rPr>
                <w:rFonts w:hAnsi="Times New Roman"/>
                <w:b/>
                <w:color w:val="auto"/>
                <w:highlight w:val="none"/>
              </w:rPr>
              <w:t>自然环境</w:t>
            </w:r>
            <w:r>
              <w:rPr>
                <w:rFonts w:hint="eastAsia" w:hAnsi="Times New Roman"/>
                <w:b/>
                <w:color w:val="auto"/>
                <w:highlight w:val="none"/>
              </w:rPr>
              <w:t>概况</w:t>
            </w:r>
          </w:p>
          <w:p>
            <w:pPr>
              <w:spacing w:line="360" w:lineRule="auto"/>
              <w:rPr>
                <w:rFonts w:ascii="Times New Roman" w:hAnsi="Times New Roman"/>
                <w:b/>
                <w:color w:val="auto"/>
                <w:sz w:val="24"/>
                <w:highlight w:val="none"/>
              </w:rPr>
            </w:pPr>
            <w:r>
              <w:rPr>
                <w:rFonts w:ascii="Times New Roman" w:hAnsi="Times New Roman"/>
                <w:b/>
                <w:color w:val="auto"/>
                <w:sz w:val="24"/>
                <w:highlight w:val="none"/>
              </w:rPr>
              <w:t xml:space="preserve">2.1.1 </w:t>
            </w:r>
            <w:r>
              <w:rPr>
                <w:rFonts w:ascii="Times New Roman"/>
                <w:b/>
                <w:color w:val="auto"/>
                <w:sz w:val="24"/>
                <w:highlight w:val="none"/>
              </w:rPr>
              <w:t>气候</w:t>
            </w:r>
          </w:p>
          <w:p>
            <w:pPr>
              <w:spacing w:line="360" w:lineRule="auto"/>
              <w:ind w:firstLine="480" w:firstLineChars="200"/>
              <w:jc w:val="left"/>
              <w:rPr>
                <w:color w:val="auto"/>
                <w:sz w:val="24"/>
                <w:szCs w:val="24"/>
                <w:highlight w:val="none"/>
              </w:rPr>
            </w:pPr>
            <w:r>
              <w:rPr>
                <w:color w:val="auto"/>
                <w:sz w:val="24"/>
                <w:szCs w:val="24"/>
                <w:highlight w:val="none"/>
              </w:rPr>
              <w:t>本项目所在的钦州市地处北回归线以南，属南亚热带海洋性季风气候区。该区域气候，主要受</w:t>
            </w:r>
            <w:r>
              <w:rPr>
                <w:rStyle w:val="26"/>
                <w:rFonts w:eastAsia="宋体"/>
                <w:color w:val="auto"/>
                <w:sz w:val="24"/>
                <w:szCs w:val="24"/>
                <w:highlight w:val="none"/>
              </w:rPr>
              <w:t>季风环流</w:t>
            </w:r>
            <w:r>
              <w:rPr>
                <w:color w:val="auto"/>
                <w:sz w:val="24"/>
                <w:szCs w:val="24"/>
                <w:highlight w:val="none"/>
              </w:rPr>
              <w:t>的影响；其次还受北部十万大山地形屏障的作用。由于季风环流作用和特定的海陆位置及青藏高原的影响，本地的季节变化明显。根据钦州市气象站</w:t>
            </w:r>
            <w:r>
              <w:rPr>
                <w:rFonts w:ascii="Times New Roman" w:eastAsia="Times New Roman"/>
                <w:color w:val="auto"/>
                <w:sz w:val="24"/>
                <w:szCs w:val="24"/>
                <w:highlight w:val="none"/>
              </w:rPr>
              <w:t>2000~2018</w:t>
            </w:r>
            <w:r>
              <w:rPr>
                <w:color w:val="auto"/>
                <w:sz w:val="24"/>
                <w:szCs w:val="24"/>
                <w:highlight w:val="none"/>
              </w:rPr>
              <w:t>年资料，项目所在区域的气候概况如下：</w:t>
            </w:r>
          </w:p>
          <w:p>
            <w:pPr>
              <w:spacing w:line="360" w:lineRule="auto"/>
              <w:ind w:firstLine="480" w:firstLineChars="200"/>
              <w:jc w:val="left"/>
              <w:rPr>
                <w:color w:val="auto"/>
                <w:sz w:val="24"/>
                <w:szCs w:val="24"/>
                <w:highlight w:val="none"/>
              </w:rPr>
            </w:pPr>
            <w:r>
              <w:rPr>
                <w:rStyle w:val="26"/>
                <w:rFonts w:eastAsia="宋体"/>
                <w:color w:val="auto"/>
                <w:sz w:val="24"/>
                <w:szCs w:val="24"/>
                <w:highlight w:val="none"/>
              </w:rPr>
              <w:t>（</w:t>
            </w:r>
            <w:r>
              <w:rPr>
                <w:rStyle w:val="26"/>
                <w:rFonts w:hint="eastAsia" w:eastAsia="宋体"/>
                <w:color w:val="auto"/>
                <w:sz w:val="24"/>
                <w:szCs w:val="24"/>
                <w:highlight w:val="none"/>
              </w:rPr>
              <w:t>1</w:t>
            </w:r>
            <w:r>
              <w:rPr>
                <w:rStyle w:val="26"/>
                <w:rFonts w:eastAsia="宋体"/>
                <w:color w:val="auto"/>
                <w:sz w:val="24"/>
                <w:szCs w:val="24"/>
                <w:highlight w:val="none"/>
              </w:rPr>
              <w:t>）气温</w:t>
            </w:r>
          </w:p>
          <w:p>
            <w:pPr>
              <w:spacing w:line="360" w:lineRule="auto"/>
              <w:ind w:firstLine="460" w:firstLineChars="200"/>
              <w:jc w:val="left"/>
              <w:rPr>
                <w:color w:val="auto"/>
                <w:sz w:val="24"/>
                <w:szCs w:val="24"/>
                <w:highlight w:val="none"/>
              </w:rPr>
            </w:pPr>
            <w:r>
              <w:rPr>
                <w:color w:val="auto"/>
                <w:spacing w:val="-5"/>
                <w:sz w:val="24"/>
                <w:szCs w:val="24"/>
                <w:highlight w:val="none"/>
              </w:rPr>
              <w:t>钦州市年太阳辐射约为</w:t>
            </w:r>
            <w:r>
              <w:rPr>
                <w:rFonts w:ascii="Times New Roman" w:hAnsi="Times New Roman" w:eastAsia="Times New Roman"/>
                <w:color w:val="auto"/>
                <w:sz w:val="24"/>
                <w:szCs w:val="24"/>
                <w:highlight w:val="none"/>
              </w:rPr>
              <w:t>110kCal/c</w:t>
            </w:r>
            <w:r>
              <w:rPr>
                <w:rFonts w:hint="eastAsia" w:ascii="宋体" w:hAnsi="宋体" w:cs="宋体"/>
                <w:color w:val="auto"/>
                <w:sz w:val="24"/>
                <w:szCs w:val="24"/>
                <w:highlight w:val="none"/>
              </w:rPr>
              <w:t>㎡</w:t>
            </w:r>
            <w:r>
              <w:rPr>
                <w:color w:val="auto"/>
                <w:spacing w:val="-7"/>
                <w:sz w:val="24"/>
                <w:szCs w:val="24"/>
                <w:highlight w:val="none"/>
              </w:rPr>
              <w:t>，年日照时数为</w:t>
            </w:r>
            <w:r>
              <w:rPr>
                <w:rFonts w:ascii="Times New Roman" w:hAnsi="Times New Roman" w:eastAsia="Times New Roman"/>
                <w:color w:val="auto"/>
                <w:sz w:val="24"/>
                <w:szCs w:val="24"/>
                <w:highlight w:val="none"/>
              </w:rPr>
              <w:t>1800h</w:t>
            </w:r>
            <w:r>
              <w:rPr>
                <w:color w:val="auto"/>
                <w:sz w:val="24"/>
                <w:szCs w:val="24"/>
                <w:highlight w:val="none"/>
              </w:rPr>
              <w:t>左右，年平均气</w:t>
            </w:r>
            <w:r>
              <w:rPr>
                <w:color w:val="auto"/>
                <w:spacing w:val="-30"/>
                <w:sz w:val="24"/>
                <w:szCs w:val="24"/>
                <w:highlight w:val="none"/>
              </w:rPr>
              <w:t>温</w:t>
            </w:r>
            <w:r>
              <w:rPr>
                <w:rFonts w:ascii="Times New Roman" w:hAnsi="Times New Roman" w:eastAsia="Times New Roman"/>
                <w:color w:val="auto"/>
                <w:sz w:val="24"/>
                <w:szCs w:val="24"/>
                <w:highlight w:val="none"/>
              </w:rPr>
              <w:t>21</w:t>
            </w:r>
            <w:r>
              <w:rPr>
                <w:color w:val="auto"/>
                <w:sz w:val="24"/>
                <w:szCs w:val="24"/>
                <w:highlight w:val="none"/>
              </w:rPr>
              <w:t>～</w:t>
            </w:r>
            <w:r>
              <w:rPr>
                <w:rFonts w:ascii="Times New Roman" w:hAnsi="Times New Roman" w:eastAsia="Times New Roman"/>
                <w:color w:val="auto"/>
                <w:sz w:val="24"/>
                <w:szCs w:val="24"/>
                <w:highlight w:val="none"/>
              </w:rPr>
              <w:t>23</w:t>
            </w:r>
            <w:r>
              <w:rPr>
                <w:color w:val="auto"/>
                <w:spacing w:val="-9"/>
                <w:sz w:val="24"/>
                <w:szCs w:val="24"/>
                <w:highlight w:val="none"/>
              </w:rPr>
              <w:t>℃，年总积温</w:t>
            </w:r>
            <w:r>
              <w:rPr>
                <w:rFonts w:ascii="Times New Roman" w:hAnsi="Times New Roman" w:eastAsia="Times New Roman"/>
                <w:color w:val="auto"/>
                <w:sz w:val="24"/>
                <w:szCs w:val="24"/>
                <w:highlight w:val="none"/>
              </w:rPr>
              <w:t>7800</w:t>
            </w:r>
            <w:r>
              <w:rPr>
                <w:color w:val="auto"/>
                <w:sz w:val="24"/>
                <w:szCs w:val="24"/>
                <w:highlight w:val="none"/>
              </w:rPr>
              <w:t>～</w:t>
            </w:r>
            <w:r>
              <w:rPr>
                <w:rFonts w:ascii="Times New Roman" w:hAnsi="Times New Roman" w:eastAsia="Times New Roman"/>
                <w:color w:val="auto"/>
                <w:sz w:val="24"/>
                <w:szCs w:val="24"/>
                <w:highlight w:val="none"/>
              </w:rPr>
              <w:t>8300</w:t>
            </w:r>
            <w:r>
              <w:rPr>
                <w:color w:val="auto"/>
                <w:spacing w:val="-8"/>
                <w:sz w:val="24"/>
                <w:szCs w:val="24"/>
                <w:highlight w:val="none"/>
              </w:rPr>
              <w:t>℃。最热月份是</w:t>
            </w:r>
            <w:r>
              <w:rPr>
                <w:rFonts w:ascii="Times New Roman" w:hAnsi="Times New Roman" w:eastAsia="Times New Roman"/>
                <w:color w:val="auto"/>
                <w:sz w:val="24"/>
                <w:szCs w:val="24"/>
                <w:highlight w:val="none"/>
              </w:rPr>
              <w:t>7</w:t>
            </w:r>
            <w:r>
              <w:rPr>
                <w:color w:val="auto"/>
                <w:spacing w:val="-9"/>
                <w:sz w:val="24"/>
                <w:szCs w:val="24"/>
                <w:highlight w:val="none"/>
              </w:rPr>
              <w:t>月，平均气温</w:t>
            </w:r>
            <w:r>
              <w:rPr>
                <w:rFonts w:ascii="Times New Roman" w:hAnsi="Times New Roman" w:eastAsia="Times New Roman"/>
                <w:color w:val="auto"/>
                <w:spacing w:val="-3"/>
                <w:sz w:val="24"/>
                <w:szCs w:val="24"/>
                <w:highlight w:val="none"/>
              </w:rPr>
              <w:t>28</w:t>
            </w:r>
            <w:r>
              <w:rPr>
                <w:color w:val="auto"/>
                <w:spacing w:val="-3"/>
                <w:sz w:val="24"/>
                <w:szCs w:val="24"/>
                <w:highlight w:val="none"/>
              </w:rPr>
              <w:t>～</w:t>
            </w:r>
            <w:r>
              <w:rPr>
                <w:rFonts w:ascii="Times New Roman" w:hAnsi="Times New Roman" w:eastAsia="Times New Roman"/>
                <w:color w:val="auto"/>
                <w:spacing w:val="-3"/>
                <w:sz w:val="24"/>
                <w:szCs w:val="24"/>
                <w:highlight w:val="none"/>
              </w:rPr>
              <w:t>29</w:t>
            </w:r>
            <w:r>
              <w:rPr>
                <w:color w:val="auto"/>
                <w:spacing w:val="-3"/>
                <w:sz w:val="24"/>
                <w:szCs w:val="24"/>
                <w:highlight w:val="none"/>
              </w:rPr>
              <w:t>℃，</w:t>
            </w:r>
            <w:r>
              <w:rPr>
                <w:color w:val="auto"/>
                <w:spacing w:val="-6"/>
                <w:sz w:val="24"/>
                <w:szCs w:val="24"/>
                <w:highlight w:val="none"/>
              </w:rPr>
              <w:t>极端最高气温为</w:t>
            </w:r>
            <w:r>
              <w:rPr>
                <w:rFonts w:ascii="Times New Roman" w:hAnsi="Times New Roman" w:eastAsia="Times New Roman"/>
                <w:color w:val="auto"/>
                <w:sz w:val="24"/>
                <w:szCs w:val="24"/>
                <w:highlight w:val="none"/>
              </w:rPr>
              <w:t>37.3</w:t>
            </w:r>
            <w:r>
              <w:rPr>
                <w:color w:val="auto"/>
                <w:spacing w:val="-6"/>
                <w:sz w:val="24"/>
                <w:szCs w:val="24"/>
                <w:highlight w:val="none"/>
              </w:rPr>
              <w:t>℃；最冷月份是</w:t>
            </w:r>
            <w:r>
              <w:rPr>
                <w:rFonts w:ascii="Times New Roman" w:hAnsi="Times New Roman" w:eastAsia="Times New Roman"/>
                <w:color w:val="auto"/>
                <w:sz w:val="24"/>
                <w:szCs w:val="24"/>
                <w:highlight w:val="none"/>
              </w:rPr>
              <w:t>1</w:t>
            </w:r>
            <w:r>
              <w:rPr>
                <w:color w:val="auto"/>
                <w:spacing w:val="-7"/>
                <w:sz w:val="24"/>
                <w:szCs w:val="24"/>
                <w:highlight w:val="none"/>
              </w:rPr>
              <w:t>月，平均气温</w:t>
            </w:r>
            <w:r>
              <w:rPr>
                <w:rFonts w:ascii="Times New Roman" w:hAnsi="Times New Roman" w:eastAsia="Times New Roman"/>
                <w:color w:val="auto"/>
                <w:sz w:val="24"/>
                <w:szCs w:val="24"/>
                <w:highlight w:val="none"/>
              </w:rPr>
              <w:t>13</w:t>
            </w:r>
            <w:r>
              <w:rPr>
                <w:color w:val="auto"/>
                <w:sz w:val="24"/>
                <w:szCs w:val="24"/>
                <w:highlight w:val="none"/>
              </w:rPr>
              <w:t>～</w:t>
            </w:r>
            <w:r>
              <w:rPr>
                <w:rFonts w:ascii="Times New Roman" w:hAnsi="Times New Roman" w:eastAsia="Times New Roman"/>
                <w:color w:val="auto"/>
                <w:sz w:val="24"/>
                <w:szCs w:val="24"/>
                <w:highlight w:val="none"/>
              </w:rPr>
              <w:t>15</w:t>
            </w:r>
            <w:r>
              <w:rPr>
                <w:color w:val="auto"/>
                <w:sz w:val="24"/>
                <w:szCs w:val="24"/>
                <w:highlight w:val="none"/>
              </w:rPr>
              <w:t>℃，极端最低气温</w:t>
            </w:r>
            <w:r>
              <w:rPr>
                <w:color w:val="auto"/>
                <w:spacing w:val="-31"/>
                <w:sz w:val="24"/>
                <w:szCs w:val="24"/>
                <w:highlight w:val="none"/>
              </w:rPr>
              <w:t>为</w:t>
            </w:r>
            <w:r>
              <w:rPr>
                <w:rFonts w:ascii="Times New Roman" w:hAnsi="Times New Roman" w:eastAsia="Times New Roman"/>
                <w:color w:val="auto"/>
                <w:sz w:val="24"/>
                <w:szCs w:val="24"/>
                <w:highlight w:val="none"/>
              </w:rPr>
              <w:t>0</w:t>
            </w:r>
            <w:r>
              <w:rPr>
                <w:color w:val="auto"/>
                <w:spacing w:val="-8"/>
                <w:sz w:val="24"/>
                <w:szCs w:val="24"/>
                <w:highlight w:val="none"/>
              </w:rPr>
              <w:t>℃，年相对湿度</w:t>
            </w:r>
            <w:r>
              <w:rPr>
                <w:rFonts w:ascii="Times New Roman" w:hAnsi="Times New Roman" w:eastAsia="Times New Roman"/>
                <w:color w:val="auto"/>
                <w:sz w:val="24"/>
                <w:szCs w:val="24"/>
                <w:highlight w:val="none"/>
              </w:rPr>
              <w:t>81%</w:t>
            </w:r>
            <w:r>
              <w:rPr>
                <w:color w:val="auto"/>
                <w:spacing w:val="-5"/>
                <w:sz w:val="24"/>
                <w:szCs w:val="24"/>
                <w:highlight w:val="none"/>
              </w:rPr>
              <w:t>，绝大部分地区无霜期在</w:t>
            </w:r>
            <w:r>
              <w:rPr>
                <w:rFonts w:ascii="Times New Roman" w:hAnsi="Times New Roman" w:eastAsia="Times New Roman"/>
                <w:color w:val="auto"/>
                <w:sz w:val="24"/>
                <w:szCs w:val="24"/>
                <w:highlight w:val="none"/>
              </w:rPr>
              <w:t>350d</w:t>
            </w:r>
            <w:r>
              <w:rPr>
                <w:color w:val="auto"/>
                <w:sz w:val="24"/>
                <w:szCs w:val="24"/>
                <w:highlight w:val="none"/>
              </w:rPr>
              <w:t>以上。</w:t>
            </w:r>
          </w:p>
          <w:p>
            <w:pPr>
              <w:pStyle w:val="9"/>
              <w:spacing w:before="77"/>
              <w:jc w:val="center"/>
              <w:rPr>
                <w:color w:val="auto"/>
                <w:sz w:val="24"/>
                <w:szCs w:val="24"/>
                <w:highlight w:val="none"/>
              </w:rPr>
            </w:pPr>
            <w:r>
              <w:rPr>
                <w:color w:val="auto"/>
                <w:sz w:val="24"/>
                <w:szCs w:val="24"/>
                <w:highlight w:val="none"/>
              </w:rPr>
              <w:t>表</w:t>
            </w:r>
            <w:r>
              <w:rPr>
                <w:rFonts w:hint="eastAsia" w:ascii="Times New Roman" w:hAnsi="Times New Roman" w:eastAsiaTheme="minorEastAsia"/>
                <w:color w:val="auto"/>
                <w:sz w:val="24"/>
                <w:szCs w:val="24"/>
                <w:highlight w:val="none"/>
              </w:rPr>
              <w:t>2.1</w:t>
            </w:r>
            <w:r>
              <w:rPr>
                <w:rFonts w:ascii="Times New Roman" w:hAnsi="Times New Roman" w:eastAsia="Times New Roman"/>
                <w:color w:val="auto"/>
                <w:sz w:val="24"/>
                <w:szCs w:val="24"/>
                <w:highlight w:val="none"/>
              </w:rPr>
              <w:t xml:space="preserve">-1 2000-2018 </w:t>
            </w:r>
            <w:r>
              <w:rPr>
                <w:color w:val="auto"/>
                <w:sz w:val="24"/>
                <w:szCs w:val="24"/>
                <w:highlight w:val="none"/>
              </w:rPr>
              <w:t>年钦州市气象站各月平均气温（℃）</w:t>
            </w:r>
          </w:p>
          <w:tbl>
            <w:tblPr>
              <w:tblStyle w:val="2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1"/>
              <w:gridCol w:w="620"/>
              <w:gridCol w:w="620"/>
              <w:gridCol w:w="620"/>
              <w:gridCol w:w="621"/>
              <w:gridCol w:w="621"/>
              <w:gridCol w:w="622"/>
              <w:gridCol w:w="622"/>
              <w:gridCol w:w="622"/>
              <w:gridCol w:w="622"/>
              <w:gridCol w:w="622"/>
              <w:gridCol w:w="622"/>
              <w:gridCol w:w="622"/>
              <w:gridCol w:w="6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jc w:val="center"/>
              </w:trPr>
              <w:tc>
                <w:tcPr>
                  <w:tcW w:w="621" w:type="dxa"/>
                </w:tcPr>
                <w:p>
                  <w:pPr>
                    <w:pStyle w:val="107"/>
                    <w:spacing w:before="34"/>
                    <w:ind w:left="79" w:right="71"/>
                    <w:rPr>
                      <w:rFonts w:ascii="宋体" w:eastAsia="宋体"/>
                      <w:color w:val="auto"/>
                      <w:sz w:val="21"/>
                      <w:highlight w:val="none"/>
                    </w:rPr>
                  </w:pPr>
                  <w:r>
                    <w:rPr>
                      <w:rFonts w:hint="eastAsia" w:ascii="宋体" w:eastAsia="宋体"/>
                      <w:color w:val="auto"/>
                      <w:sz w:val="21"/>
                      <w:highlight w:val="none"/>
                    </w:rPr>
                    <w:t>月份</w:t>
                  </w:r>
                </w:p>
              </w:tc>
              <w:tc>
                <w:tcPr>
                  <w:tcW w:w="620" w:type="dxa"/>
                </w:tcPr>
                <w:p>
                  <w:pPr>
                    <w:pStyle w:val="107"/>
                    <w:spacing w:before="55"/>
                    <w:ind w:left="9"/>
                    <w:rPr>
                      <w:color w:val="auto"/>
                      <w:sz w:val="21"/>
                      <w:highlight w:val="none"/>
                    </w:rPr>
                  </w:pPr>
                  <w:r>
                    <w:rPr>
                      <w:color w:val="auto"/>
                      <w:w w:val="99"/>
                      <w:sz w:val="21"/>
                      <w:highlight w:val="none"/>
                    </w:rPr>
                    <w:t>1</w:t>
                  </w:r>
                </w:p>
              </w:tc>
              <w:tc>
                <w:tcPr>
                  <w:tcW w:w="620" w:type="dxa"/>
                </w:tcPr>
                <w:p>
                  <w:pPr>
                    <w:pStyle w:val="107"/>
                    <w:spacing w:before="55"/>
                    <w:ind w:left="7"/>
                    <w:rPr>
                      <w:color w:val="auto"/>
                      <w:sz w:val="21"/>
                      <w:highlight w:val="none"/>
                    </w:rPr>
                  </w:pPr>
                  <w:r>
                    <w:rPr>
                      <w:color w:val="auto"/>
                      <w:w w:val="99"/>
                      <w:sz w:val="21"/>
                      <w:highlight w:val="none"/>
                    </w:rPr>
                    <w:t>2</w:t>
                  </w:r>
                </w:p>
              </w:tc>
              <w:tc>
                <w:tcPr>
                  <w:tcW w:w="620" w:type="dxa"/>
                </w:tcPr>
                <w:p>
                  <w:pPr>
                    <w:pStyle w:val="107"/>
                    <w:spacing w:before="55"/>
                    <w:ind w:left="6"/>
                    <w:rPr>
                      <w:color w:val="auto"/>
                      <w:sz w:val="21"/>
                      <w:highlight w:val="none"/>
                    </w:rPr>
                  </w:pPr>
                  <w:r>
                    <w:rPr>
                      <w:color w:val="auto"/>
                      <w:w w:val="99"/>
                      <w:sz w:val="21"/>
                      <w:highlight w:val="none"/>
                    </w:rPr>
                    <w:t>3</w:t>
                  </w:r>
                </w:p>
              </w:tc>
              <w:tc>
                <w:tcPr>
                  <w:tcW w:w="621" w:type="dxa"/>
                </w:tcPr>
                <w:p>
                  <w:pPr>
                    <w:pStyle w:val="107"/>
                    <w:spacing w:before="55"/>
                    <w:ind w:left="8"/>
                    <w:rPr>
                      <w:color w:val="auto"/>
                      <w:sz w:val="21"/>
                      <w:highlight w:val="none"/>
                    </w:rPr>
                  </w:pPr>
                  <w:r>
                    <w:rPr>
                      <w:color w:val="auto"/>
                      <w:w w:val="99"/>
                      <w:sz w:val="21"/>
                      <w:highlight w:val="none"/>
                    </w:rPr>
                    <w:t>4</w:t>
                  </w:r>
                </w:p>
              </w:tc>
              <w:tc>
                <w:tcPr>
                  <w:tcW w:w="621" w:type="dxa"/>
                </w:tcPr>
                <w:p>
                  <w:pPr>
                    <w:pStyle w:val="107"/>
                    <w:spacing w:before="55"/>
                    <w:ind w:left="9"/>
                    <w:rPr>
                      <w:color w:val="auto"/>
                      <w:sz w:val="21"/>
                      <w:highlight w:val="none"/>
                    </w:rPr>
                  </w:pPr>
                  <w:r>
                    <w:rPr>
                      <w:color w:val="auto"/>
                      <w:w w:val="99"/>
                      <w:sz w:val="21"/>
                      <w:highlight w:val="none"/>
                    </w:rPr>
                    <w:t>5</w:t>
                  </w:r>
                </w:p>
              </w:tc>
              <w:tc>
                <w:tcPr>
                  <w:tcW w:w="622" w:type="dxa"/>
                </w:tcPr>
                <w:p>
                  <w:pPr>
                    <w:pStyle w:val="107"/>
                    <w:spacing w:before="55"/>
                    <w:ind w:left="9"/>
                    <w:rPr>
                      <w:color w:val="auto"/>
                      <w:sz w:val="21"/>
                      <w:highlight w:val="none"/>
                    </w:rPr>
                  </w:pPr>
                  <w:r>
                    <w:rPr>
                      <w:color w:val="auto"/>
                      <w:w w:val="99"/>
                      <w:sz w:val="21"/>
                      <w:highlight w:val="none"/>
                    </w:rPr>
                    <w:t>6</w:t>
                  </w:r>
                </w:p>
              </w:tc>
              <w:tc>
                <w:tcPr>
                  <w:tcW w:w="622" w:type="dxa"/>
                </w:tcPr>
                <w:p>
                  <w:pPr>
                    <w:pStyle w:val="107"/>
                    <w:spacing w:before="55"/>
                    <w:ind w:left="8"/>
                    <w:rPr>
                      <w:color w:val="auto"/>
                      <w:sz w:val="21"/>
                      <w:highlight w:val="none"/>
                    </w:rPr>
                  </w:pPr>
                  <w:r>
                    <w:rPr>
                      <w:color w:val="auto"/>
                      <w:w w:val="99"/>
                      <w:sz w:val="21"/>
                      <w:highlight w:val="none"/>
                    </w:rPr>
                    <w:t>7</w:t>
                  </w:r>
                </w:p>
              </w:tc>
              <w:tc>
                <w:tcPr>
                  <w:tcW w:w="622" w:type="dxa"/>
                </w:tcPr>
                <w:p>
                  <w:pPr>
                    <w:pStyle w:val="107"/>
                    <w:spacing w:before="55"/>
                    <w:ind w:left="8"/>
                    <w:rPr>
                      <w:color w:val="auto"/>
                      <w:sz w:val="21"/>
                      <w:highlight w:val="none"/>
                    </w:rPr>
                  </w:pPr>
                  <w:r>
                    <w:rPr>
                      <w:color w:val="auto"/>
                      <w:w w:val="99"/>
                      <w:sz w:val="21"/>
                      <w:highlight w:val="none"/>
                    </w:rPr>
                    <w:t>8</w:t>
                  </w:r>
                </w:p>
              </w:tc>
              <w:tc>
                <w:tcPr>
                  <w:tcW w:w="622" w:type="dxa"/>
                </w:tcPr>
                <w:p>
                  <w:pPr>
                    <w:pStyle w:val="107"/>
                    <w:spacing w:before="55"/>
                    <w:ind w:left="7"/>
                    <w:rPr>
                      <w:color w:val="auto"/>
                      <w:sz w:val="21"/>
                      <w:highlight w:val="none"/>
                    </w:rPr>
                  </w:pPr>
                  <w:r>
                    <w:rPr>
                      <w:color w:val="auto"/>
                      <w:w w:val="99"/>
                      <w:sz w:val="21"/>
                      <w:highlight w:val="none"/>
                    </w:rPr>
                    <w:t>9</w:t>
                  </w:r>
                </w:p>
              </w:tc>
              <w:tc>
                <w:tcPr>
                  <w:tcW w:w="622" w:type="dxa"/>
                </w:tcPr>
                <w:p>
                  <w:pPr>
                    <w:pStyle w:val="107"/>
                    <w:spacing w:before="55"/>
                    <w:ind w:left="106" w:right="95"/>
                    <w:rPr>
                      <w:color w:val="auto"/>
                      <w:sz w:val="21"/>
                      <w:highlight w:val="none"/>
                    </w:rPr>
                  </w:pPr>
                  <w:r>
                    <w:rPr>
                      <w:color w:val="auto"/>
                      <w:sz w:val="21"/>
                      <w:highlight w:val="none"/>
                    </w:rPr>
                    <w:t>10</w:t>
                  </w:r>
                </w:p>
              </w:tc>
              <w:tc>
                <w:tcPr>
                  <w:tcW w:w="622" w:type="dxa"/>
                </w:tcPr>
                <w:p>
                  <w:pPr>
                    <w:pStyle w:val="107"/>
                    <w:spacing w:before="55"/>
                    <w:ind w:left="106" w:right="96"/>
                    <w:rPr>
                      <w:color w:val="auto"/>
                      <w:sz w:val="21"/>
                      <w:highlight w:val="none"/>
                    </w:rPr>
                  </w:pPr>
                  <w:r>
                    <w:rPr>
                      <w:color w:val="auto"/>
                      <w:sz w:val="21"/>
                      <w:highlight w:val="none"/>
                    </w:rPr>
                    <w:t>11</w:t>
                  </w:r>
                </w:p>
              </w:tc>
              <w:tc>
                <w:tcPr>
                  <w:tcW w:w="622" w:type="dxa"/>
                </w:tcPr>
                <w:p>
                  <w:pPr>
                    <w:pStyle w:val="107"/>
                    <w:spacing w:before="55"/>
                    <w:ind w:left="105" w:right="96"/>
                    <w:rPr>
                      <w:color w:val="auto"/>
                      <w:sz w:val="21"/>
                      <w:highlight w:val="none"/>
                    </w:rPr>
                  </w:pPr>
                  <w:r>
                    <w:rPr>
                      <w:color w:val="auto"/>
                      <w:sz w:val="21"/>
                      <w:highlight w:val="none"/>
                    </w:rPr>
                    <w:t>12</w:t>
                  </w:r>
                </w:p>
              </w:tc>
              <w:tc>
                <w:tcPr>
                  <w:tcW w:w="622" w:type="dxa"/>
                </w:tcPr>
                <w:p>
                  <w:pPr>
                    <w:pStyle w:val="107"/>
                    <w:spacing w:before="34"/>
                    <w:ind w:left="99"/>
                    <w:jc w:val="left"/>
                    <w:rPr>
                      <w:rFonts w:ascii="宋体" w:eastAsia="宋体"/>
                      <w:color w:val="auto"/>
                      <w:sz w:val="21"/>
                      <w:highlight w:val="none"/>
                    </w:rPr>
                  </w:pPr>
                  <w:r>
                    <w:rPr>
                      <w:rFonts w:hint="eastAsia" w:ascii="宋体" w:eastAsia="宋体"/>
                      <w:color w:val="auto"/>
                      <w:sz w:val="21"/>
                      <w:highlight w:val="none"/>
                    </w:rPr>
                    <w:t>全年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621" w:type="dxa"/>
                </w:tcPr>
                <w:p>
                  <w:pPr>
                    <w:pStyle w:val="107"/>
                    <w:spacing w:before="65"/>
                    <w:ind w:left="79" w:right="71"/>
                    <w:rPr>
                      <w:rFonts w:ascii="宋体" w:eastAsia="宋体"/>
                      <w:color w:val="auto"/>
                      <w:sz w:val="21"/>
                      <w:highlight w:val="none"/>
                    </w:rPr>
                  </w:pPr>
                  <w:r>
                    <w:rPr>
                      <w:rFonts w:hint="eastAsia" w:ascii="宋体" w:eastAsia="宋体"/>
                      <w:color w:val="auto"/>
                      <w:sz w:val="21"/>
                      <w:highlight w:val="none"/>
                    </w:rPr>
                    <w:t>气温</w:t>
                  </w:r>
                </w:p>
              </w:tc>
              <w:tc>
                <w:tcPr>
                  <w:tcW w:w="620" w:type="dxa"/>
                </w:tcPr>
                <w:p>
                  <w:pPr>
                    <w:pStyle w:val="107"/>
                    <w:spacing w:before="89"/>
                    <w:ind w:left="104" w:right="95"/>
                    <w:rPr>
                      <w:color w:val="auto"/>
                      <w:sz w:val="21"/>
                      <w:highlight w:val="none"/>
                    </w:rPr>
                  </w:pPr>
                  <w:r>
                    <w:rPr>
                      <w:color w:val="auto"/>
                      <w:sz w:val="21"/>
                      <w:highlight w:val="none"/>
                    </w:rPr>
                    <w:t>13.7</w:t>
                  </w:r>
                </w:p>
              </w:tc>
              <w:tc>
                <w:tcPr>
                  <w:tcW w:w="620" w:type="dxa"/>
                </w:tcPr>
                <w:p>
                  <w:pPr>
                    <w:pStyle w:val="107"/>
                    <w:spacing w:before="89"/>
                    <w:ind w:left="103" w:right="96"/>
                    <w:rPr>
                      <w:color w:val="auto"/>
                      <w:sz w:val="21"/>
                      <w:highlight w:val="none"/>
                    </w:rPr>
                  </w:pPr>
                  <w:r>
                    <w:rPr>
                      <w:color w:val="auto"/>
                      <w:sz w:val="21"/>
                      <w:highlight w:val="none"/>
                    </w:rPr>
                    <w:t>16.0</w:t>
                  </w:r>
                </w:p>
              </w:tc>
              <w:tc>
                <w:tcPr>
                  <w:tcW w:w="620" w:type="dxa"/>
                </w:tcPr>
                <w:p>
                  <w:pPr>
                    <w:pStyle w:val="107"/>
                    <w:spacing w:before="89"/>
                    <w:ind w:left="104" w:right="94"/>
                    <w:rPr>
                      <w:color w:val="auto"/>
                      <w:sz w:val="21"/>
                      <w:highlight w:val="none"/>
                    </w:rPr>
                  </w:pPr>
                  <w:r>
                    <w:rPr>
                      <w:color w:val="auto"/>
                      <w:sz w:val="21"/>
                      <w:highlight w:val="none"/>
                    </w:rPr>
                    <w:t>18.6</w:t>
                  </w:r>
                </w:p>
              </w:tc>
              <w:tc>
                <w:tcPr>
                  <w:tcW w:w="621" w:type="dxa"/>
                </w:tcPr>
                <w:p>
                  <w:pPr>
                    <w:pStyle w:val="107"/>
                    <w:spacing w:before="89"/>
                    <w:ind w:left="79" w:right="71"/>
                    <w:rPr>
                      <w:color w:val="auto"/>
                      <w:sz w:val="21"/>
                      <w:highlight w:val="none"/>
                    </w:rPr>
                  </w:pPr>
                  <w:r>
                    <w:rPr>
                      <w:color w:val="auto"/>
                      <w:sz w:val="21"/>
                      <w:highlight w:val="none"/>
                    </w:rPr>
                    <w:t>23.4</w:t>
                  </w:r>
                </w:p>
              </w:tc>
              <w:tc>
                <w:tcPr>
                  <w:tcW w:w="621" w:type="dxa"/>
                </w:tcPr>
                <w:p>
                  <w:pPr>
                    <w:pStyle w:val="107"/>
                    <w:spacing w:before="89"/>
                    <w:ind w:left="79" w:right="70"/>
                    <w:rPr>
                      <w:color w:val="auto"/>
                      <w:sz w:val="21"/>
                      <w:highlight w:val="none"/>
                    </w:rPr>
                  </w:pPr>
                  <w:r>
                    <w:rPr>
                      <w:color w:val="auto"/>
                      <w:sz w:val="21"/>
                      <w:highlight w:val="none"/>
                    </w:rPr>
                    <w:t>26.8</w:t>
                  </w:r>
                </w:p>
              </w:tc>
              <w:tc>
                <w:tcPr>
                  <w:tcW w:w="622" w:type="dxa"/>
                </w:tcPr>
                <w:p>
                  <w:pPr>
                    <w:pStyle w:val="107"/>
                    <w:spacing w:before="89"/>
                    <w:ind w:left="105" w:right="96"/>
                    <w:rPr>
                      <w:color w:val="auto"/>
                      <w:sz w:val="21"/>
                      <w:highlight w:val="none"/>
                    </w:rPr>
                  </w:pPr>
                  <w:r>
                    <w:rPr>
                      <w:color w:val="auto"/>
                      <w:sz w:val="21"/>
                      <w:highlight w:val="none"/>
                    </w:rPr>
                    <w:t>28.3</w:t>
                  </w:r>
                </w:p>
              </w:tc>
              <w:tc>
                <w:tcPr>
                  <w:tcW w:w="622" w:type="dxa"/>
                </w:tcPr>
                <w:p>
                  <w:pPr>
                    <w:pStyle w:val="107"/>
                    <w:spacing w:before="89"/>
                    <w:ind w:left="104" w:right="96"/>
                    <w:rPr>
                      <w:color w:val="auto"/>
                      <w:sz w:val="21"/>
                      <w:highlight w:val="none"/>
                    </w:rPr>
                  </w:pPr>
                  <w:r>
                    <w:rPr>
                      <w:color w:val="auto"/>
                      <w:sz w:val="21"/>
                      <w:highlight w:val="none"/>
                    </w:rPr>
                    <w:t>29.0</w:t>
                  </w:r>
                </w:p>
              </w:tc>
              <w:tc>
                <w:tcPr>
                  <w:tcW w:w="622" w:type="dxa"/>
                </w:tcPr>
                <w:p>
                  <w:pPr>
                    <w:pStyle w:val="107"/>
                    <w:spacing w:before="89"/>
                    <w:ind w:left="104" w:right="96"/>
                    <w:rPr>
                      <w:color w:val="auto"/>
                      <w:sz w:val="21"/>
                      <w:highlight w:val="none"/>
                    </w:rPr>
                  </w:pPr>
                  <w:r>
                    <w:rPr>
                      <w:color w:val="auto"/>
                      <w:sz w:val="21"/>
                      <w:highlight w:val="none"/>
                    </w:rPr>
                    <w:t>28.7</w:t>
                  </w:r>
                </w:p>
              </w:tc>
              <w:tc>
                <w:tcPr>
                  <w:tcW w:w="622" w:type="dxa"/>
                </w:tcPr>
                <w:p>
                  <w:pPr>
                    <w:pStyle w:val="107"/>
                    <w:spacing w:before="89"/>
                    <w:ind w:left="105" w:right="96"/>
                    <w:rPr>
                      <w:color w:val="auto"/>
                      <w:sz w:val="21"/>
                      <w:highlight w:val="none"/>
                    </w:rPr>
                  </w:pPr>
                  <w:r>
                    <w:rPr>
                      <w:color w:val="auto"/>
                      <w:sz w:val="21"/>
                      <w:highlight w:val="none"/>
                    </w:rPr>
                    <w:t>27.7</w:t>
                  </w:r>
                </w:p>
              </w:tc>
              <w:tc>
                <w:tcPr>
                  <w:tcW w:w="622" w:type="dxa"/>
                </w:tcPr>
                <w:p>
                  <w:pPr>
                    <w:pStyle w:val="107"/>
                    <w:spacing w:before="89"/>
                    <w:ind w:left="106" w:right="95"/>
                    <w:rPr>
                      <w:color w:val="auto"/>
                      <w:sz w:val="21"/>
                      <w:highlight w:val="none"/>
                    </w:rPr>
                  </w:pPr>
                  <w:r>
                    <w:rPr>
                      <w:color w:val="auto"/>
                      <w:sz w:val="21"/>
                      <w:highlight w:val="none"/>
                    </w:rPr>
                    <w:t>25.3</w:t>
                  </w:r>
                </w:p>
              </w:tc>
              <w:tc>
                <w:tcPr>
                  <w:tcW w:w="622" w:type="dxa"/>
                </w:tcPr>
                <w:p>
                  <w:pPr>
                    <w:pStyle w:val="107"/>
                    <w:spacing w:before="89"/>
                    <w:ind w:left="106" w:right="96"/>
                    <w:rPr>
                      <w:color w:val="auto"/>
                      <w:sz w:val="21"/>
                      <w:highlight w:val="none"/>
                    </w:rPr>
                  </w:pPr>
                  <w:r>
                    <w:rPr>
                      <w:color w:val="auto"/>
                      <w:sz w:val="21"/>
                      <w:highlight w:val="none"/>
                    </w:rPr>
                    <w:t>20.8</w:t>
                  </w:r>
                </w:p>
              </w:tc>
              <w:tc>
                <w:tcPr>
                  <w:tcW w:w="622" w:type="dxa"/>
                </w:tcPr>
                <w:p>
                  <w:pPr>
                    <w:pStyle w:val="107"/>
                    <w:spacing w:before="89"/>
                    <w:ind w:left="105" w:right="96"/>
                    <w:rPr>
                      <w:color w:val="auto"/>
                      <w:sz w:val="21"/>
                      <w:highlight w:val="none"/>
                    </w:rPr>
                  </w:pPr>
                  <w:r>
                    <w:rPr>
                      <w:color w:val="auto"/>
                      <w:sz w:val="21"/>
                      <w:highlight w:val="none"/>
                    </w:rPr>
                    <w:t>16.4</w:t>
                  </w:r>
                </w:p>
              </w:tc>
              <w:tc>
                <w:tcPr>
                  <w:tcW w:w="622" w:type="dxa"/>
                </w:tcPr>
                <w:p>
                  <w:pPr>
                    <w:pStyle w:val="107"/>
                    <w:spacing w:before="89"/>
                    <w:ind w:left="126"/>
                    <w:jc w:val="left"/>
                    <w:rPr>
                      <w:color w:val="auto"/>
                      <w:sz w:val="21"/>
                      <w:highlight w:val="none"/>
                    </w:rPr>
                  </w:pPr>
                  <w:r>
                    <w:rPr>
                      <w:color w:val="auto"/>
                      <w:sz w:val="21"/>
                      <w:highlight w:val="none"/>
                    </w:rPr>
                    <w:t>22.9</w:t>
                  </w:r>
                </w:p>
              </w:tc>
            </w:tr>
          </w:tbl>
          <w:p>
            <w:pPr>
              <w:spacing w:line="360" w:lineRule="auto"/>
              <w:ind w:firstLine="480" w:firstLineChars="200"/>
              <w:jc w:val="left"/>
              <w:rPr>
                <w:color w:val="auto"/>
                <w:sz w:val="24"/>
                <w:szCs w:val="24"/>
                <w:highlight w:val="none"/>
              </w:rPr>
            </w:pPr>
            <w:r>
              <w:rPr>
                <w:color w:val="auto"/>
                <w:sz w:val="24"/>
                <w:szCs w:val="24"/>
                <w:highlight w:val="none"/>
              </w:rPr>
              <w:t>（</w:t>
            </w:r>
            <w:r>
              <w:rPr>
                <w:rFonts w:hint="eastAsia"/>
                <w:color w:val="auto"/>
                <w:sz w:val="24"/>
                <w:szCs w:val="24"/>
                <w:highlight w:val="none"/>
              </w:rPr>
              <w:t>2</w:t>
            </w:r>
            <w:r>
              <w:rPr>
                <w:color w:val="auto"/>
                <w:sz w:val="24"/>
                <w:szCs w:val="24"/>
                <w:highlight w:val="none"/>
              </w:rPr>
              <w:t>）降雨</w:t>
            </w:r>
          </w:p>
          <w:p>
            <w:pPr>
              <w:spacing w:line="360" w:lineRule="auto"/>
              <w:ind w:firstLine="460" w:firstLineChars="200"/>
              <w:jc w:val="left"/>
              <w:rPr>
                <w:color w:val="auto"/>
                <w:sz w:val="24"/>
                <w:szCs w:val="24"/>
                <w:highlight w:val="none"/>
              </w:rPr>
            </w:pPr>
            <w:r>
              <w:rPr>
                <w:color w:val="auto"/>
                <w:spacing w:val="-5"/>
                <w:sz w:val="24"/>
                <w:szCs w:val="24"/>
                <w:highlight w:val="none"/>
              </w:rPr>
              <w:t>钦州市多年平均年降雨量</w:t>
            </w:r>
            <w:r>
              <w:rPr>
                <w:rFonts w:ascii="Times New Roman" w:eastAsia="Times New Roman"/>
                <w:color w:val="auto"/>
                <w:sz w:val="24"/>
                <w:szCs w:val="24"/>
                <w:highlight w:val="none"/>
              </w:rPr>
              <w:t>2170.9mm</w:t>
            </w:r>
            <w:r>
              <w:rPr>
                <w:color w:val="auto"/>
                <w:spacing w:val="-5"/>
                <w:sz w:val="24"/>
                <w:szCs w:val="24"/>
                <w:highlight w:val="none"/>
              </w:rPr>
              <w:t>，年平均降雨日数为</w:t>
            </w:r>
            <w:r>
              <w:rPr>
                <w:rFonts w:ascii="Times New Roman" w:eastAsia="Times New Roman"/>
                <w:color w:val="auto"/>
                <w:sz w:val="24"/>
                <w:szCs w:val="24"/>
                <w:highlight w:val="none"/>
              </w:rPr>
              <w:t>171d</w:t>
            </w:r>
            <w:r>
              <w:rPr>
                <w:color w:val="auto"/>
                <w:sz w:val="24"/>
                <w:szCs w:val="24"/>
                <w:highlight w:val="none"/>
              </w:rPr>
              <w:t>；</w:t>
            </w:r>
            <w:r>
              <w:rPr>
                <w:rFonts w:ascii="Times New Roman" w:eastAsia="Times New Roman"/>
                <w:color w:val="auto"/>
                <w:sz w:val="24"/>
                <w:szCs w:val="24"/>
                <w:highlight w:val="none"/>
              </w:rPr>
              <w:t>5</w:t>
            </w:r>
            <w:r>
              <w:rPr>
                <w:color w:val="auto"/>
                <w:sz w:val="24"/>
                <w:szCs w:val="24"/>
                <w:highlight w:val="none"/>
              </w:rPr>
              <w:t>～</w:t>
            </w:r>
            <w:r>
              <w:rPr>
                <w:rFonts w:ascii="Times New Roman" w:eastAsia="Times New Roman"/>
                <w:color w:val="auto"/>
                <w:sz w:val="24"/>
                <w:szCs w:val="24"/>
                <w:highlight w:val="none"/>
              </w:rPr>
              <w:t>9</w:t>
            </w:r>
            <w:r>
              <w:rPr>
                <w:color w:val="auto"/>
                <w:sz w:val="24"/>
                <w:szCs w:val="24"/>
                <w:highlight w:val="none"/>
              </w:rPr>
              <w:t>月为雨季，雨量集中，</w:t>
            </w:r>
            <w:r>
              <w:rPr>
                <w:rFonts w:ascii="Times New Roman" w:eastAsia="Times New Roman"/>
                <w:color w:val="auto"/>
                <w:sz w:val="24"/>
                <w:szCs w:val="24"/>
                <w:highlight w:val="none"/>
              </w:rPr>
              <w:t>5</w:t>
            </w:r>
            <w:r>
              <w:rPr>
                <w:color w:val="auto"/>
                <w:spacing w:val="-5"/>
                <w:sz w:val="24"/>
                <w:szCs w:val="24"/>
                <w:highlight w:val="none"/>
              </w:rPr>
              <w:t>个月的雨量占全年雨量的</w:t>
            </w:r>
            <w:r>
              <w:rPr>
                <w:rFonts w:ascii="Times New Roman" w:eastAsia="Times New Roman"/>
                <w:color w:val="auto"/>
                <w:sz w:val="24"/>
                <w:szCs w:val="24"/>
                <w:highlight w:val="none"/>
              </w:rPr>
              <w:t>76</w:t>
            </w:r>
            <w:r>
              <w:rPr>
                <w:color w:val="auto"/>
                <w:sz w:val="24"/>
                <w:szCs w:val="24"/>
                <w:highlight w:val="none"/>
              </w:rPr>
              <w:t>％；</w:t>
            </w:r>
            <w:r>
              <w:rPr>
                <w:rFonts w:ascii="Times New Roman" w:eastAsia="Times New Roman"/>
                <w:color w:val="auto"/>
                <w:sz w:val="24"/>
                <w:szCs w:val="24"/>
                <w:highlight w:val="none"/>
              </w:rPr>
              <w:t>11</w:t>
            </w:r>
            <w:r>
              <w:rPr>
                <w:color w:val="auto"/>
                <w:spacing w:val="-10"/>
                <w:sz w:val="24"/>
                <w:szCs w:val="24"/>
                <w:highlight w:val="none"/>
              </w:rPr>
              <w:t>月至次年</w:t>
            </w:r>
            <w:r>
              <w:rPr>
                <w:rFonts w:ascii="Times New Roman" w:eastAsia="Times New Roman"/>
                <w:color w:val="auto"/>
                <w:sz w:val="24"/>
                <w:szCs w:val="24"/>
                <w:highlight w:val="none"/>
              </w:rPr>
              <w:t>3</w:t>
            </w:r>
            <w:r>
              <w:rPr>
                <w:color w:val="auto"/>
                <w:spacing w:val="1"/>
                <w:sz w:val="24"/>
                <w:szCs w:val="24"/>
                <w:highlight w:val="none"/>
              </w:rPr>
              <w:t>月为干季，</w:t>
            </w:r>
            <w:r>
              <w:rPr>
                <w:color w:val="auto"/>
                <w:spacing w:val="-5"/>
                <w:sz w:val="24"/>
                <w:szCs w:val="24"/>
                <w:highlight w:val="none"/>
              </w:rPr>
              <w:t>干季雨量仅占年雨量的</w:t>
            </w:r>
            <w:r>
              <w:rPr>
                <w:rFonts w:ascii="Times New Roman" w:eastAsia="Times New Roman"/>
                <w:color w:val="auto"/>
                <w:sz w:val="24"/>
                <w:szCs w:val="24"/>
                <w:highlight w:val="none"/>
              </w:rPr>
              <w:t>11.5%</w:t>
            </w:r>
            <w:r>
              <w:rPr>
                <w:color w:val="auto"/>
                <w:sz w:val="24"/>
                <w:szCs w:val="24"/>
                <w:highlight w:val="none"/>
              </w:rPr>
              <w:t>。</w:t>
            </w:r>
            <w:r>
              <w:rPr>
                <w:rFonts w:ascii="Times New Roman" w:eastAsia="Times New Roman"/>
                <w:color w:val="auto"/>
                <w:sz w:val="24"/>
                <w:szCs w:val="24"/>
                <w:highlight w:val="none"/>
              </w:rPr>
              <w:t>4</w:t>
            </w:r>
            <w:r>
              <w:rPr>
                <w:color w:val="auto"/>
                <w:spacing w:val="-21"/>
                <w:sz w:val="24"/>
                <w:szCs w:val="24"/>
                <w:highlight w:val="none"/>
              </w:rPr>
              <w:t>月和</w:t>
            </w:r>
            <w:r>
              <w:rPr>
                <w:rFonts w:ascii="Times New Roman" w:eastAsia="Times New Roman"/>
                <w:color w:val="auto"/>
                <w:sz w:val="24"/>
                <w:szCs w:val="24"/>
                <w:highlight w:val="none"/>
              </w:rPr>
              <w:t>10</w:t>
            </w:r>
            <w:r>
              <w:rPr>
                <w:color w:val="auto"/>
                <w:sz w:val="24"/>
                <w:szCs w:val="24"/>
                <w:highlight w:val="none"/>
              </w:rPr>
              <w:t>月为季风交换季节，降雨量较少。</w:t>
            </w:r>
          </w:p>
          <w:p>
            <w:pPr>
              <w:pStyle w:val="9"/>
              <w:spacing w:before="77"/>
              <w:jc w:val="center"/>
              <w:rPr>
                <w:color w:val="auto"/>
                <w:sz w:val="24"/>
                <w:szCs w:val="24"/>
                <w:highlight w:val="none"/>
              </w:rPr>
            </w:pPr>
            <w:r>
              <w:rPr>
                <w:color w:val="auto"/>
                <w:sz w:val="24"/>
                <w:szCs w:val="24"/>
                <w:highlight w:val="none"/>
              </w:rPr>
              <w:t>表</w:t>
            </w:r>
            <w:r>
              <w:rPr>
                <w:rFonts w:hint="eastAsia" w:ascii="Times New Roman" w:eastAsiaTheme="minorEastAsia"/>
                <w:color w:val="auto"/>
                <w:sz w:val="24"/>
                <w:szCs w:val="24"/>
                <w:highlight w:val="none"/>
              </w:rPr>
              <w:t>2.1</w:t>
            </w:r>
            <w:r>
              <w:rPr>
                <w:rFonts w:ascii="Times New Roman" w:eastAsia="Times New Roman"/>
                <w:color w:val="auto"/>
                <w:sz w:val="24"/>
                <w:szCs w:val="24"/>
                <w:highlight w:val="none"/>
              </w:rPr>
              <w:t>-22000-2018</w:t>
            </w:r>
            <w:r>
              <w:rPr>
                <w:color w:val="auto"/>
                <w:sz w:val="24"/>
                <w:szCs w:val="24"/>
                <w:highlight w:val="none"/>
              </w:rPr>
              <w:t>年钦州市气象站各月平均降水量（</w:t>
            </w:r>
            <w:r>
              <w:rPr>
                <w:rFonts w:ascii="Times New Roman" w:eastAsia="Times New Roman"/>
                <w:color w:val="auto"/>
                <w:sz w:val="24"/>
                <w:szCs w:val="24"/>
                <w:highlight w:val="none"/>
              </w:rPr>
              <w:t>mm</w:t>
            </w:r>
            <w:r>
              <w:rPr>
                <w:color w:val="auto"/>
                <w:sz w:val="24"/>
                <w:szCs w:val="24"/>
                <w:highlight w:val="none"/>
              </w:rPr>
              <w:t>）</w:t>
            </w:r>
          </w:p>
          <w:tbl>
            <w:tblPr>
              <w:tblStyle w:val="23"/>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0"/>
              <w:gridCol w:w="635"/>
              <w:gridCol w:w="635"/>
              <w:gridCol w:w="635"/>
              <w:gridCol w:w="635"/>
              <w:gridCol w:w="635"/>
              <w:gridCol w:w="635"/>
              <w:gridCol w:w="635"/>
              <w:gridCol w:w="635"/>
              <w:gridCol w:w="635"/>
              <w:gridCol w:w="635"/>
              <w:gridCol w:w="635"/>
              <w:gridCol w:w="635"/>
              <w:gridCol w:w="7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800" w:type="dxa"/>
                </w:tcPr>
                <w:p>
                  <w:pPr>
                    <w:pStyle w:val="107"/>
                    <w:spacing w:before="23"/>
                    <w:ind w:left="63" w:right="57"/>
                    <w:rPr>
                      <w:rFonts w:ascii="宋体" w:eastAsia="宋体"/>
                      <w:color w:val="auto"/>
                      <w:sz w:val="21"/>
                      <w:highlight w:val="none"/>
                    </w:rPr>
                  </w:pPr>
                  <w:r>
                    <w:rPr>
                      <w:rFonts w:hint="eastAsia" w:ascii="宋体" w:eastAsia="宋体"/>
                      <w:color w:val="auto"/>
                      <w:sz w:val="21"/>
                      <w:highlight w:val="none"/>
                    </w:rPr>
                    <w:t>月份</w:t>
                  </w:r>
                </w:p>
              </w:tc>
              <w:tc>
                <w:tcPr>
                  <w:tcW w:w="635" w:type="dxa"/>
                </w:tcPr>
                <w:p>
                  <w:pPr>
                    <w:pStyle w:val="107"/>
                    <w:spacing w:before="45"/>
                    <w:ind w:left="9"/>
                    <w:rPr>
                      <w:color w:val="auto"/>
                      <w:sz w:val="21"/>
                      <w:highlight w:val="none"/>
                    </w:rPr>
                  </w:pPr>
                  <w:r>
                    <w:rPr>
                      <w:color w:val="auto"/>
                      <w:w w:val="99"/>
                      <w:sz w:val="21"/>
                      <w:highlight w:val="none"/>
                    </w:rPr>
                    <w:t>1</w:t>
                  </w:r>
                </w:p>
              </w:tc>
              <w:tc>
                <w:tcPr>
                  <w:tcW w:w="635" w:type="dxa"/>
                </w:tcPr>
                <w:p>
                  <w:pPr>
                    <w:pStyle w:val="107"/>
                    <w:spacing w:before="45"/>
                    <w:ind w:left="7"/>
                    <w:rPr>
                      <w:color w:val="auto"/>
                      <w:sz w:val="21"/>
                      <w:highlight w:val="none"/>
                    </w:rPr>
                  </w:pPr>
                  <w:r>
                    <w:rPr>
                      <w:color w:val="auto"/>
                      <w:w w:val="99"/>
                      <w:sz w:val="21"/>
                      <w:highlight w:val="none"/>
                    </w:rPr>
                    <w:t>2</w:t>
                  </w:r>
                </w:p>
              </w:tc>
              <w:tc>
                <w:tcPr>
                  <w:tcW w:w="635" w:type="dxa"/>
                </w:tcPr>
                <w:p>
                  <w:pPr>
                    <w:pStyle w:val="107"/>
                    <w:spacing w:before="45"/>
                    <w:ind w:left="9"/>
                    <w:rPr>
                      <w:color w:val="auto"/>
                      <w:sz w:val="21"/>
                      <w:highlight w:val="none"/>
                    </w:rPr>
                  </w:pPr>
                  <w:r>
                    <w:rPr>
                      <w:color w:val="auto"/>
                      <w:w w:val="99"/>
                      <w:sz w:val="21"/>
                      <w:highlight w:val="none"/>
                    </w:rPr>
                    <w:t>3</w:t>
                  </w:r>
                </w:p>
              </w:tc>
              <w:tc>
                <w:tcPr>
                  <w:tcW w:w="635" w:type="dxa"/>
                </w:tcPr>
                <w:p>
                  <w:pPr>
                    <w:pStyle w:val="107"/>
                    <w:spacing w:before="45"/>
                    <w:ind w:left="11"/>
                    <w:rPr>
                      <w:color w:val="auto"/>
                      <w:sz w:val="21"/>
                      <w:highlight w:val="none"/>
                    </w:rPr>
                  </w:pPr>
                  <w:r>
                    <w:rPr>
                      <w:color w:val="auto"/>
                      <w:w w:val="99"/>
                      <w:sz w:val="21"/>
                      <w:highlight w:val="none"/>
                    </w:rPr>
                    <w:t>4</w:t>
                  </w:r>
                </w:p>
              </w:tc>
              <w:tc>
                <w:tcPr>
                  <w:tcW w:w="635" w:type="dxa"/>
                </w:tcPr>
                <w:p>
                  <w:pPr>
                    <w:pStyle w:val="107"/>
                    <w:spacing w:before="45"/>
                    <w:ind w:left="8"/>
                    <w:rPr>
                      <w:color w:val="auto"/>
                      <w:sz w:val="21"/>
                      <w:highlight w:val="none"/>
                    </w:rPr>
                  </w:pPr>
                  <w:r>
                    <w:rPr>
                      <w:color w:val="auto"/>
                      <w:w w:val="99"/>
                      <w:sz w:val="21"/>
                      <w:highlight w:val="none"/>
                    </w:rPr>
                    <w:t>5</w:t>
                  </w:r>
                </w:p>
              </w:tc>
              <w:tc>
                <w:tcPr>
                  <w:tcW w:w="635" w:type="dxa"/>
                </w:tcPr>
                <w:p>
                  <w:pPr>
                    <w:pStyle w:val="107"/>
                    <w:spacing w:before="45"/>
                    <w:ind w:left="10"/>
                    <w:rPr>
                      <w:color w:val="auto"/>
                      <w:sz w:val="21"/>
                      <w:highlight w:val="none"/>
                    </w:rPr>
                  </w:pPr>
                  <w:r>
                    <w:rPr>
                      <w:color w:val="auto"/>
                      <w:w w:val="99"/>
                      <w:sz w:val="21"/>
                      <w:highlight w:val="none"/>
                    </w:rPr>
                    <w:t>6</w:t>
                  </w:r>
                </w:p>
              </w:tc>
              <w:tc>
                <w:tcPr>
                  <w:tcW w:w="635" w:type="dxa"/>
                </w:tcPr>
                <w:p>
                  <w:pPr>
                    <w:pStyle w:val="107"/>
                    <w:spacing w:before="45"/>
                    <w:ind w:left="7"/>
                    <w:rPr>
                      <w:color w:val="auto"/>
                      <w:sz w:val="21"/>
                      <w:highlight w:val="none"/>
                    </w:rPr>
                  </w:pPr>
                  <w:r>
                    <w:rPr>
                      <w:color w:val="auto"/>
                      <w:w w:val="99"/>
                      <w:sz w:val="21"/>
                      <w:highlight w:val="none"/>
                    </w:rPr>
                    <w:t>7</w:t>
                  </w:r>
                </w:p>
              </w:tc>
              <w:tc>
                <w:tcPr>
                  <w:tcW w:w="635" w:type="dxa"/>
                </w:tcPr>
                <w:p>
                  <w:pPr>
                    <w:pStyle w:val="107"/>
                    <w:spacing w:before="45"/>
                    <w:ind w:left="9"/>
                    <w:rPr>
                      <w:color w:val="auto"/>
                      <w:sz w:val="21"/>
                      <w:highlight w:val="none"/>
                    </w:rPr>
                  </w:pPr>
                  <w:r>
                    <w:rPr>
                      <w:color w:val="auto"/>
                      <w:w w:val="99"/>
                      <w:sz w:val="21"/>
                      <w:highlight w:val="none"/>
                    </w:rPr>
                    <w:t>8</w:t>
                  </w:r>
                </w:p>
              </w:tc>
              <w:tc>
                <w:tcPr>
                  <w:tcW w:w="635" w:type="dxa"/>
                </w:tcPr>
                <w:p>
                  <w:pPr>
                    <w:pStyle w:val="107"/>
                    <w:spacing w:before="45"/>
                    <w:ind w:left="6"/>
                    <w:rPr>
                      <w:color w:val="auto"/>
                      <w:sz w:val="21"/>
                      <w:highlight w:val="none"/>
                    </w:rPr>
                  </w:pPr>
                  <w:r>
                    <w:rPr>
                      <w:color w:val="auto"/>
                      <w:w w:val="99"/>
                      <w:sz w:val="21"/>
                      <w:highlight w:val="none"/>
                    </w:rPr>
                    <w:t>9</w:t>
                  </w:r>
                </w:p>
              </w:tc>
              <w:tc>
                <w:tcPr>
                  <w:tcW w:w="635" w:type="dxa"/>
                </w:tcPr>
                <w:p>
                  <w:pPr>
                    <w:pStyle w:val="107"/>
                    <w:spacing w:before="45"/>
                    <w:ind w:left="59" w:right="51"/>
                    <w:rPr>
                      <w:color w:val="auto"/>
                      <w:sz w:val="21"/>
                      <w:highlight w:val="none"/>
                    </w:rPr>
                  </w:pPr>
                  <w:r>
                    <w:rPr>
                      <w:color w:val="auto"/>
                      <w:sz w:val="21"/>
                      <w:highlight w:val="none"/>
                    </w:rPr>
                    <w:t>10</w:t>
                  </w:r>
                </w:p>
              </w:tc>
              <w:tc>
                <w:tcPr>
                  <w:tcW w:w="635" w:type="dxa"/>
                </w:tcPr>
                <w:p>
                  <w:pPr>
                    <w:pStyle w:val="107"/>
                    <w:spacing w:before="45"/>
                    <w:ind w:left="60" w:right="50"/>
                    <w:rPr>
                      <w:color w:val="auto"/>
                      <w:sz w:val="21"/>
                      <w:highlight w:val="none"/>
                    </w:rPr>
                  </w:pPr>
                  <w:r>
                    <w:rPr>
                      <w:color w:val="auto"/>
                      <w:sz w:val="21"/>
                      <w:highlight w:val="none"/>
                    </w:rPr>
                    <w:t>11</w:t>
                  </w:r>
                </w:p>
              </w:tc>
              <w:tc>
                <w:tcPr>
                  <w:tcW w:w="635" w:type="dxa"/>
                </w:tcPr>
                <w:p>
                  <w:pPr>
                    <w:pStyle w:val="107"/>
                    <w:spacing w:before="45"/>
                    <w:ind w:left="58" w:right="51"/>
                    <w:rPr>
                      <w:color w:val="auto"/>
                      <w:sz w:val="21"/>
                      <w:highlight w:val="none"/>
                    </w:rPr>
                  </w:pPr>
                  <w:r>
                    <w:rPr>
                      <w:color w:val="auto"/>
                      <w:sz w:val="21"/>
                      <w:highlight w:val="none"/>
                    </w:rPr>
                    <w:t>12</w:t>
                  </w:r>
                </w:p>
              </w:tc>
              <w:tc>
                <w:tcPr>
                  <w:tcW w:w="788" w:type="dxa"/>
                </w:tcPr>
                <w:p>
                  <w:pPr>
                    <w:pStyle w:val="107"/>
                    <w:spacing w:before="23"/>
                    <w:ind w:left="82" w:right="76"/>
                    <w:rPr>
                      <w:rFonts w:ascii="宋体" w:eastAsia="宋体"/>
                      <w:color w:val="auto"/>
                      <w:sz w:val="21"/>
                      <w:highlight w:val="none"/>
                    </w:rPr>
                  </w:pPr>
                  <w:r>
                    <w:rPr>
                      <w:rFonts w:hint="eastAsia" w:ascii="宋体" w:eastAsia="宋体"/>
                      <w:color w:val="auto"/>
                      <w:sz w:val="21"/>
                      <w:highlight w:val="none"/>
                    </w:rPr>
                    <w:t>全年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2" w:hRule="atLeast"/>
              </w:trPr>
              <w:tc>
                <w:tcPr>
                  <w:tcW w:w="800" w:type="dxa"/>
                </w:tcPr>
                <w:p>
                  <w:pPr>
                    <w:pStyle w:val="107"/>
                    <w:spacing w:before="47"/>
                    <w:ind w:left="63" w:right="57"/>
                    <w:rPr>
                      <w:rFonts w:ascii="宋体" w:eastAsia="宋体"/>
                      <w:color w:val="auto"/>
                      <w:sz w:val="21"/>
                      <w:highlight w:val="none"/>
                    </w:rPr>
                  </w:pPr>
                  <w:r>
                    <w:rPr>
                      <w:rFonts w:hint="eastAsia" w:ascii="宋体" w:eastAsia="宋体"/>
                      <w:color w:val="auto"/>
                      <w:sz w:val="21"/>
                      <w:highlight w:val="none"/>
                    </w:rPr>
                    <w:t>降水量</w:t>
                  </w:r>
                </w:p>
              </w:tc>
              <w:tc>
                <w:tcPr>
                  <w:tcW w:w="635" w:type="dxa"/>
                </w:tcPr>
                <w:p>
                  <w:pPr>
                    <w:pStyle w:val="107"/>
                    <w:spacing w:before="70"/>
                    <w:ind w:left="60" w:right="51"/>
                    <w:rPr>
                      <w:color w:val="auto"/>
                      <w:sz w:val="21"/>
                      <w:highlight w:val="none"/>
                    </w:rPr>
                  </w:pPr>
                  <w:r>
                    <w:rPr>
                      <w:color w:val="auto"/>
                      <w:sz w:val="21"/>
                      <w:highlight w:val="none"/>
                    </w:rPr>
                    <w:t>42.9</w:t>
                  </w:r>
                </w:p>
              </w:tc>
              <w:tc>
                <w:tcPr>
                  <w:tcW w:w="635" w:type="dxa"/>
                </w:tcPr>
                <w:p>
                  <w:pPr>
                    <w:pStyle w:val="107"/>
                    <w:spacing w:before="70"/>
                    <w:ind w:left="58" w:right="51"/>
                    <w:rPr>
                      <w:color w:val="auto"/>
                      <w:sz w:val="21"/>
                      <w:highlight w:val="none"/>
                    </w:rPr>
                  </w:pPr>
                  <w:r>
                    <w:rPr>
                      <w:color w:val="auto"/>
                      <w:sz w:val="21"/>
                      <w:highlight w:val="none"/>
                    </w:rPr>
                    <w:t>40.6</w:t>
                  </w:r>
                </w:p>
              </w:tc>
              <w:tc>
                <w:tcPr>
                  <w:tcW w:w="635" w:type="dxa"/>
                </w:tcPr>
                <w:p>
                  <w:pPr>
                    <w:pStyle w:val="107"/>
                    <w:spacing w:before="70"/>
                    <w:ind w:left="60" w:right="51"/>
                    <w:rPr>
                      <w:color w:val="auto"/>
                      <w:sz w:val="21"/>
                      <w:highlight w:val="none"/>
                    </w:rPr>
                  </w:pPr>
                  <w:r>
                    <w:rPr>
                      <w:color w:val="auto"/>
                      <w:sz w:val="21"/>
                      <w:highlight w:val="none"/>
                    </w:rPr>
                    <w:t>66.4</w:t>
                  </w:r>
                </w:p>
              </w:tc>
              <w:tc>
                <w:tcPr>
                  <w:tcW w:w="635" w:type="dxa"/>
                </w:tcPr>
                <w:p>
                  <w:pPr>
                    <w:pStyle w:val="107"/>
                    <w:spacing w:before="70"/>
                    <w:ind w:left="59" w:right="51"/>
                    <w:rPr>
                      <w:color w:val="auto"/>
                      <w:sz w:val="21"/>
                      <w:highlight w:val="none"/>
                    </w:rPr>
                  </w:pPr>
                  <w:r>
                    <w:rPr>
                      <w:color w:val="auto"/>
                      <w:sz w:val="21"/>
                      <w:highlight w:val="none"/>
                    </w:rPr>
                    <w:t>83.8</w:t>
                  </w:r>
                </w:p>
              </w:tc>
              <w:tc>
                <w:tcPr>
                  <w:tcW w:w="635" w:type="dxa"/>
                </w:tcPr>
                <w:p>
                  <w:pPr>
                    <w:pStyle w:val="107"/>
                    <w:spacing w:before="70"/>
                    <w:ind w:left="59" w:right="51"/>
                    <w:rPr>
                      <w:color w:val="auto"/>
                      <w:sz w:val="21"/>
                      <w:highlight w:val="none"/>
                    </w:rPr>
                  </w:pPr>
                  <w:r>
                    <w:rPr>
                      <w:color w:val="auto"/>
                      <w:sz w:val="21"/>
                      <w:highlight w:val="none"/>
                    </w:rPr>
                    <w:t>235.2</w:t>
                  </w:r>
                </w:p>
              </w:tc>
              <w:tc>
                <w:tcPr>
                  <w:tcW w:w="635" w:type="dxa"/>
                </w:tcPr>
                <w:p>
                  <w:pPr>
                    <w:pStyle w:val="107"/>
                    <w:spacing w:before="70"/>
                    <w:ind w:left="60" w:right="50"/>
                    <w:rPr>
                      <w:color w:val="auto"/>
                      <w:sz w:val="21"/>
                      <w:highlight w:val="none"/>
                    </w:rPr>
                  </w:pPr>
                  <w:r>
                    <w:rPr>
                      <w:color w:val="auto"/>
                      <w:sz w:val="21"/>
                      <w:highlight w:val="none"/>
                    </w:rPr>
                    <w:t>464.8</w:t>
                  </w:r>
                </w:p>
              </w:tc>
              <w:tc>
                <w:tcPr>
                  <w:tcW w:w="635" w:type="dxa"/>
                </w:tcPr>
                <w:p>
                  <w:pPr>
                    <w:pStyle w:val="107"/>
                    <w:spacing w:before="70"/>
                    <w:ind w:left="60" w:right="51"/>
                    <w:rPr>
                      <w:color w:val="auto"/>
                      <w:sz w:val="21"/>
                      <w:highlight w:val="none"/>
                    </w:rPr>
                  </w:pPr>
                  <w:r>
                    <w:rPr>
                      <w:color w:val="auto"/>
                      <w:sz w:val="21"/>
                      <w:highlight w:val="none"/>
                    </w:rPr>
                    <w:t>496.6</w:t>
                  </w:r>
                </w:p>
              </w:tc>
              <w:tc>
                <w:tcPr>
                  <w:tcW w:w="635" w:type="dxa"/>
                </w:tcPr>
                <w:p>
                  <w:pPr>
                    <w:pStyle w:val="107"/>
                    <w:spacing w:before="70"/>
                    <w:ind w:left="60" w:right="51"/>
                    <w:rPr>
                      <w:color w:val="auto"/>
                      <w:sz w:val="21"/>
                      <w:highlight w:val="none"/>
                    </w:rPr>
                  </w:pPr>
                  <w:r>
                    <w:rPr>
                      <w:color w:val="auto"/>
                      <w:sz w:val="21"/>
                      <w:highlight w:val="none"/>
                    </w:rPr>
                    <w:t>320.2</w:t>
                  </w:r>
                </w:p>
              </w:tc>
              <w:tc>
                <w:tcPr>
                  <w:tcW w:w="635" w:type="dxa"/>
                </w:tcPr>
                <w:p>
                  <w:pPr>
                    <w:pStyle w:val="107"/>
                    <w:spacing w:before="70"/>
                    <w:ind w:left="60" w:right="51"/>
                    <w:rPr>
                      <w:color w:val="auto"/>
                      <w:sz w:val="21"/>
                      <w:highlight w:val="none"/>
                    </w:rPr>
                  </w:pPr>
                  <w:r>
                    <w:rPr>
                      <w:color w:val="auto"/>
                      <w:sz w:val="21"/>
                      <w:highlight w:val="none"/>
                    </w:rPr>
                    <w:t>195.9</w:t>
                  </w:r>
                </w:p>
              </w:tc>
              <w:tc>
                <w:tcPr>
                  <w:tcW w:w="635" w:type="dxa"/>
                </w:tcPr>
                <w:p>
                  <w:pPr>
                    <w:pStyle w:val="107"/>
                    <w:spacing w:before="70"/>
                    <w:ind w:left="59" w:right="51"/>
                    <w:rPr>
                      <w:color w:val="auto"/>
                      <w:sz w:val="21"/>
                      <w:highlight w:val="none"/>
                    </w:rPr>
                  </w:pPr>
                  <w:r>
                    <w:rPr>
                      <w:color w:val="auto"/>
                      <w:sz w:val="21"/>
                      <w:highlight w:val="none"/>
                    </w:rPr>
                    <w:t>85.9</w:t>
                  </w:r>
                </w:p>
              </w:tc>
              <w:tc>
                <w:tcPr>
                  <w:tcW w:w="635" w:type="dxa"/>
                </w:tcPr>
                <w:p>
                  <w:pPr>
                    <w:pStyle w:val="107"/>
                    <w:spacing w:before="70"/>
                    <w:ind w:left="60" w:right="50"/>
                    <w:rPr>
                      <w:color w:val="auto"/>
                      <w:sz w:val="21"/>
                      <w:highlight w:val="none"/>
                    </w:rPr>
                  </w:pPr>
                  <w:r>
                    <w:rPr>
                      <w:color w:val="auto"/>
                      <w:sz w:val="21"/>
                      <w:highlight w:val="none"/>
                    </w:rPr>
                    <w:t>46.0</w:t>
                  </w:r>
                </w:p>
              </w:tc>
              <w:tc>
                <w:tcPr>
                  <w:tcW w:w="635" w:type="dxa"/>
                </w:tcPr>
                <w:p>
                  <w:pPr>
                    <w:pStyle w:val="107"/>
                    <w:spacing w:before="70"/>
                    <w:ind w:left="58" w:right="51"/>
                    <w:rPr>
                      <w:color w:val="auto"/>
                      <w:sz w:val="21"/>
                      <w:highlight w:val="none"/>
                    </w:rPr>
                  </w:pPr>
                  <w:r>
                    <w:rPr>
                      <w:color w:val="auto"/>
                      <w:sz w:val="21"/>
                      <w:highlight w:val="none"/>
                    </w:rPr>
                    <w:t>30.7</w:t>
                  </w:r>
                </w:p>
              </w:tc>
              <w:tc>
                <w:tcPr>
                  <w:tcW w:w="788" w:type="dxa"/>
                </w:tcPr>
                <w:p>
                  <w:pPr>
                    <w:pStyle w:val="107"/>
                    <w:spacing w:before="70"/>
                    <w:ind w:left="84" w:right="76"/>
                    <w:rPr>
                      <w:color w:val="auto"/>
                      <w:sz w:val="21"/>
                      <w:highlight w:val="none"/>
                    </w:rPr>
                  </w:pPr>
                  <w:r>
                    <w:rPr>
                      <w:color w:val="auto"/>
                      <w:sz w:val="21"/>
                      <w:highlight w:val="none"/>
                    </w:rPr>
                    <w:t>2109.1</w:t>
                  </w:r>
                </w:p>
              </w:tc>
            </w:tr>
          </w:tbl>
          <w:p>
            <w:pPr>
              <w:spacing w:line="360" w:lineRule="auto"/>
              <w:ind w:firstLine="480" w:firstLineChars="200"/>
              <w:jc w:val="left"/>
              <w:rPr>
                <w:color w:val="auto"/>
                <w:sz w:val="24"/>
                <w:szCs w:val="24"/>
                <w:highlight w:val="none"/>
              </w:rPr>
            </w:pPr>
            <w:r>
              <w:rPr>
                <w:color w:val="auto"/>
                <w:sz w:val="24"/>
                <w:szCs w:val="24"/>
                <w:highlight w:val="none"/>
              </w:rPr>
              <w:t>（</w:t>
            </w:r>
            <w:r>
              <w:rPr>
                <w:rFonts w:hint="eastAsia"/>
                <w:color w:val="auto"/>
                <w:sz w:val="24"/>
                <w:szCs w:val="24"/>
                <w:highlight w:val="none"/>
              </w:rPr>
              <w:t>3</w:t>
            </w:r>
            <w:r>
              <w:rPr>
                <w:color w:val="auto"/>
                <w:sz w:val="24"/>
                <w:szCs w:val="24"/>
                <w:highlight w:val="none"/>
              </w:rPr>
              <w:t>）风况</w:t>
            </w:r>
          </w:p>
          <w:p>
            <w:pPr>
              <w:spacing w:line="360" w:lineRule="auto"/>
              <w:ind w:firstLine="480" w:firstLineChars="200"/>
              <w:jc w:val="left"/>
              <w:rPr>
                <w:color w:val="auto"/>
                <w:sz w:val="24"/>
                <w:szCs w:val="24"/>
                <w:highlight w:val="none"/>
              </w:rPr>
            </w:pPr>
            <w:r>
              <w:rPr>
                <w:color w:val="auto"/>
                <w:sz w:val="24"/>
                <w:szCs w:val="24"/>
                <w:highlight w:val="none"/>
              </w:rPr>
              <w:t>季风分布特征比较明显，每年</w:t>
            </w:r>
            <w:r>
              <w:rPr>
                <w:rFonts w:ascii="Times New Roman" w:eastAsia="Times New Roman"/>
                <w:color w:val="auto"/>
                <w:sz w:val="24"/>
                <w:szCs w:val="24"/>
                <w:highlight w:val="none"/>
              </w:rPr>
              <w:t>5</w:t>
            </w:r>
            <w:r>
              <w:rPr>
                <w:color w:val="auto"/>
                <w:sz w:val="24"/>
                <w:szCs w:val="24"/>
                <w:highlight w:val="none"/>
              </w:rPr>
              <w:t>～</w:t>
            </w:r>
            <w:r>
              <w:rPr>
                <w:rFonts w:ascii="Times New Roman" w:eastAsia="Times New Roman"/>
                <w:color w:val="auto"/>
                <w:sz w:val="24"/>
                <w:szCs w:val="24"/>
                <w:highlight w:val="none"/>
              </w:rPr>
              <w:t>8</w:t>
            </w:r>
            <w:r>
              <w:rPr>
                <w:color w:val="auto"/>
                <w:sz w:val="24"/>
                <w:szCs w:val="24"/>
                <w:highlight w:val="none"/>
              </w:rPr>
              <w:t>月多偏南风，尤以</w:t>
            </w:r>
            <w:r>
              <w:rPr>
                <w:rFonts w:ascii="Times New Roman" w:eastAsia="Times New Roman"/>
                <w:color w:val="auto"/>
                <w:sz w:val="24"/>
                <w:szCs w:val="24"/>
                <w:highlight w:val="none"/>
              </w:rPr>
              <w:t>6</w:t>
            </w:r>
            <w:r>
              <w:rPr>
                <w:color w:val="auto"/>
                <w:sz w:val="24"/>
                <w:szCs w:val="24"/>
                <w:highlight w:val="none"/>
              </w:rPr>
              <w:t>～</w:t>
            </w:r>
            <w:r>
              <w:rPr>
                <w:rFonts w:ascii="Times New Roman" w:eastAsia="Times New Roman"/>
                <w:color w:val="auto"/>
                <w:sz w:val="24"/>
                <w:szCs w:val="24"/>
                <w:highlight w:val="none"/>
              </w:rPr>
              <w:t>7</w:t>
            </w:r>
            <w:r>
              <w:rPr>
                <w:color w:val="auto"/>
                <w:sz w:val="24"/>
                <w:szCs w:val="24"/>
                <w:highlight w:val="none"/>
              </w:rPr>
              <w:t>月最多，</w:t>
            </w:r>
            <w:r>
              <w:rPr>
                <w:rFonts w:ascii="Times New Roman" w:eastAsia="Times New Roman"/>
                <w:color w:val="auto"/>
                <w:sz w:val="24"/>
                <w:szCs w:val="24"/>
                <w:highlight w:val="none"/>
              </w:rPr>
              <w:t>10</w:t>
            </w:r>
            <w:r>
              <w:rPr>
                <w:color w:val="auto"/>
                <w:sz w:val="24"/>
                <w:szCs w:val="24"/>
                <w:highlight w:val="none"/>
              </w:rPr>
              <w:t>月至翌年</w:t>
            </w:r>
            <w:r>
              <w:rPr>
                <w:rFonts w:ascii="Times New Roman" w:eastAsia="Times New Roman"/>
                <w:color w:val="auto"/>
                <w:sz w:val="24"/>
                <w:szCs w:val="24"/>
                <w:highlight w:val="none"/>
              </w:rPr>
              <w:t>3</w:t>
            </w:r>
            <w:r>
              <w:rPr>
                <w:color w:val="auto"/>
                <w:sz w:val="24"/>
                <w:szCs w:val="24"/>
                <w:highlight w:val="none"/>
              </w:rPr>
              <w:t>月多偏北风，</w:t>
            </w:r>
            <w:r>
              <w:rPr>
                <w:rFonts w:ascii="Times New Roman" w:eastAsia="Times New Roman"/>
                <w:color w:val="auto"/>
                <w:sz w:val="24"/>
                <w:szCs w:val="24"/>
                <w:highlight w:val="none"/>
              </w:rPr>
              <w:t>4</w:t>
            </w:r>
            <w:r>
              <w:rPr>
                <w:color w:val="auto"/>
                <w:sz w:val="24"/>
                <w:szCs w:val="24"/>
                <w:highlight w:val="none"/>
              </w:rPr>
              <w:t>月和</w:t>
            </w:r>
            <w:r>
              <w:rPr>
                <w:rFonts w:ascii="Times New Roman" w:eastAsia="Times New Roman"/>
                <w:color w:val="auto"/>
                <w:sz w:val="24"/>
                <w:szCs w:val="24"/>
                <w:highlight w:val="none"/>
              </w:rPr>
              <w:t>9</w:t>
            </w:r>
            <w:r>
              <w:rPr>
                <w:color w:val="auto"/>
                <w:sz w:val="24"/>
                <w:szCs w:val="24"/>
                <w:highlight w:val="none"/>
              </w:rPr>
              <w:t>月为偏北风气旋和偏南风气旋交替时期。</w:t>
            </w:r>
          </w:p>
          <w:p>
            <w:pPr>
              <w:spacing w:line="360" w:lineRule="auto"/>
              <w:ind w:firstLine="480" w:firstLineChars="200"/>
              <w:jc w:val="left"/>
              <w:rPr>
                <w:color w:val="auto"/>
                <w:spacing w:val="6"/>
                <w:sz w:val="24"/>
                <w:szCs w:val="24"/>
                <w:highlight w:val="none"/>
              </w:rPr>
            </w:pPr>
            <w:r>
              <w:rPr>
                <w:color w:val="auto"/>
                <w:sz w:val="24"/>
                <w:szCs w:val="24"/>
                <w:highlight w:val="none"/>
              </w:rPr>
              <w:t>全年常风向为</w:t>
            </w:r>
            <w:r>
              <w:rPr>
                <w:rFonts w:ascii="Times New Roman" w:eastAsia="Times New Roman"/>
                <w:color w:val="auto"/>
                <w:sz w:val="24"/>
                <w:szCs w:val="24"/>
                <w:highlight w:val="none"/>
              </w:rPr>
              <w:t>N</w:t>
            </w:r>
            <w:r>
              <w:rPr>
                <w:color w:val="auto"/>
                <w:sz w:val="24"/>
                <w:szCs w:val="24"/>
                <w:highlight w:val="none"/>
              </w:rPr>
              <w:t>、频率为</w:t>
            </w:r>
            <w:r>
              <w:rPr>
                <w:rFonts w:ascii="Times New Roman" w:eastAsia="Times New Roman"/>
                <w:color w:val="auto"/>
                <w:sz w:val="24"/>
                <w:szCs w:val="24"/>
                <w:highlight w:val="none"/>
              </w:rPr>
              <w:t>26</w:t>
            </w:r>
            <w:r>
              <w:rPr>
                <w:color w:val="auto"/>
                <w:sz w:val="24"/>
                <w:szCs w:val="24"/>
                <w:highlight w:val="none"/>
              </w:rPr>
              <w:t>％，次常风向为</w:t>
            </w:r>
            <w:r>
              <w:rPr>
                <w:rFonts w:ascii="Times New Roman" w:eastAsia="Times New Roman"/>
                <w:color w:val="auto"/>
                <w:sz w:val="24"/>
                <w:szCs w:val="24"/>
                <w:highlight w:val="none"/>
              </w:rPr>
              <w:t>NNE</w:t>
            </w:r>
            <w:r>
              <w:rPr>
                <w:color w:val="auto"/>
                <w:sz w:val="24"/>
                <w:szCs w:val="24"/>
                <w:highlight w:val="none"/>
              </w:rPr>
              <w:t>、频率为</w:t>
            </w:r>
            <w:r>
              <w:rPr>
                <w:rFonts w:ascii="Times New Roman" w:eastAsia="Times New Roman"/>
                <w:color w:val="auto"/>
                <w:sz w:val="24"/>
                <w:szCs w:val="24"/>
                <w:highlight w:val="none"/>
              </w:rPr>
              <w:t>9.2</w:t>
            </w:r>
            <w:r>
              <w:rPr>
                <w:color w:val="auto"/>
                <w:sz w:val="24"/>
                <w:szCs w:val="24"/>
                <w:highlight w:val="none"/>
              </w:rPr>
              <w:t>％；强风向</w:t>
            </w:r>
            <w:r>
              <w:rPr>
                <w:color w:val="auto"/>
                <w:spacing w:val="-26"/>
                <w:sz w:val="24"/>
                <w:szCs w:val="24"/>
                <w:highlight w:val="none"/>
              </w:rPr>
              <w:t>为</w:t>
            </w:r>
            <w:r>
              <w:rPr>
                <w:rFonts w:ascii="Times New Roman" w:hAnsi="Times New Roman" w:eastAsia="Times New Roman"/>
                <w:color w:val="auto"/>
                <w:spacing w:val="6"/>
                <w:sz w:val="24"/>
                <w:szCs w:val="24"/>
                <w:highlight w:val="none"/>
              </w:rPr>
              <w:t>N</w:t>
            </w:r>
            <w:r>
              <w:rPr>
                <w:color w:val="auto"/>
                <w:spacing w:val="-4"/>
                <w:sz w:val="24"/>
                <w:szCs w:val="24"/>
                <w:highlight w:val="none"/>
              </w:rPr>
              <w:t>，其最大风速为</w:t>
            </w:r>
            <w:r>
              <w:rPr>
                <w:rFonts w:ascii="Times New Roman" w:hAnsi="Times New Roman" w:eastAsia="Times New Roman"/>
                <w:color w:val="auto"/>
                <w:sz w:val="24"/>
                <w:szCs w:val="24"/>
                <w:highlight w:val="none"/>
              </w:rPr>
              <w:t>31m/s</w:t>
            </w:r>
            <w:r>
              <w:rPr>
                <w:color w:val="auto"/>
                <w:spacing w:val="-4"/>
                <w:sz w:val="24"/>
                <w:szCs w:val="24"/>
                <w:highlight w:val="none"/>
              </w:rPr>
              <w:t>；多年平均风速为</w:t>
            </w:r>
            <w:r>
              <w:rPr>
                <w:rFonts w:ascii="Times New Roman" w:hAnsi="Times New Roman" w:eastAsia="Times New Roman"/>
                <w:color w:val="auto"/>
                <w:sz w:val="24"/>
                <w:szCs w:val="24"/>
                <w:highlight w:val="none"/>
              </w:rPr>
              <w:t>3.8m/s</w:t>
            </w:r>
            <w:r>
              <w:rPr>
                <w:color w:val="auto"/>
                <w:spacing w:val="4"/>
                <w:sz w:val="24"/>
                <w:szCs w:val="24"/>
                <w:highlight w:val="none"/>
              </w:rPr>
              <w:t>。风速</w:t>
            </w:r>
            <w:r>
              <w:rPr>
                <w:rFonts w:ascii="Times New Roman" w:hAnsi="Times New Roman" w:eastAsia="Times New Roman"/>
                <w:color w:val="auto"/>
                <w:sz w:val="24"/>
                <w:szCs w:val="24"/>
                <w:highlight w:val="none"/>
              </w:rPr>
              <w:t>≥6</w:t>
            </w:r>
            <w:r>
              <w:rPr>
                <w:color w:val="auto"/>
                <w:spacing w:val="3"/>
                <w:sz w:val="24"/>
                <w:szCs w:val="24"/>
                <w:highlight w:val="none"/>
              </w:rPr>
              <w:t>级的大风日数多</w:t>
            </w:r>
            <w:r>
              <w:rPr>
                <w:color w:val="auto"/>
                <w:spacing w:val="-7"/>
                <w:sz w:val="24"/>
                <w:szCs w:val="24"/>
                <w:highlight w:val="none"/>
              </w:rPr>
              <w:t>年平均为</w:t>
            </w:r>
            <w:r>
              <w:rPr>
                <w:rFonts w:ascii="Times New Roman" w:hAnsi="Times New Roman" w:eastAsia="Times New Roman"/>
                <w:color w:val="auto"/>
                <w:sz w:val="24"/>
                <w:szCs w:val="24"/>
                <w:highlight w:val="none"/>
              </w:rPr>
              <w:t>34</w:t>
            </w:r>
            <w:r>
              <w:rPr>
                <w:color w:val="auto"/>
                <w:spacing w:val="7"/>
                <w:sz w:val="24"/>
                <w:szCs w:val="24"/>
                <w:highlight w:val="none"/>
              </w:rPr>
              <w:t>天，风速</w:t>
            </w:r>
            <w:r>
              <w:rPr>
                <w:rFonts w:ascii="Times New Roman" w:hAnsi="Times New Roman" w:eastAsia="Times New Roman"/>
                <w:color w:val="auto"/>
                <w:sz w:val="24"/>
                <w:szCs w:val="24"/>
                <w:highlight w:val="none"/>
              </w:rPr>
              <w:t>≥8</w:t>
            </w:r>
            <w:r>
              <w:rPr>
                <w:color w:val="auto"/>
                <w:sz w:val="24"/>
                <w:szCs w:val="24"/>
                <w:highlight w:val="none"/>
              </w:rPr>
              <w:t>级的大风日数多年平均为</w:t>
            </w:r>
            <w:r>
              <w:rPr>
                <w:rFonts w:ascii="Times New Roman" w:hAnsi="Times New Roman" w:eastAsia="Times New Roman"/>
                <w:color w:val="auto"/>
                <w:sz w:val="24"/>
                <w:szCs w:val="24"/>
                <w:highlight w:val="none"/>
              </w:rPr>
              <w:t>7</w:t>
            </w:r>
            <w:r>
              <w:rPr>
                <w:color w:val="auto"/>
                <w:spacing w:val="6"/>
                <w:sz w:val="24"/>
                <w:szCs w:val="24"/>
                <w:highlight w:val="none"/>
              </w:rPr>
              <w:t>天。各风向频率和最大风速见下表和下图。</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表2.1-3 多年平均各风向频率和最大风速表</w:t>
            </w:r>
          </w:p>
          <w:p>
            <w:pPr>
              <w:rPr>
                <w:color w:val="auto"/>
                <w:highlight w:val="none"/>
              </w:rPr>
            </w:pPr>
            <w:r>
              <w:rPr>
                <w:rFonts w:hint="eastAsia"/>
                <w:color w:val="auto"/>
                <w:highlight w:val="none"/>
              </w:rPr>
              <w:drawing>
                <wp:inline distT="0" distB="0" distL="0" distR="0">
                  <wp:extent cx="5756275" cy="1745615"/>
                  <wp:effectExtent l="0" t="0" r="0" b="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noChangeArrowheads="1"/>
                          </pic:cNvPicPr>
                        </pic:nvPicPr>
                        <pic:blipFill>
                          <a:blip r:embed="rId14"/>
                          <a:srcRect/>
                          <a:stretch>
                            <a:fillRect/>
                          </a:stretch>
                        </pic:blipFill>
                        <pic:spPr>
                          <a:xfrm>
                            <a:off x="0" y="0"/>
                            <a:ext cx="5756275" cy="1745615"/>
                          </a:xfrm>
                          <a:prstGeom prst="rect">
                            <a:avLst/>
                          </a:prstGeom>
                          <a:noFill/>
                          <a:ln w="9525">
                            <a:noFill/>
                            <a:miter lim="800000"/>
                            <a:headEnd/>
                            <a:tailEnd/>
                          </a:ln>
                        </pic:spPr>
                      </pic:pic>
                    </a:graphicData>
                  </a:graphic>
                </wp:inline>
              </w:drawing>
            </w:r>
          </w:p>
          <w:p>
            <w:pPr>
              <w:pStyle w:val="9"/>
              <w:spacing w:line="277" w:lineRule="exact"/>
              <w:ind w:left="1348" w:right="1390"/>
              <w:jc w:val="center"/>
              <w:rPr>
                <w:color w:val="auto"/>
                <w:highlight w:val="none"/>
              </w:rPr>
            </w:pPr>
          </w:p>
          <w:p>
            <w:pPr>
              <w:pStyle w:val="3"/>
              <w:jc w:val="center"/>
              <w:rPr>
                <w:rFonts w:asciiTheme="minorEastAsia" w:hAnsiTheme="minorEastAsia" w:eastAsiaTheme="minorEastAsia"/>
                <w:b w:val="0"/>
                <w:color w:val="auto"/>
                <w:sz w:val="24"/>
                <w:szCs w:val="24"/>
                <w:highlight w:val="none"/>
              </w:rPr>
            </w:pPr>
            <w:r>
              <w:rPr>
                <w:rFonts w:asciiTheme="minorEastAsia" w:hAnsiTheme="minorEastAsia" w:eastAsiaTheme="minorEastAsia"/>
                <w:b w:val="0"/>
                <w:color w:val="auto"/>
                <w:sz w:val="24"/>
                <w:szCs w:val="24"/>
                <w:highlight w:val="none"/>
              </w:rPr>
              <w:t xml:space="preserve">图 </w:t>
            </w:r>
            <w:r>
              <w:rPr>
                <w:rFonts w:hint="eastAsia" w:asciiTheme="minorEastAsia" w:hAnsiTheme="minorEastAsia" w:eastAsiaTheme="minorEastAsia"/>
                <w:b w:val="0"/>
                <w:color w:val="auto"/>
                <w:sz w:val="24"/>
                <w:szCs w:val="24"/>
                <w:highlight w:val="none"/>
              </w:rPr>
              <w:t>2.1</w:t>
            </w:r>
            <w:r>
              <w:rPr>
                <w:rFonts w:asciiTheme="minorEastAsia" w:hAnsiTheme="minorEastAsia" w:eastAsiaTheme="minorEastAsia"/>
                <w:b w:val="0"/>
                <w:color w:val="auto"/>
                <w:sz w:val="24"/>
                <w:szCs w:val="24"/>
                <w:highlight w:val="none"/>
              </w:rPr>
              <w:t>-1 风速风向玫瑰图</w:t>
            </w:r>
            <w:r>
              <w:rPr>
                <w:rFonts w:asciiTheme="minorEastAsia" w:hAnsiTheme="minorEastAsia" w:eastAsiaTheme="minorEastAsia"/>
                <w:b w:val="0"/>
                <w:color w:val="auto"/>
                <w:sz w:val="24"/>
                <w:szCs w:val="24"/>
                <w:highlight w:val="none"/>
              </w:rPr>
              <w:drawing>
                <wp:anchor distT="0" distB="0" distL="0" distR="0" simplePos="0" relativeHeight="251660288" behindDoc="0" locked="0" layoutInCell="1" allowOverlap="1">
                  <wp:simplePos x="0" y="0"/>
                  <wp:positionH relativeFrom="page">
                    <wp:posOffset>2465705</wp:posOffset>
                  </wp:positionH>
                  <wp:positionV relativeFrom="paragraph">
                    <wp:posOffset>183515</wp:posOffset>
                  </wp:positionV>
                  <wp:extent cx="1593215" cy="3670935"/>
                  <wp:effectExtent l="19050" t="0" r="6985" b="0"/>
                  <wp:wrapTopAndBottom/>
                  <wp:docPr id="6"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9.jpeg"/>
                          <pic:cNvPicPr>
                            <a:picLocks noChangeAspect="1"/>
                          </pic:cNvPicPr>
                        </pic:nvPicPr>
                        <pic:blipFill>
                          <a:blip r:embed="rId15" cstate="print"/>
                          <a:stretch>
                            <a:fillRect/>
                          </a:stretch>
                        </pic:blipFill>
                        <pic:spPr>
                          <a:xfrm>
                            <a:off x="0" y="0"/>
                            <a:ext cx="1593215" cy="3670935"/>
                          </a:xfrm>
                          <a:prstGeom prst="rect">
                            <a:avLst/>
                          </a:prstGeom>
                        </pic:spPr>
                      </pic:pic>
                    </a:graphicData>
                  </a:graphic>
                </wp:anchor>
              </w:drawing>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4</w:t>
            </w:r>
            <w:r>
              <w:rPr>
                <w:rFonts w:asciiTheme="minorEastAsia" w:hAnsiTheme="minorEastAsia" w:eastAsiaTheme="minorEastAsia"/>
                <w:color w:val="auto"/>
                <w:sz w:val="24"/>
                <w:szCs w:val="24"/>
                <w:highlight w:val="none"/>
              </w:rPr>
              <w:t>）雾况</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雾主要出现在冬</w:t>
            </w:r>
            <w:r>
              <w:rPr>
                <w:rFonts w:asciiTheme="minorEastAsia" w:hAnsiTheme="minorEastAsia" w:eastAsiaTheme="minorEastAsia"/>
                <w:color w:val="auto"/>
                <w:spacing w:val="-5"/>
                <w:sz w:val="24"/>
                <w:szCs w:val="24"/>
                <w:highlight w:val="none"/>
              </w:rPr>
              <w:t>春季</w:t>
            </w:r>
            <w:r>
              <w:rPr>
                <w:rFonts w:asciiTheme="minorEastAsia" w:hAnsiTheme="minorEastAsia" w:eastAsiaTheme="minorEastAsia"/>
                <w:color w:val="auto"/>
                <w:sz w:val="24"/>
                <w:szCs w:val="24"/>
                <w:highlight w:val="none"/>
              </w:rPr>
              <w:t>节，累年年均雾日为13.4天，历年最多雾日达30天，最少为6天。</w:t>
            </w:r>
          </w:p>
          <w:p>
            <w:pPr>
              <w:spacing w:line="360" w:lineRule="auto"/>
              <w:ind w:firstLine="480" w:firstLineChars="200"/>
              <w:jc w:val="left"/>
              <w:rPr>
                <w:rFonts w:asciiTheme="minorEastAsia" w:hAnsiTheme="minorEastAsia" w:eastAsiaTheme="minorEastAsia"/>
                <w:color w:val="auto"/>
                <w:sz w:val="24"/>
                <w:szCs w:val="24"/>
                <w:highlight w:val="none"/>
              </w:rPr>
            </w:pPr>
            <w:r>
              <w:rPr>
                <w:rStyle w:val="26"/>
                <w:rFonts w:asciiTheme="minorEastAsia" w:hAnsiTheme="minorEastAsia" w:eastAsiaTheme="minorEastAsia"/>
                <w:color w:val="auto"/>
                <w:sz w:val="24"/>
                <w:szCs w:val="24"/>
                <w:highlight w:val="none"/>
              </w:rPr>
              <w:t>（</w:t>
            </w:r>
            <w:r>
              <w:rPr>
                <w:rStyle w:val="26"/>
                <w:rFonts w:hint="eastAsia" w:asciiTheme="minorEastAsia" w:hAnsiTheme="minorEastAsia" w:eastAsiaTheme="minorEastAsia"/>
                <w:color w:val="auto"/>
                <w:sz w:val="24"/>
                <w:szCs w:val="24"/>
                <w:highlight w:val="none"/>
              </w:rPr>
              <w:t>5</w:t>
            </w:r>
            <w:r>
              <w:rPr>
                <w:rStyle w:val="26"/>
                <w:rFonts w:asciiTheme="minorEastAsia" w:hAnsiTheme="minorEastAsia" w:eastAsiaTheme="minorEastAsia"/>
                <w:color w:val="auto"/>
                <w:sz w:val="24"/>
                <w:szCs w:val="24"/>
                <w:highlight w:val="none"/>
              </w:rPr>
              <w:t>）湿度</w:t>
            </w:r>
          </w:p>
          <w:p>
            <w:pPr>
              <w:spacing w:line="360" w:lineRule="auto"/>
              <w:ind w:firstLine="452"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7"/>
                <w:sz w:val="24"/>
                <w:szCs w:val="24"/>
                <w:highlight w:val="none"/>
              </w:rPr>
              <w:t>多年平均</w:t>
            </w:r>
            <w:r>
              <w:rPr>
                <w:rFonts w:asciiTheme="minorEastAsia" w:hAnsiTheme="minorEastAsia" w:eastAsiaTheme="minorEastAsia"/>
                <w:color w:val="auto"/>
                <w:spacing w:val="-5"/>
                <w:sz w:val="24"/>
                <w:szCs w:val="24"/>
                <w:highlight w:val="none"/>
              </w:rPr>
              <w:t>相对湿度</w:t>
            </w:r>
            <w:r>
              <w:rPr>
                <w:rFonts w:asciiTheme="minorEastAsia" w:hAnsiTheme="minorEastAsia" w:eastAsiaTheme="minorEastAsia"/>
                <w:color w:val="auto"/>
                <w:spacing w:val="-7"/>
                <w:sz w:val="24"/>
                <w:szCs w:val="24"/>
                <w:highlight w:val="none"/>
              </w:rPr>
              <w:t>为</w:t>
            </w:r>
            <w:r>
              <w:rPr>
                <w:rFonts w:asciiTheme="minorEastAsia" w:hAnsiTheme="minorEastAsia" w:eastAsiaTheme="minorEastAsia"/>
                <w:color w:val="auto"/>
                <w:sz w:val="24"/>
                <w:szCs w:val="24"/>
                <w:highlight w:val="none"/>
              </w:rPr>
              <w:t>81%</w:t>
            </w:r>
            <w:r>
              <w:rPr>
                <w:rFonts w:asciiTheme="minorEastAsia" w:hAnsiTheme="minorEastAsia" w:eastAsiaTheme="minorEastAsia"/>
                <w:color w:val="auto"/>
                <w:spacing w:val="-7"/>
                <w:sz w:val="24"/>
                <w:szCs w:val="24"/>
                <w:highlight w:val="none"/>
              </w:rPr>
              <w:t>，最小相对湿度为</w:t>
            </w:r>
            <w:r>
              <w:rPr>
                <w:rFonts w:asciiTheme="minorEastAsia" w:hAnsiTheme="minorEastAsia" w:eastAsiaTheme="minorEastAsia"/>
                <w:color w:val="auto"/>
                <w:sz w:val="24"/>
                <w:szCs w:val="24"/>
                <w:highlight w:val="none"/>
              </w:rPr>
              <w:t>7%，2</w:t>
            </w:r>
            <w:r>
              <w:rPr>
                <w:rFonts w:asciiTheme="minorEastAsia" w:hAnsiTheme="minorEastAsia" w:eastAsiaTheme="minorEastAsia"/>
                <w:color w:val="auto"/>
                <w:spacing w:val="-20"/>
                <w:sz w:val="24"/>
                <w:szCs w:val="24"/>
                <w:highlight w:val="none"/>
              </w:rPr>
              <w:t>月至</w:t>
            </w:r>
            <w:r>
              <w:rPr>
                <w:rFonts w:asciiTheme="minorEastAsia" w:hAnsiTheme="minorEastAsia" w:eastAsiaTheme="minorEastAsia"/>
                <w:color w:val="auto"/>
                <w:sz w:val="24"/>
                <w:szCs w:val="24"/>
                <w:highlight w:val="none"/>
              </w:rPr>
              <w:t>9</w:t>
            </w:r>
            <w:r>
              <w:rPr>
                <w:rFonts w:asciiTheme="minorEastAsia" w:hAnsiTheme="minorEastAsia" w:eastAsiaTheme="minorEastAsia"/>
                <w:color w:val="auto"/>
                <w:spacing w:val="-3"/>
                <w:sz w:val="24"/>
                <w:szCs w:val="24"/>
                <w:highlight w:val="none"/>
              </w:rPr>
              <w:t>月相对湿度较高，</w:t>
            </w:r>
            <w:r>
              <w:rPr>
                <w:rFonts w:asciiTheme="minorEastAsia" w:hAnsiTheme="minorEastAsia" w:eastAsiaTheme="minorEastAsia"/>
                <w:color w:val="auto"/>
                <w:spacing w:val="-21"/>
                <w:sz w:val="24"/>
                <w:szCs w:val="24"/>
                <w:highlight w:val="none"/>
              </w:rPr>
              <w:t>均在</w:t>
            </w:r>
            <w:r>
              <w:rPr>
                <w:rFonts w:asciiTheme="minorEastAsia" w:hAnsiTheme="minorEastAsia" w:eastAsiaTheme="minorEastAsia"/>
                <w:color w:val="auto"/>
                <w:sz w:val="24"/>
                <w:szCs w:val="24"/>
                <w:highlight w:val="none"/>
              </w:rPr>
              <w:t>81%以上，10</w:t>
            </w:r>
            <w:r>
              <w:rPr>
                <w:rFonts w:asciiTheme="minorEastAsia" w:hAnsiTheme="minorEastAsia" w:eastAsiaTheme="minorEastAsia"/>
                <w:color w:val="auto"/>
                <w:spacing w:val="-12"/>
                <w:sz w:val="24"/>
                <w:szCs w:val="24"/>
                <w:highlight w:val="none"/>
              </w:rPr>
              <w:t>月至次年</w:t>
            </w:r>
            <w:r>
              <w:rPr>
                <w:rFonts w:asciiTheme="minorEastAsia" w:hAnsiTheme="minorEastAsia" w:eastAsiaTheme="minorEastAsia"/>
                <w:color w:val="auto"/>
                <w:sz w:val="24"/>
                <w:szCs w:val="24"/>
                <w:highlight w:val="none"/>
              </w:rPr>
              <w:t>1</w:t>
            </w:r>
            <w:r>
              <w:rPr>
                <w:rFonts w:asciiTheme="minorEastAsia" w:hAnsiTheme="minorEastAsia" w:eastAsiaTheme="minorEastAsia"/>
                <w:color w:val="auto"/>
                <w:spacing w:val="-6"/>
                <w:sz w:val="24"/>
                <w:szCs w:val="24"/>
                <w:highlight w:val="none"/>
              </w:rPr>
              <w:t>月相对湿度较低，在</w:t>
            </w:r>
            <w:r>
              <w:rPr>
                <w:rFonts w:asciiTheme="minorEastAsia" w:hAnsiTheme="minorEastAsia" w:eastAsiaTheme="minorEastAsia"/>
                <w:color w:val="auto"/>
                <w:sz w:val="24"/>
                <w:szCs w:val="24"/>
                <w:highlight w:val="none"/>
              </w:rPr>
              <w:t>74%-76%之间。</w:t>
            </w:r>
          </w:p>
          <w:p>
            <w:pPr>
              <w:spacing w:line="360" w:lineRule="auto"/>
              <w:ind w:firstLine="480" w:firstLineChars="200"/>
              <w:jc w:val="left"/>
              <w:rPr>
                <w:rFonts w:asciiTheme="minorEastAsia" w:hAnsiTheme="minorEastAsia" w:eastAsiaTheme="minorEastAsia"/>
                <w:color w:val="auto"/>
                <w:sz w:val="24"/>
                <w:szCs w:val="24"/>
                <w:highlight w:val="none"/>
              </w:rPr>
            </w:pPr>
            <w:r>
              <w:rPr>
                <w:rStyle w:val="26"/>
                <w:rFonts w:asciiTheme="minorEastAsia" w:hAnsiTheme="minorEastAsia" w:eastAsiaTheme="minorEastAsia"/>
                <w:color w:val="auto"/>
                <w:sz w:val="24"/>
                <w:szCs w:val="24"/>
                <w:highlight w:val="none"/>
              </w:rPr>
              <w:t>（</w:t>
            </w:r>
            <w:r>
              <w:rPr>
                <w:rStyle w:val="26"/>
                <w:rFonts w:hint="eastAsia" w:asciiTheme="minorEastAsia" w:hAnsiTheme="minorEastAsia" w:eastAsiaTheme="minorEastAsia"/>
                <w:color w:val="auto"/>
                <w:sz w:val="24"/>
                <w:szCs w:val="24"/>
                <w:highlight w:val="none"/>
              </w:rPr>
              <w:t>6</w:t>
            </w:r>
            <w:r>
              <w:rPr>
                <w:rStyle w:val="26"/>
                <w:rFonts w:asciiTheme="minorEastAsia" w:hAnsiTheme="minorEastAsia" w:eastAsiaTheme="minorEastAsia"/>
                <w:color w:val="auto"/>
                <w:sz w:val="24"/>
                <w:szCs w:val="24"/>
                <w:highlight w:val="none"/>
              </w:rPr>
              <w:t>）雷暴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钦州市是雷暴多发地区，多年平均雷暴日103天，最多出现131天，最少出现76天，雷暴一般于夏季最多，最早出现在1月初，最晚出现在11月下旬。</w:t>
            </w:r>
          </w:p>
          <w:p>
            <w:pPr>
              <w:spacing w:line="360" w:lineRule="auto"/>
              <w:rPr>
                <w:rFonts w:ascii="Times New Roman" w:hAnsi="Times New Roman"/>
                <w:b/>
                <w:color w:val="auto"/>
                <w:sz w:val="24"/>
                <w:highlight w:val="none"/>
              </w:rPr>
            </w:pPr>
            <w:r>
              <w:rPr>
                <w:rFonts w:ascii="Times New Roman" w:hAnsi="Times New Roman"/>
                <w:b/>
                <w:color w:val="auto"/>
                <w:sz w:val="24"/>
                <w:highlight w:val="none"/>
              </w:rPr>
              <w:t xml:space="preserve">2.1.2  </w:t>
            </w:r>
            <w:r>
              <w:rPr>
                <w:rFonts w:ascii="Times New Roman"/>
                <w:b/>
                <w:color w:val="auto"/>
                <w:sz w:val="24"/>
                <w:highlight w:val="none"/>
              </w:rPr>
              <w:t>海洋水文</w:t>
            </w:r>
          </w:p>
          <w:p>
            <w:pPr>
              <w:pStyle w:val="55"/>
              <w:spacing w:line="480" w:lineRule="exact"/>
              <w:ind w:firstLine="448" w:firstLineChars="187"/>
              <w:rPr>
                <w:rFonts w:asciiTheme="minorEastAsia" w:hAnsiTheme="minorEastAsia" w:eastAsiaTheme="minorEastAsia"/>
                <w:color w:val="auto"/>
                <w:highlight w:val="none"/>
              </w:rPr>
            </w:pPr>
            <w:r>
              <w:rPr>
                <w:rFonts w:asciiTheme="minorEastAsia" w:hAnsiTheme="minorEastAsia" w:eastAsiaTheme="minorEastAsia"/>
                <w:color w:val="auto"/>
                <w:highlight w:val="none"/>
              </w:rPr>
              <w:t>（</w:t>
            </w:r>
            <w:r>
              <w:rPr>
                <w:rFonts w:hint="eastAsia" w:asciiTheme="minorEastAsia" w:hAnsiTheme="minorEastAsia" w:eastAsiaTheme="minorEastAsia"/>
                <w:color w:val="auto"/>
                <w:highlight w:val="none"/>
              </w:rPr>
              <w:t>1</w:t>
            </w:r>
            <w:r>
              <w:rPr>
                <w:rFonts w:asciiTheme="minorEastAsia" w:hAnsiTheme="minorEastAsia" w:eastAsiaTheme="minorEastAsia"/>
                <w:color w:val="auto"/>
                <w:highlight w:val="none"/>
              </w:rPr>
              <w:t>）潮位</w:t>
            </w:r>
          </w:p>
          <w:p>
            <w:pPr>
              <w:spacing w:line="360" w:lineRule="auto"/>
              <w:ind w:firstLine="460" w:firstLineChars="200"/>
              <w:jc w:val="left"/>
              <w:rPr>
                <w:rFonts w:asciiTheme="minorEastAsia" w:hAnsiTheme="minorEastAsia" w:eastAsiaTheme="minorEastAsia"/>
                <w:color w:val="auto"/>
                <w:spacing w:val="-5"/>
                <w:sz w:val="24"/>
                <w:szCs w:val="24"/>
                <w:highlight w:val="none"/>
              </w:rPr>
            </w:pPr>
            <w:r>
              <w:rPr>
                <w:rFonts w:asciiTheme="minorEastAsia" w:hAnsiTheme="minorEastAsia" w:eastAsiaTheme="minorEastAsia"/>
                <w:color w:val="auto"/>
                <w:spacing w:val="-5"/>
                <w:sz w:val="24"/>
                <w:szCs w:val="24"/>
                <w:highlight w:val="none"/>
              </w:rPr>
              <w:t>潮位特征值采用国家海洋局钦州海洋监测站2010-2019年实测潮位统计如下（起算潮位为钦州站水尺零点）：</w:t>
            </w:r>
          </w:p>
          <w:p>
            <w:pPr>
              <w:spacing w:line="360" w:lineRule="auto"/>
              <w:ind w:firstLine="460" w:firstLineChars="200"/>
              <w:jc w:val="left"/>
              <w:rPr>
                <w:rFonts w:asciiTheme="minorEastAsia" w:hAnsiTheme="minorEastAsia" w:eastAsiaTheme="minorEastAsia"/>
                <w:color w:val="auto"/>
                <w:spacing w:val="-5"/>
                <w:sz w:val="24"/>
                <w:szCs w:val="24"/>
                <w:highlight w:val="none"/>
              </w:rPr>
            </w:pPr>
            <w:r>
              <w:rPr>
                <w:rFonts w:asciiTheme="minorEastAsia" w:hAnsiTheme="minorEastAsia" w:eastAsiaTheme="minorEastAsia"/>
                <w:color w:val="auto"/>
                <w:spacing w:val="-5"/>
                <w:sz w:val="24"/>
                <w:szCs w:val="24"/>
                <w:highlight w:val="none"/>
              </w:rPr>
              <w:t>历年最高潮位6.39m（2013年）</w:t>
            </w:r>
          </w:p>
          <w:p>
            <w:pPr>
              <w:spacing w:line="360" w:lineRule="auto"/>
              <w:ind w:firstLine="460" w:firstLineChars="200"/>
              <w:jc w:val="left"/>
              <w:rPr>
                <w:rFonts w:asciiTheme="minorEastAsia" w:hAnsiTheme="minorEastAsia" w:eastAsiaTheme="minorEastAsia"/>
                <w:color w:val="auto"/>
                <w:spacing w:val="-5"/>
                <w:sz w:val="24"/>
                <w:szCs w:val="24"/>
                <w:highlight w:val="none"/>
              </w:rPr>
            </w:pPr>
            <w:r>
              <w:rPr>
                <w:rFonts w:asciiTheme="minorEastAsia" w:hAnsiTheme="minorEastAsia" w:eastAsiaTheme="minorEastAsia"/>
                <w:color w:val="auto"/>
                <w:spacing w:val="-5"/>
                <w:sz w:val="24"/>
                <w:szCs w:val="24"/>
                <w:highlight w:val="none"/>
              </w:rPr>
              <w:t>历年最低潮位0.50m（2010年）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平均</w:t>
            </w:r>
            <w:r>
              <w:rPr>
                <w:rFonts w:asciiTheme="minorEastAsia" w:hAnsiTheme="minorEastAsia" w:eastAsiaTheme="minorEastAsia"/>
                <w:color w:val="auto"/>
                <w:spacing w:val="-5"/>
                <w:sz w:val="24"/>
                <w:szCs w:val="24"/>
                <w:highlight w:val="none"/>
              </w:rPr>
              <w:t>潮位</w:t>
            </w:r>
            <w:r>
              <w:rPr>
                <w:rFonts w:asciiTheme="minorEastAsia" w:hAnsiTheme="minorEastAsia" w:eastAsiaTheme="minorEastAsia"/>
                <w:color w:val="auto"/>
                <w:sz w:val="24"/>
                <w:szCs w:val="24"/>
                <w:highlight w:val="none"/>
              </w:rPr>
              <w:t>值3.27m</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平均高</w:t>
            </w:r>
            <w:r>
              <w:rPr>
                <w:rFonts w:asciiTheme="minorEastAsia" w:hAnsiTheme="minorEastAsia" w:eastAsiaTheme="minorEastAsia"/>
                <w:color w:val="auto"/>
                <w:spacing w:val="-5"/>
                <w:sz w:val="24"/>
                <w:szCs w:val="24"/>
                <w:highlight w:val="none"/>
              </w:rPr>
              <w:t>潮位</w:t>
            </w:r>
            <w:r>
              <w:rPr>
                <w:rFonts w:asciiTheme="minorEastAsia" w:hAnsiTheme="minorEastAsia" w:eastAsiaTheme="minorEastAsia"/>
                <w:color w:val="auto"/>
                <w:sz w:val="24"/>
                <w:szCs w:val="24"/>
                <w:highlight w:val="none"/>
              </w:rPr>
              <w:t>4.54m</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平均低潮位2.11m</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最大潮</w:t>
            </w:r>
            <w:r>
              <w:rPr>
                <w:rFonts w:asciiTheme="minorEastAsia" w:hAnsiTheme="minorEastAsia" w:eastAsiaTheme="minorEastAsia"/>
                <w:color w:val="auto"/>
                <w:spacing w:val="-5"/>
                <w:sz w:val="24"/>
                <w:szCs w:val="24"/>
                <w:highlight w:val="none"/>
              </w:rPr>
              <w:t>差值</w:t>
            </w:r>
            <w:r>
              <w:rPr>
                <w:rFonts w:asciiTheme="minorEastAsia" w:hAnsiTheme="minorEastAsia" w:eastAsiaTheme="minorEastAsia"/>
                <w:color w:val="auto"/>
                <w:sz w:val="24"/>
                <w:szCs w:val="24"/>
                <w:highlight w:val="none"/>
              </w:rPr>
              <w:t>5.42m</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平均</w:t>
            </w:r>
            <w:r>
              <w:rPr>
                <w:rFonts w:hint="eastAsia" w:asciiTheme="minorEastAsia" w:hAnsiTheme="minorEastAsia" w:eastAsiaTheme="minorEastAsia"/>
                <w:color w:val="auto"/>
                <w:spacing w:val="-5"/>
                <w:sz w:val="24"/>
                <w:szCs w:val="24"/>
                <w:highlight w:val="none"/>
              </w:rPr>
              <w:t>潮差</w:t>
            </w:r>
            <w:r>
              <w:rPr>
                <w:rFonts w:hint="eastAsia" w:asciiTheme="minorEastAsia" w:hAnsiTheme="minorEastAsia" w:eastAsiaTheme="minorEastAsia"/>
                <w:color w:val="auto"/>
                <w:sz w:val="24"/>
                <w:szCs w:val="24"/>
                <w:highlight w:val="none"/>
              </w:rPr>
              <w:t>值</w:t>
            </w:r>
            <w:r>
              <w:rPr>
                <w:rFonts w:hint="eastAsia" w:asciiTheme="minorEastAsia" w:hAnsiTheme="minorEastAsia" w:eastAsiaTheme="minorEastAsia"/>
                <w:color w:val="auto"/>
                <w:sz w:val="24"/>
                <w:szCs w:val="24"/>
                <w:highlight w:val="none"/>
              </w:rPr>
              <w:tab/>
            </w:r>
            <w:r>
              <w:rPr>
                <w:rFonts w:hint="eastAsia" w:asciiTheme="minorEastAsia" w:hAnsiTheme="minorEastAsia" w:eastAsiaTheme="minorEastAsia"/>
                <w:color w:val="auto"/>
                <w:sz w:val="24"/>
                <w:szCs w:val="24"/>
                <w:highlight w:val="none"/>
              </w:rPr>
              <w:t>2.43m</w:t>
            </w:r>
          </w:p>
          <w:p>
            <w:pPr>
              <w:pStyle w:val="55"/>
              <w:spacing w:line="480" w:lineRule="exact"/>
              <w:ind w:firstLine="448" w:firstLineChars="187"/>
              <w:rPr>
                <w:rFonts w:asciiTheme="minorEastAsia" w:hAnsiTheme="minorEastAsia" w:eastAsiaTheme="minorEastAsia"/>
                <w:color w:val="auto"/>
                <w:highlight w:val="none"/>
              </w:rPr>
            </w:pPr>
            <w:r>
              <w:rPr>
                <w:rFonts w:asciiTheme="minorEastAsia" w:hAnsiTheme="minorEastAsia" w:eastAsiaTheme="minorEastAsia"/>
                <w:color w:val="auto"/>
                <w:highlight w:val="none"/>
              </w:rPr>
              <w:t xml:space="preserve">图 </w:t>
            </w:r>
            <w:r>
              <w:rPr>
                <w:rFonts w:hint="eastAsia" w:asciiTheme="minorEastAsia" w:hAnsiTheme="minorEastAsia" w:eastAsiaTheme="minorEastAsia"/>
                <w:color w:val="auto"/>
                <w:highlight w:val="none"/>
              </w:rPr>
              <w:t>2</w:t>
            </w:r>
            <w:r>
              <w:rPr>
                <w:rFonts w:asciiTheme="minorEastAsia" w:hAnsiTheme="minorEastAsia" w:eastAsiaTheme="minorEastAsia"/>
                <w:color w:val="auto"/>
                <w:highlight w:val="none"/>
              </w:rPr>
              <w:t>.1.2-1 钦州港潮位特征值与其它基面的高程关系</w:t>
            </w:r>
            <w:r>
              <w:rPr>
                <w:rFonts w:hint="eastAsia" w:asciiTheme="minorEastAsia" w:hAnsiTheme="minorEastAsia" w:eastAsiaTheme="minorEastAsia"/>
                <w:color w:val="auto"/>
                <w:highlight w:val="none"/>
              </w:rPr>
              <w:drawing>
                <wp:anchor distT="0" distB="0" distL="0" distR="0" simplePos="0" relativeHeight="251661312" behindDoc="0" locked="0" layoutInCell="1" allowOverlap="1">
                  <wp:simplePos x="0" y="0"/>
                  <wp:positionH relativeFrom="page">
                    <wp:posOffset>187960</wp:posOffset>
                  </wp:positionH>
                  <wp:positionV relativeFrom="paragraph">
                    <wp:posOffset>33020</wp:posOffset>
                  </wp:positionV>
                  <wp:extent cx="5280025" cy="1981200"/>
                  <wp:effectExtent l="19050" t="0" r="0" b="0"/>
                  <wp:wrapTopAndBottom/>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png"/>
                          <pic:cNvPicPr>
                            <a:picLocks noChangeAspect="1"/>
                          </pic:cNvPicPr>
                        </pic:nvPicPr>
                        <pic:blipFill>
                          <a:blip r:embed="rId16" cstate="print"/>
                          <a:stretch>
                            <a:fillRect/>
                          </a:stretch>
                        </pic:blipFill>
                        <pic:spPr>
                          <a:xfrm>
                            <a:off x="0" y="0"/>
                            <a:ext cx="5280025" cy="1981200"/>
                          </a:xfrm>
                          <a:prstGeom prst="rect">
                            <a:avLst/>
                          </a:prstGeom>
                        </pic:spPr>
                      </pic:pic>
                    </a:graphicData>
                  </a:graphic>
                </wp:anchor>
              </w:drawing>
            </w:r>
          </w:p>
          <w:p>
            <w:pPr>
              <w:pStyle w:val="55"/>
              <w:spacing w:line="480" w:lineRule="exact"/>
              <w:ind w:firstLine="448" w:firstLineChars="187"/>
              <w:rPr>
                <w:rFonts w:asciiTheme="minorEastAsia" w:hAnsiTheme="minorEastAsia" w:eastAsiaTheme="minorEastAsia"/>
                <w:color w:val="auto"/>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2</w:t>
            </w:r>
            <w:r>
              <w:rPr>
                <w:rFonts w:asciiTheme="minorEastAsia" w:hAnsiTheme="minorEastAsia" w:eastAsiaTheme="minorEastAsia"/>
                <w:color w:val="auto"/>
                <w:sz w:val="24"/>
                <w:szCs w:val="24"/>
                <w:highlight w:val="none"/>
              </w:rPr>
              <w:t>）潮汐特征值（果子山理论深度基准面起算，下同）</w:t>
            </w:r>
          </w:p>
          <w:p>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湾水域潮汐属不规则全日潮，潮流运动形式为往复流，流向基本与岸线和深槽走向一致，基本沿湾岸流动。涨潮流方向主要为270°～360°之间；落潮流方向在90°~180°之间。大潮汛时为一天一次涨落，一个月内约为19～25d；小潮汛时为一天两次涨落。</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据龙门验潮站1966～2010年资料，统计潮位特征值如下：</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历年最高高潮位：5.83m（1986年7月22日）</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历年最低低潮位：-2.55m（1968年12月22日）</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多年平均高潮位：3.66m（1966～1987年）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多年平均低潮位：1.15m（1966～1987年）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历年涨潮最大潮差：5.95m（1968年）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多年涨潮平均潮差：2.46m</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历年落潮最大潮差：5.69m（1987年）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多年落潮平均潮差：2.46m</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多年平均潮差：2.46m</w:t>
            </w:r>
          </w:p>
          <w:p>
            <w:pPr>
              <w:pStyle w:val="55"/>
              <w:spacing w:line="480" w:lineRule="exact"/>
              <w:ind w:firstLine="448" w:firstLineChars="187"/>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w:t>
            </w:r>
            <w:r>
              <w:rPr>
                <w:rFonts w:asciiTheme="minorEastAsia" w:hAnsiTheme="minorEastAsia" w:eastAsiaTheme="minorEastAsia"/>
                <w:color w:val="auto"/>
                <w:highlight w:val="none"/>
              </w:rPr>
              <w:t>波浪</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1）</w:t>
            </w:r>
            <w:r>
              <w:rPr>
                <w:rFonts w:asciiTheme="minorEastAsia" w:hAnsiTheme="minorEastAsia" w:eastAsiaTheme="minorEastAsia"/>
                <w:color w:val="auto"/>
                <w:sz w:val="24"/>
                <w:szCs w:val="24"/>
                <w:highlight w:val="none"/>
              </w:rPr>
              <w:t>波况观测</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北部湾海域北面为大陆，东南受雷州半岛和海南岛掩护，西面为中南半岛，海域掩护条件较好，波能动力相对较弱。钦州湾处于北部湾中部，湾口东部设有三娘湾海洋站，2010～2011年在三墩港区外开展曾开展了1整年短期波浪观测，具体波况分析如下：</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①三娘湾海洋站实测</w:t>
            </w:r>
            <w:r>
              <w:rPr>
                <w:rFonts w:asciiTheme="minorEastAsia" w:hAnsiTheme="minorEastAsia" w:eastAsiaTheme="minorEastAsia"/>
                <w:color w:val="auto"/>
                <w:spacing w:val="-5"/>
                <w:sz w:val="24"/>
                <w:szCs w:val="24"/>
                <w:highlight w:val="none"/>
              </w:rPr>
              <w:t>波浪</w:t>
            </w:r>
            <w:r>
              <w:rPr>
                <w:rFonts w:asciiTheme="minorEastAsia" w:hAnsiTheme="minorEastAsia" w:eastAsiaTheme="minorEastAsia"/>
                <w:color w:val="auto"/>
                <w:sz w:val="24"/>
                <w:szCs w:val="24"/>
                <w:highlight w:val="none"/>
              </w:rPr>
              <w:t>资料</w:t>
            </w:r>
          </w:p>
          <w:p>
            <w:pPr>
              <w:spacing w:line="360" w:lineRule="auto"/>
              <w:ind w:firstLine="456"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6"/>
                <w:sz w:val="24"/>
                <w:szCs w:val="24"/>
                <w:highlight w:val="none"/>
              </w:rPr>
              <w:t>据三娘湾海洋站</w:t>
            </w:r>
            <w:r>
              <w:rPr>
                <w:rFonts w:asciiTheme="minorEastAsia" w:hAnsiTheme="minorEastAsia" w:eastAsiaTheme="minorEastAsia"/>
                <w:color w:val="auto"/>
                <w:sz w:val="24"/>
                <w:szCs w:val="24"/>
                <w:highlight w:val="none"/>
              </w:rPr>
              <w:t>1991～2002年测波资料统计，本海区波浪以风浪为主，常</w:t>
            </w:r>
            <w:r>
              <w:rPr>
                <w:rFonts w:asciiTheme="minorEastAsia" w:hAnsiTheme="minorEastAsia" w:eastAsiaTheme="minorEastAsia"/>
                <w:color w:val="auto"/>
                <w:spacing w:val="-14"/>
                <w:sz w:val="24"/>
                <w:szCs w:val="24"/>
                <w:highlight w:val="none"/>
              </w:rPr>
              <w:t>浪向</w:t>
            </w:r>
            <w:r>
              <w:rPr>
                <w:rFonts w:asciiTheme="minorEastAsia" w:hAnsiTheme="minorEastAsia" w:eastAsiaTheme="minorEastAsia"/>
                <w:color w:val="auto"/>
                <w:sz w:val="24"/>
                <w:szCs w:val="24"/>
                <w:highlight w:val="none"/>
              </w:rPr>
              <w:t>SSW</w:t>
            </w:r>
            <w:r>
              <w:rPr>
                <w:rFonts w:asciiTheme="minorEastAsia" w:hAnsiTheme="minorEastAsia" w:eastAsiaTheme="minorEastAsia"/>
                <w:color w:val="auto"/>
                <w:spacing w:val="-3"/>
                <w:sz w:val="24"/>
                <w:szCs w:val="24"/>
                <w:highlight w:val="none"/>
              </w:rPr>
              <w:t>向、频率占</w:t>
            </w:r>
            <w:r>
              <w:rPr>
                <w:rFonts w:asciiTheme="minorEastAsia" w:hAnsiTheme="minorEastAsia" w:eastAsiaTheme="minorEastAsia"/>
                <w:color w:val="auto"/>
                <w:spacing w:val="3"/>
                <w:sz w:val="24"/>
                <w:szCs w:val="24"/>
                <w:highlight w:val="none"/>
              </w:rPr>
              <w:t>17.67</w:t>
            </w:r>
            <w:r>
              <w:rPr>
                <w:rFonts w:asciiTheme="minorEastAsia" w:hAnsiTheme="minorEastAsia" w:eastAsiaTheme="minorEastAsia"/>
                <w:color w:val="auto"/>
                <w:spacing w:val="-7"/>
                <w:sz w:val="24"/>
                <w:szCs w:val="24"/>
                <w:highlight w:val="none"/>
              </w:rPr>
              <w:t>％，其次</w:t>
            </w:r>
            <w:r>
              <w:rPr>
                <w:rFonts w:asciiTheme="minorEastAsia" w:hAnsiTheme="minorEastAsia" w:eastAsiaTheme="minorEastAsia"/>
                <w:color w:val="auto"/>
                <w:sz w:val="24"/>
                <w:szCs w:val="24"/>
                <w:highlight w:val="none"/>
              </w:rPr>
              <w:t>NNE</w:t>
            </w:r>
            <w:r>
              <w:rPr>
                <w:rFonts w:asciiTheme="minorEastAsia" w:hAnsiTheme="minorEastAsia" w:eastAsiaTheme="minorEastAsia"/>
                <w:color w:val="auto"/>
                <w:spacing w:val="-2"/>
                <w:sz w:val="24"/>
                <w:szCs w:val="24"/>
                <w:highlight w:val="none"/>
              </w:rPr>
              <w:t>向、频率为</w:t>
            </w:r>
            <w:r>
              <w:rPr>
                <w:rFonts w:asciiTheme="minorEastAsia" w:hAnsiTheme="minorEastAsia" w:eastAsiaTheme="minorEastAsia"/>
                <w:color w:val="auto"/>
                <w:spacing w:val="4"/>
                <w:sz w:val="24"/>
                <w:szCs w:val="24"/>
                <w:highlight w:val="none"/>
              </w:rPr>
              <w:t>17.2</w:t>
            </w:r>
            <w:r>
              <w:rPr>
                <w:rFonts w:asciiTheme="minorEastAsia" w:hAnsiTheme="minorEastAsia" w:eastAsiaTheme="minorEastAsia"/>
                <w:color w:val="auto"/>
                <w:spacing w:val="-4"/>
                <w:sz w:val="24"/>
                <w:szCs w:val="24"/>
                <w:highlight w:val="none"/>
              </w:rPr>
              <w:t>％；强浪向为</w:t>
            </w:r>
            <w:r>
              <w:rPr>
                <w:rFonts w:asciiTheme="minorEastAsia" w:hAnsiTheme="minorEastAsia" w:eastAsiaTheme="minorEastAsia"/>
                <w:color w:val="auto"/>
                <w:sz w:val="24"/>
                <w:szCs w:val="24"/>
                <w:highlight w:val="none"/>
              </w:rPr>
              <w:t>ESE</w:t>
            </w:r>
            <w:r>
              <w:rPr>
                <w:rFonts w:asciiTheme="minorEastAsia" w:hAnsiTheme="minorEastAsia" w:eastAsiaTheme="minorEastAsia"/>
                <w:color w:val="auto"/>
                <w:spacing w:val="-8"/>
                <w:sz w:val="24"/>
                <w:szCs w:val="24"/>
                <w:highlight w:val="none"/>
              </w:rPr>
              <w:t>向，次强浪向为</w:t>
            </w:r>
            <w:r>
              <w:rPr>
                <w:rFonts w:asciiTheme="minorEastAsia" w:hAnsiTheme="minorEastAsia" w:eastAsiaTheme="minorEastAsia"/>
                <w:color w:val="auto"/>
                <w:sz w:val="24"/>
                <w:szCs w:val="24"/>
                <w:highlight w:val="none"/>
              </w:rPr>
              <w:t>SSW</w:t>
            </w:r>
            <w:r>
              <w:rPr>
                <w:rFonts w:asciiTheme="minorEastAsia" w:hAnsiTheme="minorEastAsia" w:eastAsiaTheme="minorEastAsia"/>
                <w:color w:val="auto"/>
                <w:spacing w:val="-20"/>
                <w:sz w:val="24"/>
                <w:szCs w:val="24"/>
                <w:highlight w:val="none"/>
              </w:rPr>
              <w:t>向和</w:t>
            </w:r>
            <w:r>
              <w:rPr>
                <w:rFonts w:asciiTheme="minorEastAsia" w:hAnsiTheme="minorEastAsia" w:eastAsiaTheme="minorEastAsia"/>
                <w:color w:val="auto"/>
                <w:sz w:val="24"/>
                <w:szCs w:val="24"/>
                <w:highlight w:val="none"/>
              </w:rPr>
              <w:t>NE</w:t>
            </w:r>
            <w:r>
              <w:rPr>
                <w:rFonts w:asciiTheme="minorEastAsia" w:hAnsiTheme="minorEastAsia" w:eastAsiaTheme="minorEastAsia"/>
                <w:color w:val="auto"/>
                <w:spacing w:val="-5"/>
                <w:sz w:val="24"/>
                <w:szCs w:val="24"/>
                <w:highlight w:val="none"/>
              </w:rPr>
              <w:t>向；本海区实测最大波高为</w:t>
            </w:r>
            <w:r>
              <w:rPr>
                <w:rFonts w:asciiTheme="minorEastAsia" w:hAnsiTheme="minorEastAsia" w:eastAsiaTheme="minorEastAsia"/>
                <w:color w:val="auto"/>
                <w:sz w:val="24"/>
                <w:szCs w:val="24"/>
                <w:highlight w:val="none"/>
              </w:rPr>
              <w:t>3.4m</w:t>
            </w:r>
            <w:r>
              <w:rPr>
                <w:rFonts w:asciiTheme="minorEastAsia" w:hAnsiTheme="minorEastAsia" w:eastAsiaTheme="minorEastAsia"/>
                <w:color w:val="auto"/>
                <w:spacing w:val="-2"/>
                <w:sz w:val="24"/>
                <w:szCs w:val="24"/>
                <w:highlight w:val="none"/>
              </w:rPr>
              <w:t>，实测最大周期</w:t>
            </w:r>
            <w:r>
              <w:rPr>
                <w:rFonts w:asciiTheme="minorEastAsia" w:hAnsiTheme="minorEastAsia" w:eastAsiaTheme="minorEastAsia"/>
                <w:color w:val="auto"/>
                <w:spacing w:val="-28"/>
                <w:sz w:val="24"/>
                <w:szCs w:val="24"/>
                <w:highlight w:val="none"/>
              </w:rPr>
              <w:t>为</w:t>
            </w:r>
            <w:r>
              <w:rPr>
                <w:rFonts w:asciiTheme="minorEastAsia" w:hAnsiTheme="minorEastAsia" w:eastAsiaTheme="minorEastAsia"/>
                <w:color w:val="auto"/>
                <w:sz w:val="24"/>
                <w:szCs w:val="24"/>
                <w:highlight w:val="none"/>
              </w:rPr>
              <w:t>6.8s</w:t>
            </w:r>
            <w:r>
              <w:rPr>
                <w:rFonts w:asciiTheme="minorEastAsia" w:hAnsiTheme="minorEastAsia" w:eastAsiaTheme="minorEastAsia"/>
                <w:color w:val="auto"/>
                <w:spacing w:val="-8"/>
                <w:sz w:val="24"/>
                <w:szCs w:val="24"/>
                <w:highlight w:val="none"/>
              </w:rPr>
              <w:t>。据统计本区</w:t>
            </w:r>
            <w:r>
              <w:rPr>
                <w:rFonts w:asciiTheme="minorEastAsia" w:hAnsiTheme="minorEastAsia" w:eastAsiaTheme="minorEastAsia"/>
                <w:color w:val="auto"/>
                <w:sz w:val="24"/>
                <w:szCs w:val="24"/>
                <w:highlight w:val="none"/>
              </w:rPr>
              <w:t>H1/10</w:t>
            </w:r>
            <w:r>
              <w:rPr>
                <w:rFonts w:asciiTheme="minorEastAsia" w:hAnsiTheme="minorEastAsia" w:eastAsiaTheme="minorEastAsia"/>
                <w:color w:val="auto"/>
                <w:spacing w:val="-18"/>
                <w:sz w:val="24"/>
                <w:szCs w:val="24"/>
                <w:highlight w:val="none"/>
              </w:rPr>
              <w:t>小于</w:t>
            </w:r>
            <w:r>
              <w:rPr>
                <w:rFonts w:asciiTheme="minorEastAsia" w:hAnsiTheme="minorEastAsia" w:eastAsiaTheme="minorEastAsia"/>
                <w:color w:val="auto"/>
                <w:sz w:val="24"/>
                <w:szCs w:val="24"/>
                <w:highlight w:val="none"/>
              </w:rPr>
              <w:t>0.5m</w:t>
            </w:r>
            <w:r>
              <w:rPr>
                <w:rFonts w:asciiTheme="minorEastAsia" w:hAnsiTheme="minorEastAsia" w:eastAsiaTheme="minorEastAsia"/>
                <w:color w:val="auto"/>
                <w:spacing w:val="-10"/>
                <w:sz w:val="24"/>
                <w:szCs w:val="24"/>
                <w:highlight w:val="none"/>
              </w:rPr>
              <w:t>发生频率为</w:t>
            </w:r>
            <w:r>
              <w:rPr>
                <w:rFonts w:asciiTheme="minorEastAsia" w:hAnsiTheme="minorEastAsia" w:eastAsiaTheme="minorEastAsia"/>
                <w:color w:val="auto"/>
                <w:sz w:val="24"/>
                <w:szCs w:val="24"/>
                <w:highlight w:val="none"/>
              </w:rPr>
              <w:t>66.37</w:t>
            </w:r>
            <w:r>
              <w:rPr>
                <w:rFonts w:asciiTheme="minorEastAsia" w:hAnsiTheme="minorEastAsia" w:eastAsiaTheme="minorEastAsia"/>
                <w:color w:val="auto"/>
                <w:spacing w:val="-11"/>
                <w:sz w:val="24"/>
                <w:szCs w:val="24"/>
                <w:highlight w:val="none"/>
              </w:rPr>
              <w:t>％，小于</w:t>
            </w:r>
            <w:r>
              <w:rPr>
                <w:rFonts w:asciiTheme="minorEastAsia" w:hAnsiTheme="minorEastAsia" w:eastAsiaTheme="minorEastAsia"/>
                <w:color w:val="auto"/>
                <w:sz w:val="24"/>
                <w:szCs w:val="24"/>
                <w:highlight w:val="none"/>
              </w:rPr>
              <w:t>1.0m发生频率</w:t>
            </w:r>
            <w:r>
              <w:rPr>
                <w:rFonts w:asciiTheme="minorEastAsia" w:hAnsiTheme="minorEastAsia" w:eastAsiaTheme="minorEastAsia"/>
                <w:color w:val="auto"/>
                <w:spacing w:val="-30"/>
                <w:sz w:val="24"/>
                <w:szCs w:val="24"/>
                <w:highlight w:val="none"/>
              </w:rPr>
              <w:t>为</w:t>
            </w:r>
            <w:r>
              <w:rPr>
                <w:rFonts w:asciiTheme="minorEastAsia" w:hAnsiTheme="minorEastAsia" w:eastAsiaTheme="minorEastAsia"/>
                <w:color w:val="auto"/>
                <w:sz w:val="24"/>
                <w:szCs w:val="24"/>
                <w:highlight w:val="none"/>
              </w:rPr>
              <w:t>96.21</w:t>
            </w:r>
            <w:r>
              <w:rPr>
                <w:rFonts w:asciiTheme="minorEastAsia" w:hAnsiTheme="minorEastAsia" w:eastAsiaTheme="minorEastAsia"/>
                <w:color w:val="auto"/>
                <w:spacing w:val="-12"/>
                <w:sz w:val="24"/>
                <w:szCs w:val="24"/>
                <w:highlight w:val="none"/>
              </w:rPr>
              <w:t>％，大于</w:t>
            </w:r>
            <w:r>
              <w:rPr>
                <w:rFonts w:asciiTheme="minorEastAsia" w:hAnsiTheme="minorEastAsia" w:eastAsiaTheme="minorEastAsia"/>
                <w:color w:val="auto"/>
                <w:sz w:val="24"/>
                <w:szCs w:val="24"/>
                <w:highlight w:val="none"/>
              </w:rPr>
              <w:t>1.5m</w:t>
            </w:r>
            <w:r>
              <w:rPr>
                <w:rFonts w:asciiTheme="minorEastAsia" w:hAnsiTheme="minorEastAsia" w:eastAsiaTheme="minorEastAsia"/>
                <w:color w:val="auto"/>
                <w:spacing w:val="-7"/>
                <w:sz w:val="24"/>
                <w:szCs w:val="24"/>
                <w:highlight w:val="none"/>
              </w:rPr>
              <w:t>波高出现频率仅为</w:t>
            </w:r>
            <w:r>
              <w:rPr>
                <w:rFonts w:asciiTheme="minorEastAsia" w:hAnsiTheme="minorEastAsia" w:eastAsiaTheme="minorEastAsia"/>
                <w:color w:val="auto"/>
                <w:sz w:val="24"/>
                <w:szCs w:val="24"/>
                <w:highlight w:val="none"/>
              </w:rPr>
              <w:t>1.1%。</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②三墩港区周年测波资料</w:t>
            </w:r>
          </w:p>
          <w:p>
            <w:pPr>
              <w:spacing w:line="360" w:lineRule="auto"/>
              <w:ind w:firstLine="448"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8"/>
                <w:sz w:val="24"/>
                <w:szCs w:val="24"/>
                <w:highlight w:val="none"/>
              </w:rPr>
              <w:t>在三墩港区外于</w:t>
            </w:r>
            <w:r>
              <w:rPr>
                <w:rFonts w:asciiTheme="minorEastAsia" w:hAnsiTheme="minorEastAsia" w:eastAsiaTheme="minorEastAsia"/>
                <w:color w:val="auto"/>
                <w:spacing w:val="-5"/>
                <w:sz w:val="24"/>
                <w:szCs w:val="24"/>
                <w:highlight w:val="none"/>
              </w:rPr>
              <w:t>2010</w:t>
            </w:r>
            <w:r>
              <w:rPr>
                <w:rFonts w:asciiTheme="minorEastAsia" w:hAnsiTheme="minorEastAsia" w:eastAsiaTheme="minorEastAsia"/>
                <w:color w:val="auto"/>
                <w:spacing w:val="-29"/>
                <w:sz w:val="24"/>
                <w:szCs w:val="24"/>
                <w:highlight w:val="none"/>
              </w:rPr>
              <w:t>年</w:t>
            </w:r>
            <w:r>
              <w:rPr>
                <w:rFonts w:asciiTheme="minorEastAsia" w:hAnsiTheme="minorEastAsia" w:eastAsiaTheme="minorEastAsia"/>
                <w:color w:val="auto"/>
                <w:sz w:val="24"/>
                <w:szCs w:val="24"/>
                <w:highlight w:val="none"/>
              </w:rPr>
              <w:t>6</w:t>
            </w:r>
            <w:r>
              <w:rPr>
                <w:rFonts w:asciiTheme="minorEastAsia" w:hAnsiTheme="minorEastAsia" w:eastAsiaTheme="minorEastAsia"/>
                <w:color w:val="auto"/>
                <w:spacing w:val="-28"/>
                <w:sz w:val="24"/>
                <w:szCs w:val="24"/>
                <w:highlight w:val="none"/>
              </w:rPr>
              <w:t>月</w:t>
            </w:r>
            <w:r>
              <w:rPr>
                <w:rFonts w:asciiTheme="minorEastAsia" w:hAnsiTheme="minorEastAsia" w:eastAsiaTheme="minorEastAsia"/>
                <w:color w:val="auto"/>
                <w:sz w:val="24"/>
                <w:szCs w:val="24"/>
                <w:highlight w:val="none"/>
              </w:rPr>
              <w:t>1日~2011</w:t>
            </w:r>
            <w:r>
              <w:rPr>
                <w:rFonts w:asciiTheme="minorEastAsia" w:hAnsiTheme="minorEastAsia" w:eastAsiaTheme="minorEastAsia"/>
                <w:color w:val="auto"/>
                <w:spacing w:val="-29"/>
                <w:sz w:val="24"/>
                <w:szCs w:val="24"/>
                <w:highlight w:val="none"/>
              </w:rPr>
              <w:t>年</w:t>
            </w:r>
            <w:r>
              <w:rPr>
                <w:rFonts w:asciiTheme="minorEastAsia" w:hAnsiTheme="minorEastAsia" w:eastAsiaTheme="minorEastAsia"/>
                <w:color w:val="auto"/>
                <w:sz w:val="24"/>
                <w:szCs w:val="24"/>
                <w:highlight w:val="none"/>
              </w:rPr>
              <w:t>5</w:t>
            </w:r>
            <w:r>
              <w:rPr>
                <w:rFonts w:asciiTheme="minorEastAsia" w:hAnsiTheme="minorEastAsia" w:eastAsiaTheme="minorEastAsia"/>
                <w:color w:val="auto"/>
                <w:spacing w:val="-29"/>
                <w:sz w:val="24"/>
                <w:szCs w:val="24"/>
                <w:highlight w:val="none"/>
              </w:rPr>
              <w:t>月</w:t>
            </w:r>
            <w:r>
              <w:rPr>
                <w:rFonts w:asciiTheme="minorEastAsia" w:hAnsiTheme="minorEastAsia" w:eastAsiaTheme="minorEastAsia"/>
                <w:color w:val="auto"/>
                <w:sz w:val="24"/>
                <w:szCs w:val="24"/>
                <w:highlight w:val="none"/>
              </w:rPr>
              <w:t>31</w:t>
            </w:r>
            <w:r>
              <w:rPr>
                <w:rFonts w:asciiTheme="minorEastAsia" w:hAnsiTheme="minorEastAsia" w:eastAsiaTheme="minorEastAsia"/>
                <w:color w:val="auto"/>
                <w:spacing w:val="-9"/>
                <w:sz w:val="24"/>
                <w:szCs w:val="24"/>
                <w:highlight w:val="none"/>
              </w:rPr>
              <w:t>日进行了历时</w:t>
            </w:r>
            <w:r>
              <w:rPr>
                <w:rFonts w:asciiTheme="minorEastAsia" w:hAnsiTheme="minorEastAsia" w:eastAsiaTheme="minorEastAsia"/>
                <w:color w:val="auto"/>
                <w:sz w:val="24"/>
                <w:szCs w:val="24"/>
                <w:highlight w:val="none"/>
              </w:rPr>
              <w:t>1年的波浪</w:t>
            </w:r>
            <w:r>
              <w:rPr>
                <w:rFonts w:asciiTheme="minorEastAsia" w:hAnsiTheme="minorEastAsia" w:eastAsiaTheme="minorEastAsia"/>
                <w:color w:val="auto"/>
                <w:spacing w:val="-4"/>
                <w:sz w:val="24"/>
                <w:szCs w:val="24"/>
                <w:highlight w:val="none"/>
              </w:rPr>
              <w:t>观测。各月波浪观测的特征值见表</w:t>
            </w:r>
            <w:r>
              <w:rPr>
                <w:rFonts w:hint="eastAsia" w:asciiTheme="minorEastAsia" w:hAnsiTheme="minorEastAsia" w:eastAsiaTheme="minorEastAsia"/>
                <w:color w:val="auto"/>
                <w:sz w:val="24"/>
                <w:szCs w:val="24"/>
                <w:highlight w:val="none"/>
              </w:rPr>
              <w:t>2</w:t>
            </w:r>
            <w:r>
              <w:rPr>
                <w:rFonts w:asciiTheme="minorEastAsia" w:hAnsiTheme="minorEastAsia" w:eastAsiaTheme="minorEastAsia"/>
                <w:color w:val="auto"/>
                <w:sz w:val="24"/>
                <w:szCs w:val="24"/>
                <w:highlight w:val="none"/>
              </w:rPr>
              <w:t>.1.2-</w:t>
            </w:r>
            <w:r>
              <w:rPr>
                <w:rFonts w:asciiTheme="minorEastAsia" w:hAnsiTheme="minorEastAsia" w:eastAsiaTheme="minorEastAsia"/>
                <w:color w:val="auto"/>
                <w:spacing w:val="4"/>
                <w:sz w:val="24"/>
                <w:szCs w:val="24"/>
                <w:highlight w:val="none"/>
              </w:rPr>
              <w:t>1</w:t>
            </w:r>
            <w:r>
              <w:rPr>
                <w:rFonts w:asciiTheme="minorEastAsia" w:hAnsiTheme="minorEastAsia" w:eastAsiaTheme="minorEastAsia"/>
                <w:color w:val="auto"/>
                <w:spacing w:val="-7"/>
                <w:sz w:val="24"/>
                <w:szCs w:val="24"/>
                <w:highlight w:val="none"/>
              </w:rPr>
              <w:t>。观测期间平均</w:t>
            </w:r>
            <w:r>
              <w:rPr>
                <w:rFonts w:asciiTheme="minorEastAsia" w:hAnsiTheme="minorEastAsia" w:eastAsiaTheme="minorEastAsia"/>
                <w:color w:val="auto"/>
                <w:sz w:val="24"/>
                <w:szCs w:val="24"/>
                <w:highlight w:val="none"/>
              </w:rPr>
              <w:t>H1/10</w:t>
            </w:r>
            <w:r>
              <w:rPr>
                <w:rFonts w:asciiTheme="minorEastAsia" w:hAnsiTheme="minorEastAsia" w:eastAsiaTheme="minorEastAsia"/>
                <w:color w:val="auto"/>
                <w:spacing w:val="-28"/>
                <w:sz w:val="24"/>
                <w:szCs w:val="24"/>
                <w:highlight w:val="none"/>
              </w:rPr>
              <w:t>为</w:t>
            </w:r>
            <w:r>
              <w:rPr>
                <w:rFonts w:asciiTheme="minorEastAsia" w:hAnsiTheme="minorEastAsia" w:eastAsiaTheme="minorEastAsia"/>
                <w:color w:val="auto"/>
                <w:sz w:val="24"/>
                <w:szCs w:val="24"/>
                <w:highlight w:val="none"/>
              </w:rPr>
              <w:t>0.6m，平均H1/3</w:t>
            </w:r>
            <w:r>
              <w:rPr>
                <w:rFonts w:asciiTheme="minorEastAsia" w:hAnsiTheme="minorEastAsia" w:eastAsiaTheme="minorEastAsia"/>
                <w:color w:val="auto"/>
                <w:spacing w:val="-24"/>
                <w:sz w:val="24"/>
                <w:szCs w:val="24"/>
                <w:highlight w:val="none"/>
              </w:rPr>
              <w:t>为</w:t>
            </w:r>
            <w:r>
              <w:rPr>
                <w:rFonts w:asciiTheme="minorEastAsia" w:hAnsiTheme="minorEastAsia" w:eastAsiaTheme="minorEastAsia"/>
                <w:color w:val="auto"/>
                <w:spacing w:val="5"/>
                <w:sz w:val="24"/>
                <w:szCs w:val="24"/>
                <w:highlight w:val="none"/>
              </w:rPr>
              <w:t>0.5m</w:t>
            </w:r>
            <w:r>
              <w:rPr>
                <w:rFonts w:asciiTheme="minorEastAsia" w:hAnsiTheme="minorEastAsia" w:eastAsiaTheme="minorEastAsia"/>
                <w:color w:val="auto"/>
                <w:sz w:val="24"/>
                <w:szCs w:val="24"/>
                <w:highlight w:val="none"/>
              </w:rPr>
              <w:t>，平均周期为</w:t>
            </w:r>
            <w:r>
              <w:rPr>
                <w:rFonts w:asciiTheme="minorEastAsia" w:hAnsiTheme="minorEastAsia" w:eastAsiaTheme="minorEastAsia"/>
                <w:color w:val="auto"/>
                <w:spacing w:val="4"/>
                <w:sz w:val="24"/>
                <w:szCs w:val="24"/>
                <w:highlight w:val="none"/>
              </w:rPr>
              <w:t>2.8s</w:t>
            </w:r>
            <w:r>
              <w:rPr>
                <w:rFonts w:asciiTheme="minorEastAsia" w:hAnsiTheme="minorEastAsia" w:eastAsiaTheme="minorEastAsia"/>
                <w:color w:val="auto"/>
                <w:spacing w:val="-8"/>
                <w:sz w:val="24"/>
                <w:szCs w:val="24"/>
                <w:highlight w:val="none"/>
              </w:rPr>
              <w:t>，平均</w:t>
            </w:r>
            <w:r>
              <w:rPr>
                <w:rFonts w:asciiTheme="minorEastAsia" w:hAnsiTheme="minorEastAsia" w:eastAsiaTheme="minorEastAsia"/>
                <w:color w:val="auto"/>
                <w:sz w:val="24"/>
                <w:szCs w:val="24"/>
                <w:highlight w:val="none"/>
              </w:rPr>
              <w:t>T1/10</w:t>
            </w:r>
            <w:r>
              <w:rPr>
                <w:rFonts w:asciiTheme="minorEastAsia" w:hAnsiTheme="minorEastAsia" w:eastAsiaTheme="minorEastAsia"/>
                <w:color w:val="auto"/>
                <w:spacing w:val="-23"/>
                <w:sz w:val="24"/>
                <w:szCs w:val="24"/>
                <w:highlight w:val="none"/>
              </w:rPr>
              <w:t>为</w:t>
            </w:r>
            <w:r>
              <w:rPr>
                <w:rFonts w:asciiTheme="minorEastAsia" w:hAnsiTheme="minorEastAsia" w:eastAsiaTheme="minorEastAsia"/>
                <w:color w:val="auto"/>
                <w:spacing w:val="4"/>
                <w:sz w:val="24"/>
                <w:szCs w:val="24"/>
                <w:highlight w:val="none"/>
              </w:rPr>
              <w:t>3.4s</w:t>
            </w:r>
            <w:r>
              <w:rPr>
                <w:rFonts w:asciiTheme="minorEastAsia" w:hAnsiTheme="minorEastAsia" w:eastAsiaTheme="minorEastAsia"/>
                <w:color w:val="auto"/>
                <w:spacing w:val="-8"/>
                <w:sz w:val="24"/>
                <w:szCs w:val="24"/>
                <w:highlight w:val="none"/>
              </w:rPr>
              <w:t>，平均</w:t>
            </w:r>
            <w:r>
              <w:rPr>
                <w:rFonts w:asciiTheme="minorEastAsia" w:hAnsiTheme="minorEastAsia" w:eastAsiaTheme="minorEastAsia"/>
                <w:color w:val="auto"/>
                <w:sz w:val="24"/>
                <w:szCs w:val="24"/>
                <w:highlight w:val="none"/>
              </w:rPr>
              <w:t>T1/3</w:t>
            </w:r>
            <w:r>
              <w:rPr>
                <w:rFonts w:asciiTheme="minorEastAsia" w:hAnsiTheme="minorEastAsia" w:eastAsiaTheme="minorEastAsia"/>
                <w:color w:val="auto"/>
                <w:spacing w:val="-24"/>
                <w:sz w:val="24"/>
                <w:szCs w:val="24"/>
                <w:highlight w:val="none"/>
              </w:rPr>
              <w:t>为</w:t>
            </w:r>
            <w:r>
              <w:rPr>
                <w:rFonts w:asciiTheme="minorEastAsia" w:hAnsiTheme="minorEastAsia" w:eastAsiaTheme="minorEastAsia"/>
                <w:color w:val="auto"/>
                <w:spacing w:val="5"/>
                <w:sz w:val="24"/>
                <w:szCs w:val="24"/>
                <w:highlight w:val="none"/>
              </w:rPr>
              <w:t>3.3s；最大H1/10</w:t>
            </w:r>
            <w:r>
              <w:rPr>
                <w:rFonts w:asciiTheme="minorEastAsia" w:hAnsiTheme="minorEastAsia" w:eastAsiaTheme="minorEastAsia"/>
                <w:color w:val="auto"/>
                <w:spacing w:val="-28"/>
                <w:sz w:val="24"/>
                <w:szCs w:val="24"/>
                <w:highlight w:val="none"/>
              </w:rPr>
              <w:t>为</w:t>
            </w:r>
            <w:r>
              <w:rPr>
                <w:rFonts w:asciiTheme="minorEastAsia" w:hAnsiTheme="minorEastAsia" w:eastAsiaTheme="minorEastAsia"/>
                <w:color w:val="auto"/>
                <w:sz w:val="24"/>
                <w:szCs w:val="24"/>
                <w:highlight w:val="none"/>
              </w:rPr>
              <w:t>2.4m</w:t>
            </w:r>
            <w:r>
              <w:rPr>
                <w:rFonts w:asciiTheme="minorEastAsia" w:hAnsiTheme="minorEastAsia" w:eastAsiaTheme="minorEastAsia"/>
                <w:color w:val="auto"/>
                <w:spacing w:val="-14"/>
                <w:sz w:val="24"/>
                <w:szCs w:val="24"/>
                <w:highlight w:val="none"/>
              </w:rPr>
              <w:t>，最大</w:t>
            </w:r>
            <w:r>
              <w:rPr>
                <w:rFonts w:asciiTheme="minorEastAsia" w:hAnsiTheme="minorEastAsia" w:eastAsiaTheme="minorEastAsia"/>
                <w:color w:val="auto"/>
                <w:sz w:val="24"/>
                <w:szCs w:val="24"/>
                <w:highlight w:val="none"/>
              </w:rPr>
              <w:t>H1/3</w:t>
            </w:r>
            <w:r>
              <w:rPr>
                <w:rFonts w:asciiTheme="minorEastAsia" w:hAnsiTheme="minorEastAsia" w:eastAsiaTheme="minorEastAsia"/>
                <w:color w:val="auto"/>
                <w:spacing w:val="-28"/>
                <w:sz w:val="24"/>
                <w:szCs w:val="24"/>
                <w:highlight w:val="none"/>
              </w:rPr>
              <w:t>为</w:t>
            </w:r>
            <w:r>
              <w:rPr>
                <w:rFonts w:asciiTheme="minorEastAsia" w:hAnsiTheme="minorEastAsia" w:eastAsiaTheme="minorEastAsia"/>
                <w:color w:val="auto"/>
                <w:sz w:val="24"/>
                <w:szCs w:val="24"/>
                <w:highlight w:val="none"/>
              </w:rPr>
              <w:t>2.0m</w:t>
            </w:r>
            <w:r>
              <w:rPr>
                <w:rFonts w:asciiTheme="minorEastAsia" w:hAnsiTheme="minorEastAsia" w:eastAsiaTheme="minorEastAsia"/>
                <w:color w:val="auto"/>
                <w:spacing w:val="-7"/>
                <w:sz w:val="24"/>
                <w:szCs w:val="24"/>
                <w:highlight w:val="none"/>
              </w:rPr>
              <w:t>，最大平均周期为</w:t>
            </w:r>
            <w:r>
              <w:rPr>
                <w:rFonts w:asciiTheme="minorEastAsia" w:hAnsiTheme="minorEastAsia" w:eastAsiaTheme="minorEastAsia"/>
                <w:color w:val="auto"/>
                <w:sz w:val="24"/>
                <w:szCs w:val="24"/>
                <w:highlight w:val="none"/>
              </w:rPr>
              <w:t>5.6s</w:t>
            </w:r>
            <w:r>
              <w:rPr>
                <w:rFonts w:asciiTheme="minorEastAsia" w:hAnsiTheme="minorEastAsia" w:eastAsiaTheme="minorEastAsia"/>
                <w:color w:val="auto"/>
                <w:spacing w:val="-14"/>
                <w:sz w:val="24"/>
                <w:szCs w:val="24"/>
                <w:highlight w:val="none"/>
              </w:rPr>
              <w:t>，最大</w:t>
            </w:r>
            <w:r>
              <w:rPr>
                <w:rFonts w:asciiTheme="minorEastAsia" w:hAnsiTheme="minorEastAsia" w:eastAsiaTheme="minorEastAsia"/>
                <w:color w:val="auto"/>
                <w:sz w:val="24"/>
                <w:szCs w:val="24"/>
                <w:highlight w:val="none"/>
              </w:rPr>
              <w:t>T1/10</w:t>
            </w:r>
            <w:r>
              <w:rPr>
                <w:rFonts w:asciiTheme="minorEastAsia" w:hAnsiTheme="minorEastAsia" w:eastAsiaTheme="minorEastAsia"/>
                <w:color w:val="auto"/>
                <w:spacing w:val="-28"/>
                <w:sz w:val="24"/>
                <w:szCs w:val="24"/>
                <w:highlight w:val="none"/>
              </w:rPr>
              <w:t>为</w:t>
            </w:r>
            <w:r>
              <w:rPr>
                <w:rFonts w:asciiTheme="minorEastAsia" w:hAnsiTheme="minorEastAsia" w:eastAsiaTheme="minorEastAsia"/>
                <w:color w:val="auto"/>
                <w:sz w:val="24"/>
                <w:szCs w:val="24"/>
                <w:highlight w:val="none"/>
              </w:rPr>
              <w:t>9.8s，</w:t>
            </w:r>
            <w:r>
              <w:rPr>
                <w:rFonts w:asciiTheme="minorEastAsia" w:hAnsiTheme="minorEastAsia" w:eastAsiaTheme="minorEastAsia"/>
                <w:color w:val="auto"/>
                <w:spacing w:val="-20"/>
                <w:sz w:val="24"/>
                <w:szCs w:val="24"/>
                <w:highlight w:val="none"/>
              </w:rPr>
              <w:t>最大</w:t>
            </w:r>
            <w:r>
              <w:rPr>
                <w:rFonts w:asciiTheme="minorEastAsia" w:hAnsiTheme="minorEastAsia" w:eastAsiaTheme="minorEastAsia"/>
                <w:color w:val="auto"/>
                <w:sz w:val="24"/>
                <w:szCs w:val="24"/>
                <w:highlight w:val="none"/>
              </w:rPr>
              <w:t>T1/3</w:t>
            </w:r>
            <w:r>
              <w:rPr>
                <w:rFonts w:asciiTheme="minorEastAsia" w:hAnsiTheme="minorEastAsia" w:eastAsiaTheme="minorEastAsia"/>
                <w:color w:val="auto"/>
                <w:spacing w:val="-29"/>
                <w:sz w:val="24"/>
                <w:szCs w:val="24"/>
                <w:highlight w:val="none"/>
              </w:rPr>
              <w:t>为</w:t>
            </w:r>
            <w:r>
              <w:rPr>
                <w:rFonts w:asciiTheme="minorEastAsia" w:hAnsiTheme="minorEastAsia" w:eastAsiaTheme="minorEastAsia"/>
                <w:color w:val="auto"/>
                <w:sz w:val="24"/>
                <w:szCs w:val="24"/>
                <w:highlight w:val="none"/>
              </w:rPr>
              <w:t>8.3s</w:t>
            </w:r>
            <w:r>
              <w:rPr>
                <w:rFonts w:asciiTheme="minorEastAsia" w:hAnsiTheme="minorEastAsia" w:eastAsiaTheme="minorEastAsia"/>
                <w:color w:val="auto"/>
                <w:spacing w:val="-3"/>
                <w:sz w:val="24"/>
                <w:szCs w:val="24"/>
                <w:highlight w:val="none"/>
              </w:rPr>
              <w:t>。实测海域周年观测期间，各月最大波高在</w:t>
            </w:r>
            <w:r>
              <w:rPr>
                <w:rFonts w:asciiTheme="minorEastAsia" w:hAnsiTheme="minorEastAsia" w:eastAsiaTheme="minorEastAsia"/>
                <w:color w:val="auto"/>
                <w:sz w:val="24"/>
                <w:szCs w:val="24"/>
                <w:highlight w:val="none"/>
              </w:rPr>
              <w:t>1.4~3.2m</w:t>
            </w:r>
            <w:r>
              <w:rPr>
                <w:rFonts w:asciiTheme="minorEastAsia" w:hAnsiTheme="minorEastAsia" w:eastAsiaTheme="minorEastAsia"/>
                <w:color w:val="auto"/>
                <w:spacing w:val="-3"/>
                <w:sz w:val="24"/>
                <w:szCs w:val="24"/>
                <w:highlight w:val="none"/>
              </w:rPr>
              <w:t>之间，说明各月均有轻、中浪发生。其中最大波高为</w:t>
            </w:r>
            <w:r>
              <w:rPr>
                <w:rFonts w:asciiTheme="minorEastAsia" w:hAnsiTheme="minorEastAsia" w:eastAsiaTheme="minorEastAsia"/>
                <w:color w:val="auto"/>
                <w:sz w:val="24"/>
                <w:szCs w:val="24"/>
                <w:highlight w:val="none"/>
              </w:rPr>
              <w:t>3.2m</w:t>
            </w:r>
            <w:r>
              <w:rPr>
                <w:rFonts w:asciiTheme="minorEastAsia" w:hAnsiTheme="minorEastAsia" w:eastAsiaTheme="minorEastAsia"/>
                <w:color w:val="auto"/>
                <w:spacing w:val="-6"/>
                <w:sz w:val="24"/>
                <w:szCs w:val="24"/>
                <w:highlight w:val="none"/>
              </w:rPr>
              <w:t>，对应波周期为</w:t>
            </w:r>
            <w:r>
              <w:rPr>
                <w:rFonts w:asciiTheme="minorEastAsia" w:hAnsiTheme="minorEastAsia" w:eastAsiaTheme="minorEastAsia"/>
                <w:color w:val="auto"/>
                <w:sz w:val="24"/>
                <w:szCs w:val="24"/>
                <w:highlight w:val="none"/>
              </w:rPr>
              <w:t>5.5s，对应波</w:t>
            </w:r>
            <w:r>
              <w:rPr>
                <w:rFonts w:asciiTheme="minorEastAsia" w:hAnsiTheme="minorEastAsia" w:eastAsiaTheme="minorEastAsia"/>
                <w:color w:val="auto"/>
                <w:spacing w:val="-20"/>
                <w:sz w:val="24"/>
                <w:szCs w:val="24"/>
                <w:highlight w:val="none"/>
              </w:rPr>
              <w:t>向为</w:t>
            </w:r>
            <w:r>
              <w:rPr>
                <w:rFonts w:asciiTheme="minorEastAsia" w:hAnsiTheme="minorEastAsia" w:eastAsiaTheme="minorEastAsia"/>
                <w:color w:val="auto"/>
                <w:sz w:val="24"/>
                <w:szCs w:val="24"/>
                <w:highlight w:val="none"/>
              </w:rPr>
              <w:t>146°（S</w:t>
            </w:r>
            <w:r>
              <w:rPr>
                <w:rFonts w:asciiTheme="minorEastAsia" w:hAnsiTheme="minorEastAsia" w:eastAsiaTheme="minorEastAsia"/>
                <w:color w:val="auto"/>
                <w:spacing w:val="-1"/>
                <w:sz w:val="24"/>
                <w:szCs w:val="24"/>
                <w:highlight w:val="none"/>
              </w:rPr>
              <w:t>E</w:t>
            </w:r>
            <w:r>
              <w:rPr>
                <w:rFonts w:asciiTheme="minorEastAsia" w:hAnsiTheme="minorEastAsia" w:eastAsiaTheme="minorEastAsia"/>
                <w:color w:val="auto"/>
                <w:spacing w:val="-120"/>
                <w:sz w:val="24"/>
                <w:szCs w:val="24"/>
                <w:highlight w:val="none"/>
              </w:rPr>
              <w:t>）</w:t>
            </w:r>
            <w:r>
              <w:rPr>
                <w:rFonts w:asciiTheme="minorEastAsia" w:hAnsiTheme="minorEastAsia" w:eastAsiaTheme="minorEastAsia"/>
                <w:color w:val="auto"/>
                <w:spacing w:val="-12"/>
                <w:sz w:val="24"/>
                <w:szCs w:val="24"/>
                <w:highlight w:val="none"/>
              </w:rPr>
              <w:t>，发生在</w:t>
            </w:r>
            <w:r>
              <w:rPr>
                <w:rFonts w:asciiTheme="minorEastAsia" w:hAnsiTheme="minorEastAsia" w:eastAsiaTheme="minorEastAsia"/>
                <w:color w:val="auto"/>
                <w:sz w:val="24"/>
                <w:szCs w:val="24"/>
                <w:highlight w:val="none"/>
              </w:rPr>
              <w:t>2010</w:t>
            </w:r>
            <w:r>
              <w:rPr>
                <w:rFonts w:asciiTheme="minorEastAsia" w:hAnsiTheme="minorEastAsia" w:eastAsiaTheme="minorEastAsia"/>
                <w:color w:val="auto"/>
                <w:spacing w:val="-30"/>
                <w:sz w:val="24"/>
                <w:szCs w:val="24"/>
                <w:highlight w:val="none"/>
              </w:rPr>
              <w:t>年</w:t>
            </w:r>
            <w:r>
              <w:rPr>
                <w:rFonts w:asciiTheme="minorEastAsia" w:hAnsiTheme="minorEastAsia" w:eastAsiaTheme="minorEastAsia"/>
                <w:color w:val="auto"/>
                <w:sz w:val="24"/>
                <w:szCs w:val="24"/>
                <w:highlight w:val="none"/>
              </w:rPr>
              <w:t>7</w:t>
            </w:r>
            <w:r>
              <w:rPr>
                <w:rFonts w:asciiTheme="minorEastAsia" w:hAnsiTheme="minorEastAsia" w:eastAsiaTheme="minorEastAsia"/>
                <w:color w:val="auto"/>
                <w:spacing w:val="-30"/>
                <w:sz w:val="24"/>
                <w:szCs w:val="24"/>
                <w:highlight w:val="none"/>
              </w:rPr>
              <w:t>月</w:t>
            </w:r>
            <w:r>
              <w:rPr>
                <w:rFonts w:asciiTheme="minorEastAsia" w:hAnsiTheme="minorEastAsia" w:eastAsiaTheme="minorEastAsia"/>
                <w:color w:val="auto"/>
                <w:sz w:val="24"/>
                <w:szCs w:val="24"/>
                <w:highlight w:val="none"/>
              </w:rPr>
              <w:t>17</w:t>
            </w:r>
            <w:r>
              <w:rPr>
                <w:rFonts w:asciiTheme="minorEastAsia" w:hAnsiTheme="minorEastAsia" w:eastAsiaTheme="minorEastAsia"/>
                <w:color w:val="auto"/>
                <w:spacing w:val="-30"/>
                <w:sz w:val="24"/>
                <w:szCs w:val="24"/>
                <w:highlight w:val="none"/>
              </w:rPr>
              <w:t>日</w:t>
            </w:r>
            <w:r>
              <w:rPr>
                <w:rFonts w:asciiTheme="minorEastAsia" w:hAnsiTheme="minorEastAsia" w:eastAsiaTheme="minorEastAsia"/>
                <w:color w:val="auto"/>
                <w:sz w:val="24"/>
                <w:szCs w:val="24"/>
                <w:highlight w:val="none"/>
              </w:rPr>
              <w:t>14时。</w:t>
            </w:r>
          </w:p>
          <w:p>
            <w:pPr>
              <w:pStyle w:val="55"/>
              <w:spacing w:line="480" w:lineRule="exact"/>
              <w:ind w:firstLine="448" w:firstLineChars="187"/>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表</w:t>
            </w:r>
            <w:r>
              <w:rPr>
                <w:rFonts w:hint="eastAsia" w:asciiTheme="minorEastAsia" w:hAnsiTheme="minorEastAsia" w:eastAsiaTheme="minorEastAsia"/>
                <w:b/>
                <w:color w:val="auto"/>
                <w:highlight w:val="none"/>
              </w:rPr>
              <w:t>2</w:t>
            </w:r>
            <w:r>
              <w:rPr>
                <w:rFonts w:asciiTheme="minorEastAsia" w:hAnsiTheme="minorEastAsia" w:eastAsiaTheme="minorEastAsia"/>
                <w:b/>
                <w:color w:val="auto"/>
                <w:highlight w:val="none"/>
              </w:rPr>
              <w:t xml:space="preserve">.1.2-1 </w:t>
            </w:r>
            <w:r>
              <w:rPr>
                <w:rFonts w:hint="eastAsia" w:asciiTheme="minorEastAsia" w:hAnsiTheme="minorEastAsia" w:eastAsiaTheme="minorEastAsia"/>
                <w:color w:val="auto"/>
                <w:highlight w:val="none"/>
              </w:rPr>
              <w:t>三墩波浪观测站各月波浪特征值统计表</w:t>
            </w:r>
          </w:p>
          <w:p>
            <w:pPr>
              <w:spacing w:line="360" w:lineRule="auto"/>
              <w:rPr>
                <w:rFonts w:ascii="Times New Roman" w:hAnsi="Times New Roman"/>
                <w:color w:val="auto"/>
                <w:sz w:val="24"/>
                <w:szCs w:val="24"/>
                <w:highlight w:val="none"/>
              </w:rPr>
            </w:pPr>
            <w:r>
              <w:rPr>
                <w:rFonts w:ascii="Times New Roman" w:hAnsi="Times New Roman"/>
                <w:color w:val="auto"/>
                <w:sz w:val="24"/>
                <w:szCs w:val="24"/>
                <w:highlight w:val="none"/>
              </w:rPr>
              <w:drawing>
                <wp:inline distT="0" distB="0" distL="0" distR="0">
                  <wp:extent cx="5756275" cy="4634230"/>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noChangeArrowheads="1"/>
                          </pic:cNvPicPr>
                        </pic:nvPicPr>
                        <pic:blipFill>
                          <a:blip r:embed="rId17"/>
                          <a:srcRect/>
                          <a:stretch>
                            <a:fillRect/>
                          </a:stretch>
                        </pic:blipFill>
                        <pic:spPr>
                          <a:xfrm>
                            <a:off x="0" y="0"/>
                            <a:ext cx="5756275" cy="4634230"/>
                          </a:xfrm>
                          <a:prstGeom prst="rect">
                            <a:avLst/>
                          </a:prstGeom>
                          <a:noFill/>
                          <a:ln w="9525">
                            <a:noFill/>
                            <a:miter lim="800000"/>
                            <a:headEnd/>
                            <a:tailEnd/>
                          </a:ln>
                        </pic:spPr>
                      </pic:pic>
                    </a:graphicData>
                  </a:graphic>
                </wp:inline>
              </w:drawing>
            </w:r>
          </w:p>
          <w:p>
            <w:pPr>
              <w:spacing w:line="360" w:lineRule="auto"/>
              <w:ind w:firstLine="384" w:firstLineChars="200"/>
              <w:rPr>
                <w:rFonts w:ascii="Times New Roman" w:hAnsi="Times New Roman"/>
                <w:b/>
                <w:color w:val="auto"/>
                <w:sz w:val="24"/>
                <w:highlight w:val="none"/>
              </w:rPr>
            </w:pPr>
            <w:r>
              <w:rPr>
                <w:color w:val="auto"/>
                <w:spacing w:val="-9"/>
                <w:highlight w:val="none"/>
              </w:rPr>
              <w:t>三墩站全年</w:t>
            </w:r>
            <w:r>
              <w:rPr>
                <w:rFonts w:ascii="Times New Roman" w:hAnsi="Times New Roman" w:eastAsia="Times New Roman"/>
                <w:color w:val="auto"/>
                <w:highlight w:val="none"/>
              </w:rPr>
              <w:t>H1/10</w:t>
            </w:r>
            <w:r>
              <w:rPr>
                <w:color w:val="auto"/>
                <w:spacing w:val="-7"/>
                <w:highlight w:val="none"/>
              </w:rPr>
              <w:t>波玫瑰图见图</w:t>
            </w:r>
            <w:r>
              <w:rPr>
                <w:rFonts w:hint="eastAsia" w:ascii="Times New Roman" w:hAnsi="Times New Roman" w:eastAsiaTheme="minorEastAsia"/>
                <w:color w:val="auto"/>
                <w:highlight w:val="none"/>
              </w:rPr>
              <w:t>2</w:t>
            </w:r>
            <w:r>
              <w:rPr>
                <w:rFonts w:ascii="Times New Roman" w:hAnsi="Times New Roman" w:eastAsia="Times New Roman"/>
                <w:color w:val="auto"/>
                <w:highlight w:val="none"/>
              </w:rPr>
              <w:t>.1.2-</w:t>
            </w:r>
            <w:r>
              <w:rPr>
                <w:rFonts w:hint="eastAsia" w:ascii="Times New Roman" w:hAnsi="Times New Roman" w:eastAsiaTheme="minorEastAsia"/>
                <w:color w:val="auto"/>
                <w:spacing w:val="9"/>
                <w:highlight w:val="none"/>
              </w:rPr>
              <w:t>2</w:t>
            </w:r>
            <w:r>
              <w:rPr>
                <w:color w:val="auto"/>
                <w:spacing w:val="-4"/>
                <w:highlight w:val="none"/>
              </w:rPr>
              <w:t>。由图可见，三墩站常浪向为</w:t>
            </w:r>
            <w:r>
              <w:rPr>
                <w:rFonts w:ascii="Times New Roman" w:hAnsi="Times New Roman" w:eastAsia="Times New Roman"/>
                <w:color w:val="auto"/>
                <w:highlight w:val="none"/>
              </w:rPr>
              <w:t>N</w:t>
            </w:r>
            <w:r>
              <w:rPr>
                <w:color w:val="auto"/>
                <w:highlight w:val="none"/>
              </w:rPr>
              <w:t>，</w:t>
            </w:r>
            <w:r>
              <w:rPr>
                <w:color w:val="auto"/>
                <w:spacing w:val="-18"/>
                <w:highlight w:val="none"/>
              </w:rPr>
              <w:t>频率</w:t>
            </w:r>
            <w:r>
              <w:rPr>
                <w:rFonts w:ascii="Times New Roman" w:hAnsi="Times New Roman" w:eastAsia="Times New Roman"/>
                <w:color w:val="auto"/>
                <w:highlight w:val="none"/>
              </w:rPr>
              <w:t>16.54%</w:t>
            </w:r>
            <w:r>
              <w:rPr>
                <w:color w:val="auto"/>
                <w:spacing w:val="-9"/>
                <w:highlight w:val="none"/>
              </w:rPr>
              <w:t>，次浪向为</w:t>
            </w:r>
            <w:r>
              <w:rPr>
                <w:rFonts w:ascii="Times New Roman" w:hAnsi="Times New Roman" w:eastAsia="Times New Roman"/>
                <w:color w:val="auto"/>
                <w:spacing w:val="2"/>
                <w:highlight w:val="none"/>
              </w:rPr>
              <w:t>S</w:t>
            </w:r>
            <w:r>
              <w:rPr>
                <w:color w:val="auto"/>
                <w:spacing w:val="-13"/>
                <w:highlight w:val="none"/>
              </w:rPr>
              <w:t>，频率</w:t>
            </w:r>
            <w:r>
              <w:rPr>
                <w:rFonts w:ascii="Times New Roman" w:hAnsi="Times New Roman" w:eastAsia="Times New Roman"/>
                <w:color w:val="auto"/>
                <w:highlight w:val="none"/>
              </w:rPr>
              <w:t>15.45%</w:t>
            </w:r>
            <w:r>
              <w:rPr>
                <w:color w:val="auto"/>
                <w:spacing w:val="-9"/>
                <w:highlight w:val="none"/>
              </w:rPr>
              <w:t>。强浪向为</w:t>
            </w:r>
            <w:r>
              <w:rPr>
                <w:rFonts w:ascii="Times New Roman" w:hAnsi="Times New Roman" w:eastAsia="Times New Roman"/>
                <w:color w:val="auto"/>
                <w:highlight w:val="none"/>
              </w:rPr>
              <w:t>SE</w:t>
            </w:r>
            <w:r>
              <w:rPr>
                <w:color w:val="auto"/>
                <w:spacing w:val="4"/>
                <w:highlight w:val="none"/>
              </w:rPr>
              <w:t>、</w:t>
            </w:r>
            <w:r>
              <w:rPr>
                <w:rFonts w:ascii="Times New Roman" w:hAnsi="Times New Roman" w:eastAsia="Times New Roman"/>
                <w:color w:val="auto"/>
                <w:highlight w:val="none"/>
              </w:rPr>
              <w:t>SSE</w:t>
            </w:r>
            <w:r>
              <w:rPr>
                <w:color w:val="auto"/>
                <w:highlight w:val="none"/>
              </w:rPr>
              <w:t>，</w:t>
            </w:r>
            <w:r>
              <w:rPr>
                <w:rFonts w:ascii="Times New Roman" w:hAnsi="Times New Roman" w:eastAsia="Times New Roman"/>
                <w:color w:val="auto"/>
                <w:highlight w:val="none"/>
              </w:rPr>
              <w:t>H1/10</w:t>
            </w:r>
            <w:r>
              <w:rPr>
                <w:color w:val="auto"/>
                <w:highlight w:val="none"/>
              </w:rPr>
              <w:t>波高最大</w:t>
            </w:r>
            <w:r>
              <w:rPr>
                <w:color w:val="auto"/>
                <w:spacing w:val="-15"/>
                <w:highlight w:val="none"/>
              </w:rPr>
              <w:t>值为</w:t>
            </w:r>
            <w:r>
              <w:rPr>
                <w:rFonts w:ascii="Times New Roman" w:hAnsi="Times New Roman" w:eastAsia="Times New Roman"/>
                <w:color w:val="auto"/>
                <w:highlight w:val="none"/>
              </w:rPr>
              <w:t>2.4m</w:t>
            </w:r>
            <w:r>
              <w:rPr>
                <w:color w:val="auto"/>
                <w:spacing w:val="-6"/>
                <w:highlight w:val="none"/>
              </w:rPr>
              <w:t>，次强浪向为</w:t>
            </w:r>
            <w:r>
              <w:rPr>
                <w:rFonts w:ascii="Times New Roman" w:hAnsi="Times New Roman" w:eastAsia="Times New Roman"/>
                <w:color w:val="auto"/>
                <w:highlight w:val="none"/>
              </w:rPr>
              <w:t>ESE</w:t>
            </w:r>
            <w:r>
              <w:rPr>
                <w:color w:val="auto"/>
                <w:highlight w:val="none"/>
              </w:rPr>
              <w:t>，</w:t>
            </w:r>
            <w:r>
              <w:rPr>
                <w:rFonts w:ascii="Times New Roman" w:hAnsi="Times New Roman" w:eastAsia="Times New Roman"/>
                <w:color w:val="auto"/>
                <w:highlight w:val="none"/>
              </w:rPr>
              <w:t>H1/10</w:t>
            </w:r>
            <w:r>
              <w:rPr>
                <w:color w:val="auto"/>
                <w:spacing w:val="-5"/>
                <w:highlight w:val="none"/>
              </w:rPr>
              <w:t>波高最大值为</w:t>
            </w:r>
            <w:r>
              <w:rPr>
                <w:rFonts w:ascii="Times New Roman" w:hAnsi="Times New Roman" w:eastAsia="Times New Roman"/>
                <w:color w:val="auto"/>
                <w:highlight w:val="none"/>
              </w:rPr>
              <w:t>2.0m</w:t>
            </w:r>
            <w:r>
              <w:rPr>
                <w:color w:val="auto"/>
                <w:highlight w:val="none"/>
              </w:rPr>
              <w:t>；</w:t>
            </w:r>
            <w:r>
              <w:rPr>
                <w:rFonts w:ascii="Times New Roman" w:hAnsi="Times New Roman" w:eastAsia="Times New Roman"/>
                <w:color w:val="auto"/>
                <w:highlight w:val="none"/>
              </w:rPr>
              <w:t>NW~NNE</w:t>
            </w:r>
            <w:r>
              <w:rPr>
                <w:color w:val="auto"/>
                <w:spacing w:val="7"/>
                <w:highlight w:val="none"/>
              </w:rPr>
              <w:t>、</w:t>
            </w:r>
            <w:r>
              <w:rPr>
                <w:rFonts w:ascii="Times New Roman" w:hAnsi="Times New Roman" w:eastAsia="Times New Roman"/>
                <w:color w:val="auto"/>
                <w:highlight w:val="none"/>
              </w:rPr>
              <w:t>S~WSW</w:t>
            </w:r>
            <w:r>
              <w:rPr>
                <w:color w:val="auto"/>
                <w:spacing w:val="-14"/>
                <w:highlight w:val="none"/>
              </w:rPr>
              <w:t>向的</w:t>
            </w:r>
            <w:r>
              <w:rPr>
                <w:rFonts w:ascii="Times New Roman" w:hAnsi="Times New Roman" w:eastAsia="Times New Roman"/>
                <w:color w:val="auto"/>
                <w:highlight w:val="none"/>
              </w:rPr>
              <w:t>H1/10</w:t>
            </w:r>
            <w:r>
              <w:rPr>
                <w:color w:val="auto"/>
                <w:highlight w:val="none"/>
              </w:rPr>
              <w:t>波高最大值介于</w:t>
            </w:r>
            <w:r>
              <w:rPr>
                <w:rFonts w:ascii="Times New Roman" w:hAnsi="Times New Roman" w:eastAsia="Times New Roman"/>
                <w:color w:val="auto"/>
                <w:highlight w:val="none"/>
              </w:rPr>
              <w:t>1m~2m</w:t>
            </w:r>
            <w:r>
              <w:rPr>
                <w:color w:val="auto"/>
                <w:highlight w:val="none"/>
              </w:rPr>
              <w:t>之间；其余波向的</w:t>
            </w:r>
            <w:r>
              <w:rPr>
                <w:rFonts w:ascii="Times New Roman" w:hAnsi="Times New Roman" w:eastAsia="Times New Roman"/>
                <w:color w:val="auto"/>
                <w:highlight w:val="none"/>
              </w:rPr>
              <w:t>H1/10</w:t>
            </w:r>
            <w:r>
              <w:rPr>
                <w:color w:val="auto"/>
                <w:spacing w:val="7"/>
                <w:highlight w:val="none"/>
              </w:rPr>
              <w:t>波高最大值小于</w:t>
            </w:r>
            <w:r>
              <w:rPr>
                <w:rFonts w:ascii="Times New Roman" w:hAnsi="Times New Roman" w:eastAsia="Times New Roman"/>
                <w:color w:val="auto"/>
                <w:spacing w:val="7"/>
                <w:highlight w:val="none"/>
              </w:rPr>
              <w:t>1m</w:t>
            </w:r>
            <w:r>
              <w:rPr>
                <w:color w:val="auto"/>
                <w:spacing w:val="1"/>
                <w:highlight w:val="none"/>
              </w:rPr>
              <w:t>。三墩站平均波周期介于</w:t>
            </w:r>
            <w:r>
              <w:rPr>
                <w:rFonts w:ascii="Times New Roman" w:hAnsi="Times New Roman" w:eastAsia="Times New Roman"/>
                <w:color w:val="auto"/>
                <w:highlight w:val="none"/>
              </w:rPr>
              <w:t>1.1s~5.6s</w:t>
            </w:r>
            <w:r>
              <w:rPr>
                <w:color w:val="auto"/>
                <w:spacing w:val="-4"/>
                <w:highlight w:val="none"/>
              </w:rPr>
              <w:t>之间，其中最大平均波周期对应</w:t>
            </w:r>
            <w:r>
              <w:rPr>
                <w:rFonts w:ascii="Times New Roman" w:hAnsi="Times New Roman" w:eastAsia="Times New Roman"/>
                <w:color w:val="auto"/>
                <w:highlight w:val="none"/>
              </w:rPr>
              <w:t>H1/10</w:t>
            </w:r>
            <w:r>
              <w:rPr>
                <w:color w:val="auto"/>
                <w:highlight w:val="none"/>
              </w:rPr>
              <w:t>波</w:t>
            </w:r>
            <w:r>
              <w:rPr>
                <w:color w:val="auto"/>
                <w:spacing w:val="-31"/>
                <w:highlight w:val="none"/>
              </w:rPr>
              <w:t>高</w:t>
            </w:r>
            <w:r>
              <w:rPr>
                <w:rFonts w:ascii="Times New Roman" w:hAnsi="Times New Roman" w:eastAsia="Times New Roman"/>
                <w:color w:val="auto"/>
                <w:highlight w:val="none"/>
              </w:rPr>
              <w:t>1.2m</w:t>
            </w:r>
            <w:r>
              <w:rPr>
                <w:color w:val="auto"/>
                <w:spacing w:val="-10"/>
                <w:highlight w:val="none"/>
              </w:rPr>
              <w:t>、最大波高</w:t>
            </w:r>
            <w:r>
              <w:rPr>
                <w:rFonts w:ascii="Times New Roman" w:hAnsi="Times New Roman" w:eastAsia="Times New Roman"/>
                <w:color w:val="auto"/>
                <w:highlight w:val="none"/>
              </w:rPr>
              <w:t>1.5m</w:t>
            </w:r>
            <w:r>
              <w:rPr>
                <w:color w:val="auto"/>
                <w:spacing w:val="-15"/>
                <w:highlight w:val="none"/>
              </w:rPr>
              <w:t>、波向</w:t>
            </w:r>
            <w:r>
              <w:rPr>
                <w:rFonts w:ascii="Times New Roman" w:hAnsi="Times New Roman" w:eastAsia="Times New Roman"/>
                <w:color w:val="auto"/>
                <w:highlight w:val="none"/>
              </w:rPr>
              <w:t>188°</w:t>
            </w:r>
            <w:r>
              <w:rPr>
                <w:color w:val="auto"/>
                <w:spacing w:val="-12"/>
                <w:highlight w:val="none"/>
              </w:rPr>
              <w:t>，出现在</w:t>
            </w:r>
            <w:r>
              <w:rPr>
                <w:rFonts w:ascii="Times New Roman" w:hAnsi="Times New Roman" w:eastAsia="Times New Roman"/>
                <w:color w:val="auto"/>
                <w:highlight w:val="none"/>
              </w:rPr>
              <w:t>2010</w:t>
            </w:r>
            <w:r>
              <w:rPr>
                <w:color w:val="auto"/>
                <w:spacing w:val="-30"/>
                <w:highlight w:val="none"/>
              </w:rPr>
              <w:t>年</w:t>
            </w:r>
            <w:r>
              <w:rPr>
                <w:rFonts w:ascii="Times New Roman" w:hAnsi="Times New Roman" w:eastAsia="Times New Roman"/>
                <w:color w:val="auto"/>
                <w:highlight w:val="none"/>
              </w:rPr>
              <w:t>06</w:t>
            </w:r>
            <w:r>
              <w:rPr>
                <w:color w:val="auto"/>
                <w:spacing w:val="-30"/>
                <w:highlight w:val="none"/>
              </w:rPr>
              <w:t>月</w:t>
            </w:r>
            <w:r>
              <w:rPr>
                <w:rFonts w:ascii="Times New Roman" w:hAnsi="Times New Roman" w:eastAsia="Times New Roman"/>
                <w:color w:val="auto"/>
                <w:highlight w:val="none"/>
              </w:rPr>
              <w:t>10</w:t>
            </w:r>
            <w:r>
              <w:rPr>
                <w:color w:val="auto"/>
                <w:spacing w:val="-30"/>
                <w:highlight w:val="none"/>
              </w:rPr>
              <w:t>日</w:t>
            </w:r>
            <w:r>
              <w:rPr>
                <w:rFonts w:ascii="Times New Roman" w:hAnsi="Times New Roman" w:eastAsia="Times New Roman"/>
                <w:color w:val="auto"/>
                <w:highlight w:val="none"/>
              </w:rPr>
              <w:t>05</w:t>
            </w:r>
            <w:r>
              <w:rPr>
                <w:color w:val="auto"/>
                <w:highlight w:val="none"/>
              </w:rPr>
              <w:t>时。</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drawing>
                <wp:inline distT="0" distB="0" distL="0" distR="0">
                  <wp:extent cx="3924935" cy="3812540"/>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1.jpeg"/>
                          <pic:cNvPicPr>
                            <a:picLocks noChangeAspect="1"/>
                          </pic:cNvPicPr>
                        </pic:nvPicPr>
                        <pic:blipFill>
                          <a:blip r:embed="rId18" cstate="print"/>
                          <a:stretch>
                            <a:fillRect/>
                          </a:stretch>
                        </pic:blipFill>
                        <pic:spPr>
                          <a:xfrm>
                            <a:off x="0" y="0"/>
                            <a:ext cx="3925217" cy="3813143"/>
                          </a:xfrm>
                          <a:prstGeom prst="rect">
                            <a:avLst/>
                          </a:prstGeom>
                        </pic:spPr>
                      </pic:pic>
                    </a:graphicData>
                  </a:graphic>
                </wp:inline>
              </w:drawing>
            </w:r>
          </w:p>
          <w:p>
            <w:pPr>
              <w:pStyle w:val="3"/>
              <w:jc w:val="center"/>
              <w:rPr>
                <w:color w:val="auto"/>
                <w:highlight w:val="none"/>
              </w:rPr>
            </w:pPr>
            <w:r>
              <w:rPr>
                <w:rFonts w:hint="eastAsia" w:ascii="Microsoft JhengHei" w:eastAsia="Microsoft JhengHei"/>
                <w:b w:val="0"/>
                <w:color w:val="auto"/>
                <w:sz w:val="21"/>
                <w:highlight w:val="none"/>
              </w:rPr>
              <w:t xml:space="preserve">图 </w:t>
            </w:r>
            <w:r>
              <w:rPr>
                <w:rFonts w:hint="eastAsia" w:eastAsiaTheme="minorEastAsia"/>
                <w:b w:val="0"/>
                <w:color w:val="auto"/>
                <w:sz w:val="21"/>
                <w:highlight w:val="none"/>
              </w:rPr>
              <w:t>2</w:t>
            </w:r>
            <w:r>
              <w:rPr>
                <w:rFonts w:eastAsia="Times New Roman"/>
                <w:b w:val="0"/>
                <w:color w:val="auto"/>
                <w:sz w:val="21"/>
                <w:highlight w:val="none"/>
              </w:rPr>
              <w:t xml:space="preserve">.1.2- </w:t>
            </w:r>
            <w:r>
              <w:rPr>
                <w:rFonts w:hint="eastAsia" w:eastAsiaTheme="minorEastAsia"/>
                <w:b w:val="0"/>
                <w:color w:val="auto"/>
                <w:sz w:val="21"/>
                <w:highlight w:val="none"/>
              </w:rPr>
              <w:t>2</w:t>
            </w:r>
            <w:r>
              <w:rPr>
                <w:rFonts w:hint="eastAsia" w:ascii="Microsoft JhengHei" w:eastAsia="Microsoft JhengHei"/>
                <w:b w:val="0"/>
                <w:color w:val="auto"/>
                <w:sz w:val="21"/>
                <w:highlight w:val="none"/>
              </w:rPr>
              <w:t>三墩站</w:t>
            </w:r>
            <w:r>
              <w:rPr>
                <w:rFonts w:eastAsia="Times New Roman"/>
                <w:b w:val="0"/>
                <w:color w:val="auto"/>
                <w:sz w:val="21"/>
                <w:highlight w:val="none"/>
              </w:rPr>
              <w:t xml:space="preserve">H1/10 </w:t>
            </w:r>
            <w:r>
              <w:rPr>
                <w:rFonts w:hint="eastAsia" w:ascii="Microsoft JhengHei" w:eastAsia="Microsoft JhengHei"/>
                <w:b w:val="0"/>
                <w:color w:val="auto"/>
                <w:sz w:val="21"/>
                <w:highlight w:val="none"/>
              </w:rPr>
              <w:t>波高频率玫瑰图（</w:t>
            </w:r>
            <w:r>
              <w:rPr>
                <w:rFonts w:eastAsia="Times New Roman"/>
                <w:b w:val="0"/>
                <w:color w:val="auto"/>
                <w:sz w:val="21"/>
                <w:highlight w:val="none"/>
              </w:rPr>
              <w:t>2010.06~2011.05</w:t>
            </w:r>
            <w:r>
              <w:rPr>
                <w:rFonts w:hint="eastAsia" w:ascii="Microsoft JhengHei" w:eastAsia="Microsoft JhengHei"/>
                <w:b w:val="0"/>
                <w:color w:val="auto"/>
                <w:sz w:val="21"/>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2）</w:t>
            </w:r>
            <w:r>
              <w:rPr>
                <w:rFonts w:asciiTheme="minorEastAsia" w:hAnsiTheme="minorEastAsia" w:eastAsiaTheme="minorEastAsia"/>
                <w:color w:val="auto"/>
                <w:sz w:val="24"/>
                <w:szCs w:val="24"/>
                <w:highlight w:val="none"/>
              </w:rPr>
              <w:t>设计波要素</w:t>
            </w:r>
          </w:p>
          <w:p>
            <w:pPr>
              <w:spacing w:line="360" w:lineRule="auto"/>
              <w:ind w:firstLine="452"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7"/>
                <w:sz w:val="24"/>
                <w:szCs w:val="24"/>
                <w:highlight w:val="none"/>
              </w:rPr>
              <w:t>钦州湾海域主要为</w:t>
            </w:r>
            <w:r>
              <w:rPr>
                <w:rFonts w:asciiTheme="minorEastAsia" w:hAnsiTheme="minorEastAsia" w:eastAsiaTheme="minorEastAsia"/>
                <w:color w:val="auto"/>
                <w:sz w:val="24"/>
                <w:szCs w:val="24"/>
                <w:highlight w:val="none"/>
              </w:rPr>
              <w:t>SE～SW</w:t>
            </w:r>
            <w:r>
              <w:rPr>
                <w:rFonts w:asciiTheme="minorEastAsia" w:hAnsiTheme="minorEastAsia" w:eastAsiaTheme="minorEastAsia"/>
                <w:color w:val="auto"/>
                <w:spacing w:val="-5"/>
                <w:sz w:val="24"/>
                <w:szCs w:val="24"/>
                <w:highlight w:val="none"/>
              </w:rPr>
              <w:t>向浪影响。河海大学曾根据</w:t>
            </w:r>
            <w:r>
              <w:rPr>
                <w:rFonts w:asciiTheme="minorEastAsia" w:hAnsiTheme="minorEastAsia" w:eastAsiaTheme="minorEastAsia"/>
                <w:color w:val="auto"/>
                <w:sz w:val="24"/>
                <w:szCs w:val="24"/>
                <w:highlight w:val="none"/>
              </w:rPr>
              <w:t>1979～2015</w:t>
            </w:r>
            <w:r>
              <w:rPr>
                <w:rFonts w:asciiTheme="minorEastAsia" w:hAnsiTheme="minorEastAsia" w:eastAsiaTheme="minorEastAsia"/>
                <w:color w:val="auto"/>
                <w:spacing w:val="-6"/>
                <w:sz w:val="24"/>
                <w:szCs w:val="24"/>
                <w:highlight w:val="none"/>
              </w:rPr>
              <w:t>年影响</w:t>
            </w:r>
            <w:r>
              <w:rPr>
                <w:rFonts w:asciiTheme="minorEastAsia" w:hAnsiTheme="minorEastAsia" w:eastAsiaTheme="minorEastAsia"/>
                <w:color w:val="auto"/>
                <w:spacing w:val="-7"/>
                <w:sz w:val="24"/>
                <w:szCs w:val="24"/>
                <w:highlight w:val="none"/>
              </w:rPr>
              <w:t>南中国海的</w:t>
            </w:r>
            <w:r>
              <w:rPr>
                <w:rFonts w:asciiTheme="minorEastAsia" w:hAnsiTheme="minorEastAsia" w:eastAsiaTheme="minorEastAsia"/>
                <w:color w:val="auto"/>
                <w:sz w:val="24"/>
                <w:szCs w:val="24"/>
                <w:highlight w:val="none"/>
              </w:rPr>
              <w:t>476</w:t>
            </w:r>
            <w:r>
              <w:rPr>
                <w:rFonts w:asciiTheme="minorEastAsia" w:hAnsiTheme="minorEastAsia" w:eastAsiaTheme="minorEastAsia"/>
                <w:color w:val="auto"/>
                <w:spacing w:val="3"/>
                <w:sz w:val="24"/>
                <w:szCs w:val="24"/>
                <w:highlight w:val="none"/>
              </w:rPr>
              <w:t>场台风浪过程后报结果，通过复合极值分布，推算了钦州湾外</w:t>
            </w:r>
            <w:r>
              <w:rPr>
                <w:rFonts w:asciiTheme="minorEastAsia" w:hAnsiTheme="minorEastAsia" w:eastAsiaTheme="minorEastAsia"/>
                <w:color w:val="auto"/>
                <w:spacing w:val="-29"/>
                <w:sz w:val="24"/>
                <w:szCs w:val="24"/>
                <w:highlight w:val="none"/>
              </w:rPr>
              <w:t>海</w:t>
            </w:r>
            <w:r>
              <w:rPr>
                <w:rFonts w:asciiTheme="minorEastAsia" w:hAnsiTheme="minorEastAsia" w:eastAsiaTheme="minorEastAsia"/>
                <w:color w:val="auto"/>
                <w:sz w:val="24"/>
                <w:szCs w:val="24"/>
                <w:highlight w:val="none"/>
              </w:rPr>
              <w:t>20m等深处的不同重现期的深水波要素，见下表。</w:t>
            </w: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jc w:val="center"/>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表</w:t>
            </w:r>
            <w:r>
              <w:rPr>
                <w:rFonts w:hint="eastAsia" w:asciiTheme="minorEastAsia" w:hAnsiTheme="minorEastAsia" w:eastAsiaTheme="minorEastAsia"/>
                <w:b/>
                <w:color w:val="auto"/>
                <w:sz w:val="24"/>
                <w:szCs w:val="24"/>
                <w:highlight w:val="none"/>
              </w:rPr>
              <w:t>2</w:t>
            </w:r>
            <w:r>
              <w:rPr>
                <w:rFonts w:asciiTheme="minorEastAsia" w:hAnsiTheme="minorEastAsia" w:eastAsiaTheme="minorEastAsia"/>
                <w:b/>
                <w:color w:val="auto"/>
                <w:sz w:val="24"/>
                <w:szCs w:val="24"/>
                <w:highlight w:val="none"/>
              </w:rPr>
              <w:t xml:space="preserve">.1.2- 2 </w:t>
            </w:r>
            <w:r>
              <w:rPr>
                <w:rFonts w:hint="eastAsia" w:asciiTheme="minorEastAsia" w:hAnsiTheme="minorEastAsia" w:eastAsiaTheme="minorEastAsia"/>
                <w:color w:val="auto"/>
                <w:sz w:val="24"/>
                <w:szCs w:val="24"/>
                <w:highlight w:val="none"/>
              </w:rPr>
              <w:t>钦州外海</w:t>
            </w:r>
            <w:r>
              <w:rPr>
                <w:rFonts w:asciiTheme="minorEastAsia" w:hAnsiTheme="minorEastAsia" w:eastAsiaTheme="minorEastAsia"/>
                <w:b/>
                <w:color w:val="auto"/>
                <w:sz w:val="24"/>
                <w:szCs w:val="24"/>
                <w:highlight w:val="none"/>
              </w:rPr>
              <w:t>20m</w:t>
            </w:r>
            <w:r>
              <w:rPr>
                <w:rFonts w:hint="eastAsia" w:asciiTheme="minorEastAsia" w:hAnsiTheme="minorEastAsia" w:eastAsiaTheme="minorEastAsia"/>
                <w:color w:val="auto"/>
                <w:sz w:val="24"/>
                <w:szCs w:val="24"/>
                <w:highlight w:val="none"/>
              </w:rPr>
              <w:t>等深各向重现期波浪要素推荐</w:t>
            </w:r>
          </w:p>
          <w:p>
            <w:pPr>
              <w:pStyle w:val="3"/>
              <w:rPr>
                <w:color w:val="auto"/>
                <w:highlight w:val="none"/>
              </w:rPr>
            </w:pPr>
            <w:r>
              <w:rPr>
                <w:rFonts w:hint="eastAsia"/>
                <w:color w:val="auto"/>
                <w:highlight w:val="none"/>
              </w:rPr>
              <w:drawing>
                <wp:inline distT="0" distB="0" distL="0" distR="0">
                  <wp:extent cx="5756275" cy="2812415"/>
                  <wp:effectExtent l="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noChangeArrowheads="1"/>
                          </pic:cNvPicPr>
                        </pic:nvPicPr>
                        <pic:blipFill>
                          <a:blip r:embed="rId19"/>
                          <a:srcRect/>
                          <a:stretch>
                            <a:fillRect/>
                          </a:stretch>
                        </pic:blipFill>
                        <pic:spPr>
                          <a:xfrm>
                            <a:off x="0" y="0"/>
                            <a:ext cx="5756275" cy="2812415"/>
                          </a:xfrm>
                          <a:prstGeom prst="rect">
                            <a:avLst/>
                          </a:prstGeom>
                          <a:noFill/>
                          <a:ln w="9525">
                            <a:noFill/>
                            <a:miter lim="800000"/>
                            <a:headEnd/>
                            <a:tailEnd/>
                          </a:ln>
                        </pic:spPr>
                      </pic:pic>
                    </a:graphicData>
                  </a:graphic>
                </wp:inline>
              </w:drawing>
            </w:r>
          </w:p>
          <w:p>
            <w:pPr>
              <w:ind w:firstLine="472" w:firstLineChars="196"/>
              <w:rPr>
                <w:rFonts w:ascii="Times New Roman"/>
                <w:b/>
                <w:color w:val="auto"/>
                <w:sz w:val="24"/>
                <w:highlight w:val="none"/>
              </w:rPr>
            </w:pPr>
            <w:r>
              <w:rPr>
                <w:rFonts w:ascii="Times New Roman" w:hAnsi="Times New Roman"/>
                <w:b/>
                <w:color w:val="auto"/>
                <w:sz w:val="24"/>
                <w:highlight w:val="none"/>
              </w:rPr>
              <w:t>2.1.</w:t>
            </w:r>
            <w:r>
              <w:rPr>
                <w:rFonts w:hint="eastAsia" w:ascii="Times New Roman" w:hAnsi="Times New Roman"/>
                <w:b/>
                <w:color w:val="auto"/>
                <w:sz w:val="24"/>
                <w:highlight w:val="none"/>
              </w:rPr>
              <w:t>3</w:t>
            </w:r>
            <w:r>
              <w:rPr>
                <w:rFonts w:ascii="Times New Roman"/>
                <w:b/>
                <w:color w:val="auto"/>
                <w:sz w:val="24"/>
                <w:highlight w:val="none"/>
              </w:rPr>
              <w:t>地形地貌</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市北枕山地，南濒海洋，地势北高南低，地貌类型由北向南依次为山地、丘陵、台地、平原。钦州湾沿海地带，海岸线曲折，形成不少港湾、岛屿。大风江以西沿岸多为海蚀海岸，多为溺谷、岛屿，海岩陡峭，有天然良港——钦州港。</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湾位于中国南海北部湾湾顶，三面为低山丘陵环绕，湾口朝南，由内湾、外湾及连接两湾的潮汐通道组成。外湾以大庙墩和企沙为湾口的东西界，宽约26.4km。湾口至青菜头南北相距约为13km。内湾又称茅尾海，其长宽各13km，连接两湾的潮汐通道，由青菜头至樟木岭水域长715km。外湾共有东、中、西3条深槽。</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钦州湾海底地貌可分为河口沙坝，潮流脊和水下岸坡3种类型：</w:t>
            </w:r>
          </w:p>
          <w:p>
            <w:pPr>
              <w:spacing w:line="360" w:lineRule="auto"/>
              <w:ind w:firstLine="46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5"/>
                <w:sz w:val="24"/>
                <w:szCs w:val="24"/>
                <w:highlight w:val="none"/>
              </w:rPr>
              <w:t>（</w:t>
            </w:r>
            <w:r>
              <w:rPr>
                <w:rFonts w:hint="eastAsia" w:asciiTheme="minorEastAsia" w:hAnsiTheme="minorEastAsia" w:eastAsiaTheme="minorEastAsia"/>
                <w:color w:val="auto"/>
                <w:spacing w:val="-5"/>
                <w:sz w:val="24"/>
                <w:szCs w:val="24"/>
                <w:highlight w:val="none"/>
              </w:rPr>
              <w:t>1</w:t>
            </w:r>
            <w:r>
              <w:rPr>
                <w:rFonts w:asciiTheme="minorEastAsia" w:hAnsiTheme="minorEastAsia" w:eastAsiaTheme="minorEastAsia"/>
                <w:color w:val="auto"/>
                <w:spacing w:val="-5"/>
                <w:sz w:val="24"/>
                <w:szCs w:val="24"/>
                <w:highlight w:val="none"/>
              </w:rPr>
              <w:t>）河口沙坝</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分布于钦江、茅岭江等河口地带，是河流和潮流共同作用的产物。河口沙坝的存在常使河床或汊道河床进一步分汊。而茅岭江的河口规模较大，如紫沙、四方沙等，它的最大长度达2.3km，最大宽度约1km。长与宽比值为2.3～3.3，走向近南北向。有的狭而长，如马沙、石西沙等反映了潮流影响的存在。沙坝组成为中砂和细砂，分选性好到差，泥质含量占0%～14%，钛铁矿等重矿物含量占2.31%～2.72%.</w:t>
            </w:r>
          </w:p>
          <w:p>
            <w:pPr>
              <w:spacing w:line="360" w:lineRule="auto"/>
              <w:ind w:firstLine="46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5"/>
                <w:sz w:val="24"/>
                <w:szCs w:val="24"/>
                <w:highlight w:val="none"/>
              </w:rPr>
              <w:t>（</w:t>
            </w:r>
            <w:r>
              <w:rPr>
                <w:rFonts w:hint="eastAsia" w:asciiTheme="minorEastAsia" w:hAnsiTheme="minorEastAsia" w:eastAsiaTheme="minorEastAsia"/>
                <w:color w:val="auto"/>
                <w:spacing w:val="-5"/>
                <w:sz w:val="24"/>
                <w:szCs w:val="24"/>
                <w:highlight w:val="none"/>
              </w:rPr>
              <w:t>2</w:t>
            </w:r>
            <w:r>
              <w:rPr>
                <w:rFonts w:asciiTheme="minorEastAsia" w:hAnsiTheme="minorEastAsia" w:eastAsiaTheme="minorEastAsia"/>
                <w:color w:val="auto"/>
                <w:spacing w:val="-5"/>
                <w:sz w:val="24"/>
                <w:szCs w:val="24"/>
                <w:highlight w:val="none"/>
              </w:rPr>
              <w:t>）潮流</w:t>
            </w:r>
            <w:r>
              <w:rPr>
                <w:rFonts w:asciiTheme="minorEastAsia" w:hAnsiTheme="minorEastAsia" w:eastAsiaTheme="minorEastAsia"/>
                <w:color w:val="auto"/>
                <w:sz w:val="24"/>
                <w:szCs w:val="24"/>
                <w:highlight w:val="none"/>
              </w:rPr>
              <w:t>脊</w:t>
            </w:r>
          </w:p>
          <w:p>
            <w:pPr>
              <w:spacing w:line="360" w:lineRule="auto"/>
              <w:ind w:firstLine="488"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2"/>
                <w:sz w:val="24"/>
                <w:szCs w:val="24"/>
                <w:highlight w:val="none"/>
              </w:rPr>
              <w:t>钦州</w:t>
            </w:r>
            <w:r>
              <w:rPr>
                <w:rFonts w:asciiTheme="minorEastAsia" w:hAnsiTheme="minorEastAsia" w:eastAsiaTheme="minorEastAsia"/>
                <w:color w:val="auto"/>
                <w:sz w:val="24"/>
                <w:szCs w:val="24"/>
                <w:highlight w:val="none"/>
              </w:rPr>
              <w:t>外湾在涨、落潮的作用下，形成三槽四滩，即东槽、中槽、西槽与东滩、中滩I（东）、中滩II（西）、西滩的地貌总格局。浅滩中波状沙体的潮流脊广为分布，其延伸方向与潮流方向一致，常呈脊、槽（沟）相</w:t>
            </w:r>
            <w:r>
              <w:rPr>
                <w:rFonts w:asciiTheme="minorEastAsia" w:hAnsiTheme="minorEastAsia" w:eastAsiaTheme="minorEastAsia"/>
                <w:color w:val="auto"/>
                <w:spacing w:val="1"/>
                <w:sz w:val="24"/>
                <w:szCs w:val="24"/>
                <w:highlight w:val="none"/>
              </w:rPr>
              <w:t>间，平行排列成</w:t>
            </w:r>
            <w:r>
              <w:rPr>
                <w:rFonts w:asciiTheme="minorEastAsia" w:hAnsiTheme="minorEastAsia" w:eastAsiaTheme="minorEastAsia"/>
                <w:color w:val="auto"/>
                <w:spacing w:val="3"/>
                <w:sz w:val="24"/>
                <w:szCs w:val="24"/>
                <w:highlight w:val="none"/>
              </w:rPr>
              <w:t>指状伸展。规模较大的潮流脊，如老人沙长</w:t>
            </w:r>
            <w:r>
              <w:rPr>
                <w:rFonts w:asciiTheme="minorEastAsia" w:hAnsiTheme="minorEastAsia" w:eastAsiaTheme="minorEastAsia"/>
                <w:color w:val="auto"/>
                <w:spacing w:val="2"/>
                <w:sz w:val="24"/>
                <w:szCs w:val="24"/>
                <w:highlight w:val="none"/>
              </w:rPr>
              <w:t>7.5km</w:t>
            </w:r>
            <w:r>
              <w:rPr>
                <w:rFonts w:asciiTheme="minorEastAsia" w:hAnsiTheme="minorEastAsia" w:eastAsiaTheme="minorEastAsia"/>
                <w:color w:val="auto"/>
                <w:spacing w:val="-11"/>
                <w:sz w:val="24"/>
                <w:szCs w:val="24"/>
                <w:highlight w:val="none"/>
              </w:rPr>
              <w:t>，宽约</w:t>
            </w:r>
            <w:r>
              <w:rPr>
                <w:rFonts w:asciiTheme="minorEastAsia" w:hAnsiTheme="minorEastAsia" w:eastAsiaTheme="minorEastAsia"/>
                <w:color w:val="auto"/>
                <w:spacing w:val="2"/>
                <w:sz w:val="24"/>
                <w:szCs w:val="24"/>
                <w:highlight w:val="none"/>
              </w:rPr>
              <w:t>0.7km</w:t>
            </w:r>
            <w:r>
              <w:rPr>
                <w:rFonts w:asciiTheme="minorEastAsia" w:hAnsiTheme="minorEastAsia" w:eastAsiaTheme="minorEastAsia"/>
                <w:color w:val="auto"/>
                <w:spacing w:val="5"/>
                <w:sz w:val="24"/>
                <w:szCs w:val="24"/>
                <w:highlight w:val="none"/>
              </w:rPr>
              <w:t>，沙体走向为NNW</w:t>
            </w:r>
            <w:r>
              <w:rPr>
                <w:rFonts w:asciiTheme="minorEastAsia" w:hAnsiTheme="minorEastAsia" w:eastAsiaTheme="minorEastAsia"/>
                <w:color w:val="auto"/>
                <w:spacing w:val="1"/>
                <w:sz w:val="24"/>
                <w:szCs w:val="24"/>
                <w:highlight w:val="none"/>
              </w:rPr>
              <w:t>，低潮时露出水面，与相邻的沟槽水深相差</w:t>
            </w:r>
            <w:r>
              <w:rPr>
                <w:rFonts w:asciiTheme="minorEastAsia" w:hAnsiTheme="minorEastAsia" w:eastAsiaTheme="minorEastAsia"/>
                <w:color w:val="auto"/>
                <w:sz w:val="24"/>
                <w:szCs w:val="24"/>
                <w:highlight w:val="none"/>
              </w:rPr>
              <w:t>6～7m</w:t>
            </w:r>
            <w:r>
              <w:rPr>
                <w:rFonts w:asciiTheme="minorEastAsia" w:hAnsiTheme="minorEastAsia" w:eastAsiaTheme="minorEastAsia"/>
                <w:color w:val="auto"/>
                <w:spacing w:val="-2"/>
                <w:sz w:val="24"/>
                <w:szCs w:val="24"/>
                <w:highlight w:val="none"/>
              </w:rPr>
              <w:t>。老人沙两侧的潮流脊，</w:t>
            </w:r>
            <w:r>
              <w:rPr>
                <w:rFonts w:asciiTheme="minorEastAsia" w:hAnsiTheme="minorEastAsia" w:eastAsiaTheme="minorEastAsia"/>
                <w:color w:val="auto"/>
                <w:sz w:val="24"/>
                <w:szCs w:val="24"/>
                <w:highlight w:val="none"/>
              </w:rPr>
              <w:t>低潮时露出水面，脊槽相间排列呈辐射状分布。</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3</w:t>
            </w:r>
            <w:r>
              <w:rPr>
                <w:rFonts w:asciiTheme="minorEastAsia" w:hAnsiTheme="minorEastAsia" w:eastAsiaTheme="minorEastAsia"/>
                <w:color w:val="auto"/>
                <w:sz w:val="24"/>
                <w:szCs w:val="24"/>
                <w:highlight w:val="none"/>
              </w:rPr>
              <w:t>）水下岸坡</w:t>
            </w:r>
          </w:p>
          <w:p>
            <w:pPr>
              <w:spacing w:line="360" w:lineRule="auto"/>
              <w:ind w:firstLine="50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5"/>
                <w:sz w:val="24"/>
                <w:szCs w:val="24"/>
                <w:highlight w:val="none"/>
              </w:rPr>
              <w:t>大约分布在外湾</w:t>
            </w:r>
            <w:r>
              <w:rPr>
                <w:rFonts w:asciiTheme="minorEastAsia" w:hAnsiTheme="minorEastAsia" w:eastAsiaTheme="minorEastAsia"/>
                <w:color w:val="auto"/>
                <w:sz w:val="24"/>
                <w:szCs w:val="24"/>
                <w:highlight w:val="none"/>
              </w:rPr>
              <w:t>-5m等深线以外。水下岸坡宽度较窄，为0.6～1.0km</w:t>
            </w:r>
            <w:r>
              <w:rPr>
                <w:rFonts w:asciiTheme="minorEastAsia" w:hAnsiTheme="minorEastAsia" w:eastAsiaTheme="minorEastAsia"/>
                <w:color w:val="auto"/>
                <w:spacing w:val="3"/>
                <w:sz w:val="24"/>
                <w:szCs w:val="24"/>
                <w:highlight w:val="none"/>
              </w:rPr>
              <w:t>。其</w:t>
            </w:r>
            <w:r>
              <w:rPr>
                <w:rFonts w:asciiTheme="minorEastAsia" w:hAnsiTheme="minorEastAsia" w:eastAsiaTheme="minorEastAsia"/>
                <w:color w:val="auto"/>
                <w:spacing w:val="-4"/>
                <w:sz w:val="24"/>
                <w:szCs w:val="24"/>
                <w:highlight w:val="none"/>
              </w:rPr>
              <w:t>近岸坡度陡，一般为</w:t>
            </w:r>
            <w:r>
              <w:rPr>
                <w:rFonts w:asciiTheme="minorEastAsia" w:hAnsiTheme="minorEastAsia" w:eastAsiaTheme="minorEastAsia"/>
                <w:color w:val="auto"/>
                <w:sz w:val="24"/>
                <w:szCs w:val="24"/>
                <w:highlight w:val="none"/>
              </w:rPr>
              <w:t>0.2‰～1.0‰。</w:t>
            </w:r>
          </w:p>
          <w:p>
            <w:pPr>
              <w:pStyle w:val="3"/>
              <w:jc w:val="center"/>
              <w:rPr>
                <w:color w:val="auto"/>
                <w:highlight w:val="none"/>
              </w:rPr>
            </w:pPr>
            <w:r>
              <w:rPr>
                <w:color w:val="auto"/>
                <w:highlight w:val="none"/>
              </w:rPr>
              <w:drawing>
                <wp:inline distT="0" distB="0" distL="0" distR="0">
                  <wp:extent cx="4511675" cy="5486400"/>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jpeg"/>
                          <pic:cNvPicPr>
                            <a:picLocks noChangeAspect="1"/>
                          </pic:cNvPicPr>
                        </pic:nvPicPr>
                        <pic:blipFill>
                          <a:blip r:embed="rId20" cstate="print"/>
                          <a:stretch>
                            <a:fillRect/>
                          </a:stretch>
                        </pic:blipFill>
                        <pic:spPr>
                          <a:xfrm>
                            <a:off x="0" y="0"/>
                            <a:ext cx="4511741" cy="5486400"/>
                          </a:xfrm>
                          <a:prstGeom prst="rect">
                            <a:avLst/>
                          </a:prstGeom>
                        </pic:spPr>
                      </pic:pic>
                    </a:graphicData>
                  </a:graphic>
                </wp:inline>
              </w:drawing>
            </w:r>
          </w:p>
          <w:p>
            <w:pPr>
              <w:jc w:val="center"/>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图 2</w:t>
            </w:r>
            <w:r>
              <w:rPr>
                <w:rFonts w:asciiTheme="minorEastAsia" w:hAnsiTheme="minorEastAsia" w:eastAsiaTheme="minorEastAsia"/>
                <w:color w:val="auto"/>
                <w:sz w:val="24"/>
                <w:szCs w:val="24"/>
                <w:highlight w:val="none"/>
              </w:rPr>
              <w:t xml:space="preserve">.1.3-1 </w:t>
            </w:r>
            <w:r>
              <w:rPr>
                <w:rFonts w:hint="eastAsia" w:asciiTheme="minorEastAsia" w:hAnsiTheme="minorEastAsia" w:eastAsiaTheme="minorEastAsia"/>
                <w:color w:val="auto"/>
                <w:sz w:val="24"/>
                <w:szCs w:val="24"/>
                <w:highlight w:val="none"/>
              </w:rPr>
              <w:t>钦州湾海底地貌类型</w:t>
            </w:r>
          </w:p>
          <w:p>
            <w:pPr>
              <w:ind w:firstLine="472" w:firstLineChars="196"/>
              <w:rPr>
                <w:rFonts w:ascii="Times New Roman" w:hAnsi="Times New Roman"/>
                <w:b/>
                <w:color w:val="auto"/>
                <w:sz w:val="24"/>
                <w:highlight w:val="none"/>
              </w:rPr>
            </w:pPr>
            <w:r>
              <w:rPr>
                <w:rFonts w:hint="eastAsia" w:ascii="Times New Roman" w:hAnsi="Times New Roman"/>
                <w:b/>
                <w:color w:val="auto"/>
                <w:sz w:val="24"/>
                <w:highlight w:val="none"/>
              </w:rPr>
              <w:t>2.1.4</w:t>
            </w:r>
            <w:r>
              <w:rPr>
                <w:rFonts w:ascii="Times New Roman" w:hAnsi="Times New Roman"/>
                <w:b/>
                <w:color w:val="auto"/>
                <w:sz w:val="24"/>
                <w:highlight w:val="none"/>
              </w:rPr>
              <w:t>工程地质</w:t>
            </w:r>
          </w:p>
          <w:p>
            <w:pPr>
              <w:ind w:firstLine="472" w:firstLineChars="196"/>
              <w:rPr>
                <w:rFonts w:ascii="Times New Roman" w:hAnsi="Times New Roman"/>
                <w:b/>
                <w:color w:val="auto"/>
                <w:sz w:val="24"/>
                <w:highlight w:val="none"/>
              </w:rPr>
            </w:pPr>
            <w:r>
              <w:rPr>
                <w:rFonts w:hint="eastAsia" w:ascii="Times New Roman" w:hAnsi="Times New Roman"/>
                <w:b/>
                <w:color w:val="auto"/>
                <w:sz w:val="24"/>
                <w:highlight w:val="none"/>
              </w:rPr>
              <w:t>2.1.4.1</w:t>
            </w:r>
            <w:r>
              <w:rPr>
                <w:rFonts w:ascii="Times New Roman" w:hAnsi="Times New Roman"/>
                <w:b/>
                <w:color w:val="auto"/>
                <w:sz w:val="24"/>
                <w:highlight w:val="none"/>
              </w:rPr>
              <w:t>区域构造</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钦州市位于南岭纬向构造与新华夏系第二沉降带西南端的复合地带，区域内褶皱、断裂构造发育，并具明显的分带性，自西北向东南划分为十万大山盆地、小董—防城褶断带和那丽复背斜等三个构造区。</w:t>
            </w:r>
          </w:p>
          <w:p>
            <w:pPr>
              <w:spacing w:line="360" w:lineRule="auto"/>
              <w:ind w:firstLine="480" w:firstLineChars="200"/>
              <w:jc w:val="left"/>
              <w:rPr>
                <w:rFonts w:ascii="Times New Roman" w:hAnsi="Times New Roman"/>
                <w:b/>
                <w:color w:val="auto"/>
                <w:sz w:val="24"/>
                <w:highlight w:val="none"/>
              </w:rPr>
            </w:pPr>
            <w:r>
              <w:rPr>
                <w:rFonts w:hint="eastAsia" w:asciiTheme="minorEastAsia" w:hAnsiTheme="minorEastAsia" w:eastAsiaTheme="minorEastAsia"/>
                <w:color w:val="auto"/>
                <w:sz w:val="24"/>
                <w:szCs w:val="24"/>
                <w:highlight w:val="none"/>
              </w:rPr>
              <w:t>钦州市地壳演变经历了“地槽”和</w:t>
            </w:r>
            <w:r>
              <w:rPr>
                <w:rFonts w:hint="eastAsia" w:asciiTheme="minorEastAsia" w:hAnsiTheme="minorEastAsia" w:eastAsiaTheme="minorEastAsia"/>
                <w:color w:val="auto"/>
                <w:spacing w:val="-5"/>
                <w:sz w:val="24"/>
                <w:szCs w:val="24"/>
                <w:highlight w:val="none"/>
              </w:rPr>
              <w:t>“地台”</w:t>
            </w:r>
            <w:r>
              <w:rPr>
                <w:rFonts w:hint="eastAsia" w:asciiTheme="minorEastAsia" w:hAnsiTheme="minorEastAsia" w:eastAsiaTheme="minorEastAsia"/>
                <w:color w:val="auto"/>
                <w:sz w:val="24"/>
                <w:szCs w:val="24"/>
                <w:highlight w:val="none"/>
              </w:rPr>
              <w:t>两个发展阶段。在4亿年前的早古生代，境内长期沉没于海水之中，地壳在缓慢变动。早泥盆世末(约3.8亿年前)，百越运动使东南部长期隆起。二迭世末，东吴运动使西北部地区垂直隆起，初步形成北东向的小董—防城褶断带。到晚三迭世末期(距今2.04亿年)印支运动继承和发展了华力西期的构造，强烈的褶皱使全市隆起成陆。晚侏罗世至中生代末，受燕山运动影响，岩层发生强烈的断裂和微褶，奠定了钦州市现代的地貌轮廓。到第四纪，境内现代地貌的山川地势形成，但地壳还在不断波动、上升，并遭受河流和海洋的侵蚀、切割，北东向构造活动带仍继续活跃，中部一带地震不断。</w:t>
            </w:r>
            <w:r>
              <w:rPr>
                <w:rFonts w:hint="eastAsia" w:asciiTheme="minorEastAsia" w:hAnsiTheme="minorEastAsia" w:eastAsiaTheme="minorEastAsia"/>
                <w:color w:val="auto"/>
                <w:sz w:val="24"/>
                <w:szCs w:val="24"/>
                <w:highlight w:val="none"/>
              </w:rPr>
              <w:cr/>
            </w:r>
            <w:r>
              <w:rPr>
                <w:rFonts w:hint="eastAsia" w:asciiTheme="minorEastAsia" w:hAnsiTheme="minorEastAsia" w:eastAsiaTheme="minorEastAsia"/>
                <w:b/>
                <w:color w:val="auto"/>
                <w:sz w:val="24"/>
                <w:szCs w:val="24"/>
                <w:highlight w:val="none"/>
              </w:rPr>
              <w:t xml:space="preserve">    2.1.4.2</w:t>
            </w:r>
            <w:r>
              <w:rPr>
                <w:rFonts w:ascii="Times New Roman" w:hAnsi="Times New Roman"/>
                <w:b/>
                <w:color w:val="auto"/>
                <w:sz w:val="24"/>
                <w:highlight w:val="none"/>
              </w:rPr>
              <w:t>岩土层分布及工程地质</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钦州市地层发育较全，从志留系至第四系均有出露，以志留系、侏罗系、第四系分布最广，二迭系、泥盆系、白垩系次之。</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据区域地质资料，地层岩性有第四系、侏罗系和志留系，从上至下分述为第四系全新统海相沉积层、第四系全新统海漫滩堆积、侏罗系、志留系、黄色、灰黄色砂岩、粉砂岩、泥质粉砂岩和页岩。沉积物主要来源于冰后期海水、波浪侵蚀台地后退的产物及片流冲刷、切割花岗岩风化红土层带来的物质，而来自东面大风江河口湾及外海的物质很少，泥沙来源是十分有限的。</w:t>
            </w:r>
          </w:p>
          <w:p>
            <w:pPr>
              <w:ind w:firstLine="472" w:firstLineChars="196"/>
              <w:rPr>
                <w:rFonts w:ascii="Times New Roman" w:hAnsi="Times New Roman"/>
                <w:b/>
                <w:color w:val="auto"/>
                <w:sz w:val="24"/>
                <w:highlight w:val="none"/>
              </w:rPr>
            </w:pPr>
            <w:r>
              <w:rPr>
                <w:rFonts w:hint="eastAsia" w:ascii="Times New Roman" w:hAnsi="Times New Roman"/>
                <w:b/>
                <w:color w:val="auto"/>
                <w:sz w:val="24"/>
                <w:highlight w:val="none"/>
              </w:rPr>
              <w:t>2.1.4.3</w:t>
            </w:r>
            <w:r>
              <w:rPr>
                <w:rFonts w:ascii="Times New Roman" w:hAnsi="Times New Roman"/>
                <w:b/>
                <w:color w:val="auto"/>
                <w:sz w:val="24"/>
                <w:highlight w:val="none"/>
              </w:rPr>
              <w:t>工程地质条件评价</w:t>
            </w:r>
          </w:p>
          <w:p>
            <w:pPr>
              <w:spacing w:line="360" w:lineRule="auto"/>
              <w:ind w:firstLine="488"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pacing w:val="2"/>
                <w:sz w:val="24"/>
                <w:szCs w:val="24"/>
                <w:highlight w:val="none"/>
              </w:rPr>
              <w:t>据区域地质构</w:t>
            </w:r>
            <w:r>
              <w:rPr>
                <w:rFonts w:asciiTheme="minorEastAsia" w:hAnsiTheme="minorEastAsia" w:eastAsiaTheme="minorEastAsia"/>
                <w:color w:val="auto"/>
                <w:sz w:val="24"/>
                <w:szCs w:val="24"/>
                <w:highlight w:val="none"/>
              </w:rPr>
              <w:t>造资料，场地及其附近无大的活动断裂、构造通过，未见有崩塌、滑坡、泥石</w:t>
            </w:r>
            <w:r>
              <w:rPr>
                <w:rFonts w:asciiTheme="minorEastAsia" w:hAnsiTheme="minorEastAsia" w:eastAsiaTheme="minorEastAsia"/>
                <w:color w:val="auto"/>
                <w:spacing w:val="-6"/>
                <w:sz w:val="24"/>
                <w:szCs w:val="24"/>
                <w:highlight w:val="none"/>
              </w:rPr>
              <w:t>流等不良地质作用现象，不存在岩溶作用，也未见有开采活动，不会产生地面</w:t>
            </w:r>
            <w:r>
              <w:rPr>
                <w:rFonts w:asciiTheme="minorEastAsia" w:hAnsiTheme="minorEastAsia" w:eastAsiaTheme="minorEastAsia"/>
                <w:color w:val="auto"/>
                <w:spacing w:val="-8"/>
                <w:sz w:val="24"/>
                <w:szCs w:val="24"/>
                <w:highlight w:val="none"/>
              </w:rPr>
              <w:t>塌陷、采空区等地质灾害。综合评价场地稳定性总体较好。</w:t>
            </w:r>
          </w:p>
          <w:p>
            <w:pPr>
              <w:spacing w:line="360" w:lineRule="auto"/>
              <w:ind w:firstLine="482" w:firstLineChars="200"/>
              <w:jc w:val="left"/>
              <w:rPr>
                <w:rFonts w:ascii="Times New Roman" w:hAnsi="Times New Roman"/>
                <w:b/>
                <w:color w:val="auto"/>
                <w:sz w:val="24"/>
                <w:highlight w:val="none"/>
              </w:rPr>
            </w:pPr>
            <w:r>
              <w:rPr>
                <w:rFonts w:hint="eastAsia" w:ascii="Times New Roman" w:hAnsi="Times New Roman"/>
                <w:b/>
                <w:color w:val="auto"/>
                <w:sz w:val="24"/>
                <w:highlight w:val="none"/>
              </w:rPr>
              <w:t>2.1.4.4</w:t>
            </w:r>
            <w:r>
              <w:rPr>
                <w:rFonts w:ascii="Times New Roman" w:hAnsi="Times New Roman"/>
                <w:b/>
                <w:color w:val="auto"/>
                <w:sz w:val="24"/>
                <w:highlight w:val="none"/>
              </w:rPr>
              <w:t>工程泥沙</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1</w:t>
            </w:r>
            <w:r>
              <w:rPr>
                <w:rFonts w:asciiTheme="minorEastAsia" w:hAnsiTheme="minorEastAsia" w:eastAsiaTheme="minorEastAsia"/>
                <w:color w:val="auto"/>
                <w:sz w:val="24"/>
                <w:szCs w:val="24"/>
                <w:highlight w:val="none"/>
              </w:rPr>
              <w:t>）泥沙</w:t>
            </w:r>
            <w:r>
              <w:rPr>
                <w:rFonts w:asciiTheme="minorEastAsia" w:hAnsiTheme="minorEastAsia" w:eastAsiaTheme="minorEastAsia"/>
                <w:color w:val="auto"/>
                <w:spacing w:val="-5"/>
                <w:sz w:val="24"/>
                <w:szCs w:val="24"/>
                <w:highlight w:val="none"/>
              </w:rPr>
              <w:t>来源</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钦州湾悬沙</w:t>
            </w:r>
            <w:r>
              <w:rPr>
                <w:rFonts w:asciiTheme="minorEastAsia" w:hAnsiTheme="minorEastAsia" w:eastAsiaTheme="minorEastAsia"/>
                <w:color w:val="auto"/>
                <w:spacing w:val="-5"/>
                <w:sz w:val="24"/>
                <w:szCs w:val="24"/>
                <w:highlight w:val="none"/>
              </w:rPr>
              <w:t>来源</w:t>
            </w:r>
            <w:r>
              <w:rPr>
                <w:rFonts w:asciiTheme="minorEastAsia" w:hAnsiTheme="minorEastAsia" w:eastAsiaTheme="minorEastAsia"/>
                <w:color w:val="auto"/>
                <w:sz w:val="24"/>
                <w:szCs w:val="24"/>
                <w:highlight w:val="none"/>
              </w:rPr>
              <w:t>有陆相来沙和海相来沙两方面。</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陆相来沙数量主要依赖于注入钦州湾的径流输沙量的大小。入湾江河来沙量表现出明显的季节性变化，夏季大冬季小。以注入茅尾海的钦江为例，夏季输沙年均30.14万吨，冬季输沙年均仅为0.52万吨。茅尾海实际上为以钦江、茅岭江为主要入湾径流的共同河口海滨区，入注径流受到潮汐通道的海水顶托并与之混合，所携悬沙大部分沉积在茅尾海及内湾，而不易向外湾及湾外海区扩散。</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浅海区域的泥沙以海相来沙为主。夏季盛行偏南风（向岸），波浪掀沙作用在浅海区域较为强烈，风浪可影响海底而掀动泥沙，在风浪及潮流的共同作用下，形成含沙量较高的水体并使泥沙不断向近岸输移；冬季盛行偏北风（离岸），波浪掀沙作用较弱，水体含沙量明显小于夏季，其值相差一个量级。另外，以潮流脊（</w:t>
            </w:r>
            <w:r>
              <w:rPr>
                <w:rFonts w:asciiTheme="minorEastAsia" w:hAnsiTheme="minorEastAsia" w:eastAsiaTheme="minorEastAsia"/>
                <w:color w:val="auto"/>
                <w:spacing w:val="4"/>
                <w:sz w:val="24"/>
                <w:szCs w:val="24"/>
                <w:highlight w:val="none"/>
              </w:rPr>
              <w:t>槽）</w:t>
            </w:r>
            <w:r>
              <w:rPr>
                <w:rFonts w:asciiTheme="minorEastAsia" w:hAnsiTheme="minorEastAsia" w:eastAsiaTheme="minorEastAsia"/>
                <w:color w:val="auto"/>
                <w:sz w:val="24"/>
                <w:szCs w:val="24"/>
                <w:highlight w:val="none"/>
              </w:rPr>
              <w:t>体系</w:t>
            </w:r>
            <w:r>
              <w:rPr>
                <w:rFonts w:asciiTheme="minorEastAsia" w:hAnsiTheme="minorEastAsia" w:eastAsiaTheme="minorEastAsia"/>
                <w:color w:val="auto"/>
                <w:spacing w:val="-5"/>
                <w:sz w:val="24"/>
                <w:szCs w:val="24"/>
                <w:highlight w:val="none"/>
              </w:rPr>
              <w:t>为主</w:t>
            </w:r>
            <w:r>
              <w:rPr>
                <w:rFonts w:asciiTheme="minorEastAsia" w:hAnsiTheme="minorEastAsia" w:eastAsiaTheme="minorEastAsia"/>
                <w:color w:val="auto"/>
                <w:sz w:val="24"/>
                <w:szCs w:val="24"/>
                <w:highlight w:val="none"/>
              </w:rPr>
              <w:t>的水下浅滩和近岸浅滩，其床面物质中的细颗粒成份在（风）浪、潮作用下，亦可被</w:t>
            </w:r>
            <w:r>
              <w:rPr>
                <w:rFonts w:asciiTheme="minorEastAsia" w:hAnsiTheme="minorEastAsia" w:eastAsiaTheme="minorEastAsia"/>
                <w:color w:val="auto"/>
                <w:spacing w:val="-5"/>
                <w:sz w:val="24"/>
                <w:szCs w:val="24"/>
                <w:highlight w:val="none"/>
              </w:rPr>
              <w:t>掀动</w:t>
            </w:r>
            <w:r>
              <w:rPr>
                <w:rFonts w:asciiTheme="minorEastAsia" w:hAnsiTheme="minorEastAsia" w:eastAsiaTheme="minorEastAsia"/>
                <w:color w:val="auto"/>
                <w:sz w:val="24"/>
                <w:szCs w:val="24"/>
                <w:highlight w:val="none"/>
              </w:rPr>
              <w:t>并随潮流迁移。</w:t>
            </w:r>
          </w:p>
          <w:p>
            <w:pPr>
              <w:spacing w:line="360" w:lineRule="auto"/>
              <w:ind w:firstLine="488"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pacing w:val="2"/>
                <w:sz w:val="24"/>
                <w:szCs w:val="24"/>
                <w:highlight w:val="none"/>
              </w:rPr>
              <w:t>项目所在</w:t>
            </w:r>
            <w:r>
              <w:rPr>
                <w:rFonts w:asciiTheme="minorEastAsia" w:hAnsiTheme="minorEastAsia" w:eastAsiaTheme="minorEastAsia"/>
                <w:color w:val="auto"/>
                <w:spacing w:val="2"/>
                <w:sz w:val="24"/>
                <w:szCs w:val="24"/>
                <w:highlight w:val="none"/>
              </w:rPr>
              <w:t>海区属开放型海区，海区沉积物主要来源于冰后期海水、波浪侵蚀</w:t>
            </w:r>
            <w:r>
              <w:rPr>
                <w:rFonts w:asciiTheme="minorEastAsia" w:hAnsiTheme="minorEastAsia" w:eastAsiaTheme="minorEastAsia"/>
                <w:color w:val="auto"/>
                <w:sz w:val="24"/>
                <w:szCs w:val="24"/>
                <w:highlight w:val="none"/>
              </w:rPr>
              <w:t>台地后退的产物及片流冲刷、切割花岗岩风化红土层带来的物质，东侧的大风</w:t>
            </w:r>
            <w:r>
              <w:rPr>
                <w:rFonts w:asciiTheme="minorEastAsia" w:hAnsiTheme="minorEastAsia" w:eastAsiaTheme="minorEastAsia"/>
                <w:color w:val="auto"/>
                <w:spacing w:val="-4"/>
                <w:sz w:val="24"/>
                <w:szCs w:val="24"/>
                <w:highlight w:val="none"/>
              </w:rPr>
              <w:t>江河口湾有大风江入注，大风江年径流量为</w:t>
            </w:r>
            <w:r>
              <w:rPr>
                <w:rFonts w:asciiTheme="minorEastAsia" w:hAnsiTheme="minorEastAsia" w:eastAsiaTheme="minorEastAsia"/>
                <w:color w:val="auto"/>
                <w:sz w:val="24"/>
                <w:szCs w:val="24"/>
                <w:highlight w:val="none"/>
              </w:rPr>
              <w:t>5.9</w:t>
            </w:r>
            <w:r>
              <w:rPr>
                <w:rFonts w:asciiTheme="minorEastAsia" w:hAnsiTheme="minorEastAsia" w:eastAsiaTheme="minorEastAsia"/>
                <w:color w:val="auto"/>
                <w:spacing w:val="-31"/>
                <w:sz w:val="24"/>
                <w:szCs w:val="24"/>
                <w:highlight w:val="none"/>
              </w:rPr>
              <w:t>亿</w:t>
            </w:r>
            <w:r>
              <w:rPr>
                <w:rFonts w:asciiTheme="minorEastAsia" w:hAnsiTheme="minorEastAsia" w:eastAsiaTheme="minorEastAsia"/>
                <w:color w:val="auto"/>
                <w:sz w:val="24"/>
                <w:szCs w:val="24"/>
                <w:highlight w:val="none"/>
              </w:rPr>
              <w:t>m³</w:t>
            </w:r>
            <w:r>
              <w:rPr>
                <w:rFonts w:asciiTheme="minorEastAsia" w:hAnsiTheme="minorEastAsia" w:eastAsiaTheme="minorEastAsia"/>
                <w:color w:val="auto"/>
                <w:spacing w:val="-8"/>
                <w:sz w:val="24"/>
                <w:szCs w:val="24"/>
                <w:highlight w:val="none"/>
              </w:rPr>
              <w:t>，年均输沙量为</w:t>
            </w:r>
            <w:r>
              <w:rPr>
                <w:rFonts w:asciiTheme="minorEastAsia" w:hAnsiTheme="minorEastAsia" w:eastAsiaTheme="minorEastAsia"/>
                <w:color w:val="auto"/>
                <w:sz w:val="24"/>
                <w:szCs w:val="24"/>
                <w:highlight w:val="none"/>
              </w:rPr>
              <w:t>11.77</w:t>
            </w:r>
            <w:r>
              <w:rPr>
                <w:rFonts w:asciiTheme="minorEastAsia" w:hAnsiTheme="minorEastAsia" w:eastAsiaTheme="minorEastAsia"/>
                <w:color w:val="auto"/>
                <w:spacing w:val="-31"/>
                <w:sz w:val="24"/>
                <w:szCs w:val="24"/>
                <w:highlight w:val="none"/>
              </w:rPr>
              <w:t>万</w:t>
            </w:r>
            <w:r>
              <w:rPr>
                <w:rFonts w:asciiTheme="minorEastAsia" w:hAnsiTheme="minorEastAsia" w:eastAsiaTheme="minorEastAsia"/>
                <w:color w:val="auto"/>
                <w:sz w:val="24"/>
                <w:szCs w:val="24"/>
                <w:highlight w:val="none"/>
              </w:rPr>
              <w:t>t</w:t>
            </w:r>
            <w:r>
              <w:rPr>
                <w:rFonts w:asciiTheme="minorEastAsia" w:hAnsiTheme="minorEastAsia" w:eastAsiaTheme="minorEastAsia"/>
                <w:color w:val="auto"/>
                <w:spacing w:val="-16"/>
                <w:sz w:val="24"/>
                <w:szCs w:val="24"/>
                <w:highlight w:val="none"/>
              </w:rPr>
              <w:t>。</w:t>
            </w:r>
            <w:r>
              <w:rPr>
                <w:rFonts w:asciiTheme="minorEastAsia" w:hAnsiTheme="minorEastAsia" w:eastAsiaTheme="minorEastAsia"/>
                <w:color w:val="auto"/>
                <w:sz w:val="24"/>
                <w:szCs w:val="24"/>
                <w:highlight w:val="none"/>
              </w:rPr>
              <w:t>大风江径流带来的泥沙数量很少，河口湾口门发育的大面积砂质潮间浅滩和拦门沙体是冰后期海水侵入陆域台地后，在长期风、浪、流共同作用下的分选形成的。</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根据水动力条件以及水下地貌形态的综合分析，本海区流场内的细颗粒物质泥沙运动受潮流控制，涨潮时悬沙由西南海区向东北海区运移，落潮时悬沙由东北海区向西南海区输送并进入浅海区，而位于近岸浅水区的粗颗粒物质，在西南偏南向波浪的作用下垂直海岸作横向运动。</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2</w:t>
            </w:r>
            <w:r>
              <w:rPr>
                <w:rFonts w:asciiTheme="minorEastAsia" w:hAnsiTheme="minorEastAsia" w:eastAsiaTheme="minorEastAsia"/>
                <w:color w:val="auto"/>
                <w:sz w:val="24"/>
                <w:szCs w:val="24"/>
                <w:highlight w:val="none"/>
              </w:rPr>
              <w:t>）底质（</w:t>
            </w:r>
            <w:r>
              <w:rPr>
                <w:rFonts w:asciiTheme="minorEastAsia" w:hAnsiTheme="minorEastAsia" w:eastAsiaTheme="minorEastAsia"/>
                <w:color w:val="auto"/>
                <w:spacing w:val="-5"/>
                <w:sz w:val="24"/>
                <w:szCs w:val="24"/>
                <w:highlight w:val="none"/>
              </w:rPr>
              <w:t>表层</w:t>
            </w:r>
            <w:r>
              <w:rPr>
                <w:rFonts w:asciiTheme="minorEastAsia" w:hAnsiTheme="minorEastAsia" w:eastAsiaTheme="minorEastAsia"/>
                <w:color w:val="auto"/>
                <w:sz w:val="24"/>
                <w:szCs w:val="24"/>
                <w:highlight w:val="none"/>
              </w:rPr>
              <w:t>沉积物）</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钦州湾内湾（茅尾海）自湾顶向海沉积物逐渐变粗，由沙质泥变为泥质沙，再过渡为粉细砂和中粗砂。湾颈地区中部为粗沙和极粗沙，甚至基岩裸露于湾底，湾颈两侧的小湾内往往角砾上覆盖泥质。湾口处的拦门沙主要是海侵残积物，由细沙夹淤泥组成。外湾沙体呈长形，顺潮流展布，系典型潮流脊（槽）体系。湾口东侧基岩出露海底，无沉积区，含砾粗沙分布较为广泛，海岸侵蚀后退。湾口西侧沉积偏细，以细沙、中细沙为主，低潮时沙体往往出露水面，沿岸存在多列沙堤。</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由钦州湾表层沉积物分布图可以看出，工程区海底表层沉积物主要以砂为主，粘土部分主要来自鹿耳环江和大风江，主要分布在5m以浅的大部分区域。</w:t>
            </w:r>
          </w:p>
          <w:p>
            <w:pPr>
              <w:spacing w:line="360" w:lineRule="auto"/>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drawing>
                <wp:inline distT="0" distB="0" distL="0" distR="0">
                  <wp:extent cx="5716270" cy="455041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
                          <a:srcRect/>
                          <a:stretch>
                            <a:fillRect/>
                          </a:stretch>
                        </pic:blipFill>
                        <pic:spPr>
                          <a:xfrm>
                            <a:off x="0" y="0"/>
                            <a:ext cx="5719280" cy="4552891"/>
                          </a:xfrm>
                          <a:prstGeom prst="rect">
                            <a:avLst/>
                          </a:prstGeom>
                          <a:noFill/>
                        </pic:spPr>
                      </pic:pic>
                    </a:graphicData>
                  </a:graphic>
                </wp:inline>
              </w:drawing>
            </w:r>
          </w:p>
          <w:p>
            <w:pPr>
              <w:pStyle w:val="3"/>
              <w:jc w:val="center"/>
              <w:rPr>
                <w:color w:val="auto"/>
                <w:highlight w:val="none"/>
              </w:rPr>
            </w:pPr>
            <w:r>
              <w:rPr>
                <w:rFonts w:hint="eastAsia" w:ascii="Microsoft JhengHei" w:eastAsia="Microsoft JhengHei"/>
                <w:b w:val="0"/>
                <w:color w:val="auto"/>
                <w:sz w:val="21"/>
                <w:highlight w:val="none"/>
              </w:rPr>
              <w:t xml:space="preserve">图 </w:t>
            </w:r>
            <w:r>
              <w:rPr>
                <w:rFonts w:eastAsia="Times New Roman"/>
                <w:b w:val="0"/>
                <w:color w:val="auto"/>
                <w:sz w:val="21"/>
                <w:highlight w:val="none"/>
              </w:rPr>
              <w:t xml:space="preserve">3.1.4-1 </w:t>
            </w:r>
            <w:r>
              <w:rPr>
                <w:rFonts w:hint="eastAsia" w:ascii="Microsoft JhengHei" w:eastAsia="Microsoft JhengHei"/>
                <w:b w:val="0"/>
                <w:color w:val="auto"/>
                <w:sz w:val="21"/>
                <w:highlight w:val="none"/>
              </w:rPr>
              <w:t>钦州湾表层沉积物类型分布（张伯虎等，</w:t>
            </w:r>
            <w:r>
              <w:rPr>
                <w:rFonts w:eastAsia="Times New Roman"/>
                <w:b w:val="0"/>
                <w:color w:val="auto"/>
                <w:sz w:val="21"/>
                <w:highlight w:val="none"/>
              </w:rPr>
              <w:t>2011</w:t>
            </w:r>
            <w:r>
              <w:rPr>
                <w:rFonts w:hint="eastAsia" w:ascii="Microsoft JhengHei" w:eastAsia="Microsoft JhengHei"/>
                <w:b w:val="0"/>
                <w:color w:val="auto"/>
                <w:sz w:val="21"/>
                <w:highlight w:val="none"/>
              </w:rPr>
              <w:t>）</w:t>
            </w:r>
          </w:p>
          <w:p>
            <w:pPr>
              <w:spacing w:line="360" w:lineRule="auto"/>
              <w:ind w:firstLine="480" w:firstLineChars="200"/>
              <w:jc w:val="left"/>
              <w:rPr>
                <w:color w:val="auto"/>
                <w:highlight w:val="none"/>
              </w:rPr>
            </w:pPr>
            <w:r>
              <w:rPr>
                <w:color w:val="auto"/>
                <w:sz w:val="24"/>
                <w:highlight w:val="none"/>
              </w:rPr>
              <w:t>（</w:t>
            </w:r>
            <w:r>
              <w:rPr>
                <w:rFonts w:hint="eastAsia"/>
                <w:color w:val="auto"/>
                <w:sz w:val="24"/>
                <w:highlight w:val="none"/>
              </w:rPr>
              <w:t>3</w:t>
            </w:r>
            <w:r>
              <w:rPr>
                <w:color w:val="auto"/>
                <w:sz w:val="24"/>
                <w:highlight w:val="none"/>
              </w:rPr>
              <w:t>）泥沙运移</w:t>
            </w:r>
          </w:p>
          <w:p>
            <w:pPr>
              <w:spacing w:line="360" w:lineRule="auto"/>
              <w:ind w:firstLine="480" w:firstLineChars="200"/>
              <w:jc w:val="left"/>
              <w:rPr>
                <w:b/>
                <w:color w:val="auto"/>
                <w:sz w:val="24"/>
                <w:szCs w:val="24"/>
                <w:highlight w:val="none"/>
              </w:rPr>
            </w:pPr>
            <w:r>
              <w:rPr>
                <w:rFonts w:hint="eastAsia"/>
                <w:color w:val="auto"/>
                <w:sz w:val="24"/>
                <w:szCs w:val="24"/>
                <w:highlight w:val="none"/>
              </w:rPr>
              <w:t>泥沙运移受水动力、物质来源、地形地貌条件所控制。项目所在海区海底地形较为平缓，微向海方向倾斜，水深较浅，受季风影响明显，一年中夏半年盛行偏南—西南风，冬半年盛行偏北—东北季风最多，且为主导的常风向和强风向，风向与浪向基本一致。然而，该海区北面靠陆地，作用于海区波浪主要为西南向浪。再从潮流流场特征分析，涨潮流偏北—东北向运动，落潮流偏南—西南向运动，落潮流速大于涨潮流速，余流方向与落潮方向一致，向西南方向运动。因此，根据水动力条件以及水下地貌形态的综合分析，本海区流场内的细颗粒物质泥沙运动受潮流控制，涨潮时悬沙由西南海区向东北海区运移，落潮时悬沙由东北海区向西南海区输送并进入浅海区，而位于近岸浅水区的粗颗粒物质，在西南偏南向波浪的作用下垂直海岸作横向运动。</w:t>
            </w:r>
            <w:r>
              <w:rPr>
                <w:rFonts w:hint="eastAsia"/>
                <w:color w:val="auto"/>
                <w:sz w:val="24"/>
                <w:szCs w:val="24"/>
                <w:highlight w:val="none"/>
              </w:rPr>
              <w:cr/>
            </w:r>
            <w:r>
              <w:rPr>
                <w:rFonts w:ascii="Times New Roman" w:hAnsi="Times New Roman"/>
                <w:b/>
                <w:color w:val="auto"/>
                <w:sz w:val="24"/>
                <w:szCs w:val="24"/>
                <w:highlight w:val="none"/>
              </w:rPr>
              <w:t>2.1.</w:t>
            </w:r>
            <w:r>
              <w:rPr>
                <w:rFonts w:hint="eastAsia" w:ascii="Times New Roman" w:hAnsi="Times New Roman"/>
                <w:b/>
                <w:color w:val="auto"/>
                <w:sz w:val="24"/>
                <w:szCs w:val="24"/>
                <w:highlight w:val="none"/>
              </w:rPr>
              <w:t>5</w:t>
            </w:r>
            <w:r>
              <w:rPr>
                <w:rFonts w:ascii="Times New Roman"/>
                <w:b/>
                <w:color w:val="auto"/>
                <w:sz w:val="24"/>
                <w:szCs w:val="24"/>
                <w:highlight w:val="none"/>
              </w:rPr>
              <w:t>自</w:t>
            </w:r>
            <w:r>
              <w:rPr>
                <w:b/>
                <w:color w:val="auto"/>
                <w:sz w:val="24"/>
                <w:szCs w:val="24"/>
                <w:highlight w:val="none"/>
              </w:rPr>
              <w:t>然灾害</w:t>
            </w:r>
          </w:p>
          <w:p>
            <w:pPr>
              <w:spacing w:line="360" w:lineRule="auto"/>
              <w:ind w:firstLine="480" w:firstLineChars="200"/>
              <w:jc w:val="left"/>
              <w:rPr>
                <w:color w:val="auto"/>
                <w:sz w:val="24"/>
                <w:szCs w:val="24"/>
                <w:highlight w:val="none"/>
              </w:rPr>
            </w:pPr>
            <w:r>
              <w:rPr>
                <w:rFonts w:ascii="Times New Roman"/>
                <w:color w:val="auto"/>
                <w:sz w:val="24"/>
                <w:szCs w:val="24"/>
                <w:highlight w:val="none"/>
              </w:rPr>
              <w:t>（</w:t>
            </w:r>
            <w:r>
              <w:rPr>
                <w:rFonts w:ascii="Times New Roman" w:hAnsi="Times New Roman"/>
                <w:color w:val="auto"/>
                <w:sz w:val="24"/>
                <w:szCs w:val="24"/>
                <w:highlight w:val="none"/>
              </w:rPr>
              <w:t>1</w:t>
            </w:r>
            <w:r>
              <w:rPr>
                <w:rFonts w:ascii="Times New Roman"/>
                <w:color w:val="auto"/>
                <w:sz w:val="24"/>
                <w:szCs w:val="24"/>
                <w:highlight w:val="none"/>
              </w:rPr>
              <w:t>）</w:t>
            </w:r>
            <w:r>
              <w:rPr>
                <w:color w:val="auto"/>
                <w:spacing w:val="-5"/>
                <w:sz w:val="24"/>
                <w:szCs w:val="24"/>
                <w:highlight w:val="none"/>
              </w:rPr>
              <w:t>热带气旋</w:t>
            </w:r>
            <w:r>
              <w:rPr>
                <w:color w:val="auto"/>
                <w:sz w:val="24"/>
                <w:szCs w:val="24"/>
                <w:highlight w:val="none"/>
              </w:rPr>
              <w:t>（台风）</w:t>
            </w:r>
          </w:p>
          <w:p>
            <w:pPr>
              <w:spacing w:line="360" w:lineRule="auto"/>
              <w:ind w:firstLine="480" w:firstLineChars="200"/>
              <w:jc w:val="left"/>
              <w:rPr>
                <w:color w:val="auto"/>
                <w:sz w:val="24"/>
                <w:szCs w:val="24"/>
                <w:highlight w:val="none"/>
              </w:rPr>
            </w:pPr>
            <w:r>
              <w:rPr>
                <w:rFonts w:hint="eastAsia"/>
                <w:color w:val="auto"/>
                <w:sz w:val="24"/>
                <w:szCs w:val="24"/>
                <w:highlight w:val="none"/>
              </w:rPr>
              <w:t>钦州地区属南亚热带季风气候区，受热带气旋（台风）影响频繁，平均每年有3～4个台风影响</w:t>
            </w:r>
            <w:r>
              <w:rPr>
                <w:rFonts w:hint="eastAsia"/>
                <w:color w:val="auto"/>
                <w:spacing w:val="-5"/>
                <w:sz w:val="24"/>
                <w:szCs w:val="24"/>
                <w:highlight w:val="none"/>
              </w:rPr>
              <w:t>钦州市</w:t>
            </w:r>
            <w:r>
              <w:rPr>
                <w:rFonts w:hint="eastAsia"/>
                <w:color w:val="auto"/>
                <w:sz w:val="24"/>
                <w:szCs w:val="24"/>
                <w:highlight w:val="none"/>
              </w:rPr>
              <w:t>，造成的海洋风暴潮影响也比较频繁。根据1951～2017年台风资料统计，影响广西的热带气旋共328个，其中进入广西及其近海的热带气旋共145个，平均每年2.19个，最多年份为6个（1994、1995年）。影响广西的热带气旋主要集中出现在7～9月，占总数的74.12%，其次是6月和10月，各占12.41%和7.99%。</w:t>
            </w:r>
          </w:p>
          <w:p>
            <w:pPr>
              <w:spacing w:line="360" w:lineRule="auto"/>
              <w:ind w:firstLine="480" w:firstLineChars="200"/>
              <w:jc w:val="left"/>
              <w:rPr>
                <w:color w:val="auto"/>
                <w:sz w:val="24"/>
                <w:szCs w:val="24"/>
                <w:highlight w:val="none"/>
              </w:rPr>
            </w:pPr>
            <w:r>
              <w:rPr>
                <w:rFonts w:hint="eastAsia"/>
                <w:color w:val="auto"/>
                <w:sz w:val="24"/>
                <w:szCs w:val="24"/>
                <w:highlight w:val="none"/>
              </w:rPr>
              <w:t>影响广西的</w:t>
            </w:r>
            <w:r>
              <w:rPr>
                <w:rFonts w:hint="eastAsia"/>
                <w:color w:val="auto"/>
                <w:spacing w:val="-5"/>
                <w:sz w:val="24"/>
                <w:szCs w:val="24"/>
                <w:highlight w:val="none"/>
              </w:rPr>
              <w:t>热带气旋</w:t>
            </w:r>
            <w:r>
              <w:rPr>
                <w:rFonts w:hint="eastAsia"/>
                <w:color w:val="auto"/>
                <w:sz w:val="24"/>
                <w:szCs w:val="24"/>
                <w:highlight w:val="none"/>
              </w:rPr>
              <w:t>主要发源于南海和西太平洋海域，其中南海热带气旋8月份最多，西太平洋热带气旋以7月份最多。其中，影响钦州湾的热带气旋主要在湛江市以西（或以南）沿海登陆。经统计，该型热带气旋在1951～2017年间影响广西的热带气旋中出现频数最多，占总数的50.48%，主要出现在8月。该型热带气旋在进入广西影响区时，强度一般较强，其中42.41%在进入时保持强热带风暴或台风强度（中心最大平均风速24.5～41.4m/s），6.33%保持强台风或超强台风强度（中心最大平均风速41.5m/s以上）。</w:t>
            </w:r>
          </w:p>
          <w:p>
            <w:pPr>
              <w:spacing w:line="360" w:lineRule="auto"/>
              <w:ind w:firstLine="480" w:firstLineChars="200"/>
              <w:jc w:val="left"/>
              <w:rPr>
                <w:rFonts w:hint="eastAsia"/>
                <w:color w:val="auto"/>
                <w:sz w:val="24"/>
                <w:szCs w:val="24"/>
                <w:highlight w:val="none"/>
              </w:rPr>
            </w:pPr>
            <w:r>
              <w:rPr>
                <w:rFonts w:hint="eastAsia"/>
                <w:color w:val="auto"/>
                <w:sz w:val="24"/>
                <w:szCs w:val="24"/>
                <w:highlight w:val="none"/>
              </w:rPr>
              <w:t>根据广西气象公报</w:t>
            </w:r>
            <w:r>
              <w:rPr>
                <w:rFonts w:hint="eastAsia"/>
                <w:color w:val="auto"/>
                <w:spacing w:val="-5"/>
                <w:sz w:val="24"/>
                <w:szCs w:val="24"/>
                <w:highlight w:val="none"/>
              </w:rPr>
              <w:t>资料</w:t>
            </w:r>
            <w:r>
              <w:rPr>
                <w:rFonts w:hint="eastAsia"/>
                <w:color w:val="auto"/>
                <w:sz w:val="24"/>
                <w:szCs w:val="24"/>
                <w:highlight w:val="none"/>
              </w:rPr>
              <w:t>，2014年第9号强台风“威马逊”（英文名称：Rammsun）是建国后有台风记录以来进入广西的最强台风，在广西内陆以强台风级和台风级共持续了9个小时（19日7时到16时），这是自有气象记录以来，强度在台风以上级别的在广西滞留时间最长的台风。调查资料表明，“威马逊”进入北部湾后，也是有纪录以来进入北部湾的最强台风，北部湾海面出现14～15级、阵风17级的大风，钦州多个海岛自动站最高阵风达到了16级或以上，均打破了原有纪录。其中19日北海市涠洲岛竹蔗寮为极大风速59.4m/s（17级）、盛塘村56.5m/s（17级），防城港茅墩岛达56.5m/s（17级），钦州港区青菜头站最大阵风达52.2m/s（估算10分钟最大风速为35.5m/s），大庙墩岛达51.1m/s（10分钟最大风速为36.1m/s）；19日北海、防城的极大风速分别为45m/s和41m/s，打破当地建站以来历史纪录。</w:t>
            </w: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pStyle w:val="3"/>
              <w:jc w:val="center"/>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drawing>
                <wp:anchor distT="0" distB="0" distL="0" distR="0" simplePos="0" relativeHeight="251662336" behindDoc="0" locked="0" layoutInCell="1" allowOverlap="1">
                  <wp:simplePos x="0" y="0"/>
                  <wp:positionH relativeFrom="page">
                    <wp:posOffset>309880</wp:posOffset>
                  </wp:positionH>
                  <wp:positionV relativeFrom="paragraph">
                    <wp:posOffset>500380</wp:posOffset>
                  </wp:positionV>
                  <wp:extent cx="4787900" cy="2493645"/>
                  <wp:effectExtent l="19050" t="0" r="0" b="0"/>
                  <wp:wrapTopAndBottom/>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4.jpeg"/>
                          <pic:cNvPicPr>
                            <a:picLocks noChangeAspect="1"/>
                          </pic:cNvPicPr>
                        </pic:nvPicPr>
                        <pic:blipFill>
                          <a:blip r:embed="rId22" cstate="print"/>
                          <a:stretch>
                            <a:fillRect/>
                          </a:stretch>
                        </pic:blipFill>
                        <pic:spPr>
                          <a:xfrm>
                            <a:off x="0" y="0"/>
                            <a:ext cx="4787900" cy="2493645"/>
                          </a:xfrm>
                          <a:prstGeom prst="rect">
                            <a:avLst/>
                          </a:prstGeom>
                        </pic:spPr>
                      </pic:pic>
                    </a:graphicData>
                  </a:graphic>
                </wp:anchor>
              </w:drawing>
            </w:r>
            <w:r>
              <w:rPr>
                <w:rFonts w:hint="eastAsia" w:asciiTheme="minorEastAsia" w:hAnsiTheme="minorEastAsia" w:eastAsiaTheme="minorEastAsia"/>
                <w:color w:val="auto"/>
                <w:sz w:val="24"/>
                <w:szCs w:val="24"/>
                <w:highlight w:val="none"/>
              </w:rPr>
              <w:t xml:space="preserve">表 </w:t>
            </w:r>
            <w:r>
              <w:rPr>
                <w:rFonts w:hint="eastAsia" w:asciiTheme="minorEastAsia" w:hAnsiTheme="minorEastAsia" w:eastAsiaTheme="minorEastAsia"/>
                <w:b w:val="0"/>
                <w:color w:val="auto"/>
                <w:sz w:val="24"/>
                <w:szCs w:val="24"/>
                <w:highlight w:val="none"/>
              </w:rPr>
              <w:t>2</w:t>
            </w:r>
            <w:r>
              <w:rPr>
                <w:rFonts w:asciiTheme="minorEastAsia" w:hAnsiTheme="minorEastAsia" w:eastAsiaTheme="minorEastAsia"/>
                <w:b w:val="0"/>
                <w:color w:val="auto"/>
                <w:sz w:val="24"/>
                <w:szCs w:val="24"/>
                <w:highlight w:val="none"/>
              </w:rPr>
              <w:t xml:space="preserve">.1.5-1 </w:t>
            </w:r>
            <w:r>
              <w:rPr>
                <w:rFonts w:hint="eastAsia" w:asciiTheme="minorEastAsia" w:hAnsiTheme="minorEastAsia" w:eastAsiaTheme="minorEastAsia"/>
                <w:color w:val="auto"/>
                <w:sz w:val="24"/>
                <w:szCs w:val="24"/>
                <w:highlight w:val="none"/>
              </w:rPr>
              <w:t>历年登录广西各主要台风情况统计（</w:t>
            </w:r>
            <w:r>
              <w:rPr>
                <w:rFonts w:asciiTheme="minorEastAsia" w:hAnsiTheme="minorEastAsia" w:eastAsiaTheme="minorEastAsia"/>
                <w:b w:val="0"/>
                <w:color w:val="auto"/>
                <w:sz w:val="24"/>
                <w:szCs w:val="24"/>
                <w:highlight w:val="none"/>
              </w:rPr>
              <w:t>1949-2018</w:t>
            </w:r>
            <w:r>
              <w:rPr>
                <w:rFonts w:hint="eastAsia" w:asciiTheme="minorEastAsia" w:hAnsiTheme="minorEastAsia" w:eastAsiaTheme="minorEastAsia"/>
                <w:color w:val="auto"/>
                <w:sz w:val="24"/>
                <w:szCs w:val="24"/>
                <w:highlight w:val="none"/>
              </w:rPr>
              <w:t>年）</w:t>
            </w:r>
          </w:p>
          <w:p>
            <w:pPr>
              <w:spacing w:line="360" w:lineRule="auto"/>
              <w:ind w:firstLine="460" w:firstLineChars="200"/>
              <w:jc w:val="left"/>
              <w:rPr>
                <w:color w:val="auto"/>
                <w:spacing w:val="-5"/>
                <w:sz w:val="24"/>
                <w:szCs w:val="24"/>
                <w:highlight w:val="none"/>
              </w:rPr>
            </w:pPr>
          </w:p>
          <w:p>
            <w:pPr>
              <w:spacing w:line="360" w:lineRule="auto"/>
              <w:ind w:firstLine="480" w:firstLineChars="200"/>
              <w:jc w:val="left"/>
              <w:rPr>
                <w:color w:val="auto"/>
                <w:sz w:val="24"/>
                <w:szCs w:val="24"/>
                <w:highlight w:val="none"/>
              </w:rPr>
            </w:pPr>
            <w:r>
              <w:rPr>
                <w:rFonts w:hint="eastAsia"/>
                <w:color w:val="auto"/>
                <w:sz w:val="24"/>
                <w:szCs w:val="24"/>
                <w:highlight w:val="none"/>
              </w:rPr>
              <w:t>（2）</w:t>
            </w:r>
            <w:r>
              <w:rPr>
                <w:rFonts w:hint="eastAsia"/>
                <w:color w:val="auto"/>
                <w:spacing w:val="-5"/>
                <w:sz w:val="24"/>
                <w:szCs w:val="24"/>
                <w:highlight w:val="none"/>
              </w:rPr>
              <w:t>雷暴</w:t>
            </w:r>
          </w:p>
          <w:p>
            <w:pPr>
              <w:spacing w:line="360" w:lineRule="auto"/>
              <w:ind w:firstLine="480" w:firstLineChars="200"/>
              <w:jc w:val="left"/>
              <w:rPr>
                <w:color w:val="auto"/>
                <w:sz w:val="24"/>
                <w:szCs w:val="24"/>
                <w:highlight w:val="none"/>
              </w:rPr>
            </w:pPr>
            <w:r>
              <w:rPr>
                <w:color w:val="auto"/>
                <w:sz w:val="24"/>
                <w:szCs w:val="24"/>
                <w:highlight w:val="none"/>
              </w:rPr>
              <w:t>钦州市是雷暴</w:t>
            </w:r>
            <w:r>
              <w:rPr>
                <w:color w:val="auto"/>
                <w:spacing w:val="-5"/>
                <w:sz w:val="24"/>
                <w:szCs w:val="24"/>
                <w:highlight w:val="none"/>
              </w:rPr>
              <w:t>多发</w:t>
            </w:r>
            <w:r>
              <w:rPr>
                <w:color w:val="auto"/>
                <w:sz w:val="24"/>
                <w:szCs w:val="24"/>
                <w:highlight w:val="none"/>
              </w:rPr>
              <w:t>地区，多年平均雷暴日</w:t>
            </w:r>
            <w:r>
              <w:rPr>
                <w:rFonts w:ascii="Times New Roman" w:eastAsia="Times New Roman"/>
                <w:color w:val="auto"/>
                <w:sz w:val="24"/>
                <w:szCs w:val="24"/>
                <w:highlight w:val="none"/>
              </w:rPr>
              <w:t>103</w:t>
            </w:r>
            <w:r>
              <w:rPr>
                <w:color w:val="auto"/>
                <w:sz w:val="24"/>
                <w:szCs w:val="24"/>
                <w:highlight w:val="none"/>
              </w:rPr>
              <w:t>天，最多出现</w:t>
            </w:r>
            <w:r>
              <w:rPr>
                <w:rFonts w:ascii="Times New Roman" w:eastAsia="Times New Roman"/>
                <w:color w:val="auto"/>
                <w:sz w:val="24"/>
                <w:szCs w:val="24"/>
                <w:highlight w:val="none"/>
              </w:rPr>
              <w:t>131</w:t>
            </w:r>
            <w:r>
              <w:rPr>
                <w:color w:val="auto"/>
                <w:sz w:val="24"/>
                <w:szCs w:val="24"/>
                <w:highlight w:val="none"/>
              </w:rPr>
              <w:t>天，最少出现</w:t>
            </w:r>
            <w:r>
              <w:rPr>
                <w:rFonts w:ascii="Times New Roman" w:eastAsia="Times New Roman"/>
                <w:color w:val="auto"/>
                <w:sz w:val="24"/>
                <w:szCs w:val="24"/>
                <w:highlight w:val="none"/>
              </w:rPr>
              <w:t>76</w:t>
            </w:r>
            <w:r>
              <w:rPr>
                <w:color w:val="auto"/>
                <w:sz w:val="24"/>
                <w:szCs w:val="24"/>
                <w:highlight w:val="none"/>
              </w:rPr>
              <w:t>天，雷暴一般于夏季最多，最早出现在</w:t>
            </w:r>
            <w:r>
              <w:rPr>
                <w:rFonts w:ascii="Times New Roman" w:eastAsia="Times New Roman"/>
                <w:color w:val="auto"/>
                <w:sz w:val="24"/>
                <w:szCs w:val="24"/>
                <w:highlight w:val="none"/>
              </w:rPr>
              <w:t>1</w:t>
            </w:r>
            <w:r>
              <w:rPr>
                <w:color w:val="auto"/>
                <w:sz w:val="24"/>
                <w:szCs w:val="24"/>
                <w:highlight w:val="none"/>
              </w:rPr>
              <w:t>月初，最晚出现在</w:t>
            </w:r>
            <w:r>
              <w:rPr>
                <w:rFonts w:ascii="Times New Roman" w:eastAsia="Times New Roman"/>
                <w:color w:val="auto"/>
                <w:sz w:val="24"/>
                <w:szCs w:val="24"/>
                <w:highlight w:val="none"/>
              </w:rPr>
              <w:t>11</w:t>
            </w:r>
            <w:r>
              <w:rPr>
                <w:color w:val="auto"/>
                <w:sz w:val="24"/>
                <w:szCs w:val="24"/>
                <w:highlight w:val="none"/>
              </w:rPr>
              <w:t>月下旬。</w:t>
            </w:r>
          </w:p>
          <w:p>
            <w:pPr>
              <w:spacing w:line="360" w:lineRule="auto"/>
              <w:ind w:firstLine="480" w:firstLineChars="200"/>
              <w:jc w:val="left"/>
              <w:rPr>
                <w:rFonts w:ascii="Times New Roman" w:hAnsi="Times New Roman"/>
                <w:color w:val="auto"/>
                <w:sz w:val="24"/>
                <w:szCs w:val="24"/>
                <w:highlight w:val="none"/>
              </w:rPr>
            </w:pPr>
            <w:r>
              <w:rPr>
                <w:rFonts w:ascii="Times New Roman"/>
                <w:color w:val="auto"/>
                <w:sz w:val="24"/>
                <w:szCs w:val="24"/>
                <w:highlight w:val="none"/>
              </w:rPr>
              <w:t>（</w:t>
            </w:r>
            <w:r>
              <w:rPr>
                <w:rFonts w:hint="eastAsia" w:ascii="Times New Roman" w:hAnsi="Times New Roman"/>
                <w:color w:val="auto"/>
                <w:sz w:val="24"/>
                <w:szCs w:val="24"/>
                <w:highlight w:val="none"/>
              </w:rPr>
              <w:t>3</w:t>
            </w:r>
            <w:r>
              <w:rPr>
                <w:rFonts w:ascii="Times New Roman"/>
                <w:color w:val="auto"/>
                <w:sz w:val="24"/>
                <w:szCs w:val="24"/>
                <w:highlight w:val="none"/>
              </w:rPr>
              <w:t>）</w:t>
            </w:r>
            <w:r>
              <w:rPr>
                <w:color w:val="auto"/>
                <w:spacing w:val="-5"/>
                <w:sz w:val="24"/>
                <w:szCs w:val="24"/>
                <w:highlight w:val="none"/>
              </w:rPr>
              <w:t>风暴潮</w:t>
            </w:r>
          </w:p>
          <w:p>
            <w:pPr>
              <w:spacing w:line="360" w:lineRule="auto"/>
              <w:ind w:firstLine="480" w:firstLineChars="200"/>
              <w:jc w:val="left"/>
              <w:rPr>
                <w:rFonts w:ascii="Times New Roman"/>
                <w:color w:val="auto"/>
                <w:sz w:val="24"/>
                <w:szCs w:val="24"/>
                <w:highlight w:val="none"/>
              </w:rPr>
            </w:pPr>
            <w:r>
              <w:rPr>
                <w:rFonts w:ascii="Times New Roman"/>
                <w:color w:val="auto"/>
                <w:sz w:val="24"/>
                <w:szCs w:val="24"/>
                <w:highlight w:val="none"/>
              </w:rPr>
              <w:t>广西沿海是受台风风暴潮影响较为频繁的地区之一，台风风暴潮灾害常有发生。据统计，1965年～201</w:t>
            </w:r>
            <w:r>
              <w:rPr>
                <w:rFonts w:hint="eastAsia" w:ascii="Times New Roman"/>
                <w:color w:val="auto"/>
                <w:sz w:val="24"/>
                <w:szCs w:val="24"/>
                <w:highlight w:val="none"/>
              </w:rPr>
              <w:t>6</w:t>
            </w:r>
            <w:r>
              <w:rPr>
                <w:rFonts w:ascii="Times New Roman"/>
                <w:color w:val="auto"/>
                <w:sz w:val="24"/>
                <w:szCs w:val="24"/>
                <w:highlight w:val="none"/>
              </w:rPr>
              <w:t>年的</w:t>
            </w:r>
            <w:r>
              <w:rPr>
                <w:rFonts w:hint="eastAsia" w:ascii="Times New Roman"/>
                <w:color w:val="auto"/>
                <w:sz w:val="24"/>
                <w:szCs w:val="24"/>
                <w:highlight w:val="none"/>
              </w:rPr>
              <w:t>52</w:t>
            </w:r>
            <w:r>
              <w:rPr>
                <w:rFonts w:ascii="Times New Roman"/>
                <w:color w:val="auto"/>
                <w:sz w:val="24"/>
                <w:szCs w:val="24"/>
                <w:highlight w:val="none"/>
              </w:rPr>
              <w:t>年</w:t>
            </w:r>
            <w:r>
              <w:rPr>
                <w:rFonts w:hint="eastAsia" w:ascii="Times New Roman"/>
                <w:color w:val="auto"/>
                <w:sz w:val="24"/>
                <w:szCs w:val="24"/>
                <w:highlight w:val="none"/>
              </w:rPr>
              <w:t>间</w:t>
            </w:r>
            <w:r>
              <w:rPr>
                <w:rFonts w:ascii="Times New Roman"/>
                <w:color w:val="auto"/>
                <w:sz w:val="24"/>
                <w:szCs w:val="24"/>
                <w:highlight w:val="none"/>
              </w:rPr>
              <w:t>，影响广西沿海</w:t>
            </w:r>
            <w:r>
              <w:rPr>
                <w:rFonts w:hint="eastAsia" w:ascii="Times New Roman"/>
                <w:color w:val="auto"/>
                <w:sz w:val="24"/>
                <w:szCs w:val="24"/>
                <w:highlight w:val="none"/>
              </w:rPr>
              <w:t>出现</w:t>
            </w:r>
            <w:r>
              <w:rPr>
                <w:rFonts w:ascii="Times New Roman"/>
                <w:color w:val="auto"/>
                <w:sz w:val="24"/>
                <w:szCs w:val="24"/>
                <w:highlight w:val="none"/>
              </w:rPr>
              <w:t>风暴增水过程的</w:t>
            </w:r>
            <w:r>
              <w:rPr>
                <w:rFonts w:hint="eastAsia" w:ascii="Times New Roman"/>
                <w:color w:val="auto"/>
                <w:sz w:val="24"/>
                <w:szCs w:val="24"/>
                <w:highlight w:val="none"/>
              </w:rPr>
              <w:t>热带气旋</w:t>
            </w:r>
            <w:r>
              <w:rPr>
                <w:rFonts w:ascii="Times New Roman"/>
                <w:color w:val="auto"/>
                <w:sz w:val="24"/>
                <w:szCs w:val="24"/>
                <w:highlight w:val="none"/>
              </w:rPr>
              <w:t>共有1</w:t>
            </w:r>
            <w:r>
              <w:rPr>
                <w:rFonts w:hint="eastAsia" w:ascii="Times New Roman"/>
                <w:color w:val="auto"/>
                <w:sz w:val="24"/>
                <w:szCs w:val="24"/>
                <w:highlight w:val="none"/>
              </w:rPr>
              <w:t>27个，平均每年2.4个</w:t>
            </w:r>
            <w:r>
              <w:rPr>
                <w:rFonts w:ascii="Times New Roman"/>
                <w:color w:val="auto"/>
                <w:sz w:val="24"/>
                <w:szCs w:val="24"/>
                <w:highlight w:val="none"/>
              </w:rPr>
              <w:t>，并造成一定的风暴潮灾害损失。</w:t>
            </w:r>
            <w:r>
              <w:rPr>
                <w:rFonts w:hint="eastAsia" w:ascii="Times New Roman"/>
                <w:color w:val="auto"/>
                <w:sz w:val="24"/>
                <w:szCs w:val="24"/>
                <w:highlight w:val="none"/>
              </w:rPr>
              <w:t>2014年7月，受1409号超强台风“威马逊”的影响，广西沿海3个监测站记录最大</w:t>
            </w:r>
            <w:r>
              <w:rPr>
                <w:rFonts w:ascii="Times New Roman"/>
                <w:color w:val="auto"/>
                <w:sz w:val="24"/>
                <w:szCs w:val="24"/>
                <w:highlight w:val="none"/>
              </w:rPr>
              <w:t>风暴增水</w:t>
            </w:r>
            <w:r>
              <w:rPr>
                <w:rFonts w:hint="eastAsia" w:ascii="Times New Roman"/>
                <w:color w:val="auto"/>
                <w:sz w:val="24"/>
                <w:szCs w:val="24"/>
                <w:highlight w:val="none"/>
              </w:rPr>
              <w:t>为170</w:t>
            </w:r>
            <w:r>
              <w:rPr>
                <w:rFonts w:ascii="Times New Roman"/>
                <w:color w:val="auto"/>
                <w:sz w:val="24"/>
                <w:szCs w:val="24"/>
                <w:highlight w:val="none"/>
              </w:rPr>
              <w:t>cm</w:t>
            </w:r>
            <w:r>
              <w:rPr>
                <w:rFonts w:hint="eastAsia" w:ascii="Times New Roman"/>
                <w:color w:val="auto"/>
                <w:sz w:val="24"/>
                <w:szCs w:val="24"/>
                <w:highlight w:val="none"/>
              </w:rPr>
              <w:t>-250</w:t>
            </w:r>
            <w:r>
              <w:rPr>
                <w:rFonts w:ascii="Times New Roman"/>
                <w:color w:val="auto"/>
                <w:sz w:val="24"/>
                <w:szCs w:val="24"/>
                <w:highlight w:val="none"/>
              </w:rPr>
              <w:t>cm，</w:t>
            </w:r>
            <w:r>
              <w:rPr>
                <w:rFonts w:hint="eastAsia" w:ascii="Times New Roman"/>
                <w:color w:val="auto"/>
                <w:sz w:val="24"/>
                <w:szCs w:val="24"/>
                <w:highlight w:val="none"/>
              </w:rPr>
              <w:t>2016年10月，受1621号超强台风“莎莉嘉”的影响，广西沿海3个监测站记录最大</w:t>
            </w:r>
            <w:r>
              <w:rPr>
                <w:rFonts w:ascii="Times New Roman"/>
                <w:color w:val="auto"/>
                <w:sz w:val="24"/>
                <w:szCs w:val="24"/>
                <w:highlight w:val="none"/>
              </w:rPr>
              <w:t>风暴增水</w:t>
            </w:r>
            <w:r>
              <w:rPr>
                <w:rFonts w:hint="eastAsia" w:ascii="Times New Roman"/>
                <w:color w:val="auto"/>
                <w:sz w:val="24"/>
                <w:szCs w:val="24"/>
                <w:highlight w:val="none"/>
              </w:rPr>
              <w:t>为48</w:t>
            </w:r>
            <w:r>
              <w:rPr>
                <w:rFonts w:ascii="Times New Roman"/>
                <w:color w:val="auto"/>
                <w:sz w:val="24"/>
                <w:szCs w:val="24"/>
                <w:highlight w:val="none"/>
              </w:rPr>
              <w:t>cm</w:t>
            </w:r>
            <w:r>
              <w:rPr>
                <w:rFonts w:hint="eastAsia" w:ascii="Times New Roman"/>
                <w:color w:val="auto"/>
                <w:sz w:val="24"/>
                <w:szCs w:val="24"/>
                <w:highlight w:val="none"/>
              </w:rPr>
              <w:t>-84</w:t>
            </w:r>
            <w:r>
              <w:rPr>
                <w:rFonts w:ascii="Times New Roman"/>
                <w:color w:val="auto"/>
                <w:sz w:val="24"/>
                <w:szCs w:val="24"/>
                <w:highlight w:val="none"/>
              </w:rPr>
              <w:t>cm</w:t>
            </w:r>
            <w:r>
              <w:rPr>
                <w:rFonts w:hint="eastAsia" w:ascii="Times New Roman"/>
                <w:color w:val="auto"/>
                <w:sz w:val="24"/>
                <w:szCs w:val="24"/>
                <w:highlight w:val="none"/>
              </w:rPr>
              <w:t>。风暴增水</w:t>
            </w:r>
            <w:r>
              <w:rPr>
                <w:rFonts w:ascii="Times New Roman"/>
                <w:color w:val="auto"/>
                <w:sz w:val="24"/>
                <w:szCs w:val="24"/>
                <w:highlight w:val="none"/>
              </w:rPr>
              <w:t>对</w:t>
            </w:r>
            <w:r>
              <w:rPr>
                <w:rFonts w:hint="eastAsia" w:ascii="Times New Roman"/>
                <w:color w:val="auto"/>
                <w:sz w:val="24"/>
                <w:szCs w:val="24"/>
                <w:highlight w:val="none"/>
              </w:rPr>
              <w:t>广西沿海</w:t>
            </w:r>
            <w:r>
              <w:rPr>
                <w:rFonts w:ascii="Times New Roman"/>
                <w:color w:val="auto"/>
                <w:sz w:val="24"/>
                <w:szCs w:val="24"/>
                <w:highlight w:val="none"/>
              </w:rPr>
              <w:t>造成</w:t>
            </w:r>
            <w:r>
              <w:rPr>
                <w:rFonts w:hint="eastAsia" w:ascii="Times New Roman"/>
                <w:color w:val="auto"/>
                <w:sz w:val="24"/>
                <w:szCs w:val="24"/>
                <w:highlight w:val="none"/>
              </w:rPr>
              <w:t>较大</w:t>
            </w:r>
            <w:r>
              <w:rPr>
                <w:rFonts w:ascii="Times New Roman"/>
                <w:color w:val="auto"/>
                <w:sz w:val="24"/>
                <w:szCs w:val="24"/>
                <w:highlight w:val="none"/>
              </w:rPr>
              <w:t>经济损失。</w:t>
            </w:r>
          </w:p>
          <w:p>
            <w:pPr>
              <w:spacing w:line="360" w:lineRule="auto"/>
              <w:ind w:firstLine="480" w:firstLineChars="200"/>
              <w:jc w:val="left"/>
              <w:rPr>
                <w:color w:val="auto"/>
                <w:sz w:val="24"/>
                <w:szCs w:val="24"/>
                <w:highlight w:val="none"/>
              </w:rPr>
            </w:pPr>
            <w:r>
              <w:rPr>
                <w:rFonts w:hint="eastAsia"/>
                <w:color w:val="auto"/>
                <w:sz w:val="24"/>
                <w:szCs w:val="24"/>
                <w:highlight w:val="none"/>
              </w:rPr>
              <w:t>风暴潮一般始于</w:t>
            </w:r>
            <w:r>
              <w:rPr>
                <w:rFonts w:hint="eastAsia"/>
                <w:color w:val="auto"/>
                <w:spacing w:val="-5"/>
                <w:sz w:val="24"/>
                <w:szCs w:val="24"/>
                <w:highlight w:val="none"/>
              </w:rPr>
              <w:t>每年</w:t>
            </w:r>
            <w:r>
              <w:rPr>
                <w:rFonts w:hint="eastAsia"/>
                <w:color w:val="auto"/>
                <w:sz w:val="24"/>
                <w:szCs w:val="24"/>
                <w:highlight w:val="none"/>
              </w:rPr>
              <w:t>5月，止于11月，尤以7～9月发生最多。根据广西水文水资源局钦州分局在《广西沿海风暴潮预报方案研究》中的统计资料，1950～1998年累年出现大于50cm的台风暴潮增水次数为193次，平均每年约4次，其中造成较大风暴潮灾害损失的有20次，平均每年0.5次。其中，最大增水值为153cm（1980年7月23日），最大减水值为167cm（1973年10月14日）。台风暴潮灾害是十分严重的。</w:t>
            </w:r>
          </w:p>
          <w:p>
            <w:pPr>
              <w:spacing w:line="360" w:lineRule="auto"/>
              <w:ind w:firstLine="480" w:firstLineChars="200"/>
              <w:jc w:val="left"/>
              <w:rPr>
                <w:color w:val="auto"/>
                <w:sz w:val="24"/>
                <w:szCs w:val="24"/>
                <w:highlight w:val="none"/>
              </w:rPr>
            </w:pPr>
            <w:r>
              <w:rPr>
                <w:rFonts w:hint="eastAsia"/>
                <w:color w:val="auto"/>
                <w:sz w:val="24"/>
                <w:szCs w:val="24"/>
                <w:highlight w:val="none"/>
              </w:rPr>
              <w:t>（4）</w:t>
            </w:r>
            <w:r>
              <w:rPr>
                <w:rFonts w:hint="eastAsia"/>
                <w:color w:val="auto"/>
                <w:spacing w:val="-5"/>
                <w:sz w:val="24"/>
                <w:szCs w:val="24"/>
                <w:highlight w:val="none"/>
              </w:rPr>
              <w:t>地震</w:t>
            </w:r>
          </w:p>
          <w:p>
            <w:pPr>
              <w:spacing w:line="360" w:lineRule="auto"/>
              <w:ind w:firstLine="440" w:firstLineChars="200"/>
              <w:rPr>
                <w:color w:val="auto"/>
                <w:sz w:val="24"/>
                <w:szCs w:val="24"/>
                <w:highlight w:val="none"/>
              </w:rPr>
            </w:pPr>
            <w:r>
              <w:rPr>
                <w:color w:val="auto"/>
                <w:spacing w:val="-10"/>
                <w:sz w:val="24"/>
                <w:szCs w:val="24"/>
                <w:highlight w:val="none"/>
              </w:rPr>
              <w:t>根据</w:t>
            </w:r>
            <w:r>
              <w:rPr>
                <w:color w:val="auto"/>
                <w:spacing w:val="-5"/>
                <w:sz w:val="24"/>
                <w:szCs w:val="24"/>
                <w:highlight w:val="none"/>
              </w:rPr>
              <w:t>《建筑抗震设计规范</w:t>
            </w:r>
            <w:r>
              <w:rPr>
                <w:color w:val="auto"/>
                <w:sz w:val="24"/>
                <w:szCs w:val="24"/>
                <w:highlight w:val="none"/>
              </w:rPr>
              <w:t>》（GB50011-2010）和《中国地震动参数区划图》（GB18306-2015），本区域设计基本地震加速度值为0.05g（对应抗震设防烈度为6度）。</w:t>
            </w:r>
          </w:p>
          <w:p>
            <w:pPr>
              <w:pStyle w:val="65"/>
              <w:spacing w:line="372" w:lineRule="auto"/>
              <w:ind w:firstLine="424" w:firstLineChars="176"/>
              <w:rPr>
                <w:rFonts w:eastAsia="宋体"/>
                <w:b/>
                <w:color w:val="auto"/>
                <w:sz w:val="24"/>
                <w:szCs w:val="24"/>
                <w:highlight w:val="none"/>
              </w:rPr>
            </w:pPr>
            <w:r>
              <w:rPr>
                <w:rFonts w:hint="eastAsia" w:hAnsi="宋体" w:eastAsia="宋体"/>
                <w:b/>
                <w:color w:val="auto"/>
                <w:sz w:val="24"/>
                <w:szCs w:val="24"/>
                <w:highlight w:val="none"/>
              </w:rPr>
              <w:t>2.1.6水深地形</w:t>
            </w:r>
          </w:p>
          <w:p>
            <w:pPr>
              <w:spacing w:line="360" w:lineRule="auto"/>
              <w:ind w:firstLine="480" w:firstLineChars="200"/>
              <w:jc w:val="left"/>
              <w:rPr>
                <w:rFonts w:ascii="Times New Roman" w:hAnsi="Times New Roman"/>
                <w:color w:val="auto"/>
                <w:sz w:val="24"/>
                <w:szCs w:val="24"/>
                <w:highlight w:val="none"/>
              </w:rPr>
            </w:pPr>
            <w:r>
              <w:rPr>
                <w:rFonts w:ascii="Times New Roman" w:hAnsi="Times New Roman"/>
                <w:color w:val="auto"/>
                <w:sz w:val="24"/>
                <w:szCs w:val="24"/>
                <w:highlight w:val="none"/>
              </w:rPr>
              <w:t>项目位于钦州港水域，根据钦州港海域的水深测量结果，项目专用航道、锚地及其他开放式用海海域水深范围-3.0m~-13.0m（1985国家高程基准），靠航道侧水深较深，详见附图2。</w:t>
            </w:r>
          </w:p>
          <w:p>
            <w:pPr>
              <w:pStyle w:val="51"/>
              <w:spacing w:line="343" w:lineRule="auto"/>
              <w:ind w:firstLine="34"/>
              <w:rPr>
                <w:rFonts w:eastAsia="宋体"/>
                <w:color w:val="auto"/>
                <w:sz w:val="24"/>
                <w:szCs w:val="24"/>
                <w:highlight w:val="none"/>
              </w:rPr>
            </w:pPr>
            <w:r>
              <w:rPr>
                <w:rFonts w:hint="eastAsia" w:eastAsia="宋体"/>
                <w:color w:val="auto"/>
                <w:sz w:val="24"/>
                <w:szCs w:val="24"/>
                <w:highlight w:val="none"/>
              </w:rPr>
              <w:t>2.2海洋生态概况</w:t>
            </w:r>
          </w:p>
          <w:p>
            <w:pPr>
              <w:pStyle w:val="65"/>
              <w:spacing w:line="372" w:lineRule="auto"/>
              <w:ind w:firstLine="0" w:firstLineChars="0"/>
              <w:rPr>
                <w:rFonts w:eastAsia="宋体"/>
                <w:b/>
                <w:color w:val="auto"/>
                <w:sz w:val="24"/>
                <w:szCs w:val="24"/>
                <w:highlight w:val="none"/>
              </w:rPr>
            </w:pPr>
            <w:r>
              <w:rPr>
                <w:rFonts w:hint="eastAsia" w:hAnsi="宋体" w:eastAsia="宋体"/>
                <w:b/>
                <w:color w:val="auto"/>
                <w:sz w:val="24"/>
                <w:szCs w:val="24"/>
                <w:highlight w:val="none"/>
              </w:rPr>
              <w:t>2.2.1调查内容及站位</w:t>
            </w:r>
          </w:p>
          <w:p>
            <w:pPr>
              <w:spacing w:line="360" w:lineRule="auto"/>
              <w:ind w:firstLine="480" w:firstLineChars="200"/>
              <w:jc w:val="left"/>
              <w:rPr>
                <w:color w:val="auto"/>
                <w:sz w:val="24"/>
                <w:szCs w:val="24"/>
                <w:highlight w:val="none"/>
              </w:rPr>
            </w:pPr>
            <w:r>
              <w:rPr>
                <w:rFonts w:hint="eastAsia"/>
                <w:color w:val="auto"/>
                <w:sz w:val="24"/>
                <w:szCs w:val="24"/>
                <w:highlight w:val="none"/>
              </w:rPr>
              <w:t>海洋生态</w:t>
            </w:r>
            <w:r>
              <w:rPr>
                <w:rFonts w:hint="eastAsia"/>
                <w:color w:val="auto"/>
                <w:spacing w:val="-5"/>
                <w:sz w:val="24"/>
                <w:szCs w:val="24"/>
                <w:highlight w:val="none"/>
              </w:rPr>
              <w:t>现状</w:t>
            </w:r>
            <w:r>
              <w:rPr>
                <w:rFonts w:hint="eastAsia"/>
                <w:color w:val="auto"/>
                <w:sz w:val="24"/>
                <w:szCs w:val="24"/>
                <w:highlight w:val="none"/>
              </w:rPr>
              <w:t>调查资料引自国家海洋局北海海洋环境监测中心站《</w:t>
            </w:r>
            <w:r>
              <w:rPr>
                <w:rFonts w:ascii="Times New Roman"/>
                <w:color w:val="auto"/>
                <w:sz w:val="24"/>
                <w:szCs w:val="24"/>
                <w:highlight w:val="none"/>
              </w:rPr>
              <w:t>2022</w:t>
            </w:r>
            <w:r>
              <w:rPr>
                <w:rFonts w:hint="eastAsia"/>
                <w:color w:val="auto"/>
                <w:sz w:val="24"/>
                <w:szCs w:val="24"/>
                <w:highlight w:val="none"/>
              </w:rPr>
              <w:t>年广西钦州市海洋生态保护修复项目海洋生态环境状况调查报告（秋季）》。</w:t>
            </w:r>
          </w:p>
          <w:p>
            <w:pPr>
              <w:spacing w:line="360" w:lineRule="auto"/>
              <w:ind w:firstLine="480" w:firstLineChars="200"/>
              <w:jc w:val="left"/>
              <w:rPr>
                <w:color w:val="auto"/>
                <w:sz w:val="24"/>
                <w:szCs w:val="24"/>
                <w:highlight w:val="none"/>
              </w:rPr>
            </w:pPr>
            <w:r>
              <w:rPr>
                <w:rFonts w:hint="eastAsia"/>
                <w:color w:val="auto"/>
                <w:sz w:val="24"/>
                <w:szCs w:val="24"/>
                <w:highlight w:val="none"/>
              </w:rPr>
              <w:t>2.2.1.1调查</w:t>
            </w:r>
            <w:r>
              <w:rPr>
                <w:rFonts w:hint="eastAsia"/>
                <w:color w:val="auto"/>
                <w:spacing w:val="-5"/>
                <w:sz w:val="24"/>
                <w:szCs w:val="24"/>
                <w:highlight w:val="none"/>
              </w:rPr>
              <w:t>概况</w:t>
            </w:r>
          </w:p>
          <w:p>
            <w:pPr>
              <w:spacing w:line="360" w:lineRule="auto"/>
              <w:ind w:firstLine="480" w:firstLineChars="200"/>
              <w:jc w:val="left"/>
              <w:rPr>
                <w:color w:val="auto"/>
                <w:sz w:val="24"/>
                <w:szCs w:val="24"/>
                <w:highlight w:val="none"/>
              </w:rPr>
            </w:pPr>
            <w:r>
              <w:rPr>
                <w:rFonts w:hint="eastAsia"/>
                <w:color w:val="auto"/>
                <w:sz w:val="24"/>
                <w:szCs w:val="24"/>
                <w:highlight w:val="none"/>
              </w:rPr>
              <w:t>依据</w:t>
            </w:r>
            <w:r>
              <w:rPr>
                <w:rFonts w:hint="eastAsia"/>
                <w:color w:val="auto"/>
                <w:spacing w:val="-5"/>
                <w:sz w:val="24"/>
                <w:szCs w:val="24"/>
                <w:highlight w:val="none"/>
              </w:rPr>
              <w:t>《海洋监测规范》</w:t>
            </w:r>
            <w:r>
              <w:rPr>
                <w:rFonts w:hint="eastAsia"/>
                <w:color w:val="auto"/>
                <w:sz w:val="24"/>
                <w:szCs w:val="24"/>
                <w:highlight w:val="none"/>
              </w:rPr>
              <w:t>（</w:t>
            </w:r>
            <w:r>
              <w:rPr>
                <w:rFonts w:ascii="Times New Roman"/>
                <w:color w:val="auto"/>
                <w:sz w:val="24"/>
                <w:szCs w:val="24"/>
                <w:highlight w:val="none"/>
              </w:rPr>
              <w:t>GB17378-2007</w:t>
            </w:r>
            <w:r>
              <w:rPr>
                <w:rFonts w:hint="eastAsia"/>
                <w:color w:val="auto"/>
                <w:sz w:val="24"/>
                <w:szCs w:val="24"/>
                <w:highlight w:val="none"/>
              </w:rPr>
              <w:t>）站位布设原则及《海域使用论证技术导则》（</w:t>
            </w:r>
            <w:r>
              <w:rPr>
                <w:rFonts w:ascii="Times New Roman"/>
                <w:color w:val="auto"/>
                <w:sz w:val="24"/>
                <w:szCs w:val="24"/>
                <w:highlight w:val="none"/>
              </w:rPr>
              <w:t>GB/T42361-2023</w:t>
            </w:r>
            <w:r>
              <w:rPr>
                <w:rFonts w:hint="eastAsia"/>
                <w:color w:val="auto"/>
                <w:sz w:val="24"/>
                <w:szCs w:val="24"/>
                <w:highlight w:val="none"/>
              </w:rPr>
              <w:t>）的相关技术要求，于</w:t>
            </w:r>
            <w:r>
              <w:rPr>
                <w:rFonts w:ascii="Times New Roman"/>
                <w:color w:val="auto"/>
                <w:sz w:val="24"/>
                <w:szCs w:val="24"/>
                <w:highlight w:val="none"/>
              </w:rPr>
              <w:t>2022</w:t>
            </w:r>
            <w:r>
              <w:rPr>
                <w:rFonts w:hint="eastAsia"/>
                <w:color w:val="auto"/>
                <w:sz w:val="24"/>
                <w:szCs w:val="24"/>
                <w:highlight w:val="none"/>
              </w:rPr>
              <w:t>年</w:t>
            </w:r>
            <w:r>
              <w:rPr>
                <w:rFonts w:ascii="Times New Roman"/>
                <w:color w:val="auto"/>
                <w:sz w:val="24"/>
                <w:szCs w:val="24"/>
                <w:highlight w:val="none"/>
              </w:rPr>
              <w:t>9</w:t>
            </w:r>
            <w:r>
              <w:rPr>
                <w:rFonts w:hint="eastAsia"/>
                <w:color w:val="auto"/>
                <w:sz w:val="24"/>
                <w:szCs w:val="24"/>
                <w:highlight w:val="none"/>
              </w:rPr>
              <w:t>月</w:t>
            </w:r>
            <w:r>
              <w:rPr>
                <w:rFonts w:ascii="Times New Roman"/>
                <w:color w:val="auto"/>
                <w:sz w:val="24"/>
                <w:szCs w:val="24"/>
                <w:highlight w:val="none"/>
              </w:rPr>
              <w:t>19</w:t>
            </w:r>
            <w:r>
              <w:rPr>
                <w:rFonts w:hint="eastAsia"/>
                <w:color w:val="auto"/>
                <w:sz w:val="24"/>
                <w:szCs w:val="24"/>
                <w:highlight w:val="none"/>
              </w:rPr>
              <w:t>日至</w:t>
            </w:r>
            <w:r>
              <w:rPr>
                <w:rFonts w:ascii="Times New Roman"/>
                <w:color w:val="auto"/>
                <w:sz w:val="24"/>
                <w:szCs w:val="24"/>
                <w:highlight w:val="none"/>
              </w:rPr>
              <w:t>23</w:t>
            </w:r>
            <w:r>
              <w:rPr>
                <w:rFonts w:hint="eastAsia"/>
                <w:color w:val="auto"/>
                <w:sz w:val="24"/>
                <w:szCs w:val="24"/>
                <w:highlight w:val="none"/>
              </w:rPr>
              <w:t>日在项目近岸海域共布设</w:t>
            </w:r>
            <w:r>
              <w:rPr>
                <w:rFonts w:ascii="Times New Roman"/>
                <w:color w:val="auto"/>
                <w:sz w:val="24"/>
                <w:szCs w:val="24"/>
                <w:highlight w:val="none"/>
              </w:rPr>
              <w:t>32</w:t>
            </w:r>
            <w:r>
              <w:rPr>
                <w:rFonts w:hint="eastAsia"/>
                <w:color w:val="auto"/>
                <w:sz w:val="24"/>
                <w:szCs w:val="24"/>
                <w:highlight w:val="none"/>
              </w:rPr>
              <w:t>个海水水质站位、</w:t>
            </w:r>
            <w:r>
              <w:rPr>
                <w:rFonts w:ascii="Times New Roman"/>
                <w:color w:val="auto"/>
                <w:sz w:val="24"/>
                <w:szCs w:val="24"/>
                <w:highlight w:val="none"/>
              </w:rPr>
              <w:t>16</w:t>
            </w:r>
            <w:r>
              <w:rPr>
                <w:rFonts w:hint="eastAsia"/>
                <w:color w:val="auto"/>
                <w:sz w:val="24"/>
                <w:szCs w:val="24"/>
                <w:highlight w:val="none"/>
              </w:rPr>
              <w:t>个海洋沉积物站位及</w:t>
            </w:r>
            <w:r>
              <w:rPr>
                <w:rFonts w:ascii="Times New Roman"/>
                <w:color w:val="auto"/>
                <w:sz w:val="24"/>
                <w:szCs w:val="24"/>
                <w:highlight w:val="none"/>
              </w:rPr>
              <w:t>20</w:t>
            </w:r>
            <w:r>
              <w:rPr>
                <w:rFonts w:hint="eastAsia"/>
                <w:color w:val="auto"/>
                <w:sz w:val="24"/>
                <w:szCs w:val="24"/>
                <w:highlight w:val="none"/>
              </w:rPr>
              <w:t>个海洋生物生态站位；渔业资源（含鱼卵和仔、稚鱼）调查布设</w:t>
            </w:r>
            <w:r>
              <w:rPr>
                <w:rFonts w:ascii="Times New Roman"/>
                <w:color w:val="auto"/>
                <w:sz w:val="24"/>
                <w:szCs w:val="24"/>
                <w:highlight w:val="none"/>
              </w:rPr>
              <w:t>20</w:t>
            </w:r>
            <w:r>
              <w:rPr>
                <w:rFonts w:hint="eastAsia"/>
                <w:color w:val="auto"/>
                <w:sz w:val="24"/>
                <w:szCs w:val="24"/>
                <w:highlight w:val="none"/>
              </w:rPr>
              <w:t>条断面，其断面在生物生态站位附近布设，并采集</w:t>
            </w:r>
            <w:r>
              <w:rPr>
                <w:rFonts w:ascii="Times New Roman"/>
                <w:color w:val="auto"/>
                <w:sz w:val="24"/>
                <w:szCs w:val="24"/>
                <w:highlight w:val="none"/>
              </w:rPr>
              <w:t>20</w:t>
            </w:r>
            <w:r>
              <w:rPr>
                <w:rFonts w:hint="eastAsia"/>
                <w:color w:val="auto"/>
                <w:sz w:val="24"/>
                <w:szCs w:val="24"/>
                <w:highlight w:val="none"/>
              </w:rPr>
              <w:t>个站位具有代表性的贝类、鱼类或虾类开展生物体质量监测；潮间带生物共布设</w:t>
            </w:r>
            <w:r>
              <w:rPr>
                <w:rFonts w:ascii="Times New Roman"/>
                <w:color w:val="auto"/>
                <w:sz w:val="24"/>
                <w:szCs w:val="24"/>
                <w:highlight w:val="none"/>
              </w:rPr>
              <w:t>4</w:t>
            </w:r>
            <w:r>
              <w:rPr>
                <w:rFonts w:hint="eastAsia"/>
                <w:color w:val="auto"/>
                <w:sz w:val="24"/>
                <w:szCs w:val="24"/>
                <w:highlight w:val="none"/>
              </w:rPr>
              <w:t>条断面。</w:t>
            </w:r>
          </w:p>
          <w:p>
            <w:pPr>
              <w:spacing w:line="360" w:lineRule="auto"/>
              <w:ind w:firstLine="480" w:firstLineChars="200"/>
              <w:jc w:val="left"/>
              <w:rPr>
                <w:rFonts w:hint="eastAsia"/>
                <w:color w:val="auto"/>
                <w:sz w:val="24"/>
                <w:szCs w:val="24"/>
                <w:highlight w:val="none"/>
              </w:rPr>
            </w:pPr>
            <w:r>
              <w:rPr>
                <w:rFonts w:hint="eastAsia"/>
                <w:color w:val="auto"/>
                <w:sz w:val="24"/>
                <w:szCs w:val="24"/>
                <w:highlight w:val="none"/>
              </w:rPr>
              <w:t>所设海水水质站位、</w:t>
            </w:r>
            <w:r>
              <w:rPr>
                <w:rFonts w:hint="eastAsia"/>
                <w:color w:val="auto"/>
                <w:spacing w:val="-5"/>
                <w:sz w:val="24"/>
                <w:szCs w:val="24"/>
                <w:highlight w:val="none"/>
              </w:rPr>
              <w:t>沉积物</w:t>
            </w:r>
            <w:r>
              <w:rPr>
                <w:rFonts w:hint="eastAsia"/>
                <w:color w:val="auto"/>
                <w:sz w:val="24"/>
                <w:szCs w:val="24"/>
                <w:highlight w:val="none"/>
              </w:rPr>
              <w:t>站位、生物体质量站位及海洋生物生态站位（含渔业资源）分布于钦州湾、金鼓江及永福湾附近海域，潮间带生物分布于永福湾附近海域。具体监测站位信息见表2.2</w:t>
            </w:r>
            <w:r>
              <w:rPr>
                <w:rFonts w:ascii="Times New Roman"/>
                <w:color w:val="auto"/>
                <w:sz w:val="24"/>
                <w:szCs w:val="24"/>
                <w:highlight w:val="none"/>
              </w:rPr>
              <w:t>-1</w:t>
            </w:r>
            <w:r>
              <w:rPr>
                <w:rFonts w:hint="eastAsia"/>
                <w:color w:val="auto"/>
                <w:sz w:val="24"/>
                <w:szCs w:val="24"/>
                <w:highlight w:val="none"/>
              </w:rPr>
              <w:t>，监测站位图见图</w:t>
            </w:r>
            <w:r>
              <w:rPr>
                <w:rFonts w:hint="eastAsia" w:ascii="Times New Roman"/>
                <w:color w:val="auto"/>
                <w:sz w:val="24"/>
                <w:szCs w:val="24"/>
                <w:highlight w:val="none"/>
              </w:rPr>
              <w:t>2</w:t>
            </w:r>
            <w:r>
              <w:rPr>
                <w:rFonts w:ascii="Times New Roman"/>
                <w:color w:val="auto"/>
                <w:sz w:val="24"/>
                <w:szCs w:val="24"/>
                <w:highlight w:val="none"/>
              </w:rPr>
              <w:t>.2-1</w:t>
            </w:r>
            <w:r>
              <w:rPr>
                <w:rFonts w:hint="eastAsia"/>
                <w:color w:val="auto"/>
                <w:sz w:val="24"/>
                <w:szCs w:val="24"/>
                <w:highlight w:val="none"/>
              </w:rPr>
              <w:t>。</w:t>
            </w: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center"/>
              <w:rPr>
                <w:color w:val="auto"/>
                <w:sz w:val="24"/>
                <w:szCs w:val="24"/>
                <w:highlight w:val="none"/>
              </w:rPr>
            </w:pPr>
            <w:r>
              <w:rPr>
                <w:rFonts w:hint="eastAsia"/>
                <w:color w:val="auto"/>
                <w:sz w:val="24"/>
                <w:szCs w:val="24"/>
                <w:highlight w:val="none"/>
              </w:rPr>
              <w:t>表</w:t>
            </w:r>
            <w:r>
              <w:rPr>
                <w:rFonts w:hint="eastAsia" w:ascii="Times New Roman"/>
                <w:b/>
                <w:bCs/>
                <w:color w:val="auto"/>
                <w:sz w:val="24"/>
                <w:szCs w:val="24"/>
                <w:highlight w:val="none"/>
              </w:rPr>
              <w:t>2</w:t>
            </w:r>
            <w:r>
              <w:rPr>
                <w:rFonts w:ascii="Times New Roman"/>
                <w:b/>
                <w:bCs/>
                <w:color w:val="auto"/>
                <w:sz w:val="24"/>
                <w:szCs w:val="24"/>
                <w:highlight w:val="none"/>
              </w:rPr>
              <w:t>.2-1</w:t>
            </w:r>
            <w:r>
              <w:rPr>
                <w:rFonts w:hint="eastAsia"/>
                <w:color w:val="auto"/>
                <w:sz w:val="24"/>
                <w:szCs w:val="24"/>
                <w:highlight w:val="none"/>
              </w:rPr>
              <w:t>监测</w:t>
            </w:r>
            <w:r>
              <w:rPr>
                <w:rFonts w:hint="eastAsia"/>
                <w:color w:val="auto"/>
                <w:spacing w:val="-5"/>
                <w:sz w:val="24"/>
                <w:szCs w:val="24"/>
                <w:highlight w:val="none"/>
              </w:rPr>
              <w:t>站位</w:t>
            </w:r>
            <w:r>
              <w:rPr>
                <w:rFonts w:hint="eastAsia"/>
                <w:color w:val="auto"/>
                <w:sz w:val="24"/>
                <w:szCs w:val="24"/>
                <w:highlight w:val="none"/>
              </w:rPr>
              <w:t>信息</w:t>
            </w:r>
          </w:p>
          <w:p>
            <w:pPr>
              <w:spacing w:line="372" w:lineRule="auto"/>
              <w:rPr>
                <w:color w:val="auto"/>
                <w:szCs w:val="21"/>
                <w:highlight w:val="none"/>
              </w:rPr>
            </w:pPr>
            <w:r>
              <w:rPr>
                <w:color w:val="auto"/>
                <w:szCs w:val="21"/>
                <w:highlight w:val="none"/>
              </w:rPr>
              <w:drawing>
                <wp:inline distT="0" distB="0" distL="0" distR="0">
                  <wp:extent cx="5706110" cy="4076700"/>
                  <wp:effectExtent l="19050" t="0" r="8548" b="0"/>
                  <wp:docPr id="1" name="图片 4" descr="F:\微信文件File\WeChat Files\wxid_kgkf81ca4cje21\FileStorage\Temp\170127206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F:\微信文件File\WeChat Files\wxid_kgkf81ca4cje21\FileStorage\Temp\1701272060005.png"/>
                          <pic:cNvPicPr>
                            <a:picLocks noChangeAspect="1" noChangeArrowheads="1"/>
                          </pic:cNvPicPr>
                        </pic:nvPicPr>
                        <pic:blipFill>
                          <a:blip r:embed="rId23"/>
                          <a:srcRect/>
                          <a:stretch>
                            <a:fillRect/>
                          </a:stretch>
                        </pic:blipFill>
                        <pic:spPr>
                          <a:xfrm>
                            <a:off x="0" y="0"/>
                            <a:ext cx="5709236" cy="4078689"/>
                          </a:xfrm>
                          <a:prstGeom prst="rect">
                            <a:avLst/>
                          </a:prstGeom>
                          <a:noFill/>
                          <a:ln w="9525">
                            <a:noFill/>
                            <a:miter lim="800000"/>
                            <a:headEnd/>
                            <a:tailEnd/>
                          </a:ln>
                        </pic:spPr>
                      </pic:pic>
                    </a:graphicData>
                  </a:graphic>
                </wp:inline>
              </w:drawing>
            </w:r>
          </w:p>
          <w:p>
            <w:pPr>
              <w:spacing w:line="372" w:lineRule="auto"/>
              <w:rPr>
                <w:color w:val="auto"/>
                <w:szCs w:val="21"/>
                <w:highlight w:val="none"/>
              </w:rPr>
            </w:pPr>
            <w:r>
              <w:rPr>
                <w:color w:val="auto"/>
                <w:szCs w:val="21"/>
                <w:highlight w:val="none"/>
              </w:rPr>
              <w:drawing>
                <wp:inline distT="0" distB="0" distL="0" distR="0">
                  <wp:extent cx="5709285" cy="3982085"/>
                  <wp:effectExtent l="19050" t="0" r="5195" b="0"/>
                  <wp:docPr id="2" name="图片 5" descr="F:\微信文件File\WeChat Files\wxid_kgkf81ca4cje21\FileStorage\Temp\170127208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F:\微信文件File\WeChat Files\wxid_kgkf81ca4cje21\FileStorage\Temp\1701272089650.png"/>
                          <pic:cNvPicPr>
                            <a:picLocks noChangeAspect="1" noChangeArrowheads="1"/>
                          </pic:cNvPicPr>
                        </pic:nvPicPr>
                        <pic:blipFill>
                          <a:blip r:embed="rId24"/>
                          <a:srcRect/>
                          <a:stretch>
                            <a:fillRect/>
                          </a:stretch>
                        </pic:blipFill>
                        <pic:spPr>
                          <a:xfrm>
                            <a:off x="0" y="0"/>
                            <a:ext cx="5709716" cy="3982158"/>
                          </a:xfrm>
                          <a:prstGeom prst="rect">
                            <a:avLst/>
                          </a:prstGeom>
                          <a:noFill/>
                          <a:ln w="9525">
                            <a:noFill/>
                            <a:miter lim="800000"/>
                            <a:headEnd/>
                            <a:tailEnd/>
                          </a:ln>
                        </pic:spPr>
                      </pic:pic>
                    </a:graphicData>
                  </a:graphic>
                </wp:inline>
              </w:drawing>
            </w:r>
          </w:p>
          <w:p>
            <w:pPr>
              <w:spacing w:line="372" w:lineRule="auto"/>
              <w:rPr>
                <w:color w:val="auto"/>
                <w:szCs w:val="21"/>
                <w:highlight w:val="none"/>
              </w:rPr>
            </w:pPr>
            <w:r>
              <w:rPr>
                <w:color w:val="auto"/>
                <w:szCs w:val="21"/>
                <w:highlight w:val="none"/>
              </w:rPr>
              <w:drawing>
                <wp:inline distT="0" distB="0" distL="0" distR="0">
                  <wp:extent cx="5593080" cy="4058920"/>
                  <wp:effectExtent l="19050" t="0" r="7356" b="0"/>
                  <wp:docPr id="16" name="图片 6" descr="F:\微信文件File\WeChat Files\wxid_kgkf81ca4cje21\FileStorage\Temp\1701272173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F:\微信文件File\WeChat Files\wxid_kgkf81ca4cje21\FileStorage\Temp\1701272173810.png"/>
                          <pic:cNvPicPr>
                            <a:picLocks noChangeAspect="1" noChangeArrowheads="1"/>
                          </pic:cNvPicPr>
                        </pic:nvPicPr>
                        <pic:blipFill>
                          <a:blip r:embed="rId25"/>
                          <a:srcRect/>
                          <a:stretch>
                            <a:fillRect/>
                          </a:stretch>
                        </pic:blipFill>
                        <pic:spPr>
                          <a:xfrm>
                            <a:off x="0" y="0"/>
                            <a:ext cx="5593148" cy="4059240"/>
                          </a:xfrm>
                          <a:prstGeom prst="rect">
                            <a:avLst/>
                          </a:prstGeom>
                          <a:noFill/>
                          <a:ln w="9525">
                            <a:noFill/>
                            <a:miter lim="800000"/>
                            <a:headEnd/>
                            <a:tailEnd/>
                          </a:ln>
                        </pic:spPr>
                      </pic:pic>
                    </a:graphicData>
                  </a:graphic>
                </wp:inline>
              </w:drawing>
            </w:r>
          </w:p>
          <w:p>
            <w:pPr>
              <w:spacing w:line="372" w:lineRule="auto"/>
              <w:ind w:firstLine="480"/>
              <w:jc w:val="center"/>
              <w:rPr>
                <w:color w:val="auto"/>
                <w:sz w:val="24"/>
                <w:szCs w:val="24"/>
                <w:highlight w:val="none"/>
              </w:rPr>
            </w:pPr>
            <w:r>
              <w:rPr>
                <w:rFonts w:hint="eastAsia"/>
                <w:color w:val="auto"/>
                <w:sz w:val="24"/>
                <w:szCs w:val="24"/>
                <w:highlight w:val="none"/>
              </w:rPr>
              <w:t>图</w:t>
            </w:r>
            <w:r>
              <w:rPr>
                <w:rFonts w:hint="eastAsia" w:ascii="Times New Roman"/>
                <w:b/>
                <w:bCs/>
                <w:color w:val="auto"/>
                <w:sz w:val="24"/>
                <w:szCs w:val="24"/>
                <w:highlight w:val="none"/>
              </w:rPr>
              <w:t>2</w:t>
            </w:r>
            <w:r>
              <w:rPr>
                <w:rFonts w:ascii="Times New Roman"/>
                <w:b/>
                <w:bCs/>
                <w:color w:val="auto"/>
                <w:sz w:val="24"/>
                <w:szCs w:val="24"/>
                <w:highlight w:val="none"/>
              </w:rPr>
              <w:t>.2-1</w:t>
            </w:r>
            <w:r>
              <w:rPr>
                <w:rFonts w:hint="eastAsia"/>
                <w:color w:val="auto"/>
                <w:sz w:val="24"/>
                <w:szCs w:val="24"/>
                <w:highlight w:val="none"/>
              </w:rPr>
              <w:t>监测站位图</w:t>
            </w:r>
          </w:p>
          <w:p>
            <w:pPr>
              <w:spacing w:line="372" w:lineRule="auto"/>
              <w:ind w:firstLine="480"/>
              <w:rPr>
                <w:rFonts w:ascii="宋体" w:cs="宋体"/>
                <w:color w:val="auto"/>
                <w:sz w:val="24"/>
                <w:szCs w:val="24"/>
                <w:highlight w:val="none"/>
              </w:rPr>
            </w:pPr>
            <w:r>
              <w:rPr>
                <w:rFonts w:hint="eastAsia"/>
                <w:b/>
                <w:bCs/>
                <w:color w:val="auto"/>
                <w:sz w:val="24"/>
                <w:szCs w:val="24"/>
                <w:highlight w:val="none"/>
              </w:rPr>
              <w:t>2</w:t>
            </w:r>
            <w:r>
              <w:rPr>
                <w:b/>
                <w:bCs/>
                <w:color w:val="auto"/>
                <w:sz w:val="24"/>
                <w:szCs w:val="24"/>
                <w:highlight w:val="none"/>
              </w:rPr>
              <w:t>.2.</w:t>
            </w:r>
            <w:r>
              <w:rPr>
                <w:rFonts w:hint="eastAsia"/>
                <w:b/>
                <w:bCs/>
                <w:color w:val="auto"/>
                <w:sz w:val="24"/>
                <w:szCs w:val="24"/>
                <w:highlight w:val="none"/>
              </w:rPr>
              <w:t>1</w:t>
            </w:r>
            <w:r>
              <w:rPr>
                <w:b/>
                <w:bCs/>
                <w:color w:val="auto"/>
                <w:sz w:val="24"/>
                <w:szCs w:val="24"/>
                <w:highlight w:val="none"/>
              </w:rPr>
              <w:t>.2</w:t>
            </w:r>
            <w:r>
              <w:rPr>
                <w:rFonts w:hint="eastAsia" w:ascii="宋体" w:cs="宋体"/>
                <w:color w:val="auto"/>
                <w:sz w:val="24"/>
                <w:szCs w:val="24"/>
                <w:highlight w:val="none"/>
              </w:rPr>
              <w:t>调查内容</w:t>
            </w:r>
          </w:p>
          <w:p>
            <w:pPr>
              <w:spacing w:line="360" w:lineRule="auto"/>
              <w:ind w:firstLine="480" w:firstLineChars="200"/>
              <w:jc w:val="left"/>
              <w:rPr>
                <w:color w:val="auto"/>
                <w:sz w:val="24"/>
                <w:szCs w:val="24"/>
                <w:highlight w:val="none"/>
              </w:rPr>
            </w:pPr>
            <w:r>
              <w:rPr>
                <w:rFonts w:hint="eastAsia"/>
                <w:color w:val="auto"/>
                <w:sz w:val="24"/>
                <w:szCs w:val="24"/>
                <w:highlight w:val="none"/>
              </w:rPr>
              <w:t>海洋生物生态调查内容为：叶绿素</w:t>
            </w:r>
            <w:r>
              <w:rPr>
                <w:rFonts w:ascii="Times New Roman"/>
                <w:color w:val="auto"/>
                <w:sz w:val="24"/>
                <w:szCs w:val="24"/>
                <w:highlight w:val="none"/>
              </w:rPr>
              <w:t>a</w:t>
            </w:r>
            <w:r>
              <w:rPr>
                <w:rFonts w:hint="eastAsia"/>
                <w:color w:val="auto"/>
                <w:sz w:val="24"/>
                <w:szCs w:val="24"/>
                <w:highlight w:val="none"/>
              </w:rPr>
              <w:t>、浮游植物、浮游动物、底栖生物、潮间带生物、游泳动物、鱼卵仔稚鱼。</w:t>
            </w:r>
          </w:p>
          <w:p>
            <w:pPr>
              <w:spacing w:line="372" w:lineRule="auto"/>
              <w:ind w:firstLine="480"/>
              <w:rPr>
                <w:b/>
                <w:bCs/>
                <w:color w:val="auto"/>
                <w:sz w:val="24"/>
                <w:szCs w:val="24"/>
                <w:highlight w:val="none"/>
              </w:rPr>
            </w:pPr>
            <w:r>
              <w:rPr>
                <w:rFonts w:hint="eastAsia"/>
                <w:b/>
                <w:bCs/>
                <w:color w:val="auto"/>
                <w:sz w:val="24"/>
                <w:szCs w:val="24"/>
                <w:highlight w:val="none"/>
              </w:rPr>
              <w:t>2</w:t>
            </w:r>
            <w:r>
              <w:rPr>
                <w:b/>
                <w:bCs/>
                <w:color w:val="auto"/>
                <w:sz w:val="24"/>
                <w:szCs w:val="24"/>
                <w:highlight w:val="none"/>
              </w:rPr>
              <w:t>.2.</w:t>
            </w:r>
            <w:r>
              <w:rPr>
                <w:rFonts w:hint="eastAsia"/>
                <w:b/>
                <w:bCs/>
                <w:color w:val="auto"/>
                <w:sz w:val="24"/>
                <w:szCs w:val="24"/>
                <w:highlight w:val="none"/>
              </w:rPr>
              <w:t>1</w:t>
            </w:r>
            <w:r>
              <w:rPr>
                <w:b/>
                <w:bCs/>
                <w:color w:val="auto"/>
                <w:sz w:val="24"/>
                <w:szCs w:val="24"/>
                <w:highlight w:val="none"/>
              </w:rPr>
              <w:t>.3</w:t>
            </w:r>
            <w:r>
              <w:rPr>
                <w:rFonts w:hint="eastAsia"/>
                <w:b/>
                <w:bCs/>
                <w:color w:val="auto"/>
                <w:sz w:val="24"/>
                <w:szCs w:val="24"/>
                <w:highlight w:val="none"/>
              </w:rPr>
              <w:t>调查分析方法</w:t>
            </w:r>
          </w:p>
          <w:p>
            <w:pPr>
              <w:spacing w:line="372" w:lineRule="auto"/>
              <w:ind w:firstLine="480"/>
              <w:rPr>
                <w:b/>
                <w:bCs/>
                <w:color w:val="auto"/>
                <w:sz w:val="24"/>
                <w:szCs w:val="24"/>
                <w:highlight w:val="none"/>
              </w:rPr>
            </w:pPr>
            <w:r>
              <w:rPr>
                <w:rFonts w:hint="eastAsia"/>
                <w:b/>
                <w:bCs/>
                <w:color w:val="auto"/>
                <w:sz w:val="24"/>
                <w:szCs w:val="24"/>
                <w:highlight w:val="none"/>
              </w:rPr>
              <w:t>（</w:t>
            </w:r>
            <w:r>
              <w:rPr>
                <w:b/>
                <w:bCs/>
                <w:color w:val="auto"/>
                <w:sz w:val="24"/>
                <w:szCs w:val="24"/>
                <w:highlight w:val="none"/>
              </w:rPr>
              <w:t>1</w:t>
            </w:r>
            <w:r>
              <w:rPr>
                <w:rFonts w:hint="eastAsia"/>
                <w:b/>
                <w:bCs/>
                <w:color w:val="auto"/>
                <w:sz w:val="24"/>
                <w:szCs w:val="24"/>
                <w:highlight w:val="none"/>
              </w:rPr>
              <w:t>）采样方法</w:t>
            </w:r>
          </w:p>
          <w:p>
            <w:pPr>
              <w:spacing w:line="360" w:lineRule="auto"/>
              <w:ind w:firstLine="480" w:firstLineChars="200"/>
              <w:rPr>
                <w:color w:val="auto"/>
                <w:sz w:val="24"/>
                <w:szCs w:val="24"/>
                <w:highlight w:val="none"/>
              </w:rPr>
            </w:pPr>
            <w:r>
              <w:rPr>
                <w:rFonts w:hint="eastAsia" w:ascii="宋体" w:hAnsi="Times New Roman" w:cs="宋体"/>
                <w:color w:val="auto"/>
                <w:kern w:val="0"/>
                <w:sz w:val="24"/>
                <w:szCs w:val="24"/>
                <w:highlight w:val="none"/>
              </w:rPr>
              <w:t>现场采样按照</w:t>
            </w:r>
            <w:r>
              <w:rPr>
                <w:rFonts w:hint="eastAsia"/>
                <w:color w:val="auto"/>
                <w:spacing w:val="-5"/>
                <w:sz w:val="24"/>
                <w:szCs w:val="24"/>
                <w:highlight w:val="none"/>
              </w:rPr>
              <w:t>《海洋监测规范第</w:t>
            </w:r>
            <w:r>
              <w:rPr>
                <w:color w:val="auto"/>
                <w:spacing w:val="-5"/>
                <w:sz w:val="24"/>
                <w:szCs w:val="24"/>
                <w:highlight w:val="none"/>
              </w:rPr>
              <w:t>7</w:t>
            </w:r>
            <w:r>
              <w:rPr>
                <w:rFonts w:hint="eastAsia"/>
                <w:color w:val="auto"/>
                <w:spacing w:val="-5"/>
                <w:sz w:val="24"/>
                <w:szCs w:val="24"/>
                <w:highlight w:val="none"/>
              </w:rPr>
              <w:t>部分：近海污染生态调查和生物监测》</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GB17378.7-2007</w:t>
            </w:r>
            <w:r>
              <w:rPr>
                <w:rFonts w:hint="eastAsia" w:ascii="宋体" w:hAnsi="Times New Roman" w:cs="宋体"/>
                <w:color w:val="auto"/>
                <w:kern w:val="0"/>
                <w:sz w:val="24"/>
                <w:szCs w:val="24"/>
                <w:highlight w:val="none"/>
              </w:rPr>
              <w:t>）、</w:t>
            </w:r>
            <w:r>
              <w:rPr>
                <w:rFonts w:hint="eastAsia"/>
                <w:color w:val="auto"/>
                <w:spacing w:val="-5"/>
                <w:sz w:val="24"/>
                <w:szCs w:val="24"/>
                <w:highlight w:val="none"/>
              </w:rPr>
              <w:t>《海洋调查规范</w:t>
            </w:r>
            <w:r>
              <w:rPr>
                <w:color w:val="auto"/>
                <w:spacing w:val="-5"/>
                <w:sz w:val="24"/>
                <w:szCs w:val="24"/>
                <w:highlight w:val="none"/>
              </w:rPr>
              <w:t>-</w:t>
            </w:r>
            <w:r>
              <w:rPr>
                <w:rFonts w:hint="eastAsia"/>
                <w:color w:val="auto"/>
                <w:spacing w:val="-5"/>
                <w:sz w:val="24"/>
                <w:szCs w:val="24"/>
                <w:highlight w:val="none"/>
              </w:rPr>
              <w:t>海洋生物调查》</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GB12763.6</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2007</w:t>
            </w:r>
            <w:r>
              <w:rPr>
                <w:rFonts w:hint="eastAsia" w:ascii="宋体" w:hAnsi="Times New Roman" w:cs="宋体"/>
                <w:color w:val="auto"/>
                <w:kern w:val="0"/>
                <w:sz w:val="24"/>
                <w:szCs w:val="24"/>
                <w:highlight w:val="none"/>
              </w:rPr>
              <w:t>）中规定的要求执行。</w:t>
            </w:r>
          </w:p>
          <w:p>
            <w:pPr>
              <w:spacing w:line="360" w:lineRule="auto"/>
              <w:ind w:firstLine="480" w:firstLineChars="200"/>
              <w:jc w:val="left"/>
              <w:rPr>
                <w:color w:val="auto"/>
                <w:sz w:val="24"/>
                <w:szCs w:val="24"/>
                <w:highlight w:val="none"/>
              </w:rPr>
            </w:pPr>
            <w:r>
              <w:rPr>
                <w:color w:val="auto"/>
                <w:sz w:val="24"/>
                <w:szCs w:val="24"/>
                <w:highlight w:val="none"/>
              </w:rPr>
              <w:t>——</w:t>
            </w:r>
            <w:r>
              <w:rPr>
                <w:rFonts w:hint="eastAsia"/>
                <w:color w:val="auto"/>
                <w:sz w:val="24"/>
                <w:szCs w:val="24"/>
                <w:highlight w:val="none"/>
              </w:rPr>
              <w:t>叶绿素</w:t>
            </w:r>
            <w:r>
              <w:rPr>
                <w:color w:val="auto"/>
                <w:sz w:val="24"/>
                <w:szCs w:val="24"/>
                <w:highlight w:val="none"/>
              </w:rPr>
              <w:t>a</w:t>
            </w:r>
            <w:r>
              <w:rPr>
                <w:rFonts w:hint="eastAsia"/>
                <w:color w:val="auto"/>
                <w:sz w:val="24"/>
                <w:szCs w:val="24"/>
                <w:highlight w:val="none"/>
              </w:rPr>
              <w:t>与水质调查同步实施，其数据结果用以估算海洋初级生产力水平。</w:t>
            </w:r>
          </w:p>
          <w:p>
            <w:pPr>
              <w:spacing w:line="360" w:lineRule="auto"/>
              <w:ind w:firstLine="480" w:firstLineChars="200"/>
              <w:jc w:val="left"/>
              <w:rPr>
                <w:color w:val="auto"/>
                <w:sz w:val="24"/>
                <w:szCs w:val="24"/>
                <w:highlight w:val="none"/>
              </w:rPr>
            </w:pPr>
            <w:r>
              <w:rPr>
                <w:rFonts w:hint="eastAsia" w:ascii="宋体" w:hAnsi="Times New Roman" w:cs="宋体"/>
                <w:color w:val="auto"/>
                <w:kern w:val="0"/>
                <w:sz w:val="24"/>
                <w:szCs w:val="24"/>
                <w:highlight w:val="none"/>
              </w:rPr>
              <w:t>初级生产力的估算采用叶绿素</w:t>
            </w:r>
            <w:r>
              <w:rPr>
                <w:rFonts w:ascii="Times New Roman" w:hAnsi="Times New Roman"/>
                <w:color w:val="auto"/>
                <w:kern w:val="0"/>
                <w:sz w:val="24"/>
                <w:szCs w:val="24"/>
                <w:highlight w:val="none"/>
              </w:rPr>
              <w:t>-a</w:t>
            </w:r>
            <w:r>
              <w:rPr>
                <w:rFonts w:hint="eastAsia" w:ascii="宋体" w:hAnsi="Times New Roman" w:cs="宋体"/>
                <w:color w:val="auto"/>
                <w:kern w:val="0"/>
                <w:sz w:val="24"/>
                <w:szCs w:val="24"/>
                <w:highlight w:val="none"/>
              </w:rPr>
              <w:t>法，按联合国教科文组织（</w:t>
            </w:r>
            <w:r>
              <w:rPr>
                <w:rFonts w:ascii="Times New Roman" w:hAnsi="Times New Roman"/>
                <w:color w:val="auto"/>
                <w:kern w:val="0"/>
                <w:sz w:val="24"/>
                <w:szCs w:val="24"/>
                <w:highlight w:val="none"/>
              </w:rPr>
              <w:t>UNESCO</w:t>
            </w:r>
            <w:r>
              <w:rPr>
                <w:rFonts w:hint="eastAsia" w:ascii="宋体" w:hAnsi="Times New Roman" w:cs="宋体"/>
                <w:color w:val="auto"/>
                <w:kern w:val="0"/>
                <w:sz w:val="24"/>
                <w:szCs w:val="24"/>
                <w:highlight w:val="none"/>
              </w:rPr>
              <w:t>）推荐的下列公式估算：</w:t>
            </w:r>
          </w:p>
          <w:p>
            <w:pPr>
              <w:spacing w:line="372" w:lineRule="auto"/>
              <w:ind w:firstLine="480"/>
              <w:rPr>
                <w:color w:val="auto"/>
                <w:sz w:val="24"/>
                <w:szCs w:val="24"/>
                <w:highlight w:val="none"/>
              </w:rPr>
            </w:pPr>
            <w:r>
              <w:rPr>
                <w:rFonts w:hint="eastAsia"/>
                <w:color w:val="auto"/>
                <w:sz w:val="24"/>
                <w:szCs w:val="24"/>
                <w:highlight w:val="none"/>
              </w:rPr>
              <w:drawing>
                <wp:inline distT="0" distB="0" distL="0" distR="0">
                  <wp:extent cx="935355" cy="464185"/>
                  <wp:effectExtent l="19050" t="0" r="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noChangeArrowheads="1"/>
                          </pic:cNvPicPr>
                        </pic:nvPicPr>
                        <pic:blipFill>
                          <a:blip r:embed="rId26"/>
                          <a:srcRect/>
                          <a:stretch>
                            <a:fillRect/>
                          </a:stretch>
                        </pic:blipFill>
                        <pic:spPr>
                          <a:xfrm>
                            <a:off x="0" y="0"/>
                            <a:ext cx="935355" cy="464185"/>
                          </a:xfrm>
                          <a:prstGeom prst="rect">
                            <a:avLst/>
                          </a:prstGeom>
                          <a:noFill/>
                          <a:ln w="9525">
                            <a:noFill/>
                            <a:miter lim="800000"/>
                            <a:headEnd/>
                            <a:tailEnd/>
                          </a:ln>
                        </pic:spPr>
                      </pic:pic>
                    </a:graphicData>
                  </a:graphic>
                </wp:inline>
              </w:drawing>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式中：</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i/>
                <w:iCs/>
                <w:color w:val="auto"/>
                <w:kern w:val="0"/>
                <w:sz w:val="24"/>
                <w:szCs w:val="24"/>
                <w:highlight w:val="none"/>
              </w:rPr>
              <w:t>P</w:t>
            </w: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现场初级生产力（</w:t>
            </w:r>
            <w:r>
              <w:rPr>
                <w:rFonts w:ascii="Times New Roman" w:hAnsi="Times New Roman"/>
                <w:color w:val="auto"/>
                <w:kern w:val="0"/>
                <w:sz w:val="24"/>
                <w:szCs w:val="24"/>
                <w:highlight w:val="none"/>
              </w:rPr>
              <w:t>mg·C/(㎡·d)</w:t>
            </w:r>
            <w:r>
              <w:rPr>
                <w:rFonts w:hint="eastAsia" w:ascii="宋体" w:hAnsi="Times New Roman" w:cs="宋体"/>
                <w:color w:val="auto"/>
                <w:kern w:val="0"/>
                <w:sz w:val="24"/>
                <w:szCs w:val="24"/>
                <w:highlight w:val="none"/>
              </w:rPr>
              <w:t>）；</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i/>
                <w:iCs/>
                <w:color w:val="auto"/>
                <w:kern w:val="0"/>
                <w:sz w:val="24"/>
                <w:szCs w:val="24"/>
                <w:highlight w:val="none"/>
              </w:rPr>
              <w:t>chla</w:t>
            </w:r>
            <w:r>
              <w:rPr>
                <w:rFonts w:ascii="Times New Roman" w:hAnsi="Times New Roman"/>
                <w:color w:val="auto"/>
                <w:kern w:val="0"/>
                <w:sz w:val="24"/>
                <w:szCs w:val="24"/>
                <w:highlight w:val="none"/>
              </w:rPr>
              <w:t>—</w:t>
            </w:r>
            <w:r>
              <w:rPr>
                <w:rFonts w:hint="eastAsia"/>
                <w:color w:val="auto"/>
                <w:spacing w:val="-5"/>
                <w:sz w:val="24"/>
                <w:szCs w:val="24"/>
                <w:highlight w:val="none"/>
              </w:rPr>
              <w:t>真光层</w:t>
            </w:r>
            <w:r>
              <w:rPr>
                <w:rFonts w:hint="eastAsia" w:ascii="宋体" w:hAnsi="Times New Roman" w:cs="宋体"/>
                <w:color w:val="auto"/>
                <w:kern w:val="0"/>
                <w:sz w:val="24"/>
                <w:szCs w:val="24"/>
                <w:highlight w:val="none"/>
              </w:rPr>
              <w:t>内平均叶绿素</w:t>
            </w:r>
            <w:r>
              <w:rPr>
                <w:rFonts w:ascii="Times New Roman" w:hAnsi="Times New Roman"/>
                <w:color w:val="auto"/>
                <w:kern w:val="0"/>
                <w:sz w:val="24"/>
                <w:szCs w:val="24"/>
                <w:highlight w:val="none"/>
              </w:rPr>
              <w:t>a</w:t>
            </w:r>
            <w:r>
              <w:rPr>
                <w:rFonts w:hint="eastAsia" w:ascii="宋体" w:hAnsi="Times New Roman" w:cs="宋体"/>
                <w:color w:val="auto"/>
                <w:kern w:val="0"/>
                <w:sz w:val="24"/>
                <w:szCs w:val="24"/>
                <w:highlight w:val="none"/>
              </w:rPr>
              <w:t>含量（</w:t>
            </w:r>
            <w:r>
              <w:rPr>
                <w:rFonts w:ascii="Times New Roman" w:hAnsi="Times New Roman"/>
                <w:color w:val="auto"/>
                <w:kern w:val="0"/>
                <w:sz w:val="24"/>
                <w:szCs w:val="24"/>
                <w:highlight w:val="none"/>
              </w:rPr>
              <w:t>mg/m³</w:t>
            </w:r>
            <w:r>
              <w:rPr>
                <w:rFonts w:hint="eastAsia" w:ascii="宋体" w:hAnsi="Times New Roman" w:cs="宋体"/>
                <w:color w:val="auto"/>
                <w:kern w:val="0"/>
                <w:sz w:val="24"/>
                <w:szCs w:val="24"/>
                <w:highlight w:val="none"/>
              </w:rPr>
              <w:t>）；</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i/>
                <w:iCs/>
                <w:color w:val="auto"/>
                <w:kern w:val="0"/>
                <w:sz w:val="24"/>
                <w:szCs w:val="24"/>
                <w:highlight w:val="none"/>
              </w:rPr>
              <w:t>Q</w:t>
            </w: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不同</w:t>
            </w:r>
            <w:r>
              <w:rPr>
                <w:rFonts w:hint="eastAsia"/>
                <w:color w:val="auto"/>
                <w:spacing w:val="-5"/>
                <w:sz w:val="24"/>
                <w:szCs w:val="24"/>
                <w:highlight w:val="none"/>
              </w:rPr>
              <w:t>层次</w:t>
            </w:r>
            <w:r>
              <w:rPr>
                <w:rFonts w:hint="eastAsia" w:ascii="宋体" w:hAnsi="Times New Roman" w:cs="宋体"/>
                <w:color w:val="auto"/>
                <w:kern w:val="0"/>
                <w:sz w:val="24"/>
                <w:szCs w:val="24"/>
                <w:highlight w:val="none"/>
              </w:rPr>
              <w:t>同化指数算术平均值，取</w:t>
            </w:r>
            <w:r>
              <w:rPr>
                <w:rFonts w:ascii="Times New Roman" w:hAnsi="Times New Roman"/>
                <w:color w:val="auto"/>
                <w:kern w:val="0"/>
                <w:sz w:val="24"/>
                <w:szCs w:val="24"/>
                <w:highlight w:val="none"/>
              </w:rPr>
              <w:t>3.7</w:t>
            </w:r>
            <w:r>
              <w:rPr>
                <w:rFonts w:hint="eastAsia" w:ascii="宋体" w:hAnsi="Times New Roman" w:cs="宋体"/>
                <w:color w:val="auto"/>
                <w:kern w:val="0"/>
                <w:sz w:val="24"/>
                <w:szCs w:val="24"/>
                <w:highlight w:val="none"/>
              </w:rPr>
              <w:t>；</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i/>
                <w:iCs/>
                <w:color w:val="auto"/>
                <w:kern w:val="0"/>
                <w:sz w:val="24"/>
                <w:szCs w:val="24"/>
                <w:highlight w:val="none"/>
              </w:rPr>
              <w:t>D</w:t>
            </w: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昼长</w:t>
            </w:r>
            <w:r>
              <w:rPr>
                <w:rFonts w:hint="eastAsia"/>
                <w:color w:val="auto"/>
                <w:spacing w:val="-5"/>
                <w:sz w:val="24"/>
                <w:szCs w:val="24"/>
                <w:highlight w:val="none"/>
              </w:rPr>
              <w:t>时间</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h</w:t>
            </w:r>
            <w:r>
              <w:rPr>
                <w:rFonts w:hint="eastAsia" w:ascii="宋体" w:hAnsi="Times New Roman" w:cs="宋体"/>
                <w:color w:val="auto"/>
                <w:kern w:val="0"/>
                <w:sz w:val="24"/>
                <w:szCs w:val="24"/>
                <w:highlight w:val="none"/>
              </w:rPr>
              <w:t>），根据季节和海区情况取</w:t>
            </w:r>
            <w:r>
              <w:rPr>
                <w:rFonts w:ascii="Times New Roman" w:hAnsi="Times New Roman"/>
                <w:color w:val="auto"/>
                <w:kern w:val="0"/>
                <w:sz w:val="24"/>
                <w:szCs w:val="24"/>
                <w:highlight w:val="none"/>
              </w:rPr>
              <w:t>13.3</w:t>
            </w:r>
            <w:r>
              <w:rPr>
                <w:rFonts w:hint="eastAsia" w:ascii="宋体" w:hAnsi="Times New Roman" w:cs="宋体"/>
                <w:color w:val="auto"/>
                <w:kern w:val="0"/>
                <w:sz w:val="24"/>
                <w:szCs w:val="24"/>
                <w:highlight w:val="none"/>
              </w:rPr>
              <w:t>小时；</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i/>
                <w:iCs/>
                <w:color w:val="auto"/>
                <w:kern w:val="0"/>
                <w:sz w:val="24"/>
                <w:szCs w:val="24"/>
                <w:highlight w:val="none"/>
              </w:rPr>
              <w:t>E</w:t>
            </w: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真光层深度，取透明度的</w:t>
            </w:r>
            <w:r>
              <w:rPr>
                <w:rFonts w:ascii="Times New Roman" w:hAnsi="Times New Roman"/>
                <w:color w:val="auto"/>
                <w:kern w:val="0"/>
                <w:sz w:val="24"/>
                <w:szCs w:val="24"/>
                <w:highlight w:val="none"/>
              </w:rPr>
              <w:t>3</w:t>
            </w:r>
            <w:r>
              <w:rPr>
                <w:rFonts w:hint="eastAsia" w:ascii="宋体" w:hAnsi="Times New Roman" w:cs="宋体"/>
                <w:color w:val="auto"/>
                <w:kern w:val="0"/>
                <w:sz w:val="24"/>
                <w:szCs w:val="24"/>
                <w:highlight w:val="none"/>
              </w:rPr>
              <w:t>倍，若透明度的</w:t>
            </w:r>
            <w:r>
              <w:rPr>
                <w:rFonts w:ascii="Times New Roman" w:hAnsi="Times New Roman"/>
                <w:color w:val="auto"/>
                <w:kern w:val="0"/>
                <w:sz w:val="24"/>
                <w:szCs w:val="24"/>
                <w:highlight w:val="none"/>
              </w:rPr>
              <w:t>3</w:t>
            </w:r>
            <w:r>
              <w:rPr>
                <w:rFonts w:hint="eastAsia" w:ascii="宋体" w:hAnsi="Times New Roman" w:cs="宋体"/>
                <w:color w:val="auto"/>
                <w:kern w:val="0"/>
                <w:sz w:val="24"/>
                <w:szCs w:val="24"/>
                <w:highlight w:val="none"/>
              </w:rPr>
              <w:t>倍大于水深，则取水深值。</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color w:val="auto"/>
                <w:kern w:val="0"/>
                <w:sz w:val="24"/>
                <w:szCs w:val="24"/>
                <w:highlight w:val="none"/>
              </w:rPr>
              <w:t>——</w:t>
            </w:r>
            <w:r>
              <w:rPr>
                <w:rFonts w:hint="eastAsia"/>
                <w:color w:val="auto"/>
                <w:spacing w:val="-5"/>
                <w:sz w:val="24"/>
                <w:szCs w:val="24"/>
                <w:highlight w:val="none"/>
              </w:rPr>
              <w:t>浮游植物</w:t>
            </w:r>
            <w:r>
              <w:rPr>
                <w:rFonts w:hint="eastAsia" w:ascii="宋体" w:hAnsi="Times New Roman" w:cs="宋体"/>
                <w:color w:val="auto"/>
                <w:kern w:val="0"/>
                <w:sz w:val="24"/>
                <w:szCs w:val="24"/>
                <w:highlight w:val="none"/>
              </w:rPr>
              <w:t>：采用浅水</w:t>
            </w:r>
            <w:r>
              <w:rPr>
                <w:rFonts w:ascii="Times New Roman" w:hAnsi="Times New Roman"/>
                <w:color w:val="auto"/>
                <w:kern w:val="0"/>
                <w:sz w:val="24"/>
                <w:szCs w:val="24"/>
                <w:highlight w:val="none"/>
              </w:rPr>
              <w:t>Ⅲ</w:t>
            </w:r>
            <w:r>
              <w:rPr>
                <w:rFonts w:hint="eastAsia" w:ascii="宋体" w:hAnsi="Times New Roman" w:cs="宋体"/>
                <w:color w:val="auto"/>
                <w:kern w:val="0"/>
                <w:sz w:val="24"/>
                <w:szCs w:val="24"/>
                <w:highlight w:val="none"/>
              </w:rPr>
              <w:t>型浮游生物网由海底底至海面进行垂直拖网一次采集，采集到的样品用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的甲醛溶液固定。</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浮游动物：采用浅水</w:t>
            </w:r>
            <w:r>
              <w:rPr>
                <w:rFonts w:ascii="Times New Roman" w:hAnsi="Times New Roman"/>
                <w:color w:val="auto"/>
                <w:kern w:val="0"/>
                <w:sz w:val="24"/>
                <w:szCs w:val="24"/>
                <w:highlight w:val="none"/>
              </w:rPr>
              <w:t>Ⅰ</w:t>
            </w:r>
            <w:r>
              <w:rPr>
                <w:rFonts w:hint="eastAsia" w:ascii="宋体" w:hAnsi="Times New Roman" w:cs="宋体"/>
                <w:color w:val="auto"/>
                <w:kern w:val="0"/>
                <w:sz w:val="24"/>
                <w:szCs w:val="24"/>
                <w:highlight w:val="none"/>
              </w:rPr>
              <w:t>型浮游生物网由海底至海面进行垂直拖网一次采集，采集到的样品用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的甲醛溶液固定。</w:t>
            </w:r>
          </w:p>
          <w:p>
            <w:pPr>
              <w:spacing w:line="360" w:lineRule="auto"/>
              <w:ind w:firstLine="480" w:firstLineChars="200"/>
              <w:jc w:val="left"/>
              <w:rPr>
                <w:rFonts w:ascii="Times New Roman" w:eastAsiaTheme="minorEastAsia"/>
                <w:color w:val="auto"/>
                <w:sz w:val="24"/>
                <w:szCs w:val="24"/>
                <w:highlight w:val="none"/>
              </w:rPr>
            </w:pP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底栖生物：定量样品一般采用开口面积为</w:t>
            </w:r>
            <w:r>
              <w:rPr>
                <w:rFonts w:ascii="Times New Roman" w:hAnsi="Times New Roman"/>
                <w:color w:val="auto"/>
                <w:kern w:val="0"/>
                <w:sz w:val="24"/>
                <w:szCs w:val="24"/>
                <w:highlight w:val="none"/>
              </w:rPr>
              <w:t>0.05㎡</w:t>
            </w:r>
            <w:r>
              <w:rPr>
                <w:rFonts w:hint="eastAsia" w:ascii="宋体" w:hAnsi="Times New Roman" w:cs="宋体"/>
                <w:color w:val="auto"/>
                <w:kern w:val="0"/>
                <w:sz w:val="24"/>
                <w:szCs w:val="24"/>
                <w:highlight w:val="none"/>
              </w:rPr>
              <w:t>的抓斗式采泥器采集，每站采样</w:t>
            </w:r>
            <w:r>
              <w:rPr>
                <w:rFonts w:ascii="Times New Roman" w:hAnsi="Times New Roman"/>
                <w:color w:val="auto"/>
                <w:kern w:val="0"/>
                <w:sz w:val="24"/>
                <w:szCs w:val="24"/>
                <w:highlight w:val="none"/>
              </w:rPr>
              <w:t>2</w:t>
            </w:r>
            <w:r>
              <w:rPr>
                <w:rFonts w:hint="eastAsia" w:ascii="宋体" w:hAnsi="Times New Roman" w:cs="宋体"/>
                <w:color w:val="auto"/>
                <w:kern w:val="0"/>
                <w:sz w:val="24"/>
                <w:szCs w:val="24"/>
                <w:highlight w:val="none"/>
              </w:rPr>
              <w:t>次，泥样淘洗后，拣出所有底栖生物装入样品瓶中，用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的甲醛溶液固定；定性样品用阿氏拖网采样，采集到的样品亦用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％甲醛溶液固定保存。</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潮间带生物：定量</w:t>
            </w:r>
            <w:r>
              <w:rPr>
                <w:rFonts w:hint="eastAsia"/>
                <w:color w:val="auto"/>
                <w:spacing w:val="-5"/>
                <w:sz w:val="24"/>
                <w:szCs w:val="24"/>
                <w:highlight w:val="none"/>
              </w:rPr>
              <w:t>样品</w:t>
            </w:r>
            <w:r>
              <w:rPr>
                <w:rFonts w:hint="eastAsia" w:ascii="宋体" w:hAnsi="Times New Roman" w:cs="宋体"/>
                <w:color w:val="auto"/>
                <w:kern w:val="0"/>
                <w:sz w:val="24"/>
                <w:szCs w:val="24"/>
                <w:highlight w:val="none"/>
              </w:rPr>
              <w:t>采用</w:t>
            </w:r>
            <w:r>
              <w:rPr>
                <w:rFonts w:ascii="Times New Roman" w:hAnsi="Times New Roman"/>
                <w:color w:val="auto"/>
                <w:kern w:val="0"/>
                <w:sz w:val="24"/>
                <w:szCs w:val="24"/>
                <w:highlight w:val="none"/>
              </w:rPr>
              <w:t>25cm×25cm×30cm</w:t>
            </w:r>
            <w:r>
              <w:rPr>
                <w:rFonts w:hint="eastAsia" w:ascii="宋体" w:hAnsi="Times New Roman" w:cs="宋体"/>
                <w:color w:val="auto"/>
                <w:kern w:val="0"/>
                <w:sz w:val="24"/>
                <w:szCs w:val="24"/>
                <w:highlight w:val="none"/>
              </w:rPr>
              <w:t>的定量框采集，样品厚度为</w:t>
            </w:r>
            <w:r>
              <w:rPr>
                <w:rFonts w:ascii="Times New Roman" w:hAnsi="Times New Roman"/>
                <w:color w:val="auto"/>
                <w:kern w:val="0"/>
                <w:sz w:val="24"/>
                <w:szCs w:val="24"/>
                <w:highlight w:val="none"/>
              </w:rPr>
              <w:t>30cm</w:t>
            </w:r>
            <w:r>
              <w:rPr>
                <w:rFonts w:hint="eastAsia" w:ascii="宋体" w:hAnsi="Times New Roman" w:cs="宋体"/>
                <w:color w:val="auto"/>
                <w:kern w:val="0"/>
                <w:sz w:val="24"/>
                <w:szCs w:val="24"/>
                <w:highlight w:val="none"/>
              </w:rPr>
              <w:t>，每站采集</w:t>
            </w:r>
            <w:r>
              <w:rPr>
                <w:rFonts w:ascii="Times New Roman" w:hAnsi="Times New Roman"/>
                <w:color w:val="auto"/>
                <w:kern w:val="0"/>
                <w:sz w:val="24"/>
                <w:szCs w:val="24"/>
                <w:highlight w:val="none"/>
              </w:rPr>
              <w:t>4</w:t>
            </w:r>
            <w:r>
              <w:rPr>
                <w:rFonts w:hint="eastAsia" w:ascii="宋体" w:hAnsi="Times New Roman" w:cs="宋体"/>
                <w:color w:val="auto"/>
                <w:kern w:val="0"/>
                <w:sz w:val="24"/>
                <w:szCs w:val="24"/>
                <w:highlight w:val="none"/>
              </w:rPr>
              <w:t>个样方合并为一个样品，泥样淘洗后拣出该潮带所有底栖生物装入样品瓶中，用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的甲醛溶液固定。</w:t>
            </w:r>
          </w:p>
          <w:p>
            <w:pPr>
              <w:spacing w:line="360" w:lineRule="auto"/>
              <w:ind w:firstLine="480" w:firstLineChars="200"/>
              <w:jc w:val="left"/>
              <w:rPr>
                <w:rFonts w:ascii="宋体" w:hAnsi="Times New Roman" w:cs="宋体"/>
                <w:color w:val="auto"/>
                <w:sz w:val="24"/>
                <w:szCs w:val="24"/>
                <w:highlight w:val="none"/>
              </w:rPr>
            </w:pPr>
            <w:r>
              <w:rPr>
                <w:rFonts w:ascii="Times New Roman" w:hAnsi="Times New Roman"/>
                <w:color w:val="auto"/>
                <w:sz w:val="24"/>
                <w:szCs w:val="24"/>
                <w:highlight w:val="none"/>
              </w:rPr>
              <w:t>——</w:t>
            </w:r>
            <w:r>
              <w:rPr>
                <w:rFonts w:hint="eastAsia" w:ascii="宋体" w:hAnsi="Times New Roman" w:cs="宋体"/>
                <w:color w:val="auto"/>
                <w:sz w:val="24"/>
                <w:szCs w:val="24"/>
                <w:highlight w:val="none"/>
              </w:rPr>
              <w:t>鱼卵和仔、稚鱼：采用浅水</w:t>
            </w:r>
            <w:r>
              <w:rPr>
                <w:rFonts w:ascii="Times New Roman" w:hAnsi="Times New Roman"/>
                <w:color w:val="auto"/>
                <w:sz w:val="24"/>
                <w:szCs w:val="24"/>
                <w:highlight w:val="none"/>
              </w:rPr>
              <w:t>I</w:t>
            </w:r>
            <w:r>
              <w:rPr>
                <w:rFonts w:hint="eastAsia" w:ascii="宋体" w:hAnsi="Times New Roman" w:cs="宋体"/>
                <w:color w:val="auto"/>
                <w:sz w:val="24"/>
                <w:szCs w:val="24"/>
                <w:highlight w:val="none"/>
              </w:rPr>
              <w:t>型浮游动物网，垂直拖网每站自底层到表层垂直拖网</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次（定量），水平拖网每站拖曳</w:t>
            </w:r>
            <w:r>
              <w:rPr>
                <w:rFonts w:ascii="Times New Roman" w:hAnsi="Times New Roman"/>
                <w:color w:val="auto"/>
                <w:sz w:val="24"/>
                <w:szCs w:val="24"/>
                <w:highlight w:val="none"/>
              </w:rPr>
              <w:t>10min</w:t>
            </w:r>
            <w:r>
              <w:rPr>
                <w:rFonts w:hint="eastAsia" w:ascii="宋体" w:hAnsi="Times New Roman" w:cs="宋体"/>
                <w:color w:val="auto"/>
                <w:sz w:val="24"/>
                <w:szCs w:val="24"/>
                <w:highlight w:val="none"/>
              </w:rPr>
              <w:t>（定性），采集到的样品用</w:t>
            </w:r>
            <w:r>
              <w:rPr>
                <w:rFonts w:ascii="Times New Roman" w:hAnsi="Times New Roman"/>
                <w:color w:val="auto"/>
                <w:sz w:val="24"/>
                <w:szCs w:val="24"/>
                <w:highlight w:val="none"/>
              </w:rPr>
              <w:t>5</w:t>
            </w:r>
            <w:r>
              <w:rPr>
                <w:rFonts w:hint="eastAsia" w:ascii="宋体" w:hAnsi="Times New Roman" w:cs="宋体"/>
                <w:color w:val="auto"/>
                <w:sz w:val="24"/>
                <w:szCs w:val="24"/>
                <w:highlight w:val="none"/>
              </w:rPr>
              <w:t>％甲醛溶液固定。</w:t>
            </w:r>
          </w:p>
          <w:p>
            <w:pPr>
              <w:spacing w:line="360" w:lineRule="auto"/>
              <w:ind w:firstLine="480" w:firstLineChars="200"/>
              <w:jc w:val="left"/>
              <w:rPr>
                <w:rFonts w:ascii="Times New Roman" w:eastAsiaTheme="minorEastAsia"/>
                <w:color w:val="auto"/>
                <w:sz w:val="24"/>
                <w:szCs w:val="24"/>
                <w:highlight w:val="none"/>
              </w:rPr>
            </w:pPr>
            <w:r>
              <w:rPr>
                <w:rFonts w:ascii="Times New Roman" w:hAnsi="Times New Roman"/>
                <w:color w:val="auto"/>
                <w:kern w:val="0"/>
                <w:sz w:val="24"/>
                <w:szCs w:val="24"/>
                <w:highlight w:val="none"/>
              </w:rPr>
              <w:t>——</w:t>
            </w:r>
            <w:r>
              <w:rPr>
                <w:rFonts w:hint="eastAsia" w:ascii="宋体" w:hAnsi="Times New Roman" w:cs="宋体"/>
                <w:color w:val="auto"/>
                <w:kern w:val="0"/>
                <w:sz w:val="24"/>
                <w:szCs w:val="24"/>
                <w:highlight w:val="none"/>
              </w:rPr>
              <w:t>游泳动物：拖网调查使用适合当地的单拖渔船，单拖网囊网目应取选择性低的网目（网囊部</w:t>
            </w:r>
            <w:r>
              <w:rPr>
                <w:rFonts w:ascii="Times New Roman" w:hAnsi="Times New Roman"/>
                <w:color w:val="auto"/>
                <w:kern w:val="0"/>
                <w:sz w:val="24"/>
                <w:szCs w:val="24"/>
                <w:highlight w:val="none"/>
              </w:rPr>
              <w:t>2a</w:t>
            </w:r>
            <w:r>
              <w:rPr>
                <w:rFonts w:hint="eastAsia" w:ascii="宋体" w:hAnsi="Times New Roman" w:cs="宋体"/>
                <w:color w:val="auto"/>
                <w:kern w:val="0"/>
                <w:sz w:val="24"/>
                <w:szCs w:val="24"/>
                <w:highlight w:val="none"/>
              </w:rPr>
              <w:t>小于</w:t>
            </w:r>
            <w:r>
              <w:rPr>
                <w:rFonts w:ascii="Times New Roman" w:hAnsi="Times New Roman"/>
                <w:color w:val="auto"/>
                <w:kern w:val="0"/>
                <w:sz w:val="24"/>
                <w:szCs w:val="24"/>
                <w:highlight w:val="none"/>
              </w:rPr>
              <w:t>20mm</w:t>
            </w:r>
            <w:r>
              <w:rPr>
                <w:rFonts w:hint="eastAsia" w:ascii="宋体" w:hAnsi="Times New Roman" w:cs="宋体"/>
                <w:color w:val="auto"/>
                <w:kern w:val="0"/>
                <w:sz w:val="24"/>
                <w:szCs w:val="24"/>
                <w:highlight w:val="none"/>
              </w:rPr>
              <w:t>），每站拖曳</w:t>
            </w:r>
            <w:r>
              <w:rPr>
                <w:rFonts w:ascii="Times New Roman" w:hAnsi="Times New Roman"/>
                <w:color w:val="auto"/>
                <w:kern w:val="0"/>
                <w:sz w:val="24"/>
                <w:szCs w:val="24"/>
                <w:highlight w:val="none"/>
              </w:rPr>
              <w:t>1h</w:t>
            </w:r>
            <w:r>
              <w:rPr>
                <w:rFonts w:hint="eastAsia" w:ascii="宋体" w:hAnsi="Times New Roman" w:cs="宋体"/>
                <w:color w:val="auto"/>
                <w:kern w:val="0"/>
                <w:sz w:val="24"/>
                <w:szCs w:val="24"/>
                <w:highlight w:val="none"/>
              </w:rPr>
              <w:t>左右（视具体海上作业条件而定），拖网速度控制在</w:t>
            </w:r>
            <w:r>
              <w:rPr>
                <w:rFonts w:ascii="Times New Roman" w:hAnsi="Times New Roman"/>
                <w:color w:val="auto"/>
                <w:kern w:val="0"/>
                <w:sz w:val="24"/>
                <w:szCs w:val="24"/>
                <w:highlight w:val="none"/>
              </w:rPr>
              <w:t>3kn</w:t>
            </w:r>
            <w:r>
              <w:rPr>
                <w:rFonts w:hint="eastAsia" w:ascii="宋体" w:hAnsi="Times New Roman" w:cs="宋体"/>
                <w:color w:val="auto"/>
                <w:kern w:val="0"/>
                <w:sz w:val="24"/>
                <w:szCs w:val="24"/>
                <w:highlight w:val="none"/>
              </w:rPr>
              <w:t>为宜。每网调查的渔获物进行分物种渔获重量和尾数统计。记录网产量，进行主要物种生物学测定。渔业资源</w:t>
            </w:r>
            <w:r>
              <w:rPr>
                <w:rFonts w:hint="eastAsia"/>
                <w:color w:val="auto"/>
                <w:spacing w:val="-5"/>
                <w:sz w:val="24"/>
                <w:szCs w:val="24"/>
                <w:highlight w:val="none"/>
              </w:rPr>
              <w:t>密度</w:t>
            </w:r>
            <w:r>
              <w:rPr>
                <w:rFonts w:hint="eastAsia" w:ascii="宋体" w:hAnsi="Times New Roman" w:cs="宋体"/>
                <w:color w:val="auto"/>
                <w:kern w:val="0"/>
                <w:sz w:val="24"/>
                <w:szCs w:val="24"/>
                <w:highlight w:val="none"/>
              </w:rPr>
              <w:t>计算采用面积法。渔业资源密度计算执行中华人民共和国水产行业标准（</w:t>
            </w:r>
            <w:r>
              <w:rPr>
                <w:rFonts w:ascii="Times New Roman" w:hAnsi="Times New Roman"/>
                <w:color w:val="auto"/>
                <w:kern w:val="0"/>
                <w:sz w:val="24"/>
                <w:szCs w:val="24"/>
                <w:highlight w:val="none"/>
              </w:rPr>
              <w:t>SC/T9110-2007</w:t>
            </w:r>
            <w:r>
              <w:rPr>
                <w:rFonts w:hint="eastAsia" w:ascii="宋体" w:hAnsi="Times New Roman" w:cs="宋体"/>
                <w:color w:val="auto"/>
                <w:kern w:val="0"/>
                <w:sz w:val="24"/>
                <w:szCs w:val="24"/>
                <w:highlight w:val="none"/>
              </w:rPr>
              <w:t>）。</w:t>
            </w:r>
          </w:p>
          <w:p>
            <w:pPr>
              <w:spacing w:line="372" w:lineRule="auto"/>
              <w:ind w:firstLine="480"/>
              <w:rPr>
                <w:b/>
                <w:bCs/>
                <w:color w:val="auto"/>
                <w:sz w:val="24"/>
                <w:szCs w:val="24"/>
                <w:highlight w:val="none"/>
              </w:rPr>
            </w:pPr>
            <w:r>
              <w:rPr>
                <w:rFonts w:hint="eastAsia"/>
                <w:b/>
                <w:bCs/>
                <w:color w:val="auto"/>
                <w:sz w:val="24"/>
                <w:szCs w:val="24"/>
                <w:highlight w:val="none"/>
              </w:rPr>
              <w:t>（</w:t>
            </w:r>
            <w:r>
              <w:rPr>
                <w:b/>
                <w:bCs/>
                <w:color w:val="auto"/>
                <w:sz w:val="24"/>
                <w:szCs w:val="24"/>
                <w:highlight w:val="none"/>
              </w:rPr>
              <w:t>2</w:t>
            </w:r>
            <w:r>
              <w:rPr>
                <w:rFonts w:hint="eastAsia"/>
                <w:b/>
                <w:bCs/>
                <w:color w:val="auto"/>
                <w:sz w:val="24"/>
                <w:szCs w:val="24"/>
                <w:highlight w:val="none"/>
              </w:rPr>
              <w:t>）分析方法</w:t>
            </w:r>
          </w:p>
          <w:p>
            <w:pPr>
              <w:spacing w:line="360" w:lineRule="auto"/>
              <w:ind w:firstLine="480" w:firstLineChars="200"/>
              <w:jc w:val="left"/>
              <w:rPr>
                <w:rFonts w:hint="eastAsia"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海洋生物生态各监测项目分析方法、仪器及检出限见表2.2</w:t>
            </w:r>
            <w:r>
              <w:rPr>
                <w:rFonts w:ascii="Times New Roman" w:hAnsi="Times New Roman"/>
                <w:color w:val="auto"/>
                <w:kern w:val="0"/>
                <w:sz w:val="24"/>
                <w:szCs w:val="24"/>
                <w:highlight w:val="none"/>
              </w:rPr>
              <w:t>-2</w:t>
            </w:r>
            <w:r>
              <w:rPr>
                <w:rFonts w:hint="eastAsia" w:ascii="宋体" w:hAnsi="Times New Roman" w:cs="宋体"/>
                <w:color w:val="auto"/>
                <w:kern w:val="0"/>
                <w:sz w:val="24"/>
                <w:szCs w:val="24"/>
                <w:highlight w:val="none"/>
              </w:rPr>
              <w:t>。</w:t>
            </w:r>
          </w:p>
          <w:p>
            <w:pPr>
              <w:spacing w:line="360" w:lineRule="auto"/>
              <w:ind w:firstLine="480" w:firstLineChars="200"/>
              <w:jc w:val="left"/>
              <w:rPr>
                <w:rFonts w:hint="eastAsia" w:ascii="宋体" w:hAnsi="Times New Roman" w:cs="宋体"/>
                <w:color w:val="auto"/>
                <w:kern w:val="0"/>
                <w:sz w:val="24"/>
                <w:szCs w:val="24"/>
                <w:highlight w:val="none"/>
              </w:rPr>
            </w:pPr>
          </w:p>
          <w:p>
            <w:pPr>
              <w:spacing w:line="360" w:lineRule="auto"/>
              <w:ind w:firstLine="480" w:firstLineChars="200"/>
              <w:jc w:val="left"/>
              <w:rPr>
                <w:rFonts w:hint="eastAsia" w:ascii="宋体" w:hAnsi="Times New Roman" w:cs="宋体"/>
                <w:color w:val="auto"/>
                <w:kern w:val="0"/>
                <w:sz w:val="24"/>
                <w:szCs w:val="24"/>
                <w:highlight w:val="none"/>
              </w:rPr>
            </w:pPr>
          </w:p>
          <w:p>
            <w:pPr>
              <w:spacing w:line="360" w:lineRule="auto"/>
              <w:ind w:firstLine="480" w:firstLineChars="200"/>
              <w:jc w:val="left"/>
              <w:rPr>
                <w:rFonts w:hint="eastAsia" w:ascii="宋体" w:hAnsi="Times New Roman" w:cs="宋体"/>
                <w:color w:val="auto"/>
                <w:kern w:val="0"/>
                <w:sz w:val="24"/>
                <w:szCs w:val="24"/>
                <w:highlight w:val="none"/>
              </w:rPr>
            </w:pPr>
          </w:p>
          <w:p>
            <w:pPr>
              <w:spacing w:line="360" w:lineRule="auto"/>
              <w:ind w:firstLine="480" w:firstLineChars="200"/>
              <w:jc w:val="left"/>
              <w:rPr>
                <w:rFonts w:hint="eastAsia" w:ascii="宋体" w:hAnsi="Times New Roman" w:cs="宋体"/>
                <w:color w:val="auto"/>
                <w:kern w:val="0"/>
                <w:sz w:val="24"/>
                <w:szCs w:val="24"/>
                <w:highlight w:val="none"/>
              </w:rPr>
            </w:pPr>
          </w:p>
          <w:p>
            <w:pPr>
              <w:spacing w:line="372" w:lineRule="auto"/>
              <w:ind w:firstLine="480"/>
              <w:jc w:val="center"/>
              <w:rPr>
                <w:color w:val="auto"/>
                <w:sz w:val="24"/>
                <w:szCs w:val="24"/>
                <w:highlight w:val="none"/>
              </w:rPr>
            </w:pPr>
            <w:r>
              <w:rPr>
                <w:rFonts w:hint="eastAsia"/>
                <w:color w:val="auto"/>
                <w:sz w:val="24"/>
                <w:szCs w:val="24"/>
                <w:highlight w:val="none"/>
              </w:rPr>
              <w:t>表</w:t>
            </w:r>
            <w:r>
              <w:rPr>
                <w:rFonts w:hint="eastAsia" w:ascii="Times New Roman"/>
                <w:b/>
                <w:bCs/>
                <w:color w:val="auto"/>
                <w:sz w:val="24"/>
                <w:szCs w:val="24"/>
                <w:highlight w:val="none"/>
              </w:rPr>
              <w:t>2</w:t>
            </w:r>
            <w:r>
              <w:rPr>
                <w:rFonts w:ascii="Times New Roman"/>
                <w:b/>
                <w:bCs/>
                <w:color w:val="auto"/>
                <w:sz w:val="24"/>
                <w:szCs w:val="24"/>
                <w:highlight w:val="none"/>
              </w:rPr>
              <w:t>.2-2</w:t>
            </w:r>
            <w:r>
              <w:rPr>
                <w:rFonts w:hint="eastAsia"/>
                <w:color w:val="auto"/>
                <w:sz w:val="24"/>
                <w:szCs w:val="24"/>
                <w:highlight w:val="none"/>
              </w:rPr>
              <w:t>海洋生物生态各监测项目分析方法、仪器及检出限</w:t>
            </w:r>
          </w:p>
          <w:p>
            <w:pPr>
              <w:pStyle w:val="3"/>
              <w:rPr>
                <w:color w:val="auto"/>
                <w:highlight w:val="none"/>
              </w:rPr>
            </w:pPr>
            <w:r>
              <w:rPr>
                <w:color w:val="auto"/>
                <w:highlight w:val="none"/>
              </w:rPr>
              <w:drawing>
                <wp:inline distT="0" distB="0" distL="0" distR="0">
                  <wp:extent cx="5716270" cy="4137660"/>
                  <wp:effectExtent l="19050" t="0" r="0" b="0"/>
                  <wp:docPr id="18" name="图片 8" descr="F:\微信文件File\WeChat Files\wxid_kgkf81ca4cje21\FileStorage\Temp\1701272451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F:\微信文件File\WeChat Files\wxid_kgkf81ca4cje21\FileStorage\Temp\1701272451421.png"/>
                          <pic:cNvPicPr>
                            <a:picLocks noChangeAspect="1" noChangeArrowheads="1"/>
                          </pic:cNvPicPr>
                        </pic:nvPicPr>
                        <pic:blipFill>
                          <a:blip r:embed="rId27"/>
                          <a:srcRect/>
                          <a:stretch>
                            <a:fillRect/>
                          </a:stretch>
                        </pic:blipFill>
                        <pic:spPr>
                          <a:xfrm>
                            <a:off x="0" y="0"/>
                            <a:ext cx="5717028" cy="4138287"/>
                          </a:xfrm>
                          <a:prstGeom prst="rect">
                            <a:avLst/>
                          </a:prstGeom>
                          <a:noFill/>
                          <a:ln w="9525">
                            <a:noFill/>
                            <a:miter lim="800000"/>
                            <a:headEnd/>
                            <a:tailEnd/>
                          </a:ln>
                        </pic:spPr>
                      </pic:pic>
                    </a:graphicData>
                  </a:graphic>
                </wp:inline>
              </w:drawing>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w:t>
            </w:r>
            <w:r>
              <w:rPr>
                <w:rFonts w:ascii="Times New Roman" w:hAnsi="Times New Roman"/>
                <w:b/>
                <w:bCs/>
                <w:color w:val="auto"/>
                <w:kern w:val="0"/>
                <w:sz w:val="24"/>
                <w:szCs w:val="24"/>
                <w:highlight w:val="none"/>
              </w:rPr>
              <w:t>3</w:t>
            </w:r>
            <w:r>
              <w:rPr>
                <w:rFonts w:hint="eastAsia" w:ascii="宋体" w:hAnsi="Times New Roman" w:cs="宋体"/>
                <w:color w:val="auto"/>
                <w:kern w:val="0"/>
                <w:sz w:val="24"/>
                <w:szCs w:val="24"/>
                <w:highlight w:val="none"/>
              </w:rPr>
              <w:t>）评价方法</w:t>
            </w:r>
          </w:p>
          <w:p>
            <w:pPr>
              <w:spacing w:line="360" w:lineRule="auto"/>
              <w:ind w:firstLine="480" w:firstLineChars="200"/>
              <w:jc w:val="left"/>
              <w:rPr>
                <w:rFonts w:ascii="宋体" w:hAnsi="Times New Roman" w:cs="宋体"/>
                <w:color w:val="auto"/>
                <w:kern w:val="0"/>
                <w:sz w:val="24"/>
                <w:szCs w:val="24"/>
                <w:highlight w:val="none"/>
              </w:rPr>
            </w:pPr>
            <w:r>
              <w:rPr>
                <w:rFonts w:ascii="Times New Roman" w:hAnsi="Times New Roman"/>
                <w:color w:val="auto"/>
                <w:kern w:val="0"/>
                <w:sz w:val="24"/>
                <w:szCs w:val="24"/>
                <w:highlight w:val="none"/>
              </w:rPr>
              <w:t>1</w:t>
            </w:r>
            <w:r>
              <w:rPr>
                <w:rFonts w:hint="eastAsia" w:ascii="宋体" w:hAnsi="Times New Roman" w:cs="宋体"/>
                <w:color w:val="auto"/>
                <w:kern w:val="0"/>
                <w:sz w:val="24"/>
                <w:szCs w:val="24"/>
                <w:highlight w:val="none"/>
              </w:rPr>
              <w:t>）</w:t>
            </w:r>
            <w:r>
              <w:rPr>
                <w:rFonts w:hint="eastAsia"/>
                <w:color w:val="auto"/>
                <w:spacing w:val="-5"/>
                <w:sz w:val="24"/>
                <w:szCs w:val="24"/>
                <w:highlight w:val="none"/>
              </w:rPr>
              <w:t>优势度</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优势种的</w:t>
            </w:r>
            <w:r>
              <w:rPr>
                <w:rFonts w:hint="eastAsia"/>
                <w:color w:val="auto"/>
                <w:spacing w:val="-5"/>
                <w:sz w:val="24"/>
                <w:szCs w:val="24"/>
                <w:highlight w:val="none"/>
              </w:rPr>
              <w:t>优势度</w:t>
            </w:r>
            <w:r>
              <w:rPr>
                <w:rFonts w:hint="eastAsia" w:ascii="宋体" w:hAnsi="Times New Roman" w:cs="宋体"/>
                <w:color w:val="auto"/>
                <w:kern w:val="0"/>
                <w:sz w:val="24"/>
                <w:szCs w:val="24"/>
                <w:highlight w:val="none"/>
              </w:rPr>
              <w:t>有多种方法表示，这里采用不同的计算公式来分别计算和表示各个调查站优势种的优势度和整个调查海区优势种的优势度。</w:t>
            </w:r>
          </w:p>
          <w:p>
            <w:pPr>
              <w:spacing w:line="360" w:lineRule="auto"/>
              <w:ind w:firstLine="480" w:firstLineChars="200"/>
              <w:jc w:val="left"/>
              <w:rPr>
                <w:color w:val="auto"/>
                <w:sz w:val="24"/>
                <w:szCs w:val="24"/>
                <w:highlight w:val="none"/>
              </w:rPr>
            </w:pPr>
            <w:r>
              <w:rPr>
                <w:rFonts w:hint="eastAsia"/>
                <w:color w:val="auto"/>
                <w:sz w:val="24"/>
                <w:szCs w:val="24"/>
                <w:highlight w:val="none"/>
              </w:rPr>
              <w:t>对于某一调查站</w:t>
            </w:r>
            <w:r>
              <w:rPr>
                <w:rFonts w:hint="eastAsia"/>
                <w:color w:val="auto"/>
                <w:spacing w:val="-5"/>
                <w:sz w:val="24"/>
                <w:szCs w:val="24"/>
                <w:highlight w:val="none"/>
              </w:rPr>
              <w:t>优势种</w:t>
            </w:r>
            <w:r>
              <w:rPr>
                <w:rFonts w:hint="eastAsia"/>
                <w:color w:val="auto"/>
                <w:sz w:val="24"/>
                <w:szCs w:val="24"/>
                <w:highlight w:val="none"/>
              </w:rPr>
              <w:t>的优势度可用百分比表示：</w:t>
            </w:r>
          </w:p>
          <w:p>
            <w:pPr>
              <w:spacing w:line="360" w:lineRule="auto"/>
              <w:ind w:firstLine="480" w:firstLineChars="200"/>
              <w:jc w:val="left"/>
              <w:rPr>
                <w:color w:val="auto"/>
                <w:sz w:val="24"/>
                <w:szCs w:val="24"/>
                <w:highlight w:val="none"/>
              </w:rPr>
            </w:pPr>
            <w:r>
              <w:rPr>
                <w:rFonts w:ascii="Times New Roman"/>
                <w:i/>
                <w:iCs/>
                <w:color w:val="auto"/>
                <w:sz w:val="24"/>
                <w:szCs w:val="24"/>
                <w:highlight w:val="none"/>
              </w:rPr>
              <w:t>D</w:t>
            </w:r>
            <w:r>
              <w:rPr>
                <w:rFonts w:hint="eastAsia"/>
                <w:color w:val="auto"/>
                <w:sz w:val="24"/>
                <w:szCs w:val="24"/>
                <w:highlight w:val="none"/>
              </w:rPr>
              <w:t>＝</w:t>
            </w:r>
            <w:r>
              <w:rPr>
                <w:rFonts w:ascii="Times New Roman"/>
                <w:i/>
                <w:iCs/>
                <w:color w:val="auto"/>
                <w:sz w:val="24"/>
                <w:szCs w:val="24"/>
                <w:highlight w:val="none"/>
              </w:rPr>
              <w:t>ni</w:t>
            </w:r>
            <w:r>
              <w:rPr>
                <w:rFonts w:ascii="Times New Roman"/>
                <w:color w:val="auto"/>
                <w:sz w:val="24"/>
                <w:szCs w:val="24"/>
                <w:highlight w:val="none"/>
              </w:rPr>
              <w:t>/</w:t>
            </w:r>
            <w:r>
              <w:rPr>
                <w:rFonts w:ascii="Times New Roman"/>
                <w:i/>
                <w:iCs/>
                <w:color w:val="auto"/>
                <w:sz w:val="24"/>
                <w:szCs w:val="24"/>
                <w:highlight w:val="none"/>
              </w:rPr>
              <w:t>N</w:t>
            </w:r>
            <w:r>
              <w:rPr>
                <w:rFonts w:ascii="Times New Roman"/>
                <w:color w:val="auto"/>
                <w:sz w:val="24"/>
                <w:szCs w:val="24"/>
                <w:highlight w:val="none"/>
              </w:rPr>
              <w:t>•100</w:t>
            </w:r>
            <w:r>
              <w:rPr>
                <w:rFonts w:hint="eastAsia"/>
                <w:color w:val="auto"/>
                <w:sz w:val="24"/>
                <w:szCs w:val="24"/>
                <w:highlight w:val="none"/>
              </w:rPr>
              <w:t>％</w:t>
            </w:r>
          </w:p>
          <w:p>
            <w:pPr>
              <w:spacing w:line="360" w:lineRule="auto"/>
              <w:ind w:firstLine="480" w:firstLineChars="200"/>
              <w:jc w:val="left"/>
              <w:rPr>
                <w:color w:val="auto"/>
                <w:sz w:val="24"/>
                <w:szCs w:val="24"/>
                <w:highlight w:val="none"/>
              </w:rPr>
            </w:pPr>
            <w:r>
              <w:rPr>
                <w:rFonts w:hint="eastAsia"/>
                <w:color w:val="auto"/>
                <w:sz w:val="24"/>
                <w:szCs w:val="24"/>
                <w:highlight w:val="none"/>
              </w:rPr>
              <w:t>式中：</w:t>
            </w:r>
            <w:r>
              <w:rPr>
                <w:rFonts w:ascii="Times New Roman"/>
                <w:color w:val="auto"/>
                <w:sz w:val="24"/>
                <w:szCs w:val="24"/>
                <w:highlight w:val="none"/>
              </w:rPr>
              <w:t>D—</w:t>
            </w:r>
            <w:r>
              <w:rPr>
                <w:rFonts w:hint="eastAsia"/>
                <w:color w:val="auto"/>
                <w:sz w:val="24"/>
                <w:szCs w:val="24"/>
                <w:highlight w:val="none"/>
              </w:rPr>
              <w:t>第</w:t>
            </w:r>
            <w:r>
              <w:rPr>
                <w:rFonts w:ascii="Times New Roman"/>
                <w:i/>
                <w:iCs/>
                <w:color w:val="auto"/>
                <w:sz w:val="24"/>
                <w:szCs w:val="24"/>
                <w:highlight w:val="none"/>
              </w:rPr>
              <w:t>i</w:t>
            </w:r>
            <w:r>
              <w:rPr>
                <w:rFonts w:hint="eastAsia"/>
                <w:color w:val="auto"/>
                <w:sz w:val="24"/>
                <w:szCs w:val="24"/>
                <w:highlight w:val="none"/>
              </w:rPr>
              <w:t>种的百分比优势度；</w:t>
            </w:r>
          </w:p>
          <w:p>
            <w:pPr>
              <w:spacing w:line="360" w:lineRule="auto"/>
              <w:ind w:firstLine="480" w:firstLineChars="200"/>
              <w:jc w:val="left"/>
              <w:rPr>
                <w:color w:val="auto"/>
                <w:sz w:val="24"/>
                <w:szCs w:val="24"/>
                <w:highlight w:val="none"/>
              </w:rPr>
            </w:pPr>
            <w:r>
              <w:rPr>
                <w:rFonts w:ascii="Times New Roman"/>
                <w:i/>
                <w:iCs/>
                <w:color w:val="auto"/>
                <w:sz w:val="24"/>
                <w:szCs w:val="24"/>
                <w:highlight w:val="none"/>
              </w:rPr>
              <w:t>ni</w:t>
            </w:r>
            <w:r>
              <w:rPr>
                <w:rFonts w:ascii="Times New Roman"/>
                <w:color w:val="auto"/>
                <w:sz w:val="24"/>
                <w:szCs w:val="24"/>
                <w:highlight w:val="none"/>
              </w:rPr>
              <w:t>—</w:t>
            </w:r>
            <w:r>
              <w:rPr>
                <w:rFonts w:hint="eastAsia"/>
                <w:color w:val="auto"/>
                <w:sz w:val="24"/>
                <w:szCs w:val="24"/>
                <w:highlight w:val="none"/>
              </w:rPr>
              <w:t>第</w:t>
            </w:r>
            <w:r>
              <w:rPr>
                <w:rFonts w:ascii="Times New Roman"/>
                <w:i/>
                <w:iCs/>
                <w:color w:val="auto"/>
                <w:sz w:val="24"/>
                <w:szCs w:val="24"/>
                <w:highlight w:val="none"/>
              </w:rPr>
              <w:t>i</w:t>
            </w:r>
            <w:r>
              <w:rPr>
                <w:rFonts w:hint="eastAsia"/>
                <w:color w:val="auto"/>
                <w:sz w:val="24"/>
                <w:szCs w:val="24"/>
                <w:highlight w:val="none"/>
              </w:rPr>
              <w:t>种的数量；</w:t>
            </w:r>
          </w:p>
          <w:p>
            <w:pPr>
              <w:spacing w:line="360" w:lineRule="auto"/>
              <w:ind w:firstLine="480" w:firstLineChars="200"/>
              <w:jc w:val="left"/>
              <w:rPr>
                <w:color w:val="auto"/>
                <w:sz w:val="24"/>
                <w:szCs w:val="24"/>
                <w:highlight w:val="none"/>
              </w:rPr>
            </w:pPr>
            <w:r>
              <w:rPr>
                <w:rFonts w:ascii="Times New Roman"/>
                <w:i/>
                <w:iCs/>
                <w:color w:val="auto"/>
                <w:sz w:val="24"/>
                <w:szCs w:val="24"/>
                <w:highlight w:val="none"/>
              </w:rPr>
              <w:t>N</w:t>
            </w:r>
            <w:r>
              <w:rPr>
                <w:rFonts w:ascii="Times New Roman"/>
                <w:color w:val="auto"/>
                <w:sz w:val="24"/>
                <w:szCs w:val="24"/>
                <w:highlight w:val="none"/>
              </w:rPr>
              <w:t>—</w:t>
            </w:r>
            <w:r>
              <w:rPr>
                <w:rFonts w:hint="eastAsia"/>
                <w:color w:val="auto"/>
                <w:sz w:val="24"/>
                <w:szCs w:val="24"/>
                <w:highlight w:val="none"/>
              </w:rPr>
              <w:t>该站群落中所有种的数量，数量可用个体数、密度、重量等单位表示，本报告用密度表示。</w:t>
            </w:r>
          </w:p>
          <w:p>
            <w:pPr>
              <w:spacing w:line="360" w:lineRule="auto"/>
              <w:ind w:firstLine="480" w:firstLineChars="200"/>
              <w:jc w:val="left"/>
              <w:rPr>
                <w:color w:val="auto"/>
                <w:sz w:val="24"/>
                <w:szCs w:val="24"/>
                <w:highlight w:val="none"/>
              </w:rPr>
            </w:pPr>
            <w:r>
              <w:rPr>
                <w:rFonts w:hint="eastAsia"/>
                <w:color w:val="auto"/>
                <w:sz w:val="24"/>
                <w:szCs w:val="24"/>
                <w:highlight w:val="none"/>
              </w:rPr>
              <w:t>对于某一区域优势种的优势度，计算公式如下：</w:t>
            </w:r>
          </w:p>
          <w:p>
            <w:pPr>
              <w:spacing w:line="360" w:lineRule="auto"/>
              <w:ind w:firstLine="480" w:firstLineChars="200"/>
              <w:jc w:val="left"/>
              <w:rPr>
                <w:color w:val="auto"/>
                <w:sz w:val="24"/>
                <w:szCs w:val="24"/>
                <w:highlight w:val="none"/>
              </w:rPr>
            </w:pPr>
            <w:r>
              <w:rPr>
                <w:color w:val="auto"/>
                <w:sz w:val="24"/>
                <w:szCs w:val="24"/>
                <w:highlight w:val="none"/>
              </w:rPr>
              <w:drawing>
                <wp:inline distT="0" distB="0" distL="0" distR="0">
                  <wp:extent cx="602615" cy="304800"/>
                  <wp:effectExtent l="19050" t="0" r="6985"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noChangeArrowheads="1"/>
                          </pic:cNvPicPr>
                        </pic:nvPicPr>
                        <pic:blipFill>
                          <a:blip r:embed="rId28"/>
                          <a:srcRect/>
                          <a:stretch>
                            <a:fillRect/>
                          </a:stretch>
                        </pic:blipFill>
                        <pic:spPr>
                          <a:xfrm>
                            <a:off x="0" y="0"/>
                            <a:ext cx="602615" cy="304800"/>
                          </a:xfrm>
                          <a:prstGeom prst="rect">
                            <a:avLst/>
                          </a:prstGeom>
                          <a:noFill/>
                          <a:ln w="9525">
                            <a:noFill/>
                            <a:miter lim="800000"/>
                            <a:headEnd/>
                            <a:tailEnd/>
                          </a:ln>
                        </pic:spPr>
                      </pic:pic>
                    </a:graphicData>
                  </a:graphic>
                </wp:inline>
              </w:drawing>
            </w:r>
          </w:p>
          <w:p>
            <w:pPr>
              <w:spacing w:line="360" w:lineRule="auto"/>
              <w:ind w:firstLine="480" w:firstLineChars="200"/>
              <w:jc w:val="left"/>
              <w:rPr>
                <w:color w:val="auto"/>
                <w:sz w:val="24"/>
                <w:szCs w:val="24"/>
                <w:highlight w:val="none"/>
              </w:rPr>
            </w:pPr>
            <w:r>
              <w:rPr>
                <w:rFonts w:hint="eastAsia"/>
                <w:color w:val="auto"/>
                <w:sz w:val="24"/>
                <w:szCs w:val="24"/>
                <w:highlight w:val="none"/>
              </w:rPr>
              <w:t>式中：</w:t>
            </w:r>
            <w:r>
              <w:rPr>
                <w:rFonts w:ascii="Times New Roman"/>
                <w:i/>
                <w:iCs/>
                <w:color w:val="auto"/>
                <w:sz w:val="24"/>
                <w:szCs w:val="24"/>
                <w:highlight w:val="none"/>
              </w:rPr>
              <w:t>ni</w:t>
            </w:r>
            <w:r>
              <w:rPr>
                <w:rFonts w:ascii="Times New Roman"/>
                <w:color w:val="auto"/>
                <w:sz w:val="24"/>
                <w:szCs w:val="24"/>
                <w:highlight w:val="none"/>
              </w:rPr>
              <w:t>—</w:t>
            </w:r>
            <w:r>
              <w:rPr>
                <w:rFonts w:hint="eastAsia"/>
                <w:color w:val="auto"/>
                <w:sz w:val="24"/>
                <w:szCs w:val="24"/>
                <w:highlight w:val="none"/>
              </w:rPr>
              <w:t>为第</w:t>
            </w:r>
            <w:r>
              <w:rPr>
                <w:rFonts w:ascii="Times New Roman"/>
                <w:i/>
                <w:iCs/>
                <w:color w:val="auto"/>
                <w:sz w:val="24"/>
                <w:szCs w:val="24"/>
                <w:highlight w:val="none"/>
              </w:rPr>
              <w:t>i</w:t>
            </w:r>
            <w:r>
              <w:rPr>
                <w:rFonts w:hint="eastAsia"/>
                <w:color w:val="auto"/>
                <w:sz w:val="24"/>
                <w:szCs w:val="24"/>
                <w:highlight w:val="none"/>
              </w:rPr>
              <w:t>种的数量；</w:t>
            </w:r>
          </w:p>
          <w:p>
            <w:pPr>
              <w:spacing w:line="360" w:lineRule="auto"/>
              <w:ind w:firstLine="480" w:firstLineChars="200"/>
              <w:jc w:val="left"/>
              <w:rPr>
                <w:color w:val="auto"/>
                <w:sz w:val="24"/>
                <w:szCs w:val="24"/>
                <w:highlight w:val="none"/>
              </w:rPr>
            </w:pPr>
            <w:r>
              <w:rPr>
                <w:rFonts w:ascii="Times New Roman"/>
                <w:i/>
                <w:iCs/>
                <w:color w:val="auto"/>
                <w:sz w:val="24"/>
                <w:szCs w:val="24"/>
                <w:highlight w:val="none"/>
              </w:rPr>
              <w:t>fi</w:t>
            </w:r>
            <w:r>
              <w:rPr>
                <w:rFonts w:ascii="Times New Roman"/>
                <w:color w:val="auto"/>
                <w:sz w:val="24"/>
                <w:szCs w:val="24"/>
                <w:highlight w:val="none"/>
              </w:rPr>
              <w:t>—</w:t>
            </w:r>
            <w:r>
              <w:rPr>
                <w:rFonts w:hint="eastAsia"/>
                <w:color w:val="auto"/>
                <w:sz w:val="24"/>
                <w:szCs w:val="24"/>
                <w:highlight w:val="none"/>
              </w:rPr>
              <w:t>为该种在各站出现的频率；</w:t>
            </w:r>
          </w:p>
          <w:p>
            <w:pPr>
              <w:spacing w:line="360" w:lineRule="auto"/>
              <w:ind w:firstLine="480" w:firstLineChars="200"/>
              <w:jc w:val="left"/>
              <w:rPr>
                <w:color w:val="auto"/>
                <w:sz w:val="24"/>
                <w:szCs w:val="24"/>
                <w:highlight w:val="none"/>
              </w:rPr>
            </w:pPr>
            <w:r>
              <w:rPr>
                <w:rFonts w:ascii="Times New Roman"/>
                <w:i/>
                <w:iCs/>
                <w:color w:val="auto"/>
                <w:sz w:val="24"/>
                <w:szCs w:val="24"/>
                <w:highlight w:val="none"/>
              </w:rPr>
              <w:t>N</w:t>
            </w:r>
            <w:r>
              <w:rPr>
                <w:rFonts w:ascii="Times New Roman"/>
                <w:color w:val="auto"/>
                <w:sz w:val="24"/>
                <w:szCs w:val="24"/>
                <w:highlight w:val="none"/>
              </w:rPr>
              <w:t>—</w:t>
            </w:r>
            <w:r>
              <w:rPr>
                <w:rFonts w:hint="eastAsia"/>
                <w:color w:val="auto"/>
                <w:sz w:val="24"/>
                <w:szCs w:val="24"/>
                <w:highlight w:val="none"/>
              </w:rPr>
              <w:t>为群落中所有种的数量。</w:t>
            </w:r>
          </w:p>
          <w:p>
            <w:pPr>
              <w:spacing w:line="360" w:lineRule="auto"/>
              <w:ind w:firstLine="480" w:firstLineChars="200"/>
              <w:jc w:val="left"/>
              <w:rPr>
                <w:color w:val="auto"/>
                <w:sz w:val="24"/>
                <w:szCs w:val="24"/>
                <w:highlight w:val="none"/>
              </w:rPr>
            </w:pPr>
            <w:r>
              <w:rPr>
                <w:rFonts w:hint="eastAsia"/>
                <w:color w:val="auto"/>
                <w:sz w:val="24"/>
                <w:szCs w:val="24"/>
                <w:highlight w:val="none"/>
              </w:rPr>
              <w:t>当某一种浮游植物的优势度</w:t>
            </w:r>
            <w:r>
              <w:rPr>
                <w:rFonts w:ascii="Times New Roman"/>
                <w:color w:val="auto"/>
                <w:sz w:val="24"/>
                <w:szCs w:val="24"/>
                <w:highlight w:val="none"/>
              </w:rPr>
              <w:t>Y</w:t>
            </w:r>
            <w:r>
              <w:rPr>
                <w:rFonts w:hint="eastAsia"/>
                <w:color w:val="auto"/>
                <w:sz w:val="24"/>
                <w:szCs w:val="24"/>
                <w:highlight w:val="none"/>
              </w:rPr>
              <w:t>≥</w:t>
            </w:r>
            <w:r>
              <w:rPr>
                <w:rFonts w:ascii="Times New Roman"/>
                <w:color w:val="auto"/>
                <w:sz w:val="24"/>
                <w:szCs w:val="24"/>
                <w:highlight w:val="none"/>
              </w:rPr>
              <w:t>0.02</w:t>
            </w:r>
            <w:r>
              <w:rPr>
                <w:rFonts w:hint="eastAsia"/>
                <w:color w:val="auto"/>
                <w:sz w:val="24"/>
                <w:szCs w:val="24"/>
                <w:highlight w:val="none"/>
              </w:rPr>
              <w:t>时，判定该种为监测区域的优势种。</w:t>
            </w:r>
          </w:p>
          <w:p>
            <w:pPr>
              <w:spacing w:line="360" w:lineRule="auto"/>
              <w:ind w:firstLine="480" w:firstLineChars="200"/>
              <w:jc w:val="left"/>
              <w:rPr>
                <w:color w:val="auto"/>
                <w:sz w:val="24"/>
                <w:szCs w:val="24"/>
                <w:highlight w:val="none"/>
              </w:rPr>
            </w:pPr>
            <w:r>
              <w:rPr>
                <w:rFonts w:ascii="Times New Roman"/>
                <w:color w:val="auto"/>
                <w:sz w:val="24"/>
                <w:szCs w:val="24"/>
                <w:highlight w:val="none"/>
              </w:rPr>
              <w:t>2</w:t>
            </w:r>
            <w:r>
              <w:rPr>
                <w:rFonts w:hint="eastAsia"/>
                <w:color w:val="auto"/>
                <w:sz w:val="24"/>
                <w:szCs w:val="24"/>
                <w:highlight w:val="none"/>
              </w:rPr>
              <w:t>）种类多样性指数、均匀度和丰富度</w:t>
            </w:r>
          </w:p>
          <w:p>
            <w:pPr>
              <w:spacing w:line="360" w:lineRule="auto"/>
              <w:ind w:firstLine="480" w:firstLineChars="200"/>
              <w:jc w:val="left"/>
              <w:rPr>
                <w:color w:val="auto"/>
                <w:sz w:val="24"/>
                <w:szCs w:val="24"/>
                <w:highlight w:val="none"/>
              </w:rPr>
            </w:pPr>
            <w:r>
              <w:rPr>
                <w:rFonts w:hint="eastAsia"/>
                <w:color w:val="auto"/>
                <w:sz w:val="24"/>
                <w:szCs w:val="24"/>
                <w:highlight w:val="none"/>
              </w:rPr>
              <w:t>种类多样性指数是</w:t>
            </w:r>
            <w:r>
              <w:rPr>
                <w:rFonts w:hint="eastAsia"/>
                <w:color w:val="auto"/>
                <w:spacing w:val="-5"/>
                <w:sz w:val="24"/>
                <w:szCs w:val="24"/>
                <w:highlight w:val="none"/>
              </w:rPr>
              <w:t>生物群落</w:t>
            </w:r>
            <w:r>
              <w:rPr>
                <w:rFonts w:hint="eastAsia"/>
                <w:color w:val="auto"/>
                <w:sz w:val="24"/>
                <w:szCs w:val="24"/>
                <w:highlight w:val="none"/>
              </w:rPr>
              <w:t>结构的一个重要属性的反映，可作为水质评价的生物指标，并可用来预测赤潮。现使用</w:t>
            </w:r>
            <w:r>
              <w:rPr>
                <w:rFonts w:ascii="Times New Roman"/>
                <w:color w:val="auto"/>
                <w:sz w:val="24"/>
                <w:szCs w:val="24"/>
                <w:highlight w:val="none"/>
              </w:rPr>
              <w:t>Shannon-Wiener</w:t>
            </w:r>
            <w:r>
              <w:rPr>
                <w:rFonts w:hint="eastAsia"/>
                <w:color w:val="auto"/>
                <w:sz w:val="24"/>
                <w:szCs w:val="24"/>
                <w:highlight w:val="none"/>
              </w:rPr>
              <w:t>法的多样性指数公式和</w:t>
            </w:r>
            <w:r>
              <w:rPr>
                <w:rFonts w:ascii="Times New Roman"/>
                <w:color w:val="auto"/>
                <w:sz w:val="24"/>
                <w:szCs w:val="24"/>
                <w:highlight w:val="none"/>
              </w:rPr>
              <w:t>Pielous</w:t>
            </w:r>
            <w:r>
              <w:rPr>
                <w:rFonts w:hint="eastAsia"/>
                <w:color w:val="auto"/>
                <w:sz w:val="24"/>
                <w:szCs w:val="24"/>
                <w:highlight w:val="none"/>
              </w:rPr>
              <w:t>均匀度公式来进行计算：</w:t>
            </w:r>
          </w:p>
          <w:p>
            <w:pPr>
              <w:pStyle w:val="22"/>
              <w:rPr>
                <w:color w:val="auto"/>
                <w:highlight w:val="none"/>
              </w:rPr>
            </w:pPr>
            <w:r>
              <w:rPr>
                <w:color w:val="auto"/>
                <w:highlight w:val="none"/>
              </w:rPr>
              <w:drawing>
                <wp:inline distT="0" distB="0" distL="0" distR="0">
                  <wp:extent cx="2299970" cy="775970"/>
                  <wp:effectExtent l="19050" t="0" r="5080" b="0"/>
                  <wp:docPr id="22" name="图片 12" descr="F:\微信文件File\WeChat Files\wxid_kgkf81ca4cje21\FileStorage\Temp\17012726071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F:\微信文件File\WeChat Files\wxid_kgkf81ca4cje21\FileStorage\Temp\1701272607132(1).png"/>
                          <pic:cNvPicPr>
                            <a:picLocks noChangeAspect="1" noChangeArrowheads="1"/>
                          </pic:cNvPicPr>
                        </pic:nvPicPr>
                        <pic:blipFill>
                          <a:blip r:embed="rId29"/>
                          <a:srcRect/>
                          <a:stretch>
                            <a:fillRect/>
                          </a:stretch>
                        </pic:blipFill>
                        <pic:spPr>
                          <a:xfrm>
                            <a:off x="0" y="0"/>
                            <a:ext cx="2299970" cy="775970"/>
                          </a:xfrm>
                          <a:prstGeom prst="rect">
                            <a:avLst/>
                          </a:prstGeom>
                          <a:noFill/>
                          <a:ln w="9525">
                            <a:noFill/>
                            <a:miter lim="800000"/>
                            <a:headEnd/>
                            <a:tailEnd/>
                          </a:ln>
                        </pic:spPr>
                      </pic:pic>
                    </a:graphicData>
                  </a:graphic>
                </wp:inline>
              </w:drawing>
            </w:r>
          </w:p>
          <w:p>
            <w:pPr>
              <w:spacing w:line="360" w:lineRule="auto"/>
              <w:ind w:firstLine="480" w:firstLineChars="200"/>
              <w:jc w:val="left"/>
              <w:rPr>
                <w:rFonts w:ascii="宋体" w:cs="宋体"/>
                <w:color w:val="auto"/>
                <w:sz w:val="24"/>
                <w:szCs w:val="24"/>
                <w:highlight w:val="none"/>
              </w:rPr>
            </w:pPr>
            <w:r>
              <w:rPr>
                <w:rFonts w:hint="eastAsia"/>
                <w:color w:val="auto"/>
                <w:sz w:val="24"/>
                <w:szCs w:val="24"/>
                <w:highlight w:val="none"/>
              </w:rPr>
              <w:t>式中：</w:t>
            </w:r>
            <w:r>
              <w:rPr>
                <w:rFonts w:ascii="Times New Roman"/>
                <w:i/>
                <w:iCs/>
                <w:color w:val="auto"/>
                <w:sz w:val="24"/>
                <w:szCs w:val="24"/>
                <w:highlight w:val="none"/>
              </w:rPr>
              <w:t>Hˊ</w:t>
            </w:r>
            <w:r>
              <w:rPr>
                <w:rFonts w:hint="eastAsia"/>
                <w:color w:val="auto"/>
                <w:sz w:val="24"/>
                <w:szCs w:val="24"/>
                <w:highlight w:val="none"/>
              </w:rPr>
              <w:t>为多样性指数；</w:t>
            </w:r>
            <w:r>
              <w:rPr>
                <w:rFonts w:ascii="Times New Roman"/>
                <w:i/>
                <w:iCs/>
                <w:color w:val="auto"/>
                <w:sz w:val="24"/>
                <w:szCs w:val="24"/>
                <w:highlight w:val="none"/>
              </w:rPr>
              <w:t>s</w:t>
            </w:r>
            <w:r>
              <w:rPr>
                <w:rFonts w:hint="eastAsia"/>
                <w:color w:val="auto"/>
                <w:sz w:val="24"/>
                <w:szCs w:val="24"/>
                <w:highlight w:val="none"/>
              </w:rPr>
              <w:t>为种类数；</w:t>
            </w:r>
            <w:r>
              <w:rPr>
                <w:rFonts w:ascii="Times New Roman"/>
                <w:i/>
                <w:iCs/>
                <w:color w:val="auto"/>
                <w:sz w:val="24"/>
                <w:szCs w:val="24"/>
                <w:highlight w:val="none"/>
              </w:rPr>
              <w:t>Pi</w:t>
            </w:r>
            <w:r>
              <w:rPr>
                <w:rFonts w:ascii="Times New Roman"/>
                <w:color w:val="auto"/>
                <w:sz w:val="24"/>
                <w:szCs w:val="24"/>
                <w:highlight w:val="none"/>
              </w:rPr>
              <w:t>=</w:t>
            </w:r>
            <w:r>
              <w:rPr>
                <w:rFonts w:ascii="Times New Roman"/>
                <w:i/>
                <w:iCs/>
                <w:color w:val="auto"/>
                <w:sz w:val="24"/>
                <w:szCs w:val="24"/>
                <w:highlight w:val="none"/>
              </w:rPr>
              <w:t>ni</w:t>
            </w:r>
            <w:r>
              <w:rPr>
                <w:rFonts w:ascii="Times New Roman"/>
                <w:color w:val="auto"/>
                <w:sz w:val="24"/>
                <w:szCs w:val="24"/>
                <w:highlight w:val="none"/>
              </w:rPr>
              <w:t>/</w:t>
            </w:r>
            <w:r>
              <w:rPr>
                <w:rFonts w:ascii="Times New Roman"/>
                <w:i/>
                <w:iCs/>
                <w:color w:val="auto"/>
                <w:sz w:val="24"/>
                <w:szCs w:val="24"/>
                <w:highlight w:val="none"/>
              </w:rPr>
              <w:t>N</w:t>
            </w:r>
            <w:r>
              <w:rPr>
                <w:rFonts w:hint="eastAsia"/>
                <w:color w:val="auto"/>
                <w:sz w:val="24"/>
                <w:szCs w:val="24"/>
                <w:highlight w:val="none"/>
              </w:rPr>
              <w:t>（</w:t>
            </w:r>
            <w:r>
              <w:rPr>
                <w:rFonts w:ascii="Times New Roman"/>
                <w:i/>
                <w:iCs/>
                <w:color w:val="auto"/>
                <w:sz w:val="24"/>
                <w:szCs w:val="24"/>
                <w:highlight w:val="none"/>
              </w:rPr>
              <w:t>ni</w:t>
            </w:r>
            <w:r>
              <w:rPr>
                <w:rFonts w:hint="eastAsia"/>
                <w:color w:val="auto"/>
                <w:sz w:val="24"/>
                <w:szCs w:val="24"/>
                <w:highlight w:val="none"/>
              </w:rPr>
              <w:t>是第</w:t>
            </w:r>
            <w:r>
              <w:rPr>
                <w:i/>
                <w:iCs/>
                <w:color w:val="auto"/>
                <w:sz w:val="24"/>
                <w:szCs w:val="24"/>
                <w:highlight w:val="none"/>
              </w:rPr>
              <w:t>i</w:t>
            </w:r>
            <w:r>
              <w:rPr>
                <w:rFonts w:hint="eastAsia" w:ascii="宋体" w:cs="宋体"/>
                <w:color w:val="auto"/>
                <w:sz w:val="24"/>
                <w:szCs w:val="24"/>
                <w:highlight w:val="none"/>
              </w:rPr>
              <w:t>个物种的个体数，</w:t>
            </w:r>
            <w:r>
              <w:rPr>
                <w:i/>
                <w:iCs/>
                <w:color w:val="auto"/>
                <w:sz w:val="24"/>
                <w:szCs w:val="24"/>
                <w:highlight w:val="none"/>
              </w:rPr>
              <w:t>N</w:t>
            </w:r>
            <w:r>
              <w:rPr>
                <w:rFonts w:hint="eastAsia" w:ascii="宋体" w:cs="宋体"/>
                <w:color w:val="auto"/>
                <w:sz w:val="24"/>
                <w:szCs w:val="24"/>
                <w:highlight w:val="none"/>
              </w:rPr>
              <w:t>是全部物种的个体数）；</w:t>
            </w:r>
            <w:r>
              <w:rPr>
                <w:i/>
                <w:iCs/>
                <w:color w:val="auto"/>
                <w:sz w:val="24"/>
                <w:szCs w:val="24"/>
                <w:highlight w:val="none"/>
              </w:rPr>
              <w:t>Jˊ</w:t>
            </w:r>
            <w:r>
              <w:rPr>
                <w:rFonts w:hint="eastAsia" w:ascii="宋体" w:cs="宋体"/>
                <w:color w:val="auto"/>
                <w:sz w:val="24"/>
                <w:szCs w:val="24"/>
                <w:highlight w:val="none"/>
              </w:rPr>
              <w:t>为均匀度。</w:t>
            </w:r>
          </w:p>
          <w:p>
            <w:pPr>
              <w:spacing w:line="360" w:lineRule="auto"/>
              <w:ind w:firstLine="480" w:firstLineChars="200"/>
              <w:jc w:val="left"/>
              <w:rPr>
                <w:color w:val="auto"/>
                <w:sz w:val="24"/>
                <w:szCs w:val="24"/>
                <w:highlight w:val="none"/>
              </w:rPr>
            </w:pPr>
            <w:r>
              <w:rPr>
                <w:rFonts w:hint="eastAsia" w:ascii="宋体" w:cs="宋体"/>
                <w:color w:val="auto"/>
                <w:sz w:val="24"/>
                <w:szCs w:val="24"/>
                <w:highlight w:val="none"/>
              </w:rPr>
              <w:t>丰富度（</w:t>
            </w:r>
            <w:r>
              <w:rPr>
                <w:color w:val="auto"/>
                <w:sz w:val="24"/>
                <w:szCs w:val="24"/>
                <w:highlight w:val="none"/>
              </w:rPr>
              <w:t>richness</w:t>
            </w:r>
            <w:r>
              <w:rPr>
                <w:rFonts w:hint="eastAsia" w:ascii="宋体" w:cs="宋体"/>
                <w:color w:val="auto"/>
                <w:sz w:val="24"/>
                <w:szCs w:val="24"/>
                <w:highlight w:val="none"/>
              </w:rPr>
              <w:t>）是表示</w:t>
            </w:r>
            <w:r>
              <w:rPr>
                <w:rFonts w:hint="eastAsia"/>
                <w:color w:val="auto"/>
                <w:spacing w:val="-5"/>
                <w:sz w:val="24"/>
                <w:szCs w:val="24"/>
                <w:highlight w:val="none"/>
              </w:rPr>
              <w:t>生物群落</w:t>
            </w:r>
            <w:r>
              <w:rPr>
                <w:rFonts w:hint="eastAsia" w:ascii="宋体" w:cs="宋体"/>
                <w:color w:val="auto"/>
                <w:sz w:val="24"/>
                <w:szCs w:val="24"/>
                <w:highlight w:val="none"/>
              </w:rPr>
              <w:t>中种类丰富程度的指数，是应当首先了解的。丰富度的计算公式有多种，现采用马卡列夫（</w:t>
            </w:r>
            <w:r>
              <w:rPr>
                <w:color w:val="auto"/>
                <w:sz w:val="24"/>
                <w:szCs w:val="24"/>
                <w:highlight w:val="none"/>
              </w:rPr>
              <w:t>Margalef，1958</w:t>
            </w:r>
            <w:r>
              <w:rPr>
                <w:rFonts w:hint="eastAsia" w:ascii="宋体" w:cs="宋体"/>
                <w:color w:val="auto"/>
                <w:sz w:val="24"/>
                <w:szCs w:val="24"/>
                <w:highlight w:val="none"/>
              </w:rPr>
              <w:t>）的丰富度公式进行计算：</w:t>
            </w:r>
          </w:p>
          <w:p>
            <w:pPr>
              <w:spacing w:line="372" w:lineRule="auto"/>
              <w:ind w:firstLine="480"/>
              <w:rPr>
                <w:color w:val="auto"/>
                <w:sz w:val="24"/>
                <w:szCs w:val="24"/>
                <w:highlight w:val="none"/>
              </w:rPr>
            </w:pPr>
            <w:r>
              <w:rPr>
                <w:i/>
                <w:iCs/>
                <w:color w:val="auto"/>
                <w:sz w:val="24"/>
                <w:szCs w:val="24"/>
                <w:highlight w:val="none"/>
              </w:rPr>
              <w:t>d</w:t>
            </w:r>
            <w:r>
              <w:rPr>
                <w:color w:val="auto"/>
                <w:sz w:val="24"/>
                <w:szCs w:val="24"/>
                <w:highlight w:val="none"/>
              </w:rPr>
              <w:t>=(</w:t>
            </w:r>
            <w:r>
              <w:rPr>
                <w:i/>
                <w:iCs/>
                <w:color w:val="auto"/>
                <w:sz w:val="24"/>
                <w:szCs w:val="24"/>
                <w:highlight w:val="none"/>
              </w:rPr>
              <w:t>S</w:t>
            </w:r>
            <w:r>
              <w:rPr>
                <w:color w:val="auto"/>
                <w:sz w:val="24"/>
                <w:szCs w:val="24"/>
                <w:highlight w:val="none"/>
              </w:rPr>
              <w:t>-1)/log2</w:t>
            </w:r>
            <w:r>
              <w:rPr>
                <w:i/>
                <w:iCs/>
                <w:color w:val="auto"/>
                <w:sz w:val="24"/>
                <w:szCs w:val="24"/>
                <w:highlight w:val="none"/>
              </w:rPr>
              <w:t>N</w:t>
            </w:r>
          </w:p>
          <w:p>
            <w:pPr>
              <w:spacing w:line="360" w:lineRule="auto"/>
              <w:ind w:firstLine="480" w:firstLineChars="200"/>
              <w:jc w:val="left"/>
              <w:rPr>
                <w:color w:val="auto"/>
                <w:sz w:val="24"/>
                <w:szCs w:val="24"/>
                <w:highlight w:val="none"/>
              </w:rPr>
            </w:pPr>
            <w:r>
              <w:rPr>
                <w:rFonts w:hint="eastAsia"/>
                <w:color w:val="auto"/>
                <w:sz w:val="24"/>
                <w:szCs w:val="24"/>
                <w:highlight w:val="none"/>
              </w:rPr>
              <w:t>其中：</w:t>
            </w:r>
            <w:r>
              <w:rPr>
                <w:i/>
                <w:iCs/>
                <w:color w:val="auto"/>
                <w:sz w:val="24"/>
                <w:szCs w:val="24"/>
                <w:highlight w:val="none"/>
              </w:rPr>
              <w:t>d</w:t>
            </w:r>
            <w:r>
              <w:rPr>
                <w:rFonts w:hint="eastAsia"/>
                <w:color w:val="auto"/>
                <w:sz w:val="24"/>
                <w:szCs w:val="24"/>
                <w:highlight w:val="none"/>
              </w:rPr>
              <w:t>表示丰富度，</w:t>
            </w:r>
            <w:r>
              <w:rPr>
                <w:i/>
                <w:iCs/>
                <w:color w:val="auto"/>
                <w:sz w:val="24"/>
                <w:szCs w:val="24"/>
                <w:highlight w:val="none"/>
              </w:rPr>
              <w:t>S</w:t>
            </w:r>
            <w:r>
              <w:rPr>
                <w:rFonts w:hint="eastAsia"/>
                <w:color w:val="auto"/>
                <w:sz w:val="24"/>
                <w:szCs w:val="24"/>
                <w:highlight w:val="none"/>
              </w:rPr>
              <w:t>表示样品中的种类总数，</w:t>
            </w:r>
            <w:r>
              <w:rPr>
                <w:i/>
                <w:iCs/>
                <w:color w:val="auto"/>
                <w:sz w:val="24"/>
                <w:szCs w:val="24"/>
                <w:highlight w:val="none"/>
              </w:rPr>
              <w:t>N</w:t>
            </w:r>
            <w:r>
              <w:rPr>
                <w:rFonts w:hint="eastAsia"/>
                <w:color w:val="auto"/>
                <w:sz w:val="24"/>
                <w:szCs w:val="24"/>
                <w:highlight w:val="none"/>
              </w:rPr>
              <w:t>表示样品中生物的数量。一般而言，健康环境，种类丰富度高；受污染的环境，丰富度降低。</w:t>
            </w:r>
          </w:p>
          <w:p>
            <w:pPr>
              <w:spacing w:line="360" w:lineRule="auto"/>
              <w:ind w:firstLine="482" w:firstLineChars="200"/>
              <w:jc w:val="left"/>
              <w:rPr>
                <w:rFonts w:ascii="宋体" w:hAnsi="Times New Roman" w:cs="宋体"/>
                <w:color w:val="auto"/>
                <w:kern w:val="0"/>
                <w:sz w:val="24"/>
                <w:szCs w:val="24"/>
                <w:highlight w:val="none"/>
              </w:rPr>
            </w:pPr>
            <w:r>
              <w:rPr>
                <w:rFonts w:hint="eastAsia" w:ascii="Times New Roman" w:hAnsi="Times New Roman"/>
                <w:b/>
                <w:bCs/>
                <w:color w:val="auto"/>
                <w:kern w:val="0"/>
                <w:sz w:val="24"/>
                <w:szCs w:val="24"/>
                <w:highlight w:val="none"/>
              </w:rPr>
              <w:t>2</w:t>
            </w:r>
            <w:r>
              <w:rPr>
                <w:rFonts w:ascii="Times New Roman" w:hAnsi="Times New Roman"/>
                <w:b/>
                <w:bCs/>
                <w:color w:val="auto"/>
                <w:kern w:val="0"/>
                <w:sz w:val="24"/>
                <w:szCs w:val="24"/>
                <w:highlight w:val="none"/>
              </w:rPr>
              <w:t>.2.</w:t>
            </w:r>
            <w:r>
              <w:rPr>
                <w:rFonts w:hint="eastAsia" w:ascii="Times New Roman" w:hAnsi="Times New Roman"/>
                <w:b/>
                <w:bCs/>
                <w:color w:val="auto"/>
                <w:kern w:val="0"/>
                <w:sz w:val="24"/>
                <w:szCs w:val="24"/>
                <w:highlight w:val="none"/>
              </w:rPr>
              <w:t>1</w:t>
            </w:r>
            <w:r>
              <w:rPr>
                <w:rFonts w:ascii="Times New Roman" w:hAnsi="Times New Roman"/>
                <w:b/>
                <w:bCs/>
                <w:color w:val="auto"/>
                <w:kern w:val="0"/>
                <w:sz w:val="24"/>
                <w:szCs w:val="24"/>
                <w:highlight w:val="none"/>
              </w:rPr>
              <w:t>.4</w:t>
            </w:r>
            <w:r>
              <w:rPr>
                <w:rFonts w:hint="eastAsia" w:ascii="宋体" w:hAnsi="Times New Roman" w:cs="宋体"/>
                <w:color w:val="auto"/>
                <w:kern w:val="0"/>
                <w:sz w:val="24"/>
                <w:szCs w:val="24"/>
                <w:highlight w:val="none"/>
              </w:rPr>
              <w:t>调查结果及评价</w:t>
            </w:r>
          </w:p>
          <w:p>
            <w:pPr>
              <w:spacing w:line="360" w:lineRule="auto"/>
              <w:ind w:firstLine="480" w:firstLineChars="200"/>
              <w:jc w:val="left"/>
              <w:rPr>
                <w:color w:val="auto"/>
                <w:sz w:val="24"/>
                <w:szCs w:val="24"/>
                <w:highlight w:val="none"/>
              </w:rPr>
            </w:pPr>
            <w:r>
              <w:rPr>
                <w:rFonts w:hint="eastAsia" w:ascii="宋体" w:hAnsi="Times New Roman" w:cs="宋体"/>
                <w:color w:val="auto"/>
                <w:kern w:val="0"/>
                <w:sz w:val="24"/>
                <w:szCs w:val="24"/>
                <w:highlight w:val="none"/>
              </w:rPr>
              <w:t>（</w:t>
            </w:r>
            <w:r>
              <w:rPr>
                <w:rFonts w:ascii="Times New Roman" w:hAnsi="Times New Roman"/>
                <w:b/>
                <w:bCs/>
                <w:color w:val="auto"/>
                <w:kern w:val="0"/>
                <w:sz w:val="24"/>
                <w:szCs w:val="24"/>
                <w:highlight w:val="none"/>
              </w:rPr>
              <w:t>1</w:t>
            </w:r>
            <w:r>
              <w:rPr>
                <w:rFonts w:hint="eastAsia" w:ascii="宋体" w:hAnsi="Times New Roman" w:cs="宋体"/>
                <w:color w:val="auto"/>
                <w:kern w:val="0"/>
                <w:sz w:val="24"/>
                <w:szCs w:val="24"/>
                <w:highlight w:val="none"/>
              </w:rPr>
              <w:t>）叶绿素</w:t>
            </w:r>
            <w:r>
              <w:rPr>
                <w:rFonts w:ascii="Times New Roman" w:hAnsi="Times New Roman"/>
                <w:b/>
                <w:bCs/>
                <w:color w:val="auto"/>
                <w:kern w:val="0"/>
                <w:sz w:val="24"/>
                <w:szCs w:val="24"/>
                <w:highlight w:val="none"/>
              </w:rPr>
              <w:t>a</w:t>
            </w:r>
            <w:r>
              <w:rPr>
                <w:rFonts w:hint="eastAsia" w:ascii="宋体" w:hAnsi="Times New Roman" w:cs="宋体"/>
                <w:color w:val="auto"/>
                <w:kern w:val="0"/>
                <w:sz w:val="24"/>
                <w:szCs w:val="24"/>
                <w:highlight w:val="none"/>
              </w:rPr>
              <w:t>及</w:t>
            </w:r>
            <w:r>
              <w:rPr>
                <w:rFonts w:hint="eastAsia"/>
                <w:color w:val="auto"/>
                <w:spacing w:val="-5"/>
                <w:sz w:val="24"/>
                <w:szCs w:val="24"/>
                <w:highlight w:val="none"/>
              </w:rPr>
              <w:t>初级生产力</w:t>
            </w:r>
          </w:p>
          <w:p>
            <w:pPr>
              <w:spacing w:line="360" w:lineRule="auto"/>
              <w:ind w:firstLine="480" w:firstLineChars="200"/>
              <w:jc w:val="left"/>
              <w:rPr>
                <w:color w:val="auto"/>
                <w:sz w:val="24"/>
                <w:szCs w:val="24"/>
                <w:highlight w:val="none"/>
              </w:rPr>
            </w:pPr>
            <w:r>
              <w:rPr>
                <w:rFonts w:hint="eastAsia"/>
                <w:color w:val="auto"/>
                <w:sz w:val="24"/>
                <w:szCs w:val="24"/>
                <w:highlight w:val="none"/>
              </w:rPr>
              <w:t>海水叶绿素</w:t>
            </w:r>
            <w:r>
              <w:rPr>
                <w:rFonts w:ascii="Times New Roman"/>
                <w:color w:val="auto"/>
                <w:sz w:val="24"/>
                <w:szCs w:val="24"/>
                <w:highlight w:val="none"/>
              </w:rPr>
              <w:t>a</w:t>
            </w:r>
            <w:r>
              <w:rPr>
                <w:rFonts w:hint="eastAsia"/>
                <w:color w:val="auto"/>
                <w:sz w:val="24"/>
                <w:szCs w:val="24"/>
                <w:highlight w:val="none"/>
              </w:rPr>
              <w:t>的含量和海洋初级生产力水平的监测，共布设</w:t>
            </w:r>
            <w:r>
              <w:rPr>
                <w:rFonts w:ascii="Times New Roman"/>
                <w:color w:val="auto"/>
                <w:sz w:val="24"/>
                <w:szCs w:val="24"/>
                <w:highlight w:val="none"/>
              </w:rPr>
              <w:t>20</w:t>
            </w:r>
            <w:r>
              <w:rPr>
                <w:rFonts w:hint="eastAsia"/>
                <w:color w:val="auto"/>
                <w:sz w:val="24"/>
                <w:szCs w:val="24"/>
                <w:highlight w:val="none"/>
              </w:rPr>
              <w:t>个调查站位，与水质调查同步开展，海水透明度作同步观测，用以估算海洋初级生产力水平。叶绿素</w:t>
            </w:r>
            <w:r>
              <w:rPr>
                <w:rFonts w:ascii="Times New Roman"/>
                <w:color w:val="auto"/>
                <w:sz w:val="24"/>
                <w:szCs w:val="24"/>
                <w:highlight w:val="none"/>
              </w:rPr>
              <w:t>a</w:t>
            </w:r>
            <w:r>
              <w:rPr>
                <w:rFonts w:hint="eastAsia"/>
                <w:color w:val="auto"/>
                <w:sz w:val="24"/>
                <w:szCs w:val="24"/>
                <w:highlight w:val="none"/>
              </w:rPr>
              <w:t>的测定按照《海洋监测规范》（</w:t>
            </w:r>
            <w:r>
              <w:rPr>
                <w:rFonts w:ascii="Times New Roman"/>
                <w:color w:val="auto"/>
                <w:sz w:val="24"/>
                <w:szCs w:val="24"/>
                <w:highlight w:val="none"/>
              </w:rPr>
              <w:t>GB17378.7-2007</w:t>
            </w:r>
            <w:r>
              <w:rPr>
                <w:rFonts w:hint="eastAsia"/>
                <w:color w:val="auto"/>
                <w:sz w:val="24"/>
                <w:szCs w:val="24"/>
                <w:highlight w:val="none"/>
              </w:rPr>
              <w:t>）中规定的方法（分光光度法）进行。</w:t>
            </w:r>
          </w:p>
          <w:p>
            <w:pPr>
              <w:spacing w:line="360" w:lineRule="auto"/>
              <w:ind w:firstLine="480" w:firstLineChars="200"/>
              <w:jc w:val="left"/>
              <w:rPr>
                <w:color w:val="auto"/>
                <w:sz w:val="24"/>
                <w:szCs w:val="24"/>
                <w:highlight w:val="none"/>
              </w:rPr>
            </w:pPr>
            <w:r>
              <w:rPr>
                <w:rFonts w:hint="eastAsia"/>
                <w:color w:val="auto"/>
                <w:sz w:val="24"/>
                <w:szCs w:val="24"/>
                <w:highlight w:val="none"/>
              </w:rPr>
              <w:t>本次各站叶绿素</w:t>
            </w:r>
            <w:r>
              <w:rPr>
                <w:rFonts w:ascii="Times New Roman"/>
                <w:color w:val="auto"/>
                <w:sz w:val="24"/>
                <w:szCs w:val="24"/>
                <w:highlight w:val="none"/>
              </w:rPr>
              <w:t>a</w:t>
            </w:r>
            <w:r>
              <w:rPr>
                <w:rFonts w:hint="eastAsia"/>
                <w:color w:val="auto"/>
                <w:sz w:val="24"/>
                <w:szCs w:val="24"/>
                <w:highlight w:val="none"/>
              </w:rPr>
              <w:t>含量的测定值见表2.2</w:t>
            </w:r>
            <w:r>
              <w:rPr>
                <w:rFonts w:ascii="Times New Roman"/>
                <w:color w:val="auto"/>
                <w:sz w:val="24"/>
                <w:szCs w:val="24"/>
                <w:highlight w:val="none"/>
              </w:rPr>
              <w:t>-3</w:t>
            </w:r>
            <w:r>
              <w:rPr>
                <w:rFonts w:hint="eastAsia"/>
                <w:color w:val="auto"/>
                <w:sz w:val="24"/>
                <w:szCs w:val="24"/>
                <w:highlight w:val="none"/>
              </w:rPr>
              <w:t>。</w:t>
            </w:r>
          </w:p>
          <w:p>
            <w:pPr>
              <w:spacing w:line="360" w:lineRule="auto"/>
              <w:ind w:firstLine="480" w:firstLineChars="200"/>
              <w:jc w:val="left"/>
              <w:rPr>
                <w:rFonts w:hint="eastAsia"/>
                <w:color w:val="auto"/>
                <w:sz w:val="24"/>
                <w:szCs w:val="24"/>
                <w:highlight w:val="none"/>
              </w:rPr>
            </w:pPr>
            <w:r>
              <w:rPr>
                <w:rFonts w:hint="eastAsia"/>
                <w:color w:val="auto"/>
                <w:sz w:val="24"/>
                <w:szCs w:val="24"/>
                <w:highlight w:val="none"/>
              </w:rPr>
              <w:t>由下表可知，调查区域叶绿素</w:t>
            </w:r>
            <w:r>
              <w:rPr>
                <w:color w:val="auto"/>
                <w:sz w:val="24"/>
                <w:szCs w:val="24"/>
                <w:highlight w:val="none"/>
              </w:rPr>
              <w:t>a</w:t>
            </w:r>
            <w:r>
              <w:rPr>
                <w:rFonts w:hint="eastAsia"/>
                <w:color w:val="auto"/>
                <w:sz w:val="24"/>
                <w:szCs w:val="24"/>
                <w:highlight w:val="none"/>
              </w:rPr>
              <w:t>含量范围为</w:t>
            </w:r>
            <w:r>
              <w:rPr>
                <w:color w:val="auto"/>
                <w:sz w:val="24"/>
                <w:szCs w:val="24"/>
                <w:highlight w:val="none"/>
              </w:rPr>
              <w:t>0.5μg/L</w:t>
            </w:r>
            <w:r>
              <w:rPr>
                <w:rFonts w:hint="eastAsia"/>
                <w:color w:val="auto"/>
                <w:sz w:val="24"/>
                <w:szCs w:val="24"/>
                <w:highlight w:val="none"/>
              </w:rPr>
              <w:t>～</w:t>
            </w:r>
            <w:r>
              <w:rPr>
                <w:color w:val="auto"/>
                <w:sz w:val="24"/>
                <w:szCs w:val="24"/>
                <w:highlight w:val="none"/>
              </w:rPr>
              <w:t>7.2μg/L</w:t>
            </w:r>
            <w:r>
              <w:rPr>
                <w:rFonts w:hint="eastAsia"/>
                <w:color w:val="auto"/>
                <w:sz w:val="24"/>
                <w:szCs w:val="24"/>
                <w:highlight w:val="none"/>
              </w:rPr>
              <w:t>，平均值为</w:t>
            </w:r>
            <w:r>
              <w:rPr>
                <w:color w:val="auto"/>
                <w:sz w:val="24"/>
                <w:szCs w:val="24"/>
                <w:highlight w:val="none"/>
              </w:rPr>
              <w:t>2.7μg/L</w:t>
            </w:r>
            <w:r>
              <w:rPr>
                <w:rFonts w:hint="eastAsia"/>
                <w:color w:val="auto"/>
                <w:sz w:val="24"/>
                <w:szCs w:val="24"/>
                <w:highlight w:val="none"/>
              </w:rPr>
              <w:t>。不同调查站位间叶绿素</w:t>
            </w:r>
            <w:r>
              <w:rPr>
                <w:color w:val="auto"/>
                <w:sz w:val="24"/>
                <w:szCs w:val="24"/>
                <w:highlight w:val="none"/>
              </w:rPr>
              <w:t>a</w:t>
            </w:r>
            <w:r>
              <w:rPr>
                <w:rFonts w:hint="eastAsia"/>
                <w:color w:val="auto"/>
                <w:sz w:val="24"/>
                <w:szCs w:val="24"/>
                <w:highlight w:val="none"/>
              </w:rPr>
              <w:t>含量差异较大，其中，位于三娘湾海域的</w:t>
            </w:r>
            <w:r>
              <w:rPr>
                <w:color w:val="auto"/>
                <w:sz w:val="24"/>
                <w:szCs w:val="24"/>
                <w:highlight w:val="none"/>
              </w:rPr>
              <w:t>19</w:t>
            </w:r>
            <w:r>
              <w:rPr>
                <w:rFonts w:hint="eastAsia"/>
                <w:color w:val="auto"/>
                <w:sz w:val="24"/>
                <w:szCs w:val="24"/>
                <w:highlight w:val="none"/>
              </w:rPr>
              <w:t>号站位叶绿素含量最高，为</w:t>
            </w:r>
            <w:r>
              <w:rPr>
                <w:color w:val="auto"/>
                <w:sz w:val="24"/>
                <w:szCs w:val="24"/>
                <w:highlight w:val="none"/>
              </w:rPr>
              <w:t>7.2μg/L</w:t>
            </w:r>
            <w:r>
              <w:rPr>
                <w:rFonts w:hint="eastAsia"/>
                <w:color w:val="auto"/>
                <w:sz w:val="24"/>
                <w:szCs w:val="24"/>
                <w:highlight w:val="none"/>
              </w:rPr>
              <w:t>；其次位于鹿耳环江以南海域的叶绿素</w:t>
            </w:r>
            <w:r>
              <w:rPr>
                <w:color w:val="auto"/>
                <w:sz w:val="24"/>
                <w:szCs w:val="24"/>
                <w:highlight w:val="none"/>
              </w:rPr>
              <w:t>a</w:t>
            </w:r>
            <w:r>
              <w:rPr>
                <w:rFonts w:hint="eastAsia"/>
                <w:color w:val="auto"/>
                <w:sz w:val="24"/>
                <w:szCs w:val="24"/>
                <w:highlight w:val="none"/>
              </w:rPr>
              <w:t>含量相对较高，其中</w:t>
            </w:r>
            <w:r>
              <w:rPr>
                <w:color w:val="auto"/>
                <w:sz w:val="24"/>
                <w:szCs w:val="24"/>
                <w:highlight w:val="none"/>
              </w:rPr>
              <w:t>18</w:t>
            </w:r>
            <w:r>
              <w:rPr>
                <w:rFonts w:hint="eastAsia"/>
                <w:color w:val="auto"/>
                <w:sz w:val="24"/>
                <w:szCs w:val="24"/>
                <w:highlight w:val="none"/>
              </w:rPr>
              <w:t>号站为</w:t>
            </w:r>
            <w:r>
              <w:rPr>
                <w:color w:val="auto"/>
                <w:sz w:val="24"/>
                <w:szCs w:val="24"/>
                <w:highlight w:val="none"/>
              </w:rPr>
              <w:t>6.3μg/L</w:t>
            </w:r>
            <w:r>
              <w:rPr>
                <w:rFonts w:hint="eastAsia"/>
                <w:color w:val="auto"/>
                <w:sz w:val="24"/>
                <w:szCs w:val="24"/>
                <w:highlight w:val="none"/>
              </w:rPr>
              <w:t>，</w:t>
            </w:r>
            <w:r>
              <w:rPr>
                <w:color w:val="auto"/>
                <w:sz w:val="24"/>
                <w:szCs w:val="24"/>
                <w:highlight w:val="none"/>
              </w:rPr>
              <w:t>9</w:t>
            </w:r>
            <w:r>
              <w:rPr>
                <w:rFonts w:hint="eastAsia"/>
                <w:color w:val="auto"/>
                <w:sz w:val="24"/>
                <w:szCs w:val="24"/>
                <w:highlight w:val="none"/>
              </w:rPr>
              <w:t>号站为</w:t>
            </w:r>
            <w:r>
              <w:rPr>
                <w:color w:val="auto"/>
                <w:sz w:val="24"/>
                <w:szCs w:val="24"/>
                <w:highlight w:val="none"/>
              </w:rPr>
              <w:t>5.9μg/L</w:t>
            </w:r>
            <w:r>
              <w:rPr>
                <w:rFonts w:hint="eastAsia"/>
                <w:color w:val="auto"/>
                <w:sz w:val="24"/>
                <w:szCs w:val="24"/>
                <w:highlight w:val="none"/>
              </w:rPr>
              <w:t>，</w:t>
            </w:r>
            <w:r>
              <w:rPr>
                <w:color w:val="auto"/>
                <w:sz w:val="24"/>
                <w:szCs w:val="24"/>
                <w:highlight w:val="none"/>
              </w:rPr>
              <w:t>14</w:t>
            </w:r>
            <w:r>
              <w:rPr>
                <w:rFonts w:hint="eastAsia"/>
                <w:color w:val="auto"/>
                <w:sz w:val="24"/>
                <w:szCs w:val="24"/>
                <w:highlight w:val="none"/>
              </w:rPr>
              <w:t>号站为</w:t>
            </w:r>
            <w:r>
              <w:rPr>
                <w:color w:val="auto"/>
                <w:sz w:val="24"/>
                <w:szCs w:val="24"/>
                <w:highlight w:val="none"/>
              </w:rPr>
              <w:t>5.4μg/L</w:t>
            </w:r>
            <w:r>
              <w:rPr>
                <w:rFonts w:hint="eastAsia"/>
                <w:color w:val="auto"/>
                <w:sz w:val="24"/>
                <w:szCs w:val="24"/>
                <w:highlight w:val="none"/>
              </w:rPr>
              <w:t>；其余</w:t>
            </w:r>
            <w:r>
              <w:rPr>
                <w:color w:val="auto"/>
                <w:sz w:val="24"/>
                <w:szCs w:val="24"/>
                <w:highlight w:val="none"/>
              </w:rPr>
              <w:t>16</w:t>
            </w:r>
            <w:r>
              <w:rPr>
                <w:rFonts w:hint="eastAsia"/>
                <w:color w:val="auto"/>
                <w:sz w:val="24"/>
                <w:szCs w:val="24"/>
                <w:highlight w:val="none"/>
              </w:rPr>
              <w:t>个站位叶绿素含量介于（</w:t>
            </w:r>
            <w:r>
              <w:rPr>
                <w:color w:val="auto"/>
                <w:sz w:val="24"/>
                <w:szCs w:val="24"/>
                <w:highlight w:val="none"/>
              </w:rPr>
              <w:t>0.5</w:t>
            </w:r>
            <w:r>
              <w:rPr>
                <w:rFonts w:hint="eastAsia"/>
                <w:color w:val="auto"/>
                <w:sz w:val="24"/>
                <w:szCs w:val="24"/>
                <w:highlight w:val="none"/>
              </w:rPr>
              <w:t>～</w:t>
            </w:r>
            <w:r>
              <w:rPr>
                <w:color w:val="auto"/>
                <w:sz w:val="24"/>
                <w:szCs w:val="24"/>
                <w:highlight w:val="none"/>
              </w:rPr>
              <w:t>3.0</w:t>
            </w:r>
            <w:r>
              <w:rPr>
                <w:rFonts w:hint="eastAsia"/>
                <w:color w:val="auto"/>
                <w:sz w:val="24"/>
                <w:szCs w:val="24"/>
                <w:highlight w:val="none"/>
              </w:rPr>
              <w:t>）</w:t>
            </w:r>
            <w:r>
              <w:rPr>
                <w:color w:val="auto"/>
                <w:sz w:val="24"/>
                <w:szCs w:val="24"/>
                <w:highlight w:val="none"/>
              </w:rPr>
              <w:t>μg/L</w:t>
            </w:r>
            <w:r>
              <w:rPr>
                <w:rFonts w:hint="eastAsia"/>
                <w:color w:val="auto"/>
                <w:sz w:val="24"/>
                <w:szCs w:val="24"/>
                <w:highlight w:val="none"/>
              </w:rPr>
              <w:t>；</w:t>
            </w:r>
            <w:r>
              <w:rPr>
                <w:color w:val="auto"/>
                <w:sz w:val="24"/>
                <w:szCs w:val="24"/>
                <w:highlight w:val="none"/>
              </w:rPr>
              <w:t>29</w:t>
            </w:r>
            <w:r>
              <w:rPr>
                <w:rFonts w:hint="eastAsia"/>
                <w:color w:val="auto"/>
                <w:sz w:val="24"/>
                <w:szCs w:val="24"/>
                <w:highlight w:val="none"/>
              </w:rPr>
              <w:t>号表层叶绿素含量最低，为</w:t>
            </w:r>
            <w:r>
              <w:rPr>
                <w:color w:val="auto"/>
                <w:sz w:val="24"/>
                <w:szCs w:val="24"/>
                <w:highlight w:val="none"/>
              </w:rPr>
              <w:t>0.5μg/L</w:t>
            </w:r>
            <w:r>
              <w:rPr>
                <w:rFonts w:hint="eastAsia"/>
                <w:color w:val="auto"/>
                <w:sz w:val="24"/>
                <w:szCs w:val="24"/>
                <w:highlight w:val="none"/>
              </w:rPr>
              <w:t>。</w:t>
            </w:r>
          </w:p>
          <w:p>
            <w:pPr>
              <w:spacing w:line="360" w:lineRule="auto"/>
              <w:ind w:firstLine="480" w:firstLineChars="200"/>
              <w:jc w:val="left"/>
              <w:rPr>
                <w:rFonts w:hint="eastAsia"/>
                <w:color w:val="auto"/>
                <w:sz w:val="24"/>
                <w:szCs w:val="24"/>
                <w:highlight w:val="none"/>
              </w:rPr>
            </w:pPr>
          </w:p>
          <w:p>
            <w:pPr>
              <w:spacing w:line="360" w:lineRule="auto"/>
              <w:ind w:firstLine="480" w:firstLineChars="200"/>
              <w:jc w:val="left"/>
              <w:rPr>
                <w:rFonts w:hint="eastAsia"/>
                <w:color w:val="auto"/>
                <w:sz w:val="24"/>
                <w:szCs w:val="24"/>
                <w:highlight w:val="none"/>
              </w:rPr>
            </w:pPr>
          </w:p>
          <w:p>
            <w:pPr>
              <w:jc w:val="center"/>
              <w:rPr>
                <w:color w:val="auto"/>
                <w:sz w:val="24"/>
                <w:szCs w:val="24"/>
                <w:highlight w:val="none"/>
              </w:rPr>
            </w:pPr>
            <w:r>
              <w:rPr>
                <w:rFonts w:hint="eastAsia"/>
                <w:color w:val="auto"/>
                <w:sz w:val="24"/>
                <w:szCs w:val="24"/>
                <w:highlight w:val="none"/>
              </w:rPr>
              <w:t>表2.2</w:t>
            </w:r>
            <w:r>
              <w:rPr>
                <w:rFonts w:ascii="Times New Roman"/>
                <w:b/>
                <w:bCs/>
                <w:color w:val="auto"/>
                <w:sz w:val="24"/>
                <w:szCs w:val="24"/>
                <w:highlight w:val="none"/>
              </w:rPr>
              <w:t>-3</w:t>
            </w:r>
            <w:r>
              <w:rPr>
                <w:rFonts w:hint="eastAsia"/>
                <w:color w:val="auto"/>
                <w:sz w:val="24"/>
                <w:szCs w:val="24"/>
                <w:highlight w:val="none"/>
              </w:rPr>
              <w:t>调查站位叶绿素</w:t>
            </w:r>
            <w:r>
              <w:rPr>
                <w:rFonts w:ascii="Times New Roman"/>
                <w:b/>
                <w:bCs/>
                <w:color w:val="auto"/>
                <w:sz w:val="24"/>
                <w:szCs w:val="24"/>
                <w:highlight w:val="none"/>
              </w:rPr>
              <w:t>a</w:t>
            </w:r>
            <w:r>
              <w:rPr>
                <w:rFonts w:hint="eastAsia"/>
                <w:color w:val="auto"/>
                <w:sz w:val="24"/>
                <w:szCs w:val="24"/>
                <w:highlight w:val="none"/>
              </w:rPr>
              <w:t>含量一览表</w:t>
            </w:r>
          </w:p>
          <w:p>
            <w:pPr>
              <w:pStyle w:val="3"/>
              <w:rPr>
                <w:color w:val="auto"/>
                <w:highlight w:val="none"/>
              </w:rPr>
            </w:pPr>
            <w:r>
              <w:rPr>
                <w:color w:val="auto"/>
                <w:highlight w:val="none"/>
              </w:rPr>
              <w:drawing>
                <wp:inline distT="0" distB="0" distL="0" distR="0">
                  <wp:extent cx="5722620" cy="4946015"/>
                  <wp:effectExtent l="19050" t="0" r="0" b="0"/>
                  <wp:docPr id="23" name="图片 13" descr="F:\微信文件File\WeChat Files\wxid_kgkf81ca4cje21\FileStorage\Temp\1701272822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F:\微信文件File\WeChat Files\wxid_kgkf81ca4cje21\FileStorage\Temp\1701272822041.png"/>
                          <pic:cNvPicPr>
                            <a:picLocks noChangeAspect="1" noChangeArrowheads="1"/>
                          </pic:cNvPicPr>
                        </pic:nvPicPr>
                        <pic:blipFill>
                          <a:blip r:embed="rId30"/>
                          <a:srcRect/>
                          <a:stretch>
                            <a:fillRect/>
                          </a:stretch>
                        </pic:blipFill>
                        <pic:spPr>
                          <a:xfrm>
                            <a:off x="0" y="0"/>
                            <a:ext cx="5723060" cy="4945907"/>
                          </a:xfrm>
                          <a:prstGeom prst="rect">
                            <a:avLst/>
                          </a:prstGeom>
                          <a:noFill/>
                          <a:ln w="9525">
                            <a:noFill/>
                            <a:miter lim="800000"/>
                            <a:headEnd/>
                            <a:tailEnd/>
                          </a:ln>
                        </pic:spPr>
                      </pic:pic>
                    </a:graphicData>
                  </a:graphic>
                </wp:inline>
              </w:drawing>
            </w:r>
          </w:p>
          <w:p>
            <w:pPr>
              <w:spacing w:line="360" w:lineRule="auto"/>
              <w:ind w:firstLine="420" w:firstLineChars="200"/>
              <w:jc w:val="left"/>
              <w:rPr>
                <w:color w:val="auto"/>
                <w:highlight w:val="none"/>
              </w:rPr>
            </w:pPr>
          </w:p>
          <w:p>
            <w:pPr>
              <w:spacing w:line="360" w:lineRule="auto"/>
              <w:ind w:firstLine="480" w:firstLineChars="200"/>
              <w:rPr>
                <w:color w:val="auto"/>
                <w:sz w:val="24"/>
                <w:szCs w:val="24"/>
                <w:highlight w:val="none"/>
              </w:rPr>
            </w:pPr>
            <w:r>
              <w:rPr>
                <w:rFonts w:hint="eastAsia"/>
                <w:color w:val="auto"/>
                <w:sz w:val="24"/>
                <w:szCs w:val="24"/>
                <w:highlight w:val="none"/>
              </w:rPr>
              <w:t>调查海区各</w:t>
            </w:r>
            <w:r>
              <w:rPr>
                <w:rFonts w:hint="eastAsia"/>
                <w:color w:val="auto"/>
                <w:spacing w:val="-5"/>
                <w:sz w:val="24"/>
                <w:szCs w:val="24"/>
                <w:highlight w:val="none"/>
              </w:rPr>
              <w:t>站位</w:t>
            </w:r>
            <w:r>
              <w:rPr>
                <w:rFonts w:hint="eastAsia"/>
                <w:color w:val="auto"/>
                <w:sz w:val="24"/>
                <w:szCs w:val="24"/>
                <w:highlight w:val="none"/>
              </w:rPr>
              <w:t>的初级生产力值见表2.2</w:t>
            </w:r>
            <w:r>
              <w:rPr>
                <w:color w:val="auto"/>
                <w:sz w:val="24"/>
                <w:szCs w:val="24"/>
                <w:highlight w:val="none"/>
              </w:rPr>
              <w:t>-3</w:t>
            </w:r>
            <w:r>
              <w:rPr>
                <w:rFonts w:hint="eastAsia"/>
                <w:color w:val="auto"/>
                <w:sz w:val="24"/>
                <w:szCs w:val="24"/>
                <w:highlight w:val="none"/>
              </w:rPr>
              <w:t>，由表可知，</w:t>
            </w:r>
            <w:r>
              <w:rPr>
                <w:color w:val="auto"/>
                <w:sz w:val="24"/>
                <w:szCs w:val="24"/>
                <w:highlight w:val="none"/>
              </w:rPr>
              <w:t>2022</w:t>
            </w:r>
            <w:r>
              <w:rPr>
                <w:rFonts w:hint="eastAsia"/>
                <w:color w:val="auto"/>
                <w:sz w:val="24"/>
                <w:szCs w:val="24"/>
                <w:highlight w:val="none"/>
              </w:rPr>
              <w:t>年</w:t>
            </w:r>
            <w:r>
              <w:rPr>
                <w:color w:val="auto"/>
                <w:sz w:val="24"/>
                <w:szCs w:val="24"/>
                <w:highlight w:val="none"/>
              </w:rPr>
              <w:t>9</w:t>
            </w:r>
            <w:r>
              <w:rPr>
                <w:rFonts w:hint="eastAsia"/>
                <w:color w:val="auto"/>
                <w:sz w:val="24"/>
                <w:szCs w:val="24"/>
                <w:highlight w:val="none"/>
              </w:rPr>
              <w:t>月份调查海域海洋初级生产力变化范围在（</w:t>
            </w:r>
            <w:r>
              <w:rPr>
                <w:color w:val="auto"/>
                <w:sz w:val="24"/>
                <w:szCs w:val="24"/>
                <w:highlight w:val="none"/>
              </w:rPr>
              <w:t>50.8</w:t>
            </w:r>
            <w:r>
              <w:rPr>
                <w:rFonts w:hint="eastAsia"/>
                <w:color w:val="auto"/>
                <w:sz w:val="24"/>
                <w:szCs w:val="24"/>
                <w:highlight w:val="none"/>
              </w:rPr>
              <w:t>～</w:t>
            </w:r>
            <w:r>
              <w:rPr>
                <w:color w:val="auto"/>
                <w:sz w:val="24"/>
                <w:szCs w:val="24"/>
                <w:highlight w:val="none"/>
              </w:rPr>
              <w:t>772.3</w:t>
            </w:r>
            <w:r>
              <w:rPr>
                <w:rFonts w:hint="eastAsia"/>
                <w:color w:val="auto"/>
                <w:sz w:val="24"/>
                <w:szCs w:val="24"/>
                <w:highlight w:val="none"/>
              </w:rPr>
              <w:t>）</w:t>
            </w:r>
            <w:r>
              <w:rPr>
                <w:color w:val="auto"/>
                <w:sz w:val="24"/>
                <w:szCs w:val="24"/>
                <w:highlight w:val="none"/>
              </w:rPr>
              <w:t>mgC/(㎡d)</w:t>
            </w:r>
            <w:r>
              <w:rPr>
                <w:rFonts w:hint="eastAsia"/>
                <w:color w:val="auto"/>
                <w:sz w:val="24"/>
                <w:szCs w:val="24"/>
                <w:highlight w:val="none"/>
              </w:rPr>
              <w:t>之间，平均值为</w:t>
            </w:r>
            <w:r>
              <w:rPr>
                <w:color w:val="auto"/>
                <w:sz w:val="24"/>
                <w:szCs w:val="24"/>
                <w:highlight w:val="none"/>
              </w:rPr>
              <w:t>344.3mgC/(㎡d)</w:t>
            </w:r>
            <w:r>
              <w:rPr>
                <w:rFonts w:hint="eastAsia"/>
                <w:color w:val="auto"/>
                <w:sz w:val="24"/>
                <w:szCs w:val="24"/>
                <w:highlight w:val="none"/>
              </w:rPr>
              <w:t>。不同调查站位间初级生产力水平差异较大，</w:t>
            </w:r>
            <w:r>
              <w:rPr>
                <w:color w:val="auto"/>
                <w:sz w:val="24"/>
                <w:szCs w:val="24"/>
                <w:highlight w:val="none"/>
              </w:rPr>
              <w:t>9</w:t>
            </w:r>
            <w:r>
              <w:rPr>
                <w:rFonts w:hint="eastAsia"/>
                <w:color w:val="auto"/>
                <w:sz w:val="24"/>
                <w:szCs w:val="24"/>
                <w:highlight w:val="none"/>
              </w:rPr>
              <w:t>号站位初级生产力最高，为</w:t>
            </w:r>
            <w:r>
              <w:rPr>
                <w:color w:val="auto"/>
                <w:sz w:val="24"/>
                <w:szCs w:val="24"/>
                <w:highlight w:val="none"/>
              </w:rPr>
              <w:t>772.3mg·C/(㎡·d)</w:t>
            </w:r>
            <w:r>
              <w:rPr>
                <w:rFonts w:hint="eastAsia"/>
                <w:color w:val="auto"/>
                <w:sz w:val="24"/>
                <w:szCs w:val="24"/>
                <w:highlight w:val="none"/>
              </w:rPr>
              <w:t>；其次为</w:t>
            </w:r>
            <w:r>
              <w:rPr>
                <w:color w:val="auto"/>
                <w:sz w:val="24"/>
                <w:szCs w:val="24"/>
                <w:highlight w:val="none"/>
              </w:rPr>
              <w:t>18</w:t>
            </w:r>
            <w:r>
              <w:rPr>
                <w:rFonts w:hint="eastAsia"/>
                <w:color w:val="auto"/>
                <w:sz w:val="24"/>
                <w:szCs w:val="24"/>
                <w:highlight w:val="none"/>
              </w:rPr>
              <w:t>号，其初级生产力为</w:t>
            </w:r>
            <w:r>
              <w:rPr>
                <w:color w:val="auto"/>
                <w:sz w:val="24"/>
                <w:szCs w:val="24"/>
                <w:highlight w:val="none"/>
              </w:rPr>
              <w:t>711.0mg·C/(㎡·d)</w:t>
            </w:r>
            <w:r>
              <w:rPr>
                <w:rFonts w:hint="eastAsia"/>
                <w:color w:val="auto"/>
                <w:sz w:val="24"/>
                <w:szCs w:val="24"/>
                <w:highlight w:val="none"/>
              </w:rPr>
              <w:t>；有</w:t>
            </w:r>
            <w:r>
              <w:rPr>
                <w:color w:val="auto"/>
                <w:sz w:val="24"/>
                <w:szCs w:val="24"/>
                <w:highlight w:val="none"/>
              </w:rPr>
              <w:t>4</w:t>
            </w:r>
            <w:r>
              <w:rPr>
                <w:rFonts w:hint="eastAsia"/>
                <w:color w:val="auto"/>
                <w:sz w:val="24"/>
                <w:szCs w:val="24"/>
                <w:highlight w:val="none"/>
              </w:rPr>
              <w:t>个站位的初级生产力变化范围在（</w:t>
            </w:r>
            <w:r>
              <w:rPr>
                <w:color w:val="auto"/>
                <w:sz w:val="24"/>
                <w:szCs w:val="24"/>
                <w:highlight w:val="none"/>
              </w:rPr>
              <w:t>496.5</w:t>
            </w:r>
            <w:r>
              <w:rPr>
                <w:rFonts w:hint="eastAsia"/>
                <w:color w:val="auto"/>
                <w:sz w:val="24"/>
                <w:szCs w:val="24"/>
                <w:highlight w:val="none"/>
              </w:rPr>
              <w:t>～</w:t>
            </w:r>
            <w:r>
              <w:rPr>
                <w:color w:val="auto"/>
                <w:sz w:val="24"/>
                <w:szCs w:val="24"/>
                <w:highlight w:val="none"/>
              </w:rPr>
              <w:t>601.3</w:t>
            </w:r>
            <w:r>
              <w:rPr>
                <w:rFonts w:hint="eastAsia"/>
                <w:color w:val="auto"/>
                <w:sz w:val="24"/>
                <w:szCs w:val="24"/>
                <w:highlight w:val="none"/>
              </w:rPr>
              <w:t>）</w:t>
            </w:r>
            <w:r>
              <w:rPr>
                <w:color w:val="auto"/>
                <w:sz w:val="24"/>
                <w:szCs w:val="24"/>
                <w:highlight w:val="none"/>
              </w:rPr>
              <w:t>mg·C/(㎡·d)</w:t>
            </w:r>
            <w:r>
              <w:rPr>
                <w:rFonts w:hint="eastAsia"/>
                <w:color w:val="auto"/>
                <w:sz w:val="24"/>
                <w:szCs w:val="24"/>
                <w:highlight w:val="none"/>
              </w:rPr>
              <w:t>之间；有</w:t>
            </w:r>
            <w:r>
              <w:rPr>
                <w:color w:val="auto"/>
                <w:sz w:val="24"/>
                <w:szCs w:val="24"/>
                <w:highlight w:val="none"/>
              </w:rPr>
              <w:t>9</w:t>
            </w:r>
            <w:r>
              <w:rPr>
                <w:rFonts w:hint="eastAsia"/>
                <w:color w:val="auto"/>
                <w:sz w:val="24"/>
                <w:szCs w:val="24"/>
                <w:highlight w:val="none"/>
              </w:rPr>
              <w:t>个站位初级的初级生产力变化范围在（</w:t>
            </w:r>
            <w:r>
              <w:rPr>
                <w:color w:val="auto"/>
                <w:sz w:val="24"/>
                <w:szCs w:val="24"/>
                <w:highlight w:val="none"/>
              </w:rPr>
              <w:t>203.1</w:t>
            </w:r>
            <w:r>
              <w:rPr>
                <w:rFonts w:hint="eastAsia"/>
                <w:color w:val="auto"/>
                <w:sz w:val="24"/>
                <w:szCs w:val="24"/>
                <w:highlight w:val="none"/>
              </w:rPr>
              <w:t>～</w:t>
            </w:r>
            <w:r>
              <w:rPr>
                <w:color w:val="auto"/>
                <w:sz w:val="24"/>
                <w:szCs w:val="24"/>
                <w:highlight w:val="none"/>
              </w:rPr>
              <w:t>406.3</w:t>
            </w:r>
            <w:r>
              <w:rPr>
                <w:rFonts w:hint="eastAsia"/>
                <w:color w:val="auto"/>
                <w:sz w:val="24"/>
                <w:szCs w:val="24"/>
                <w:highlight w:val="none"/>
              </w:rPr>
              <w:t>）</w:t>
            </w:r>
            <w:r>
              <w:rPr>
                <w:color w:val="auto"/>
                <w:sz w:val="24"/>
                <w:szCs w:val="24"/>
                <w:highlight w:val="none"/>
              </w:rPr>
              <w:t>mg·C/(㎡·d)</w:t>
            </w:r>
            <w:r>
              <w:rPr>
                <w:rFonts w:hint="eastAsia"/>
                <w:color w:val="auto"/>
                <w:sz w:val="24"/>
                <w:szCs w:val="24"/>
                <w:highlight w:val="none"/>
              </w:rPr>
              <w:t>之间；其余</w:t>
            </w:r>
            <w:r>
              <w:rPr>
                <w:color w:val="auto"/>
                <w:sz w:val="24"/>
                <w:szCs w:val="24"/>
                <w:highlight w:val="none"/>
              </w:rPr>
              <w:t>5</w:t>
            </w:r>
            <w:r>
              <w:rPr>
                <w:rFonts w:hint="eastAsia"/>
                <w:color w:val="auto"/>
                <w:sz w:val="24"/>
                <w:szCs w:val="24"/>
                <w:highlight w:val="none"/>
              </w:rPr>
              <w:t>个站位的初级生产力变化范围在（</w:t>
            </w:r>
            <w:r>
              <w:rPr>
                <w:color w:val="auto"/>
                <w:sz w:val="24"/>
                <w:szCs w:val="24"/>
                <w:highlight w:val="none"/>
              </w:rPr>
              <w:t>50.8</w:t>
            </w:r>
            <w:r>
              <w:rPr>
                <w:rFonts w:hint="eastAsia"/>
                <w:color w:val="auto"/>
                <w:sz w:val="24"/>
                <w:szCs w:val="24"/>
                <w:highlight w:val="none"/>
              </w:rPr>
              <w:t>～</w:t>
            </w:r>
            <w:r>
              <w:rPr>
                <w:color w:val="auto"/>
                <w:sz w:val="24"/>
                <w:szCs w:val="24"/>
                <w:highlight w:val="none"/>
              </w:rPr>
              <w:t>162.5</w:t>
            </w:r>
            <w:r>
              <w:rPr>
                <w:rFonts w:hint="eastAsia"/>
                <w:color w:val="auto"/>
                <w:sz w:val="24"/>
                <w:szCs w:val="24"/>
                <w:highlight w:val="none"/>
              </w:rPr>
              <w:t>）</w:t>
            </w:r>
            <w:r>
              <w:rPr>
                <w:color w:val="auto"/>
                <w:sz w:val="24"/>
                <w:szCs w:val="24"/>
                <w:highlight w:val="none"/>
              </w:rPr>
              <w:t>mg·C/(㎡·d)</w:t>
            </w:r>
            <w:r>
              <w:rPr>
                <w:rFonts w:hint="eastAsia"/>
                <w:color w:val="auto"/>
                <w:sz w:val="24"/>
                <w:szCs w:val="24"/>
                <w:highlight w:val="none"/>
              </w:rPr>
              <w:t>之间；位于鹿耳环江顶部的</w:t>
            </w:r>
            <w:r>
              <w:rPr>
                <w:color w:val="auto"/>
                <w:sz w:val="24"/>
                <w:szCs w:val="24"/>
                <w:highlight w:val="none"/>
              </w:rPr>
              <w:t>7</w:t>
            </w:r>
            <w:r>
              <w:rPr>
                <w:rFonts w:hint="eastAsia"/>
                <w:color w:val="auto"/>
                <w:sz w:val="24"/>
                <w:szCs w:val="24"/>
                <w:highlight w:val="none"/>
              </w:rPr>
              <w:t>号站位初级生产力最低，为</w:t>
            </w:r>
            <w:r>
              <w:rPr>
                <w:color w:val="auto"/>
                <w:sz w:val="24"/>
                <w:szCs w:val="24"/>
                <w:highlight w:val="none"/>
              </w:rPr>
              <w:t>50.8mg·C/(㎡·d)</w:t>
            </w:r>
            <w:r>
              <w:rPr>
                <w:rFonts w:hint="eastAsia"/>
                <w:color w:val="auto"/>
                <w:sz w:val="24"/>
                <w:szCs w:val="24"/>
                <w:highlight w:val="none"/>
              </w:rPr>
              <w:t>。</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w:t>
            </w:r>
            <w:r>
              <w:rPr>
                <w:rFonts w:ascii="Times New Roman" w:hAnsi="Times New Roman"/>
                <w:b/>
                <w:bCs/>
                <w:color w:val="auto"/>
                <w:kern w:val="0"/>
                <w:sz w:val="24"/>
                <w:szCs w:val="24"/>
                <w:highlight w:val="none"/>
              </w:rPr>
              <w:t>2</w:t>
            </w:r>
            <w:r>
              <w:rPr>
                <w:rFonts w:hint="eastAsia" w:ascii="宋体" w:hAnsi="Times New Roman" w:cs="宋体"/>
                <w:color w:val="auto"/>
                <w:kern w:val="0"/>
                <w:sz w:val="24"/>
                <w:szCs w:val="24"/>
                <w:highlight w:val="none"/>
              </w:rPr>
              <w:t>）</w:t>
            </w:r>
            <w:r>
              <w:rPr>
                <w:rFonts w:hint="eastAsia"/>
                <w:color w:val="auto"/>
                <w:spacing w:val="-5"/>
                <w:sz w:val="24"/>
                <w:szCs w:val="24"/>
                <w:highlight w:val="none"/>
              </w:rPr>
              <w:t>浮游植物</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浮游植物现场采样调查共布设</w:t>
            </w:r>
            <w:r>
              <w:rPr>
                <w:rFonts w:ascii="Times New Roman" w:hAnsi="Times New Roman"/>
                <w:color w:val="auto"/>
                <w:kern w:val="0"/>
                <w:sz w:val="24"/>
                <w:szCs w:val="24"/>
                <w:highlight w:val="none"/>
              </w:rPr>
              <w:t>20</w:t>
            </w:r>
            <w:r>
              <w:rPr>
                <w:rFonts w:hint="eastAsia" w:ascii="宋体" w:hAnsi="Times New Roman" w:cs="宋体"/>
                <w:color w:val="auto"/>
                <w:kern w:val="0"/>
                <w:sz w:val="24"/>
                <w:szCs w:val="24"/>
                <w:highlight w:val="none"/>
              </w:rPr>
              <w:t>个站点，现场调查采用浅水</w:t>
            </w:r>
            <w:r>
              <w:rPr>
                <w:rFonts w:ascii="Times New Roman" w:hAnsi="Times New Roman"/>
                <w:color w:val="auto"/>
                <w:kern w:val="0"/>
                <w:sz w:val="24"/>
                <w:szCs w:val="24"/>
                <w:highlight w:val="none"/>
              </w:rPr>
              <w:t>Ⅲ</w:t>
            </w:r>
            <w:r>
              <w:rPr>
                <w:rFonts w:hint="eastAsia" w:ascii="宋体" w:hAnsi="Times New Roman" w:cs="宋体"/>
                <w:color w:val="auto"/>
                <w:kern w:val="0"/>
                <w:sz w:val="24"/>
                <w:szCs w:val="24"/>
                <w:highlight w:val="none"/>
              </w:rPr>
              <w:t>型浮游生物网（网口面积</w:t>
            </w:r>
            <w:r>
              <w:rPr>
                <w:rFonts w:ascii="Times New Roman" w:hAnsi="Times New Roman"/>
                <w:color w:val="auto"/>
                <w:kern w:val="0"/>
                <w:sz w:val="24"/>
                <w:szCs w:val="24"/>
                <w:highlight w:val="none"/>
              </w:rPr>
              <w:t>0.1㎡</w:t>
            </w:r>
            <w:r>
              <w:rPr>
                <w:rFonts w:hint="eastAsia" w:ascii="宋体" w:hAnsi="Times New Roman" w:cs="宋体"/>
                <w:color w:val="auto"/>
                <w:kern w:val="0"/>
                <w:sz w:val="24"/>
                <w:szCs w:val="24"/>
                <w:highlight w:val="none"/>
              </w:rPr>
              <w:t>，网口直径</w:t>
            </w:r>
            <w:r>
              <w:rPr>
                <w:rFonts w:ascii="Times New Roman" w:hAnsi="Times New Roman"/>
                <w:color w:val="auto"/>
                <w:kern w:val="0"/>
                <w:sz w:val="24"/>
                <w:szCs w:val="24"/>
                <w:highlight w:val="none"/>
              </w:rPr>
              <w:t>37cm</w:t>
            </w:r>
            <w:r>
              <w:rPr>
                <w:rFonts w:hint="eastAsia" w:ascii="宋体" w:hAnsi="Times New Roman" w:cs="宋体"/>
                <w:color w:val="auto"/>
                <w:kern w:val="0"/>
                <w:sz w:val="24"/>
                <w:szCs w:val="24"/>
                <w:highlight w:val="none"/>
              </w:rPr>
              <w:t>，网长</w:t>
            </w:r>
            <w:r>
              <w:rPr>
                <w:rFonts w:ascii="Times New Roman" w:hAnsi="Times New Roman"/>
                <w:color w:val="auto"/>
                <w:kern w:val="0"/>
                <w:sz w:val="24"/>
                <w:szCs w:val="24"/>
                <w:highlight w:val="none"/>
              </w:rPr>
              <w:t>140cm</w:t>
            </w:r>
            <w:r>
              <w:rPr>
                <w:rFonts w:hint="eastAsia" w:ascii="宋体" w:hAnsi="Times New Roman" w:cs="宋体"/>
                <w:color w:val="auto"/>
                <w:kern w:val="0"/>
                <w:sz w:val="24"/>
                <w:szCs w:val="24"/>
                <w:highlight w:val="none"/>
              </w:rPr>
              <w:t>）由海底至海面作垂直拖网一次，采集到的样品用</w:t>
            </w:r>
            <w:r>
              <w:rPr>
                <w:rFonts w:ascii="Times New Roman" w:hAnsi="Times New Roman"/>
                <w:color w:val="auto"/>
                <w:kern w:val="0"/>
                <w:sz w:val="24"/>
                <w:szCs w:val="24"/>
                <w:highlight w:val="none"/>
              </w:rPr>
              <w:t>5%</w:t>
            </w:r>
            <w:r>
              <w:rPr>
                <w:rFonts w:hint="eastAsia" w:ascii="宋体" w:hAnsi="Times New Roman" w:cs="宋体"/>
                <w:color w:val="auto"/>
                <w:kern w:val="0"/>
                <w:sz w:val="24"/>
                <w:szCs w:val="24"/>
                <w:highlight w:val="none"/>
              </w:rPr>
              <w:t>的甲醛溶液固定，然后带回实验室进行镜检分析、种类鉴定和个体数量计数。</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1</w:t>
            </w:r>
            <w:r>
              <w:rPr>
                <w:rFonts w:hint="eastAsia" w:ascii="宋体" w:hAnsi="Times New Roman" w:cs="宋体"/>
                <w:color w:val="auto"/>
                <w:kern w:val="0"/>
                <w:sz w:val="24"/>
                <w:szCs w:val="24"/>
                <w:highlight w:val="none"/>
              </w:rPr>
              <w:t>）种类组成与分布</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浮游植物样品共</w:t>
            </w:r>
            <w:r>
              <w:rPr>
                <w:rFonts w:hint="eastAsia"/>
                <w:color w:val="auto"/>
                <w:spacing w:val="-5"/>
                <w:sz w:val="24"/>
                <w:szCs w:val="24"/>
                <w:highlight w:val="none"/>
              </w:rPr>
              <w:t>鉴</w:t>
            </w:r>
            <w:r>
              <w:rPr>
                <w:rFonts w:hint="eastAsia" w:ascii="宋体" w:hAnsi="Times New Roman" w:cs="宋体"/>
                <w:color w:val="auto"/>
                <w:kern w:val="0"/>
                <w:sz w:val="24"/>
                <w:szCs w:val="24"/>
                <w:highlight w:val="none"/>
              </w:rPr>
              <w:t>定出</w:t>
            </w:r>
            <w:r>
              <w:rPr>
                <w:rFonts w:ascii="Times New Roman" w:hAnsi="Times New Roman"/>
                <w:color w:val="auto"/>
                <w:kern w:val="0"/>
                <w:sz w:val="24"/>
                <w:szCs w:val="24"/>
                <w:highlight w:val="none"/>
              </w:rPr>
              <w:t>3</w:t>
            </w:r>
            <w:r>
              <w:rPr>
                <w:rFonts w:hint="eastAsia" w:ascii="宋体" w:hAnsi="Times New Roman" w:cs="宋体"/>
                <w:color w:val="auto"/>
                <w:kern w:val="0"/>
                <w:sz w:val="24"/>
                <w:szCs w:val="24"/>
                <w:highlight w:val="none"/>
              </w:rPr>
              <w:t>大类</w:t>
            </w:r>
            <w:r>
              <w:rPr>
                <w:rFonts w:ascii="Times New Roman" w:hAnsi="Times New Roman"/>
                <w:color w:val="auto"/>
                <w:kern w:val="0"/>
                <w:sz w:val="24"/>
                <w:szCs w:val="24"/>
                <w:highlight w:val="none"/>
              </w:rPr>
              <w:t>38</w:t>
            </w:r>
            <w:r>
              <w:rPr>
                <w:rFonts w:hint="eastAsia" w:ascii="宋体" w:hAnsi="Times New Roman" w:cs="宋体"/>
                <w:color w:val="auto"/>
                <w:kern w:val="0"/>
                <w:sz w:val="24"/>
                <w:szCs w:val="24"/>
                <w:highlight w:val="none"/>
              </w:rPr>
              <w:t>属</w:t>
            </w:r>
            <w:r>
              <w:rPr>
                <w:rFonts w:ascii="Times New Roman" w:hAnsi="Times New Roman"/>
                <w:color w:val="auto"/>
                <w:kern w:val="0"/>
                <w:sz w:val="24"/>
                <w:szCs w:val="24"/>
                <w:highlight w:val="none"/>
              </w:rPr>
              <w:t>70</w:t>
            </w:r>
            <w:r>
              <w:rPr>
                <w:rFonts w:hint="eastAsia" w:ascii="宋体" w:hAnsi="Times New Roman" w:cs="宋体"/>
                <w:color w:val="auto"/>
                <w:kern w:val="0"/>
                <w:sz w:val="24"/>
                <w:szCs w:val="24"/>
                <w:highlight w:val="none"/>
              </w:rPr>
              <w:t>种（含变种、变型），其中，硅藻种类较多，有</w:t>
            </w:r>
            <w:r>
              <w:rPr>
                <w:rFonts w:ascii="Times New Roman" w:hAnsi="Times New Roman"/>
                <w:color w:val="auto"/>
                <w:kern w:val="0"/>
                <w:sz w:val="24"/>
                <w:szCs w:val="24"/>
                <w:highlight w:val="none"/>
              </w:rPr>
              <w:t>31</w:t>
            </w:r>
            <w:r>
              <w:rPr>
                <w:rFonts w:hint="eastAsia" w:ascii="宋体" w:hAnsi="Times New Roman" w:cs="宋体"/>
                <w:color w:val="auto"/>
                <w:kern w:val="0"/>
                <w:sz w:val="24"/>
                <w:szCs w:val="24"/>
                <w:highlight w:val="none"/>
              </w:rPr>
              <w:t>属</w:t>
            </w:r>
            <w:r>
              <w:rPr>
                <w:rFonts w:ascii="Times New Roman" w:hAnsi="Times New Roman"/>
                <w:color w:val="auto"/>
                <w:kern w:val="0"/>
                <w:sz w:val="24"/>
                <w:szCs w:val="24"/>
                <w:highlight w:val="none"/>
              </w:rPr>
              <w:t>58</w:t>
            </w:r>
            <w:r>
              <w:rPr>
                <w:rFonts w:hint="eastAsia" w:ascii="宋体" w:hAnsi="Times New Roman" w:cs="宋体"/>
                <w:color w:val="auto"/>
                <w:kern w:val="0"/>
                <w:sz w:val="24"/>
                <w:szCs w:val="24"/>
                <w:highlight w:val="none"/>
              </w:rPr>
              <w:t>种，占浮游植物总种数的</w:t>
            </w:r>
            <w:r>
              <w:rPr>
                <w:rFonts w:ascii="Times New Roman" w:hAnsi="Times New Roman"/>
                <w:color w:val="auto"/>
                <w:kern w:val="0"/>
                <w:sz w:val="24"/>
                <w:szCs w:val="24"/>
                <w:highlight w:val="none"/>
              </w:rPr>
              <w:t>82.9%</w:t>
            </w:r>
            <w:r>
              <w:rPr>
                <w:rFonts w:hint="eastAsia" w:ascii="宋体" w:hAnsi="Times New Roman" w:cs="宋体"/>
                <w:color w:val="auto"/>
                <w:kern w:val="0"/>
                <w:sz w:val="24"/>
                <w:szCs w:val="24"/>
                <w:highlight w:val="none"/>
              </w:rPr>
              <w:t>；其次是甲藻，有</w:t>
            </w:r>
            <w:r>
              <w:rPr>
                <w:rFonts w:ascii="Times New Roman" w:hAnsi="Times New Roman"/>
                <w:color w:val="auto"/>
                <w:kern w:val="0"/>
                <w:sz w:val="24"/>
                <w:szCs w:val="24"/>
                <w:highlight w:val="none"/>
              </w:rPr>
              <w:t>6</w:t>
            </w:r>
            <w:r>
              <w:rPr>
                <w:rFonts w:hint="eastAsia" w:ascii="宋体" w:hAnsi="Times New Roman" w:cs="宋体"/>
                <w:color w:val="auto"/>
                <w:kern w:val="0"/>
                <w:sz w:val="24"/>
                <w:szCs w:val="24"/>
                <w:highlight w:val="none"/>
              </w:rPr>
              <w:t>属</w:t>
            </w:r>
            <w:r>
              <w:rPr>
                <w:rFonts w:ascii="Times New Roman" w:hAnsi="Times New Roman"/>
                <w:color w:val="auto"/>
                <w:kern w:val="0"/>
                <w:sz w:val="24"/>
                <w:szCs w:val="24"/>
                <w:highlight w:val="none"/>
              </w:rPr>
              <w:t>11</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15.7%</w:t>
            </w:r>
            <w:r>
              <w:rPr>
                <w:rFonts w:hint="eastAsia" w:ascii="宋体" w:hAnsi="Times New Roman" w:cs="宋体"/>
                <w:color w:val="auto"/>
                <w:kern w:val="0"/>
                <w:sz w:val="24"/>
                <w:szCs w:val="24"/>
                <w:highlight w:val="none"/>
              </w:rPr>
              <w:t>；蓝藻鉴定出</w:t>
            </w:r>
            <w:r>
              <w:rPr>
                <w:rFonts w:ascii="Times New Roman" w:hAnsi="Times New Roman"/>
                <w:color w:val="auto"/>
                <w:kern w:val="0"/>
                <w:sz w:val="24"/>
                <w:szCs w:val="24"/>
                <w:highlight w:val="none"/>
              </w:rPr>
              <w:t>1</w:t>
            </w:r>
            <w:r>
              <w:rPr>
                <w:rFonts w:hint="eastAsia" w:ascii="宋体" w:hAnsi="Times New Roman" w:cs="宋体"/>
                <w:color w:val="auto"/>
                <w:kern w:val="0"/>
                <w:sz w:val="24"/>
                <w:szCs w:val="24"/>
                <w:highlight w:val="none"/>
              </w:rPr>
              <w:t>种。</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各调查站点出现的</w:t>
            </w:r>
            <w:r>
              <w:rPr>
                <w:rFonts w:hint="eastAsia"/>
                <w:color w:val="auto"/>
                <w:spacing w:val="-5"/>
                <w:sz w:val="24"/>
                <w:szCs w:val="24"/>
                <w:highlight w:val="none"/>
              </w:rPr>
              <w:t>浮游植物</w:t>
            </w:r>
            <w:r>
              <w:rPr>
                <w:rFonts w:hint="eastAsia" w:ascii="宋体" w:hAnsi="Times New Roman" w:cs="宋体"/>
                <w:color w:val="auto"/>
                <w:kern w:val="0"/>
                <w:sz w:val="24"/>
                <w:szCs w:val="24"/>
                <w:highlight w:val="none"/>
              </w:rPr>
              <w:t>的种类数介于</w:t>
            </w:r>
            <w:r>
              <w:rPr>
                <w:rFonts w:ascii="Times New Roman" w:hAnsi="Times New Roman"/>
                <w:color w:val="auto"/>
                <w:kern w:val="0"/>
                <w:sz w:val="24"/>
                <w:szCs w:val="24"/>
                <w:highlight w:val="none"/>
              </w:rPr>
              <w:t>21</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50</w:t>
            </w:r>
            <w:r>
              <w:rPr>
                <w:rFonts w:hint="eastAsia" w:ascii="宋体" w:hAnsi="Times New Roman" w:cs="宋体"/>
                <w:color w:val="auto"/>
                <w:kern w:val="0"/>
                <w:sz w:val="24"/>
                <w:szCs w:val="24"/>
                <w:highlight w:val="none"/>
              </w:rPr>
              <w:t>种之间，位于三娘湾处的</w:t>
            </w:r>
            <w:r>
              <w:rPr>
                <w:rFonts w:ascii="Times New Roman" w:hAnsi="Times New Roman"/>
                <w:color w:val="auto"/>
                <w:kern w:val="0"/>
                <w:sz w:val="24"/>
                <w:szCs w:val="24"/>
                <w:highlight w:val="none"/>
              </w:rPr>
              <w:t>19</w:t>
            </w:r>
            <w:r>
              <w:rPr>
                <w:rFonts w:hint="eastAsia" w:ascii="宋体" w:hAnsi="Times New Roman" w:cs="宋体"/>
                <w:color w:val="auto"/>
                <w:kern w:val="0"/>
                <w:sz w:val="24"/>
                <w:szCs w:val="24"/>
                <w:highlight w:val="none"/>
              </w:rPr>
              <w:t>号站种类数最少，为</w:t>
            </w:r>
            <w:r>
              <w:rPr>
                <w:rFonts w:ascii="Times New Roman" w:hAnsi="Times New Roman"/>
                <w:color w:val="auto"/>
                <w:kern w:val="0"/>
                <w:sz w:val="24"/>
                <w:szCs w:val="24"/>
                <w:highlight w:val="none"/>
              </w:rPr>
              <w:t>21</w:t>
            </w:r>
            <w:r>
              <w:rPr>
                <w:rFonts w:hint="eastAsia" w:ascii="宋体" w:hAnsi="Times New Roman" w:cs="宋体"/>
                <w:color w:val="auto"/>
                <w:kern w:val="0"/>
                <w:sz w:val="24"/>
                <w:szCs w:val="24"/>
                <w:highlight w:val="none"/>
              </w:rPr>
              <w:t>种；位于钦州湾外湾的</w:t>
            </w:r>
            <w:r>
              <w:rPr>
                <w:rFonts w:ascii="Times New Roman" w:hAnsi="Times New Roman"/>
                <w:color w:val="auto"/>
                <w:kern w:val="0"/>
                <w:sz w:val="24"/>
                <w:szCs w:val="24"/>
                <w:highlight w:val="none"/>
              </w:rPr>
              <w:t>29</w:t>
            </w:r>
            <w:r>
              <w:rPr>
                <w:rFonts w:hint="eastAsia" w:ascii="宋体" w:hAnsi="Times New Roman" w:cs="宋体"/>
                <w:color w:val="auto"/>
                <w:kern w:val="0"/>
                <w:sz w:val="24"/>
                <w:szCs w:val="24"/>
                <w:highlight w:val="none"/>
              </w:rPr>
              <w:t>号站位种类数最多，为</w:t>
            </w:r>
            <w:r>
              <w:rPr>
                <w:rFonts w:ascii="Times New Roman" w:hAnsi="Times New Roman"/>
                <w:color w:val="auto"/>
                <w:kern w:val="0"/>
                <w:sz w:val="24"/>
                <w:szCs w:val="24"/>
                <w:highlight w:val="none"/>
              </w:rPr>
              <w:t>50</w:t>
            </w:r>
            <w:r>
              <w:rPr>
                <w:rFonts w:hint="eastAsia" w:ascii="宋体" w:hAnsi="Times New Roman" w:cs="宋体"/>
                <w:color w:val="auto"/>
                <w:kern w:val="0"/>
                <w:sz w:val="24"/>
                <w:szCs w:val="24"/>
                <w:highlight w:val="none"/>
              </w:rPr>
              <w:t>种。各调查站点皆以硅藻种类占优势。</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2</w:t>
            </w:r>
            <w:r>
              <w:rPr>
                <w:rFonts w:hint="eastAsia" w:ascii="宋体" w:hAnsi="Times New Roman" w:cs="宋体"/>
                <w:color w:val="auto"/>
                <w:kern w:val="0"/>
                <w:sz w:val="24"/>
                <w:szCs w:val="24"/>
                <w:highlight w:val="none"/>
              </w:rPr>
              <w:t>）数量</w:t>
            </w:r>
            <w:r>
              <w:rPr>
                <w:rFonts w:hint="eastAsia"/>
                <w:color w:val="auto"/>
                <w:spacing w:val="-5"/>
                <w:sz w:val="24"/>
                <w:szCs w:val="24"/>
                <w:highlight w:val="none"/>
              </w:rPr>
              <w:t>组成</w:t>
            </w:r>
            <w:r>
              <w:rPr>
                <w:rFonts w:hint="eastAsia" w:ascii="宋体" w:hAnsi="Times New Roman" w:cs="宋体"/>
                <w:color w:val="auto"/>
                <w:kern w:val="0"/>
                <w:sz w:val="24"/>
                <w:szCs w:val="24"/>
                <w:highlight w:val="none"/>
              </w:rPr>
              <w:t>与分布</w:t>
            </w:r>
          </w:p>
          <w:p>
            <w:pPr>
              <w:spacing w:line="360" w:lineRule="auto"/>
              <w:ind w:firstLine="480" w:firstLineChars="200"/>
              <w:jc w:val="left"/>
              <w:rPr>
                <w:rFonts w:ascii="宋体" w:hAnsi="Times New Roman" w:cs="宋体"/>
                <w:color w:val="auto"/>
                <w:sz w:val="24"/>
                <w:szCs w:val="24"/>
                <w:highlight w:val="none"/>
              </w:rPr>
            </w:pPr>
            <w:r>
              <w:rPr>
                <w:rFonts w:hint="eastAsia" w:ascii="宋体" w:hAnsi="Times New Roman" w:cs="宋体"/>
                <w:color w:val="auto"/>
                <w:sz w:val="24"/>
                <w:szCs w:val="24"/>
                <w:highlight w:val="none"/>
              </w:rPr>
              <w:t>监测海区各调查站位</w:t>
            </w:r>
            <w:r>
              <w:rPr>
                <w:rFonts w:hint="eastAsia"/>
                <w:color w:val="auto"/>
                <w:spacing w:val="-5"/>
                <w:sz w:val="24"/>
                <w:szCs w:val="24"/>
                <w:highlight w:val="none"/>
              </w:rPr>
              <w:t>浮游植物</w:t>
            </w:r>
            <w:r>
              <w:rPr>
                <w:rFonts w:hint="eastAsia" w:ascii="宋体" w:hAnsi="Times New Roman" w:cs="宋体"/>
                <w:color w:val="auto"/>
                <w:sz w:val="24"/>
                <w:szCs w:val="24"/>
                <w:highlight w:val="none"/>
              </w:rPr>
              <w:t>的细胞丰度介于</w:t>
            </w:r>
            <w:r>
              <w:rPr>
                <w:rFonts w:ascii="Times New Roman" w:hAnsi="Times New Roman"/>
                <w:color w:val="auto"/>
                <w:sz w:val="24"/>
                <w:szCs w:val="24"/>
                <w:highlight w:val="none"/>
              </w:rPr>
              <w:t>2.70×10</w:t>
            </w:r>
            <w:r>
              <w:rPr>
                <w:rFonts w:ascii="Times New Roman" w:hAnsi="Times New Roman"/>
                <w:color w:val="auto"/>
                <w:sz w:val="24"/>
                <w:szCs w:val="24"/>
                <w:highlight w:val="none"/>
                <w:vertAlign w:val="superscript"/>
              </w:rPr>
              <w:t>7</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5.46×10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之间，平均丰度为</w:t>
            </w:r>
            <w:r>
              <w:rPr>
                <w:rFonts w:ascii="Times New Roman" w:hAnsi="Times New Roman"/>
                <w:color w:val="auto"/>
                <w:sz w:val="24"/>
                <w:szCs w:val="24"/>
                <w:highlight w:val="none"/>
              </w:rPr>
              <w:t>1.85×10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。不同站位浮游植物的细胞丰度存在一定差异，位于鹿耳环江以南海域的浮游植物丰度相对较大，其中</w:t>
            </w:r>
            <w:r>
              <w:rPr>
                <w:rFonts w:ascii="Times New Roman" w:hAnsi="Times New Roman"/>
                <w:color w:val="auto"/>
                <w:sz w:val="24"/>
                <w:szCs w:val="24"/>
                <w:highlight w:val="none"/>
              </w:rPr>
              <w:t>14</w:t>
            </w:r>
            <w:r>
              <w:rPr>
                <w:rFonts w:hint="eastAsia" w:ascii="宋体" w:hAnsi="Times New Roman" w:cs="宋体"/>
                <w:color w:val="auto"/>
                <w:sz w:val="24"/>
                <w:szCs w:val="24"/>
                <w:highlight w:val="none"/>
              </w:rPr>
              <w:t>号站位最大为</w:t>
            </w:r>
            <w:r>
              <w:rPr>
                <w:rFonts w:ascii="Times New Roman" w:hAnsi="Times New Roman"/>
                <w:color w:val="auto"/>
                <w:sz w:val="24"/>
                <w:szCs w:val="24"/>
                <w:highlight w:val="none"/>
              </w:rPr>
              <w:t>5.46×10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18</w:t>
            </w:r>
            <w:r>
              <w:rPr>
                <w:rFonts w:hint="eastAsia" w:ascii="宋体" w:hAnsi="Times New Roman" w:cs="宋体"/>
                <w:color w:val="auto"/>
                <w:sz w:val="24"/>
                <w:szCs w:val="24"/>
                <w:highlight w:val="none"/>
              </w:rPr>
              <w:t>号站为</w:t>
            </w:r>
            <w:r>
              <w:rPr>
                <w:rFonts w:ascii="Times New Roman" w:hAnsi="Times New Roman"/>
                <w:color w:val="auto"/>
                <w:sz w:val="24"/>
                <w:szCs w:val="24"/>
                <w:highlight w:val="none"/>
              </w:rPr>
              <w:t>4.55×10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9</w:t>
            </w:r>
            <w:r>
              <w:rPr>
                <w:rFonts w:hint="eastAsia" w:ascii="宋体" w:hAnsi="Times New Roman" w:cs="宋体"/>
                <w:color w:val="auto"/>
                <w:sz w:val="24"/>
                <w:szCs w:val="24"/>
                <w:highlight w:val="none"/>
              </w:rPr>
              <w:t>号站位为</w:t>
            </w:r>
            <w:r>
              <w:rPr>
                <w:rFonts w:ascii="Times New Roman" w:hAnsi="Times New Roman"/>
                <w:color w:val="auto"/>
                <w:sz w:val="24"/>
                <w:szCs w:val="24"/>
                <w:highlight w:val="none"/>
              </w:rPr>
              <w:t>3.26×10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25</w:t>
            </w:r>
            <w:r>
              <w:rPr>
                <w:rFonts w:hint="eastAsia" w:ascii="宋体" w:hAnsi="Times New Roman" w:cs="宋体"/>
                <w:color w:val="auto"/>
                <w:sz w:val="24"/>
                <w:szCs w:val="24"/>
                <w:highlight w:val="none"/>
              </w:rPr>
              <w:t>号站位为</w:t>
            </w:r>
            <w:r>
              <w:rPr>
                <w:rFonts w:ascii="Times New Roman" w:hAnsi="Times New Roman"/>
                <w:color w:val="auto"/>
                <w:sz w:val="24"/>
                <w:szCs w:val="24"/>
                <w:highlight w:val="none"/>
              </w:rPr>
              <w:t>2.57×10</w:t>
            </w:r>
            <w:r>
              <w:rPr>
                <w:rFonts w:ascii="Times New Roman" w:hAnsi="Times New Roman"/>
                <w:color w:val="auto"/>
                <w:sz w:val="24"/>
                <w:szCs w:val="24"/>
                <w:highlight w:val="none"/>
                <w:vertAlign w:val="superscript"/>
              </w:rPr>
              <w:t>8</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。位于江河及其入海口处的浮游植物细胞丰度相对较低，其中位于金鼓江内的</w:t>
            </w:r>
            <w:r>
              <w:rPr>
                <w:rFonts w:ascii="Times New Roman" w:hAnsi="Times New Roman"/>
                <w:color w:val="auto"/>
                <w:sz w:val="24"/>
                <w:szCs w:val="24"/>
                <w:highlight w:val="none"/>
              </w:rPr>
              <w:t>5</w:t>
            </w:r>
            <w:r>
              <w:rPr>
                <w:rFonts w:hint="eastAsia" w:ascii="宋体" w:hAnsi="Times New Roman" w:cs="宋体"/>
                <w:color w:val="auto"/>
                <w:sz w:val="24"/>
                <w:szCs w:val="24"/>
                <w:highlight w:val="none"/>
              </w:rPr>
              <w:t>号站浮游植物细胞丰度为</w:t>
            </w:r>
            <w:r>
              <w:rPr>
                <w:rFonts w:ascii="Times New Roman" w:hAnsi="Times New Roman"/>
                <w:color w:val="auto"/>
                <w:sz w:val="24"/>
                <w:szCs w:val="24"/>
                <w:highlight w:val="none"/>
              </w:rPr>
              <w:t>8.28×10</w:t>
            </w:r>
            <w:r>
              <w:rPr>
                <w:rFonts w:ascii="Times New Roman" w:hAnsi="Times New Roman"/>
                <w:color w:val="auto"/>
                <w:sz w:val="24"/>
                <w:szCs w:val="24"/>
                <w:highlight w:val="none"/>
                <w:vertAlign w:val="superscript"/>
              </w:rPr>
              <w:t>7</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；位于鹿耳环江顶部的</w:t>
            </w:r>
            <w:r>
              <w:rPr>
                <w:rFonts w:ascii="Times New Roman" w:hAnsi="Times New Roman"/>
                <w:color w:val="auto"/>
                <w:sz w:val="24"/>
                <w:szCs w:val="24"/>
                <w:highlight w:val="none"/>
              </w:rPr>
              <w:t>7</w:t>
            </w:r>
            <w:r>
              <w:rPr>
                <w:rFonts w:hint="eastAsia" w:ascii="宋体" w:hAnsi="Times New Roman" w:cs="宋体"/>
                <w:color w:val="auto"/>
                <w:sz w:val="24"/>
                <w:szCs w:val="24"/>
                <w:highlight w:val="none"/>
              </w:rPr>
              <w:t>号站为</w:t>
            </w:r>
            <w:r>
              <w:rPr>
                <w:rFonts w:ascii="Times New Roman" w:hAnsi="Times New Roman"/>
                <w:color w:val="auto"/>
                <w:sz w:val="24"/>
                <w:szCs w:val="24"/>
                <w:highlight w:val="none"/>
              </w:rPr>
              <w:t>7.82×10</w:t>
            </w:r>
            <w:r>
              <w:rPr>
                <w:rFonts w:ascii="Times New Roman" w:hAnsi="Times New Roman"/>
                <w:color w:val="auto"/>
                <w:sz w:val="24"/>
                <w:szCs w:val="24"/>
                <w:highlight w:val="none"/>
                <w:vertAlign w:val="superscript"/>
              </w:rPr>
              <w:t>7</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；位于茅尾海南部湾口处的</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和</w:t>
            </w:r>
            <w:r>
              <w:rPr>
                <w:rFonts w:ascii="Times New Roman" w:hAnsi="Times New Roman"/>
                <w:color w:val="auto"/>
                <w:sz w:val="24"/>
                <w:szCs w:val="24"/>
                <w:highlight w:val="none"/>
              </w:rPr>
              <w:t>2</w:t>
            </w:r>
            <w:r>
              <w:rPr>
                <w:rFonts w:hint="eastAsia" w:ascii="宋体" w:hAnsi="Times New Roman" w:cs="宋体"/>
                <w:color w:val="auto"/>
                <w:sz w:val="24"/>
                <w:szCs w:val="24"/>
                <w:highlight w:val="none"/>
              </w:rPr>
              <w:t>号分别为</w:t>
            </w:r>
            <w:r>
              <w:rPr>
                <w:rFonts w:ascii="Times New Roman" w:hAnsi="Times New Roman"/>
                <w:color w:val="auto"/>
                <w:sz w:val="24"/>
                <w:szCs w:val="24"/>
                <w:highlight w:val="none"/>
              </w:rPr>
              <w:t>3.92×10</w:t>
            </w:r>
            <w:r>
              <w:rPr>
                <w:rFonts w:ascii="Times New Roman" w:hAnsi="Times New Roman"/>
                <w:color w:val="auto"/>
                <w:sz w:val="24"/>
                <w:szCs w:val="24"/>
                <w:highlight w:val="none"/>
                <w:vertAlign w:val="superscript"/>
              </w:rPr>
              <w:t>7</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和</w:t>
            </w:r>
            <w:r>
              <w:rPr>
                <w:rFonts w:ascii="Times New Roman" w:hAnsi="Times New Roman"/>
                <w:color w:val="auto"/>
                <w:sz w:val="24"/>
                <w:szCs w:val="24"/>
                <w:highlight w:val="none"/>
              </w:rPr>
              <w:t>3.33×10</w:t>
            </w:r>
            <w:r>
              <w:rPr>
                <w:rFonts w:ascii="Times New Roman" w:hAnsi="Times New Roman"/>
                <w:color w:val="auto"/>
                <w:sz w:val="24"/>
                <w:szCs w:val="24"/>
                <w:highlight w:val="none"/>
                <w:vertAlign w:val="superscript"/>
              </w:rPr>
              <w:t>7</w:t>
            </w:r>
            <w:r>
              <w:rPr>
                <w:rFonts w:ascii="Times New Roman" w:hAnsi="Times New Roman"/>
                <w:color w:val="auto"/>
                <w:sz w:val="24"/>
                <w:szCs w:val="24"/>
                <w:highlight w:val="none"/>
              </w:rPr>
              <w:t>cells/m³</w:t>
            </w:r>
            <w:r>
              <w:rPr>
                <w:rFonts w:hint="eastAsia" w:ascii="宋体" w:hAnsi="Times New Roman" w:cs="宋体"/>
                <w:color w:val="auto"/>
                <w:sz w:val="24"/>
                <w:szCs w:val="24"/>
                <w:highlight w:val="none"/>
              </w:rPr>
              <w:t>；位于大风江口处的</w:t>
            </w:r>
            <w:r>
              <w:rPr>
                <w:rFonts w:ascii="Times New Roman" w:hAnsi="Times New Roman"/>
                <w:color w:val="auto"/>
                <w:sz w:val="24"/>
                <w:szCs w:val="24"/>
                <w:highlight w:val="none"/>
              </w:rPr>
              <w:t>21</w:t>
            </w:r>
            <w:r>
              <w:rPr>
                <w:rFonts w:hint="eastAsia" w:ascii="宋体" w:hAnsi="Times New Roman" w:cs="宋体"/>
                <w:color w:val="auto"/>
                <w:sz w:val="24"/>
                <w:szCs w:val="24"/>
                <w:highlight w:val="none"/>
              </w:rPr>
              <w:t>号站浮游植物细胞丰度最小，为</w:t>
            </w:r>
            <w:r>
              <w:rPr>
                <w:rFonts w:ascii="Times New Roman" w:hAnsi="Times New Roman"/>
                <w:color w:val="auto"/>
                <w:sz w:val="24"/>
                <w:szCs w:val="24"/>
                <w:highlight w:val="none"/>
              </w:rPr>
              <w:t>2.70×107cells/m³</w:t>
            </w:r>
            <w:r>
              <w:rPr>
                <w:rFonts w:hint="eastAsia" w:ascii="宋体" w:hAnsi="Times New Roman" w:cs="宋体"/>
                <w:color w:val="auto"/>
                <w:sz w:val="24"/>
                <w:szCs w:val="24"/>
                <w:highlight w:val="none"/>
              </w:rPr>
              <w:t>。在本次监测中硅藻丰度最高，硅藻细胞平均丰度占浮游植物总平均丰度的</w:t>
            </w:r>
            <w:r>
              <w:rPr>
                <w:rFonts w:ascii="Times New Roman" w:hAnsi="Times New Roman"/>
                <w:color w:val="auto"/>
                <w:sz w:val="24"/>
                <w:szCs w:val="24"/>
                <w:highlight w:val="none"/>
              </w:rPr>
              <w:t>99.11%</w:t>
            </w:r>
            <w:r>
              <w:rPr>
                <w:rFonts w:hint="eastAsia" w:ascii="宋体" w:hAnsi="Times New Roman" w:cs="宋体"/>
                <w:color w:val="auto"/>
                <w:sz w:val="24"/>
                <w:szCs w:val="24"/>
                <w:highlight w:val="none"/>
              </w:rPr>
              <w:t>。</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3</w:t>
            </w:r>
            <w:r>
              <w:rPr>
                <w:rFonts w:hint="eastAsia" w:ascii="宋体" w:hAnsi="Times New Roman" w:cs="宋体"/>
                <w:color w:val="auto"/>
                <w:kern w:val="0"/>
                <w:sz w:val="24"/>
                <w:szCs w:val="24"/>
                <w:highlight w:val="none"/>
              </w:rPr>
              <w:t>）优势种及其优势度</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根据优势度公式的计算结果，调查海区浮游植物的优势种有</w:t>
            </w:r>
            <w:r>
              <w:rPr>
                <w:rFonts w:ascii="Times New Roman" w:hAnsi="Times New Roman"/>
                <w:color w:val="auto"/>
                <w:kern w:val="0"/>
                <w:sz w:val="24"/>
                <w:szCs w:val="24"/>
                <w:highlight w:val="none"/>
              </w:rPr>
              <w:t>4</w:t>
            </w:r>
            <w:r>
              <w:rPr>
                <w:rFonts w:hint="eastAsia" w:ascii="宋体" w:hAnsi="Times New Roman" w:cs="宋体"/>
                <w:color w:val="auto"/>
                <w:kern w:val="0"/>
                <w:sz w:val="24"/>
                <w:szCs w:val="24"/>
                <w:highlight w:val="none"/>
              </w:rPr>
              <w:t>种，它们是拟弯角毛藻（</w:t>
            </w:r>
            <w:r>
              <w:rPr>
                <w:rFonts w:ascii="Times New Roman" w:hAnsi="Times New Roman"/>
                <w:i/>
                <w:iCs/>
                <w:color w:val="auto"/>
                <w:kern w:val="0"/>
                <w:sz w:val="24"/>
                <w:szCs w:val="24"/>
                <w:highlight w:val="none"/>
              </w:rPr>
              <w:t>Chaetocerospseudocurvisetus</w:t>
            </w:r>
            <w:r>
              <w:rPr>
                <w:rFonts w:hint="eastAsia" w:ascii="宋体" w:hAnsi="Times New Roman" w:cs="宋体"/>
                <w:color w:val="auto"/>
                <w:kern w:val="0"/>
                <w:sz w:val="24"/>
                <w:szCs w:val="24"/>
                <w:highlight w:val="none"/>
              </w:rPr>
              <w:t>）、尖刺拟菱形藻（</w:t>
            </w:r>
            <w:r>
              <w:rPr>
                <w:rFonts w:ascii="Times New Roman" w:hAnsi="Times New Roman"/>
                <w:i/>
                <w:iCs/>
                <w:color w:val="auto"/>
                <w:kern w:val="0"/>
                <w:sz w:val="24"/>
                <w:szCs w:val="24"/>
                <w:highlight w:val="none"/>
              </w:rPr>
              <w:t>Pseudo-nitzschia pungens</w:t>
            </w:r>
            <w:r>
              <w:rPr>
                <w:rFonts w:hint="eastAsia" w:ascii="宋体" w:hAnsi="Times New Roman" w:cs="宋体"/>
                <w:color w:val="auto"/>
                <w:kern w:val="0"/>
                <w:sz w:val="24"/>
                <w:szCs w:val="24"/>
                <w:highlight w:val="none"/>
              </w:rPr>
              <w:t>）、中肋骨条藻（</w:t>
            </w:r>
            <w:r>
              <w:rPr>
                <w:rFonts w:ascii="Times New Roman" w:hAnsi="Times New Roman"/>
                <w:i/>
                <w:iCs/>
                <w:color w:val="auto"/>
                <w:kern w:val="0"/>
                <w:sz w:val="24"/>
                <w:szCs w:val="24"/>
                <w:highlight w:val="none"/>
              </w:rPr>
              <w:t>Skeletonema costatum</w:t>
            </w:r>
            <w:r>
              <w:rPr>
                <w:rFonts w:hint="eastAsia" w:ascii="宋体" w:hAnsi="Times New Roman" w:cs="宋体"/>
                <w:color w:val="auto"/>
                <w:kern w:val="0"/>
                <w:sz w:val="24"/>
                <w:szCs w:val="24"/>
                <w:highlight w:val="none"/>
              </w:rPr>
              <w:t>）和菱形海线藻（</w:t>
            </w:r>
            <w:r>
              <w:rPr>
                <w:rFonts w:ascii="Times New Roman" w:hAnsi="Times New Roman"/>
                <w:i/>
                <w:iCs/>
                <w:color w:val="auto"/>
                <w:kern w:val="0"/>
                <w:sz w:val="24"/>
                <w:szCs w:val="24"/>
                <w:highlight w:val="none"/>
              </w:rPr>
              <w:t>Thalassionema nitzschioides</w:t>
            </w:r>
            <w:r>
              <w:rPr>
                <w:rFonts w:hint="eastAsia" w:ascii="宋体" w:hAnsi="Times New Roman" w:cs="宋体"/>
                <w:color w:val="auto"/>
                <w:kern w:val="0"/>
                <w:sz w:val="24"/>
                <w:szCs w:val="24"/>
                <w:highlight w:val="none"/>
              </w:rPr>
              <w:t>），其优势度分别为</w:t>
            </w:r>
            <w:r>
              <w:rPr>
                <w:rFonts w:ascii="Times New Roman" w:hAnsi="Times New Roman"/>
                <w:color w:val="auto"/>
                <w:kern w:val="0"/>
                <w:sz w:val="24"/>
                <w:szCs w:val="24"/>
                <w:highlight w:val="none"/>
              </w:rPr>
              <w:t>0.52</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0.26</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0.07</w:t>
            </w:r>
            <w:r>
              <w:rPr>
                <w:rFonts w:hint="eastAsia" w:ascii="宋体" w:hAnsi="Times New Roman" w:cs="宋体"/>
                <w:color w:val="auto"/>
                <w:kern w:val="0"/>
                <w:sz w:val="24"/>
                <w:szCs w:val="24"/>
                <w:highlight w:val="none"/>
              </w:rPr>
              <w:t>和</w:t>
            </w:r>
            <w:r>
              <w:rPr>
                <w:rFonts w:ascii="Times New Roman" w:hAnsi="Times New Roman"/>
                <w:color w:val="auto"/>
                <w:kern w:val="0"/>
                <w:sz w:val="24"/>
                <w:szCs w:val="24"/>
                <w:highlight w:val="none"/>
              </w:rPr>
              <w:t>0.03</w:t>
            </w:r>
            <w:r>
              <w:rPr>
                <w:rFonts w:hint="eastAsia" w:ascii="宋体" w:hAnsi="Times New Roman" w:cs="宋体"/>
                <w:color w:val="auto"/>
                <w:kern w:val="0"/>
                <w:sz w:val="24"/>
                <w:szCs w:val="24"/>
                <w:highlight w:val="none"/>
              </w:rPr>
              <w:t>。拟弯角毛藻和中肋骨条藻具有较高优势，两者密度合计占到浮游植物总密度的</w:t>
            </w:r>
            <w:r>
              <w:rPr>
                <w:rFonts w:ascii="Times New Roman" w:hAnsi="Times New Roman"/>
                <w:color w:val="auto"/>
                <w:kern w:val="0"/>
                <w:sz w:val="24"/>
                <w:szCs w:val="24"/>
                <w:highlight w:val="none"/>
              </w:rPr>
              <w:t>78.8%</w:t>
            </w:r>
            <w:r>
              <w:rPr>
                <w:rFonts w:hint="eastAsia" w:ascii="宋体" w:hAnsi="Times New Roman" w:cs="宋体"/>
                <w:color w:val="auto"/>
                <w:kern w:val="0"/>
                <w:sz w:val="24"/>
                <w:szCs w:val="24"/>
                <w:highlight w:val="none"/>
              </w:rPr>
              <w:t>。</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4</w:t>
            </w:r>
            <w:r>
              <w:rPr>
                <w:rFonts w:hint="eastAsia" w:ascii="宋体" w:hAnsi="Times New Roman" w:cs="宋体"/>
                <w:color w:val="auto"/>
                <w:kern w:val="0"/>
                <w:sz w:val="24"/>
                <w:szCs w:val="24"/>
                <w:highlight w:val="none"/>
              </w:rPr>
              <w:t>）种类多样性指数、</w:t>
            </w:r>
            <w:r>
              <w:rPr>
                <w:rFonts w:hint="eastAsia"/>
                <w:color w:val="auto"/>
                <w:spacing w:val="-5"/>
                <w:sz w:val="24"/>
                <w:szCs w:val="24"/>
                <w:highlight w:val="none"/>
              </w:rPr>
              <w:t>均匀度</w:t>
            </w:r>
            <w:r>
              <w:rPr>
                <w:rFonts w:hint="eastAsia" w:ascii="宋体" w:hAnsi="Times New Roman" w:cs="宋体"/>
                <w:color w:val="auto"/>
                <w:kern w:val="0"/>
                <w:sz w:val="24"/>
                <w:szCs w:val="24"/>
                <w:highlight w:val="none"/>
              </w:rPr>
              <w:t>和丰富度</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监测海区浮游植物种类多样性指数、均匀度和丰富度的计算结果列于表2.2</w:t>
            </w:r>
            <w:r>
              <w:rPr>
                <w:rFonts w:ascii="Times New Roman" w:hAnsi="Times New Roman"/>
                <w:color w:val="auto"/>
                <w:kern w:val="0"/>
                <w:sz w:val="24"/>
                <w:szCs w:val="24"/>
                <w:highlight w:val="none"/>
              </w:rPr>
              <w:t>-4</w:t>
            </w:r>
            <w:r>
              <w:rPr>
                <w:rFonts w:hint="eastAsia" w:ascii="宋体" w:hAnsi="Times New Roman" w:cs="宋体"/>
                <w:color w:val="auto"/>
                <w:kern w:val="0"/>
                <w:sz w:val="24"/>
                <w:szCs w:val="24"/>
                <w:highlight w:val="none"/>
              </w:rPr>
              <w:t>。计算结果表明，监测海域各调查站浮游植物种类多样性指数在</w:t>
            </w:r>
            <w:r>
              <w:rPr>
                <w:rFonts w:ascii="Times New Roman" w:hAnsi="Times New Roman"/>
                <w:color w:val="auto"/>
                <w:kern w:val="0"/>
                <w:sz w:val="24"/>
                <w:szCs w:val="24"/>
                <w:highlight w:val="none"/>
              </w:rPr>
              <w:t>1.11</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2.91</w:t>
            </w:r>
            <w:r>
              <w:rPr>
                <w:rFonts w:hint="eastAsia" w:ascii="宋体" w:hAnsi="Times New Roman" w:cs="宋体"/>
                <w:color w:val="auto"/>
                <w:kern w:val="0"/>
                <w:sz w:val="24"/>
                <w:szCs w:val="24"/>
                <w:highlight w:val="none"/>
              </w:rPr>
              <w:t>之间，平均值为</w:t>
            </w:r>
            <w:r>
              <w:rPr>
                <w:rFonts w:ascii="Times New Roman" w:hAnsi="Times New Roman"/>
                <w:color w:val="auto"/>
                <w:kern w:val="0"/>
                <w:sz w:val="24"/>
                <w:szCs w:val="24"/>
                <w:highlight w:val="none"/>
              </w:rPr>
              <w:t>1.98</w:t>
            </w:r>
            <w:r>
              <w:rPr>
                <w:rFonts w:hint="eastAsia" w:ascii="宋体" w:hAnsi="Times New Roman" w:cs="宋体"/>
                <w:color w:val="auto"/>
                <w:kern w:val="0"/>
                <w:sz w:val="24"/>
                <w:szCs w:val="24"/>
                <w:highlight w:val="none"/>
              </w:rPr>
              <w:t>；均匀度在</w:t>
            </w:r>
            <w:r>
              <w:rPr>
                <w:rFonts w:ascii="Times New Roman" w:hAnsi="Times New Roman"/>
                <w:color w:val="auto"/>
                <w:kern w:val="0"/>
                <w:sz w:val="24"/>
                <w:szCs w:val="24"/>
                <w:highlight w:val="none"/>
              </w:rPr>
              <w:t>0.24</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0.55</w:t>
            </w:r>
            <w:r>
              <w:rPr>
                <w:rFonts w:hint="eastAsia" w:ascii="宋体" w:hAnsi="Times New Roman" w:cs="宋体"/>
                <w:color w:val="auto"/>
                <w:kern w:val="0"/>
                <w:sz w:val="24"/>
                <w:szCs w:val="24"/>
                <w:highlight w:val="none"/>
              </w:rPr>
              <w:t>之间，平均值为</w:t>
            </w:r>
            <w:r>
              <w:rPr>
                <w:rFonts w:ascii="Times New Roman" w:hAnsi="Times New Roman"/>
                <w:color w:val="auto"/>
                <w:kern w:val="0"/>
                <w:sz w:val="24"/>
                <w:szCs w:val="24"/>
                <w:highlight w:val="none"/>
              </w:rPr>
              <w:t>0.40</w:t>
            </w:r>
            <w:r>
              <w:rPr>
                <w:rFonts w:hint="eastAsia" w:ascii="宋体" w:hAnsi="Times New Roman" w:cs="宋体"/>
                <w:color w:val="auto"/>
                <w:kern w:val="0"/>
                <w:sz w:val="24"/>
                <w:szCs w:val="24"/>
                <w:highlight w:val="none"/>
              </w:rPr>
              <w:t>；丰富度指数在</w:t>
            </w:r>
            <w:r>
              <w:rPr>
                <w:rFonts w:ascii="Times New Roman" w:hAnsi="Times New Roman"/>
                <w:color w:val="auto"/>
                <w:kern w:val="0"/>
                <w:sz w:val="24"/>
                <w:szCs w:val="24"/>
                <w:highlight w:val="none"/>
              </w:rPr>
              <w:t>0.74</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1.79</w:t>
            </w:r>
            <w:r>
              <w:rPr>
                <w:rFonts w:hint="eastAsia" w:ascii="宋体" w:hAnsi="Times New Roman" w:cs="宋体"/>
                <w:color w:val="auto"/>
                <w:kern w:val="0"/>
                <w:sz w:val="24"/>
                <w:szCs w:val="24"/>
                <w:highlight w:val="none"/>
              </w:rPr>
              <w:t>之间，平均值为</w:t>
            </w:r>
            <w:r>
              <w:rPr>
                <w:rFonts w:ascii="Times New Roman" w:hAnsi="Times New Roman"/>
                <w:color w:val="auto"/>
                <w:kern w:val="0"/>
                <w:sz w:val="24"/>
                <w:szCs w:val="24"/>
                <w:highlight w:val="none"/>
              </w:rPr>
              <w:t>1.14</w:t>
            </w:r>
            <w:r>
              <w:rPr>
                <w:rFonts w:hint="eastAsia" w:ascii="宋体" w:hAnsi="Times New Roman" w:cs="宋体"/>
                <w:color w:val="auto"/>
                <w:kern w:val="0"/>
                <w:sz w:val="24"/>
                <w:szCs w:val="24"/>
                <w:highlight w:val="none"/>
              </w:rPr>
              <w:t>。整体来说，调查海域浮游植物的种类多样性指数处于中等或较低水平，均匀度皆较低。</w:t>
            </w:r>
          </w:p>
          <w:p>
            <w:pPr>
              <w:jc w:val="center"/>
              <w:rPr>
                <w:color w:val="auto"/>
                <w:sz w:val="24"/>
                <w:szCs w:val="24"/>
                <w:highlight w:val="none"/>
              </w:rPr>
            </w:pPr>
            <w:r>
              <w:rPr>
                <w:rFonts w:hint="eastAsia" w:ascii="宋体" w:hAnsi="Times New Roman" w:cs="宋体"/>
                <w:color w:val="auto"/>
                <w:kern w:val="0"/>
                <w:sz w:val="24"/>
                <w:szCs w:val="24"/>
                <w:highlight w:val="none"/>
              </w:rPr>
              <w:t>表</w:t>
            </w:r>
            <w:r>
              <w:rPr>
                <w:rFonts w:hint="eastAsia" w:ascii="Times New Roman" w:hAnsi="Times New Roman"/>
                <w:b/>
                <w:bCs/>
                <w:color w:val="auto"/>
                <w:kern w:val="0"/>
                <w:sz w:val="24"/>
                <w:szCs w:val="24"/>
                <w:highlight w:val="none"/>
              </w:rPr>
              <w:t>2</w:t>
            </w:r>
            <w:r>
              <w:rPr>
                <w:rFonts w:ascii="Times New Roman" w:hAnsi="Times New Roman"/>
                <w:b/>
                <w:bCs/>
                <w:color w:val="auto"/>
                <w:kern w:val="0"/>
                <w:sz w:val="24"/>
                <w:szCs w:val="24"/>
                <w:highlight w:val="none"/>
              </w:rPr>
              <w:t>.2.</w:t>
            </w:r>
            <w:r>
              <w:rPr>
                <w:rFonts w:hint="eastAsia" w:ascii="Times New Roman" w:hAnsi="Times New Roman"/>
                <w:b/>
                <w:bCs/>
                <w:color w:val="auto"/>
                <w:kern w:val="0"/>
                <w:sz w:val="24"/>
                <w:szCs w:val="24"/>
                <w:highlight w:val="none"/>
              </w:rPr>
              <w:t>1</w:t>
            </w:r>
            <w:r>
              <w:rPr>
                <w:rFonts w:ascii="Times New Roman" w:hAnsi="Times New Roman"/>
                <w:b/>
                <w:bCs/>
                <w:color w:val="auto"/>
                <w:kern w:val="0"/>
                <w:sz w:val="24"/>
                <w:szCs w:val="24"/>
                <w:highlight w:val="none"/>
              </w:rPr>
              <w:t>-4</w:t>
            </w:r>
            <w:r>
              <w:rPr>
                <w:rFonts w:hint="eastAsia" w:ascii="宋体" w:hAnsi="Times New Roman" w:cs="宋体"/>
                <w:color w:val="auto"/>
                <w:kern w:val="0"/>
                <w:sz w:val="24"/>
                <w:szCs w:val="24"/>
                <w:highlight w:val="none"/>
              </w:rPr>
              <w:t>浮游植物种类多样性指数、均匀度和丰富度</w:t>
            </w:r>
          </w:p>
          <w:p>
            <w:pPr>
              <w:pStyle w:val="3"/>
              <w:rPr>
                <w:color w:val="auto"/>
                <w:highlight w:val="none"/>
              </w:rPr>
            </w:pPr>
            <w:r>
              <w:rPr>
                <w:color w:val="auto"/>
                <w:highlight w:val="none"/>
              </w:rPr>
              <w:drawing>
                <wp:inline distT="0" distB="0" distL="0" distR="0">
                  <wp:extent cx="5758180" cy="3913505"/>
                  <wp:effectExtent l="19050" t="0" r="0" b="0"/>
                  <wp:docPr id="24" name="图片 14" descr="F:\微信文件File\WeChat Files\wxid_kgkf81ca4cje21\FileStorage\Temp\1701272923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F:\微信文件File\WeChat Files\wxid_kgkf81ca4cje21\FileStorage\Temp\1701272923928.png"/>
                          <pic:cNvPicPr>
                            <a:picLocks noChangeAspect="1" noChangeArrowheads="1"/>
                          </pic:cNvPicPr>
                        </pic:nvPicPr>
                        <pic:blipFill>
                          <a:blip r:embed="rId31"/>
                          <a:srcRect/>
                          <a:stretch>
                            <a:fillRect/>
                          </a:stretch>
                        </pic:blipFill>
                        <pic:spPr>
                          <a:xfrm>
                            <a:off x="0" y="0"/>
                            <a:ext cx="5758682" cy="3913961"/>
                          </a:xfrm>
                          <a:prstGeom prst="rect">
                            <a:avLst/>
                          </a:prstGeom>
                          <a:noFill/>
                          <a:ln w="9525">
                            <a:noFill/>
                            <a:miter lim="800000"/>
                            <a:headEnd/>
                            <a:tailEnd/>
                          </a:ln>
                        </pic:spPr>
                      </pic:pic>
                    </a:graphicData>
                  </a:graphic>
                </wp:inline>
              </w:drawing>
            </w:r>
          </w:p>
          <w:p>
            <w:pPr>
              <w:rPr>
                <w:color w:val="auto"/>
                <w:sz w:val="24"/>
                <w:szCs w:val="24"/>
                <w:highlight w:val="none"/>
              </w:rPr>
            </w:pPr>
          </w:p>
          <w:p>
            <w:pPr>
              <w:spacing w:line="360" w:lineRule="auto"/>
              <w:ind w:firstLine="480" w:firstLineChars="200"/>
              <w:jc w:val="left"/>
              <w:rPr>
                <w:color w:val="auto"/>
                <w:sz w:val="24"/>
                <w:szCs w:val="24"/>
                <w:highlight w:val="none"/>
              </w:rPr>
            </w:pPr>
            <w:r>
              <w:rPr>
                <w:rFonts w:hint="eastAsia"/>
                <w:color w:val="auto"/>
                <w:sz w:val="24"/>
                <w:szCs w:val="24"/>
                <w:highlight w:val="none"/>
              </w:rPr>
              <w:t>（</w:t>
            </w:r>
            <w:r>
              <w:rPr>
                <w:rFonts w:ascii="Times New Roman"/>
                <w:b/>
                <w:bCs/>
                <w:color w:val="auto"/>
                <w:sz w:val="24"/>
                <w:szCs w:val="24"/>
                <w:highlight w:val="none"/>
              </w:rPr>
              <w:t>3</w:t>
            </w:r>
            <w:r>
              <w:rPr>
                <w:rFonts w:hint="eastAsia"/>
                <w:color w:val="auto"/>
                <w:sz w:val="24"/>
                <w:szCs w:val="24"/>
                <w:highlight w:val="none"/>
              </w:rPr>
              <w:t>）</w:t>
            </w:r>
            <w:r>
              <w:rPr>
                <w:rFonts w:hint="eastAsia"/>
                <w:color w:val="auto"/>
                <w:spacing w:val="-5"/>
                <w:sz w:val="24"/>
                <w:szCs w:val="24"/>
                <w:highlight w:val="none"/>
              </w:rPr>
              <w:t>浮游动物</w:t>
            </w:r>
          </w:p>
          <w:p>
            <w:pPr>
              <w:spacing w:line="360" w:lineRule="auto"/>
              <w:ind w:firstLine="480" w:firstLineChars="200"/>
              <w:jc w:val="left"/>
              <w:rPr>
                <w:color w:val="auto"/>
                <w:sz w:val="24"/>
                <w:szCs w:val="24"/>
                <w:highlight w:val="none"/>
              </w:rPr>
            </w:pPr>
            <w:r>
              <w:rPr>
                <w:rFonts w:hint="eastAsia"/>
                <w:color w:val="auto"/>
                <w:sz w:val="24"/>
                <w:szCs w:val="24"/>
                <w:highlight w:val="none"/>
              </w:rPr>
              <w:t>本次监测</w:t>
            </w:r>
            <w:r>
              <w:rPr>
                <w:rFonts w:hint="eastAsia"/>
                <w:color w:val="auto"/>
                <w:spacing w:val="-5"/>
                <w:sz w:val="24"/>
                <w:szCs w:val="24"/>
                <w:highlight w:val="none"/>
              </w:rPr>
              <w:t>浮游动物</w:t>
            </w:r>
            <w:r>
              <w:rPr>
                <w:rFonts w:hint="eastAsia"/>
                <w:color w:val="auto"/>
                <w:sz w:val="24"/>
                <w:szCs w:val="24"/>
                <w:highlight w:val="none"/>
              </w:rPr>
              <w:t>调查站位与浮游植物相同。现场调查采用浅水</w:t>
            </w:r>
            <w:r>
              <w:rPr>
                <w:rFonts w:hint="eastAsia" w:ascii="宋体" w:hAnsi="宋体" w:cs="宋体"/>
                <w:color w:val="auto"/>
                <w:sz w:val="24"/>
                <w:szCs w:val="24"/>
                <w:highlight w:val="none"/>
              </w:rPr>
              <w:t>Ⅰ</w:t>
            </w:r>
            <w:r>
              <w:rPr>
                <w:rFonts w:hint="eastAsia"/>
                <w:color w:val="auto"/>
                <w:sz w:val="24"/>
                <w:szCs w:val="24"/>
                <w:highlight w:val="none"/>
              </w:rPr>
              <w:t>型浮游生物网（网口面积</w:t>
            </w:r>
            <w:r>
              <w:rPr>
                <w:rFonts w:ascii="Times New Roman"/>
                <w:color w:val="auto"/>
                <w:sz w:val="24"/>
                <w:szCs w:val="24"/>
                <w:highlight w:val="none"/>
              </w:rPr>
              <w:t>0.2㎡</w:t>
            </w:r>
            <w:r>
              <w:rPr>
                <w:rFonts w:hint="eastAsia"/>
                <w:color w:val="auto"/>
                <w:sz w:val="24"/>
                <w:szCs w:val="24"/>
                <w:highlight w:val="none"/>
              </w:rPr>
              <w:t>，网口直径</w:t>
            </w:r>
            <w:r>
              <w:rPr>
                <w:rFonts w:ascii="Times New Roman"/>
                <w:color w:val="auto"/>
                <w:sz w:val="24"/>
                <w:szCs w:val="24"/>
                <w:highlight w:val="none"/>
              </w:rPr>
              <w:t>50cm</w:t>
            </w:r>
            <w:r>
              <w:rPr>
                <w:rFonts w:hint="eastAsia"/>
                <w:color w:val="auto"/>
                <w:sz w:val="24"/>
                <w:szCs w:val="24"/>
                <w:highlight w:val="none"/>
              </w:rPr>
              <w:t>，网长</w:t>
            </w:r>
            <w:r>
              <w:rPr>
                <w:rFonts w:ascii="Times New Roman"/>
                <w:color w:val="auto"/>
                <w:sz w:val="24"/>
                <w:szCs w:val="24"/>
                <w:highlight w:val="none"/>
              </w:rPr>
              <w:t>145cm</w:t>
            </w:r>
            <w:r>
              <w:rPr>
                <w:rFonts w:hint="eastAsia"/>
                <w:color w:val="auto"/>
                <w:sz w:val="24"/>
                <w:szCs w:val="24"/>
                <w:highlight w:val="none"/>
              </w:rPr>
              <w:t>）由海底至海面垂直拖网一次，采集到的样品用</w:t>
            </w:r>
            <w:r>
              <w:rPr>
                <w:rFonts w:ascii="Times New Roman"/>
                <w:color w:val="auto"/>
                <w:sz w:val="24"/>
                <w:szCs w:val="24"/>
                <w:highlight w:val="none"/>
              </w:rPr>
              <w:t>5%</w:t>
            </w:r>
            <w:r>
              <w:rPr>
                <w:rFonts w:hint="eastAsia"/>
                <w:color w:val="auto"/>
                <w:sz w:val="24"/>
                <w:szCs w:val="24"/>
                <w:highlight w:val="none"/>
              </w:rPr>
              <w:t>的甲醛溶液固定，带回实验室进行种类鉴定、个体数量计数和生物量称重。</w:t>
            </w:r>
          </w:p>
          <w:p>
            <w:pPr>
              <w:spacing w:line="360" w:lineRule="auto"/>
              <w:ind w:firstLine="482" w:firstLineChars="200"/>
              <w:jc w:val="left"/>
              <w:rPr>
                <w:color w:val="auto"/>
                <w:sz w:val="24"/>
                <w:szCs w:val="24"/>
                <w:highlight w:val="none"/>
              </w:rPr>
            </w:pPr>
            <w:r>
              <w:rPr>
                <w:rFonts w:ascii="Times New Roman"/>
                <w:b/>
                <w:bCs/>
                <w:color w:val="auto"/>
                <w:sz w:val="24"/>
                <w:szCs w:val="24"/>
                <w:highlight w:val="none"/>
              </w:rPr>
              <w:t>1</w:t>
            </w:r>
            <w:r>
              <w:rPr>
                <w:rFonts w:hint="eastAsia"/>
                <w:color w:val="auto"/>
                <w:sz w:val="24"/>
                <w:szCs w:val="24"/>
                <w:highlight w:val="none"/>
              </w:rPr>
              <w:t>）种类组成与分布</w:t>
            </w:r>
          </w:p>
          <w:p>
            <w:pPr>
              <w:spacing w:line="360" w:lineRule="auto"/>
              <w:ind w:firstLine="480" w:firstLineChars="200"/>
              <w:jc w:val="left"/>
              <w:rPr>
                <w:color w:val="auto"/>
                <w:sz w:val="24"/>
                <w:szCs w:val="24"/>
                <w:highlight w:val="none"/>
              </w:rPr>
            </w:pPr>
            <w:r>
              <w:rPr>
                <w:rFonts w:hint="eastAsia"/>
                <w:color w:val="auto"/>
                <w:sz w:val="24"/>
                <w:szCs w:val="24"/>
                <w:highlight w:val="none"/>
              </w:rPr>
              <w:t>本次调查浮游动物样品共鉴定出浮游动物</w:t>
            </w:r>
            <w:r>
              <w:rPr>
                <w:rFonts w:ascii="Times New Roman"/>
                <w:color w:val="auto"/>
                <w:sz w:val="24"/>
                <w:szCs w:val="24"/>
                <w:highlight w:val="none"/>
              </w:rPr>
              <w:t>82</w:t>
            </w:r>
            <w:r>
              <w:rPr>
                <w:rFonts w:hint="eastAsia"/>
                <w:color w:val="auto"/>
                <w:sz w:val="24"/>
                <w:szCs w:val="24"/>
                <w:highlight w:val="none"/>
              </w:rPr>
              <w:t>种和浮游幼虫</w:t>
            </w:r>
            <w:r>
              <w:rPr>
                <w:rFonts w:ascii="Times New Roman"/>
                <w:color w:val="auto"/>
                <w:sz w:val="24"/>
                <w:szCs w:val="24"/>
                <w:highlight w:val="none"/>
              </w:rPr>
              <w:t>15</w:t>
            </w:r>
            <w:r>
              <w:rPr>
                <w:rFonts w:hint="eastAsia"/>
                <w:color w:val="auto"/>
                <w:sz w:val="24"/>
                <w:szCs w:val="24"/>
                <w:highlight w:val="none"/>
              </w:rPr>
              <w:t>类，详见附件浮游动物报表。其中，桡足类和腔肠动物种类最多，均为</w:t>
            </w:r>
            <w:r>
              <w:rPr>
                <w:rFonts w:ascii="Times New Roman"/>
                <w:color w:val="auto"/>
                <w:sz w:val="24"/>
                <w:szCs w:val="24"/>
                <w:highlight w:val="none"/>
              </w:rPr>
              <w:t>31</w:t>
            </w:r>
            <w:r>
              <w:rPr>
                <w:rFonts w:hint="eastAsia"/>
                <w:color w:val="auto"/>
                <w:sz w:val="24"/>
                <w:szCs w:val="24"/>
                <w:highlight w:val="none"/>
              </w:rPr>
              <w:t>种，各占浮游动物总种数的（含浮游幼虫）</w:t>
            </w:r>
            <w:r>
              <w:rPr>
                <w:rFonts w:ascii="Times New Roman"/>
                <w:color w:val="auto"/>
                <w:sz w:val="24"/>
                <w:szCs w:val="24"/>
                <w:highlight w:val="none"/>
              </w:rPr>
              <w:t>32.0%</w:t>
            </w:r>
            <w:r>
              <w:rPr>
                <w:rFonts w:hint="eastAsia"/>
                <w:color w:val="auto"/>
                <w:sz w:val="24"/>
                <w:szCs w:val="24"/>
                <w:highlight w:val="none"/>
              </w:rPr>
              <w:t>；其次为浮游幼虫，有</w:t>
            </w:r>
            <w:r>
              <w:rPr>
                <w:rFonts w:ascii="Times New Roman"/>
                <w:color w:val="auto"/>
                <w:sz w:val="24"/>
                <w:szCs w:val="24"/>
                <w:highlight w:val="none"/>
              </w:rPr>
              <w:t>15</w:t>
            </w:r>
            <w:r>
              <w:rPr>
                <w:rFonts w:hint="eastAsia"/>
                <w:color w:val="auto"/>
                <w:sz w:val="24"/>
                <w:szCs w:val="24"/>
                <w:highlight w:val="none"/>
              </w:rPr>
              <w:t>种，占浮游动物总种数的（含浮游幼虫）</w:t>
            </w:r>
            <w:r>
              <w:rPr>
                <w:rFonts w:ascii="Times New Roman"/>
                <w:color w:val="auto"/>
                <w:sz w:val="24"/>
                <w:szCs w:val="24"/>
                <w:highlight w:val="none"/>
              </w:rPr>
              <w:t>15.5%</w:t>
            </w:r>
            <w:r>
              <w:rPr>
                <w:rFonts w:hint="eastAsia"/>
                <w:color w:val="auto"/>
                <w:sz w:val="24"/>
                <w:szCs w:val="24"/>
                <w:highlight w:val="none"/>
              </w:rPr>
              <w:t>；毛颚动物和软体动物各有</w:t>
            </w:r>
            <w:r>
              <w:rPr>
                <w:rFonts w:ascii="Times New Roman"/>
                <w:color w:val="auto"/>
                <w:sz w:val="24"/>
                <w:szCs w:val="24"/>
                <w:highlight w:val="none"/>
              </w:rPr>
              <w:t>4</w:t>
            </w:r>
            <w:r>
              <w:rPr>
                <w:rFonts w:hint="eastAsia"/>
                <w:color w:val="auto"/>
                <w:sz w:val="24"/>
                <w:szCs w:val="24"/>
                <w:highlight w:val="none"/>
              </w:rPr>
              <w:t>种，各占</w:t>
            </w:r>
            <w:r>
              <w:rPr>
                <w:rFonts w:hint="eastAsia"/>
                <w:color w:val="auto"/>
                <w:spacing w:val="-5"/>
                <w:sz w:val="24"/>
                <w:szCs w:val="24"/>
                <w:highlight w:val="none"/>
              </w:rPr>
              <w:t>浮游动物</w:t>
            </w:r>
            <w:r>
              <w:rPr>
                <w:rFonts w:hint="eastAsia"/>
                <w:color w:val="auto"/>
                <w:sz w:val="24"/>
                <w:szCs w:val="24"/>
                <w:highlight w:val="none"/>
              </w:rPr>
              <w:t>总种数的（含浮游幼虫）</w:t>
            </w:r>
            <w:r>
              <w:rPr>
                <w:rFonts w:ascii="Times New Roman"/>
                <w:color w:val="auto"/>
                <w:sz w:val="24"/>
                <w:szCs w:val="24"/>
                <w:highlight w:val="none"/>
              </w:rPr>
              <w:t>4.1%</w:t>
            </w:r>
            <w:r>
              <w:rPr>
                <w:rFonts w:hint="eastAsia"/>
                <w:color w:val="auto"/>
                <w:sz w:val="24"/>
                <w:szCs w:val="24"/>
                <w:highlight w:val="none"/>
              </w:rPr>
              <w:t>；其余类群分别为被囊动物、枝角类、介形类、栉水母、原生动物、樱虾类和端足类，这些类群的种类数分布在</w:t>
            </w:r>
            <w:r>
              <w:rPr>
                <w:rFonts w:ascii="Times New Roman"/>
                <w:color w:val="auto"/>
                <w:sz w:val="24"/>
                <w:szCs w:val="24"/>
                <w:highlight w:val="none"/>
              </w:rPr>
              <w:t>1</w:t>
            </w:r>
            <w:r>
              <w:rPr>
                <w:rFonts w:hint="eastAsia"/>
                <w:color w:val="auto"/>
                <w:sz w:val="24"/>
                <w:szCs w:val="24"/>
                <w:highlight w:val="none"/>
              </w:rPr>
              <w:t>～</w:t>
            </w:r>
            <w:r>
              <w:rPr>
                <w:rFonts w:ascii="Times New Roman"/>
                <w:color w:val="auto"/>
                <w:sz w:val="24"/>
                <w:szCs w:val="24"/>
                <w:highlight w:val="none"/>
              </w:rPr>
              <w:t>2</w:t>
            </w:r>
            <w:r>
              <w:rPr>
                <w:rFonts w:hint="eastAsia"/>
                <w:color w:val="auto"/>
                <w:sz w:val="24"/>
                <w:szCs w:val="24"/>
                <w:highlight w:val="none"/>
              </w:rPr>
              <w:t>种。</w:t>
            </w:r>
          </w:p>
          <w:p>
            <w:pPr>
              <w:spacing w:line="360" w:lineRule="auto"/>
              <w:ind w:firstLine="480" w:firstLineChars="200"/>
              <w:jc w:val="left"/>
              <w:rPr>
                <w:color w:val="auto"/>
                <w:sz w:val="24"/>
                <w:szCs w:val="24"/>
                <w:highlight w:val="none"/>
              </w:rPr>
            </w:pPr>
            <w:r>
              <w:rPr>
                <w:rFonts w:hint="eastAsia"/>
                <w:color w:val="auto"/>
                <w:sz w:val="24"/>
                <w:szCs w:val="24"/>
                <w:highlight w:val="none"/>
              </w:rPr>
              <w:t>各站位鉴定出的</w:t>
            </w:r>
            <w:r>
              <w:rPr>
                <w:rFonts w:hint="eastAsia"/>
                <w:color w:val="auto"/>
                <w:spacing w:val="-5"/>
                <w:sz w:val="24"/>
                <w:szCs w:val="24"/>
                <w:highlight w:val="none"/>
              </w:rPr>
              <w:t>浮游动物</w:t>
            </w:r>
            <w:r>
              <w:rPr>
                <w:rFonts w:hint="eastAsia"/>
                <w:color w:val="auto"/>
                <w:sz w:val="24"/>
                <w:szCs w:val="24"/>
                <w:highlight w:val="none"/>
              </w:rPr>
              <w:t>种类数在</w:t>
            </w:r>
            <w:r>
              <w:rPr>
                <w:rFonts w:ascii="Times New Roman"/>
                <w:color w:val="auto"/>
                <w:sz w:val="24"/>
                <w:szCs w:val="24"/>
                <w:highlight w:val="none"/>
              </w:rPr>
              <w:t>12</w:t>
            </w:r>
            <w:r>
              <w:rPr>
                <w:rFonts w:hint="eastAsia"/>
                <w:color w:val="auto"/>
                <w:sz w:val="24"/>
                <w:szCs w:val="24"/>
                <w:highlight w:val="none"/>
              </w:rPr>
              <w:t>～</w:t>
            </w:r>
            <w:r>
              <w:rPr>
                <w:rFonts w:ascii="Times New Roman"/>
                <w:color w:val="auto"/>
                <w:sz w:val="24"/>
                <w:szCs w:val="24"/>
                <w:highlight w:val="none"/>
              </w:rPr>
              <w:t>51</w:t>
            </w:r>
            <w:r>
              <w:rPr>
                <w:rFonts w:hint="eastAsia"/>
                <w:color w:val="auto"/>
                <w:sz w:val="24"/>
                <w:szCs w:val="24"/>
                <w:highlight w:val="none"/>
              </w:rPr>
              <w:t>种之间，不同调查站位的种类数差异较大，其中钦州湾外湾海域浮游动物种类数较多，江河及其入海口处浮游动物种类数较少。位于金鼓江外以南海域的</w:t>
            </w:r>
            <w:r>
              <w:rPr>
                <w:rFonts w:ascii="Times New Roman"/>
                <w:color w:val="auto"/>
                <w:sz w:val="24"/>
                <w:szCs w:val="24"/>
                <w:highlight w:val="none"/>
              </w:rPr>
              <w:t>4</w:t>
            </w:r>
            <w:r>
              <w:rPr>
                <w:rFonts w:hint="eastAsia"/>
                <w:color w:val="auto"/>
                <w:sz w:val="24"/>
                <w:szCs w:val="24"/>
                <w:highlight w:val="none"/>
              </w:rPr>
              <w:t>个站位（由北向南依次为</w:t>
            </w:r>
            <w:r>
              <w:rPr>
                <w:rFonts w:ascii="Times New Roman"/>
                <w:color w:val="auto"/>
                <w:sz w:val="24"/>
                <w:szCs w:val="24"/>
                <w:highlight w:val="none"/>
              </w:rPr>
              <w:t>11</w:t>
            </w:r>
            <w:r>
              <w:rPr>
                <w:rFonts w:hint="eastAsia"/>
                <w:color w:val="auto"/>
                <w:sz w:val="24"/>
                <w:szCs w:val="24"/>
                <w:highlight w:val="none"/>
              </w:rPr>
              <w:t>号、</w:t>
            </w:r>
            <w:r>
              <w:rPr>
                <w:rFonts w:ascii="Times New Roman"/>
                <w:color w:val="auto"/>
                <w:sz w:val="24"/>
                <w:szCs w:val="24"/>
                <w:highlight w:val="none"/>
              </w:rPr>
              <w:t>16</w:t>
            </w:r>
            <w:r>
              <w:rPr>
                <w:rFonts w:hint="eastAsia"/>
                <w:color w:val="auto"/>
                <w:sz w:val="24"/>
                <w:szCs w:val="24"/>
                <w:highlight w:val="none"/>
              </w:rPr>
              <w:t>号、</w:t>
            </w:r>
            <w:r>
              <w:rPr>
                <w:rFonts w:ascii="Times New Roman"/>
                <w:color w:val="auto"/>
                <w:sz w:val="24"/>
                <w:szCs w:val="24"/>
                <w:highlight w:val="none"/>
              </w:rPr>
              <w:t>23</w:t>
            </w:r>
            <w:r>
              <w:rPr>
                <w:rFonts w:hint="eastAsia"/>
                <w:color w:val="auto"/>
                <w:sz w:val="24"/>
                <w:szCs w:val="24"/>
                <w:highlight w:val="none"/>
              </w:rPr>
              <w:t>号和</w:t>
            </w:r>
            <w:r>
              <w:rPr>
                <w:rFonts w:ascii="Times New Roman"/>
                <w:color w:val="auto"/>
                <w:sz w:val="24"/>
                <w:szCs w:val="24"/>
                <w:highlight w:val="none"/>
              </w:rPr>
              <w:t>29</w:t>
            </w:r>
            <w:r>
              <w:rPr>
                <w:rFonts w:hint="eastAsia"/>
                <w:color w:val="auto"/>
                <w:sz w:val="24"/>
                <w:szCs w:val="24"/>
                <w:highlight w:val="none"/>
              </w:rPr>
              <w:t>号）浮游动物种类数较多，其种类数依次为</w:t>
            </w:r>
            <w:r>
              <w:rPr>
                <w:rFonts w:ascii="Times New Roman"/>
                <w:color w:val="auto"/>
                <w:sz w:val="24"/>
                <w:szCs w:val="24"/>
                <w:highlight w:val="none"/>
              </w:rPr>
              <w:t>45</w:t>
            </w:r>
            <w:r>
              <w:rPr>
                <w:rFonts w:hint="eastAsia"/>
                <w:color w:val="auto"/>
                <w:sz w:val="24"/>
                <w:szCs w:val="24"/>
                <w:highlight w:val="none"/>
              </w:rPr>
              <w:t>种、</w:t>
            </w:r>
            <w:r>
              <w:rPr>
                <w:rFonts w:ascii="Times New Roman"/>
                <w:color w:val="auto"/>
                <w:sz w:val="24"/>
                <w:szCs w:val="24"/>
                <w:highlight w:val="none"/>
              </w:rPr>
              <w:t>51</w:t>
            </w:r>
            <w:r>
              <w:rPr>
                <w:rFonts w:hint="eastAsia"/>
                <w:color w:val="auto"/>
                <w:sz w:val="24"/>
                <w:szCs w:val="24"/>
                <w:highlight w:val="none"/>
              </w:rPr>
              <w:t>种、</w:t>
            </w:r>
            <w:r>
              <w:rPr>
                <w:rFonts w:ascii="Times New Roman"/>
                <w:color w:val="auto"/>
                <w:sz w:val="24"/>
                <w:szCs w:val="24"/>
                <w:highlight w:val="none"/>
              </w:rPr>
              <w:t>47</w:t>
            </w:r>
            <w:r>
              <w:rPr>
                <w:rFonts w:hint="eastAsia"/>
                <w:color w:val="auto"/>
                <w:sz w:val="24"/>
                <w:szCs w:val="24"/>
                <w:highlight w:val="none"/>
              </w:rPr>
              <w:t>种和</w:t>
            </w:r>
            <w:r>
              <w:rPr>
                <w:rFonts w:ascii="Times New Roman"/>
                <w:color w:val="auto"/>
                <w:sz w:val="24"/>
                <w:szCs w:val="24"/>
                <w:highlight w:val="none"/>
              </w:rPr>
              <w:t>45</w:t>
            </w:r>
            <w:r>
              <w:rPr>
                <w:rFonts w:hint="eastAsia"/>
                <w:color w:val="auto"/>
                <w:sz w:val="24"/>
                <w:szCs w:val="24"/>
                <w:highlight w:val="none"/>
              </w:rPr>
              <w:t>种；另外，位于调查海域最南端的</w:t>
            </w:r>
            <w:r>
              <w:rPr>
                <w:rFonts w:ascii="Times New Roman"/>
                <w:color w:val="auto"/>
                <w:sz w:val="24"/>
                <w:szCs w:val="24"/>
                <w:highlight w:val="none"/>
              </w:rPr>
              <w:t>30</w:t>
            </w:r>
            <w:r>
              <w:rPr>
                <w:rFonts w:hint="eastAsia"/>
                <w:color w:val="auto"/>
                <w:sz w:val="24"/>
                <w:szCs w:val="24"/>
                <w:highlight w:val="none"/>
              </w:rPr>
              <w:t>和</w:t>
            </w:r>
            <w:r>
              <w:rPr>
                <w:rFonts w:ascii="Times New Roman"/>
                <w:color w:val="auto"/>
                <w:sz w:val="24"/>
                <w:szCs w:val="24"/>
                <w:highlight w:val="none"/>
              </w:rPr>
              <w:t>32</w:t>
            </w:r>
            <w:r>
              <w:rPr>
                <w:rFonts w:hint="eastAsia"/>
                <w:color w:val="auto"/>
                <w:sz w:val="24"/>
                <w:szCs w:val="24"/>
                <w:highlight w:val="none"/>
              </w:rPr>
              <w:t>号站位的种类数也较多，分别为</w:t>
            </w:r>
            <w:r>
              <w:rPr>
                <w:rFonts w:ascii="Times New Roman"/>
                <w:color w:val="auto"/>
                <w:sz w:val="24"/>
                <w:szCs w:val="24"/>
                <w:highlight w:val="none"/>
              </w:rPr>
              <w:t>44</w:t>
            </w:r>
            <w:r>
              <w:rPr>
                <w:rFonts w:hint="eastAsia"/>
                <w:color w:val="auto"/>
                <w:sz w:val="24"/>
                <w:szCs w:val="24"/>
                <w:highlight w:val="none"/>
              </w:rPr>
              <w:t>种和</w:t>
            </w:r>
            <w:r>
              <w:rPr>
                <w:rFonts w:ascii="Times New Roman"/>
                <w:color w:val="auto"/>
                <w:sz w:val="24"/>
                <w:szCs w:val="24"/>
                <w:highlight w:val="none"/>
              </w:rPr>
              <w:t>38</w:t>
            </w:r>
            <w:r>
              <w:rPr>
                <w:rFonts w:hint="eastAsia"/>
                <w:color w:val="auto"/>
                <w:sz w:val="24"/>
                <w:szCs w:val="24"/>
                <w:highlight w:val="none"/>
              </w:rPr>
              <w:t>种；与此接近的</w:t>
            </w:r>
            <w:r>
              <w:rPr>
                <w:rFonts w:ascii="Times New Roman"/>
                <w:color w:val="auto"/>
                <w:sz w:val="24"/>
                <w:szCs w:val="24"/>
                <w:highlight w:val="none"/>
              </w:rPr>
              <w:t>25</w:t>
            </w:r>
            <w:r>
              <w:rPr>
                <w:rFonts w:hint="eastAsia"/>
                <w:color w:val="auto"/>
                <w:sz w:val="24"/>
                <w:szCs w:val="24"/>
                <w:highlight w:val="none"/>
              </w:rPr>
              <w:t>号站位的种类数为</w:t>
            </w:r>
            <w:r>
              <w:rPr>
                <w:rFonts w:ascii="Times New Roman"/>
                <w:color w:val="auto"/>
                <w:sz w:val="24"/>
                <w:szCs w:val="24"/>
                <w:highlight w:val="none"/>
              </w:rPr>
              <w:t>41</w:t>
            </w:r>
            <w:r>
              <w:rPr>
                <w:rFonts w:hint="eastAsia"/>
                <w:color w:val="auto"/>
                <w:sz w:val="24"/>
                <w:szCs w:val="24"/>
                <w:highlight w:val="none"/>
              </w:rPr>
              <w:t>种。有</w:t>
            </w:r>
            <w:r>
              <w:rPr>
                <w:rFonts w:ascii="Times New Roman"/>
                <w:color w:val="auto"/>
                <w:sz w:val="24"/>
                <w:szCs w:val="24"/>
                <w:highlight w:val="none"/>
              </w:rPr>
              <w:t>6</w:t>
            </w:r>
            <w:r>
              <w:rPr>
                <w:rFonts w:hint="eastAsia"/>
                <w:color w:val="auto"/>
                <w:sz w:val="24"/>
                <w:szCs w:val="24"/>
                <w:highlight w:val="none"/>
              </w:rPr>
              <w:t>个站位（</w:t>
            </w:r>
            <w:r>
              <w:rPr>
                <w:rFonts w:ascii="Times New Roman"/>
                <w:color w:val="auto"/>
                <w:sz w:val="24"/>
                <w:szCs w:val="24"/>
                <w:highlight w:val="none"/>
              </w:rPr>
              <w:t>9</w:t>
            </w:r>
            <w:r>
              <w:rPr>
                <w:rFonts w:hint="eastAsia"/>
                <w:color w:val="auto"/>
                <w:sz w:val="24"/>
                <w:szCs w:val="24"/>
                <w:highlight w:val="none"/>
              </w:rPr>
              <w:t>、</w:t>
            </w:r>
            <w:r>
              <w:rPr>
                <w:rFonts w:ascii="Times New Roman"/>
                <w:color w:val="auto"/>
                <w:sz w:val="24"/>
                <w:szCs w:val="24"/>
                <w:highlight w:val="none"/>
              </w:rPr>
              <w:t>10</w:t>
            </w:r>
            <w:r>
              <w:rPr>
                <w:rFonts w:hint="eastAsia"/>
                <w:color w:val="auto"/>
                <w:sz w:val="24"/>
                <w:szCs w:val="24"/>
                <w:highlight w:val="none"/>
              </w:rPr>
              <w:t>、</w:t>
            </w:r>
            <w:r>
              <w:rPr>
                <w:rFonts w:ascii="Times New Roman"/>
                <w:color w:val="auto"/>
                <w:sz w:val="24"/>
                <w:szCs w:val="24"/>
                <w:highlight w:val="none"/>
              </w:rPr>
              <w:t>14</w:t>
            </w:r>
            <w:r>
              <w:rPr>
                <w:rFonts w:hint="eastAsia"/>
                <w:color w:val="auto"/>
                <w:sz w:val="24"/>
                <w:szCs w:val="24"/>
                <w:highlight w:val="none"/>
              </w:rPr>
              <w:t>、</w:t>
            </w:r>
            <w:r>
              <w:rPr>
                <w:rFonts w:ascii="Times New Roman"/>
                <w:color w:val="auto"/>
                <w:sz w:val="24"/>
                <w:szCs w:val="24"/>
                <w:highlight w:val="none"/>
              </w:rPr>
              <w:t>21</w:t>
            </w:r>
            <w:r>
              <w:rPr>
                <w:rFonts w:hint="eastAsia"/>
                <w:color w:val="auto"/>
                <w:sz w:val="24"/>
                <w:szCs w:val="24"/>
                <w:highlight w:val="none"/>
              </w:rPr>
              <w:t>、</w:t>
            </w:r>
            <w:r>
              <w:rPr>
                <w:rFonts w:ascii="Times New Roman"/>
                <w:color w:val="auto"/>
                <w:sz w:val="24"/>
                <w:szCs w:val="24"/>
                <w:highlight w:val="none"/>
              </w:rPr>
              <w:t>27</w:t>
            </w:r>
            <w:r>
              <w:rPr>
                <w:rFonts w:hint="eastAsia"/>
                <w:color w:val="auto"/>
                <w:sz w:val="24"/>
                <w:szCs w:val="24"/>
                <w:highlight w:val="none"/>
              </w:rPr>
              <w:t>、</w:t>
            </w:r>
            <w:r>
              <w:rPr>
                <w:rFonts w:ascii="Times New Roman"/>
                <w:color w:val="auto"/>
                <w:sz w:val="24"/>
                <w:szCs w:val="24"/>
                <w:highlight w:val="none"/>
              </w:rPr>
              <w:t>28</w:t>
            </w:r>
            <w:r>
              <w:rPr>
                <w:rFonts w:hint="eastAsia"/>
                <w:color w:val="auto"/>
                <w:sz w:val="24"/>
                <w:szCs w:val="24"/>
                <w:highlight w:val="none"/>
              </w:rPr>
              <w:t>）的种类数在</w:t>
            </w:r>
            <w:r>
              <w:rPr>
                <w:rFonts w:ascii="Times New Roman"/>
                <w:color w:val="auto"/>
                <w:sz w:val="24"/>
                <w:szCs w:val="24"/>
                <w:highlight w:val="none"/>
              </w:rPr>
              <w:t>21</w:t>
            </w:r>
            <w:r>
              <w:rPr>
                <w:rFonts w:hint="eastAsia"/>
                <w:color w:val="auto"/>
                <w:sz w:val="24"/>
                <w:szCs w:val="24"/>
                <w:highlight w:val="none"/>
              </w:rPr>
              <w:t>～</w:t>
            </w:r>
            <w:r>
              <w:rPr>
                <w:rFonts w:ascii="Times New Roman"/>
                <w:color w:val="auto"/>
                <w:sz w:val="24"/>
                <w:szCs w:val="24"/>
                <w:highlight w:val="none"/>
              </w:rPr>
              <w:t>26</w:t>
            </w:r>
            <w:r>
              <w:rPr>
                <w:rFonts w:hint="eastAsia"/>
                <w:color w:val="auto"/>
                <w:sz w:val="24"/>
                <w:szCs w:val="24"/>
                <w:highlight w:val="none"/>
              </w:rPr>
              <w:t>种之间。其余</w:t>
            </w:r>
            <w:r>
              <w:rPr>
                <w:rFonts w:ascii="Times New Roman"/>
                <w:color w:val="auto"/>
                <w:sz w:val="24"/>
                <w:szCs w:val="24"/>
                <w:highlight w:val="none"/>
              </w:rPr>
              <w:t>7</w:t>
            </w:r>
            <w:r>
              <w:rPr>
                <w:rFonts w:hint="eastAsia"/>
                <w:color w:val="auto"/>
                <w:sz w:val="24"/>
                <w:szCs w:val="24"/>
                <w:highlight w:val="none"/>
              </w:rPr>
              <w:t>个站位（</w:t>
            </w:r>
            <w:r>
              <w:rPr>
                <w:rFonts w:ascii="Times New Roman"/>
                <w:color w:val="auto"/>
                <w:sz w:val="24"/>
                <w:szCs w:val="24"/>
                <w:highlight w:val="none"/>
              </w:rPr>
              <w:t>1</w:t>
            </w:r>
            <w:r>
              <w:rPr>
                <w:rFonts w:hint="eastAsia"/>
                <w:color w:val="auto"/>
                <w:sz w:val="24"/>
                <w:szCs w:val="24"/>
                <w:highlight w:val="none"/>
              </w:rPr>
              <w:t>、</w:t>
            </w:r>
            <w:r>
              <w:rPr>
                <w:rFonts w:ascii="Times New Roman"/>
                <w:color w:val="auto"/>
                <w:sz w:val="24"/>
                <w:szCs w:val="24"/>
                <w:highlight w:val="none"/>
              </w:rPr>
              <w:t>2</w:t>
            </w:r>
            <w:r>
              <w:rPr>
                <w:rFonts w:hint="eastAsia"/>
                <w:color w:val="auto"/>
                <w:sz w:val="24"/>
                <w:szCs w:val="24"/>
                <w:highlight w:val="none"/>
              </w:rPr>
              <w:t>、</w:t>
            </w:r>
            <w:r>
              <w:rPr>
                <w:rFonts w:ascii="Times New Roman"/>
                <w:color w:val="auto"/>
                <w:sz w:val="24"/>
                <w:szCs w:val="24"/>
                <w:highlight w:val="none"/>
              </w:rPr>
              <w:t>5</w:t>
            </w:r>
            <w:r>
              <w:rPr>
                <w:rFonts w:hint="eastAsia"/>
                <w:color w:val="auto"/>
                <w:sz w:val="24"/>
                <w:szCs w:val="24"/>
                <w:highlight w:val="none"/>
              </w:rPr>
              <w:t>、</w:t>
            </w:r>
            <w:r>
              <w:rPr>
                <w:rFonts w:ascii="Times New Roman"/>
                <w:color w:val="auto"/>
                <w:sz w:val="24"/>
                <w:szCs w:val="24"/>
                <w:highlight w:val="none"/>
              </w:rPr>
              <w:t>7</w:t>
            </w:r>
            <w:r>
              <w:rPr>
                <w:rFonts w:hint="eastAsia"/>
                <w:color w:val="auto"/>
                <w:sz w:val="24"/>
                <w:szCs w:val="24"/>
                <w:highlight w:val="none"/>
              </w:rPr>
              <w:t>、</w:t>
            </w:r>
            <w:r>
              <w:rPr>
                <w:rFonts w:ascii="Times New Roman"/>
                <w:color w:val="auto"/>
                <w:sz w:val="24"/>
                <w:szCs w:val="24"/>
                <w:highlight w:val="none"/>
              </w:rPr>
              <w:t>8</w:t>
            </w:r>
            <w:r>
              <w:rPr>
                <w:rFonts w:hint="eastAsia"/>
                <w:color w:val="auto"/>
                <w:sz w:val="24"/>
                <w:szCs w:val="24"/>
                <w:highlight w:val="none"/>
              </w:rPr>
              <w:t>、</w:t>
            </w:r>
            <w:r>
              <w:rPr>
                <w:rFonts w:ascii="Times New Roman"/>
                <w:color w:val="auto"/>
                <w:sz w:val="24"/>
                <w:szCs w:val="24"/>
                <w:highlight w:val="none"/>
              </w:rPr>
              <w:t>18</w:t>
            </w:r>
            <w:r>
              <w:rPr>
                <w:rFonts w:hint="eastAsia"/>
                <w:color w:val="auto"/>
                <w:sz w:val="24"/>
                <w:szCs w:val="24"/>
                <w:highlight w:val="none"/>
              </w:rPr>
              <w:t>、</w:t>
            </w:r>
            <w:r>
              <w:rPr>
                <w:rFonts w:ascii="Times New Roman"/>
                <w:color w:val="auto"/>
                <w:sz w:val="24"/>
                <w:szCs w:val="24"/>
                <w:highlight w:val="none"/>
              </w:rPr>
              <w:t>19</w:t>
            </w:r>
            <w:r>
              <w:rPr>
                <w:rFonts w:hint="eastAsia"/>
                <w:color w:val="auto"/>
                <w:sz w:val="24"/>
                <w:szCs w:val="24"/>
                <w:highlight w:val="none"/>
              </w:rPr>
              <w:t>号）的种类数相对较小，种类数在</w:t>
            </w:r>
            <w:r>
              <w:rPr>
                <w:rFonts w:ascii="Times New Roman"/>
                <w:color w:val="auto"/>
                <w:sz w:val="24"/>
                <w:szCs w:val="24"/>
                <w:highlight w:val="none"/>
              </w:rPr>
              <w:t>12</w:t>
            </w:r>
            <w:r>
              <w:rPr>
                <w:rFonts w:hint="eastAsia"/>
                <w:color w:val="auto"/>
                <w:sz w:val="24"/>
                <w:szCs w:val="24"/>
                <w:highlight w:val="none"/>
              </w:rPr>
              <w:t>～</w:t>
            </w:r>
            <w:r>
              <w:rPr>
                <w:rFonts w:ascii="Times New Roman"/>
                <w:color w:val="auto"/>
                <w:sz w:val="24"/>
                <w:szCs w:val="24"/>
                <w:highlight w:val="none"/>
              </w:rPr>
              <w:t>18</w:t>
            </w:r>
            <w:r>
              <w:rPr>
                <w:rFonts w:hint="eastAsia"/>
                <w:color w:val="auto"/>
                <w:sz w:val="24"/>
                <w:szCs w:val="24"/>
                <w:highlight w:val="none"/>
              </w:rPr>
              <w:t>种之间，主要分布于茅尾海南部湾口、金鼓江、鹿耳环江顶部和三娘湾内。</w:t>
            </w:r>
          </w:p>
          <w:p>
            <w:pPr>
              <w:spacing w:line="360" w:lineRule="auto"/>
              <w:ind w:firstLine="482" w:firstLineChars="200"/>
              <w:jc w:val="left"/>
              <w:rPr>
                <w:color w:val="auto"/>
                <w:sz w:val="24"/>
                <w:szCs w:val="24"/>
                <w:highlight w:val="none"/>
              </w:rPr>
            </w:pPr>
            <w:r>
              <w:rPr>
                <w:rFonts w:ascii="Times New Roman"/>
                <w:b/>
                <w:bCs/>
                <w:color w:val="auto"/>
                <w:sz w:val="24"/>
                <w:szCs w:val="24"/>
                <w:highlight w:val="none"/>
              </w:rPr>
              <w:t>2</w:t>
            </w:r>
            <w:r>
              <w:rPr>
                <w:rFonts w:hint="eastAsia"/>
                <w:color w:val="auto"/>
                <w:sz w:val="24"/>
                <w:szCs w:val="24"/>
                <w:highlight w:val="none"/>
              </w:rPr>
              <w:t>）数量组成与分布</w:t>
            </w:r>
          </w:p>
          <w:p>
            <w:pPr>
              <w:spacing w:line="360" w:lineRule="auto"/>
              <w:ind w:firstLine="480" w:firstLineChars="200"/>
              <w:jc w:val="left"/>
              <w:rPr>
                <w:color w:val="auto"/>
                <w:sz w:val="24"/>
                <w:szCs w:val="24"/>
                <w:highlight w:val="none"/>
              </w:rPr>
            </w:pPr>
            <w:r>
              <w:rPr>
                <w:rFonts w:hint="eastAsia"/>
                <w:color w:val="auto"/>
                <w:sz w:val="24"/>
                <w:szCs w:val="24"/>
                <w:highlight w:val="none"/>
              </w:rPr>
              <w:t>监测海域各调查站</w:t>
            </w:r>
            <w:r>
              <w:rPr>
                <w:rFonts w:hint="eastAsia"/>
                <w:color w:val="auto"/>
                <w:spacing w:val="-5"/>
                <w:sz w:val="24"/>
                <w:szCs w:val="24"/>
                <w:highlight w:val="none"/>
              </w:rPr>
              <w:t>浮游动物</w:t>
            </w:r>
            <w:r>
              <w:rPr>
                <w:rFonts w:hint="eastAsia"/>
                <w:color w:val="auto"/>
                <w:sz w:val="24"/>
                <w:szCs w:val="24"/>
                <w:highlight w:val="none"/>
              </w:rPr>
              <w:t>的密度介于</w:t>
            </w:r>
            <w:r>
              <w:rPr>
                <w:rFonts w:ascii="Times New Roman"/>
                <w:color w:val="auto"/>
                <w:sz w:val="24"/>
                <w:szCs w:val="24"/>
                <w:highlight w:val="none"/>
              </w:rPr>
              <w:t>16.8</w:t>
            </w:r>
            <w:r>
              <w:rPr>
                <w:rFonts w:hint="eastAsia"/>
                <w:color w:val="auto"/>
                <w:sz w:val="24"/>
                <w:szCs w:val="24"/>
                <w:highlight w:val="none"/>
              </w:rPr>
              <w:t>～</w:t>
            </w:r>
            <w:r>
              <w:rPr>
                <w:rFonts w:ascii="Times New Roman"/>
                <w:color w:val="auto"/>
                <w:sz w:val="24"/>
                <w:szCs w:val="24"/>
                <w:highlight w:val="none"/>
              </w:rPr>
              <w:t>3202.7</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之间，平均为</w:t>
            </w:r>
            <w:r>
              <w:rPr>
                <w:rFonts w:ascii="Times New Roman"/>
                <w:color w:val="auto"/>
                <w:sz w:val="24"/>
                <w:szCs w:val="24"/>
                <w:highlight w:val="none"/>
              </w:rPr>
              <w:t>801.5</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。其中</w:t>
            </w:r>
            <w:r>
              <w:rPr>
                <w:rFonts w:ascii="Times New Roman"/>
                <w:color w:val="auto"/>
                <w:sz w:val="24"/>
                <w:szCs w:val="24"/>
                <w:highlight w:val="none"/>
              </w:rPr>
              <w:t>30</w:t>
            </w:r>
            <w:r>
              <w:rPr>
                <w:rFonts w:hint="eastAsia"/>
                <w:color w:val="auto"/>
                <w:sz w:val="24"/>
                <w:szCs w:val="24"/>
                <w:highlight w:val="none"/>
              </w:rPr>
              <w:t>号站浮游动物密度最高，为</w:t>
            </w:r>
            <w:r>
              <w:rPr>
                <w:rFonts w:ascii="Times New Roman"/>
                <w:color w:val="auto"/>
                <w:sz w:val="24"/>
                <w:szCs w:val="24"/>
                <w:highlight w:val="none"/>
              </w:rPr>
              <w:t>3202.7</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，主要是鸟喙尖头溞所占比例较高，其密度占该站位的</w:t>
            </w:r>
            <w:r>
              <w:rPr>
                <w:rFonts w:ascii="Times New Roman"/>
                <w:color w:val="auto"/>
                <w:sz w:val="24"/>
                <w:szCs w:val="24"/>
                <w:highlight w:val="none"/>
              </w:rPr>
              <w:t>32.7%</w:t>
            </w:r>
            <w:r>
              <w:rPr>
                <w:rFonts w:hint="eastAsia"/>
                <w:color w:val="auto"/>
                <w:sz w:val="24"/>
                <w:szCs w:val="24"/>
                <w:highlight w:val="none"/>
              </w:rPr>
              <w:t>；其次为</w:t>
            </w:r>
            <w:r>
              <w:rPr>
                <w:rFonts w:ascii="Times New Roman"/>
                <w:color w:val="auto"/>
                <w:sz w:val="24"/>
                <w:szCs w:val="24"/>
                <w:highlight w:val="none"/>
              </w:rPr>
              <w:t>29</w:t>
            </w:r>
            <w:r>
              <w:rPr>
                <w:rFonts w:hint="eastAsia"/>
                <w:color w:val="auto"/>
                <w:sz w:val="24"/>
                <w:szCs w:val="24"/>
                <w:highlight w:val="none"/>
              </w:rPr>
              <w:t>号位，其密度为</w:t>
            </w:r>
            <w:r>
              <w:rPr>
                <w:rFonts w:ascii="Times New Roman"/>
                <w:color w:val="auto"/>
                <w:sz w:val="24"/>
                <w:szCs w:val="24"/>
                <w:highlight w:val="none"/>
              </w:rPr>
              <w:t>2277.6</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w:t>
            </w:r>
            <w:r>
              <w:rPr>
                <w:rFonts w:ascii="Times New Roman"/>
                <w:color w:val="auto"/>
                <w:sz w:val="24"/>
                <w:szCs w:val="24"/>
                <w:highlight w:val="none"/>
              </w:rPr>
              <w:t>11</w:t>
            </w:r>
            <w:r>
              <w:rPr>
                <w:rFonts w:hint="eastAsia"/>
                <w:color w:val="auto"/>
                <w:sz w:val="24"/>
                <w:szCs w:val="24"/>
                <w:highlight w:val="none"/>
              </w:rPr>
              <w:t>、</w:t>
            </w:r>
            <w:r>
              <w:rPr>
                <w:rFonts w:ascii="Times New Roman"/>
                <w:color w:val="auto"/>
                <w:sz w:val="24"/>
                <w:szCs w:val="24"/>
                <w:highlight w:val="none"/>
              </w:rPr>
              <w:t>16</w:t>
            </w:r>
            <w:r>
              <w:rPr>
                <w:rFonts w:hint="eastAsia"/>
                <w:color w:val="auto"/>
                <w:sz w:val="24"/>
                <w:szCs w:val="24"/>
                <w:highlight w:val="none"/>
              </w:rPr>
              <w:t>、</w:t>
            </w:r>
            <w:r>
              <w:rPr>
                <w:rFonts w:ascii="Times New Roman"/>
                <w:color w:val="auto"/>
                <w:sz w:val="24"/>
                <w:szCs w:val="24"/>
                <w:highlight w:val="none"/>
              </w:rPr>
              <w:t>23</w:t>
            </w:r>
            <w:r>
              <w:rPr>
                <w:rFonts w:hint="eastAsia"/>
                <w:color w:val="auto"/>
                <w:sz w:val="24"/>
                <w:szCs w:val="24"/>
                <w:highlight w:val="none"/>
              </w:rPr>
              <w:t>、</w:t>
            </w:r>
            <w:r>
              <w:rPr>
                <w:rFonts w:ascii="Times New Roman"/>
                <w:color w:val="auto"/>
                <w:sz w:val="24"/>
                <w:szCs w:val="24"/>
                <w:highlight w:val="none"/>
              </w:rPr>
              <w:t>25</w:t>
            </w:r>
            <w:r>
              <w:rPr>
                <w:rFonts w:hint="eastAsia"/>
                <w:color w:val="auto"/>
                <w:sz w:val="24"/>
                <w:szCs w:val="24"/>
                <w:highlight w:val="none"/>
              </w:rPr>
              <w:t>和</w:t>
            </w:r>
            <w:r>
              <w:rPr>
                <w:rFonts w:ascii="Times New Roman"/>
                <w:color w:val="auto"/>
                <w:sz w:val="24"/>
                <w:szCs w:val="24"/>
                <w:highlight w:val="none"/>
              </w:rPr>
              <w:t>32</w:t>
            </w:r>
            <w:r>
              <w:rPr>
                <w:rFonts w:hint="eastAsia"/>
                <w:color w:val="auto"/>
                <w:sz w:val="24"/>
                <w:szCs w:val="24"/>
                <w:highlight w:val="none"/>
              </w:rPr>
              <w:t>号站位的浮游动物密度也较高，密度介于</w:t>
            </w:r>
            <w:r>
              <w:rPr>
                <w:rFonts w:ascii="Times New Roman"/>
                <w:color w:val="auto"/>
                <w:sz w:val="24"/>
                <w:szCs w:val="24"/>
                <w:highlight w:val="none"/>
              </w:rPr>
              <w:t>1221.2</w:t>
            </w:r>
            <w:r>
              <w:rPr>
                <w:rFonts w:hint="eastAsia"/>
                <w:color w:val="auto"/>
                <w:sz w:val="24"/>
                <w:szCs w:val="24"/>
                <w:highlight w:val="none"/>
              </w:rPr>
              <w:t>～</w:t>
            </w:r>
            <w:r>
              <w:rPr>
                <w:rFonts w:ascii="Times New Roman"/>
                <w:color w:val="auto"/>
                <w:sz w:val="24"/>
                <w:szCs w:val="24"/>
                <w:highlight w:val="none"/>
              </w:rPr>
              <w:t>1762.5</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之间，平均密度为</w:t>
            </w:r>
            <w:r>
              <w:rPr>
                <w:rFonts w:ascii="Times New Roman"/>
                <w:color w:val="auto"/>
                <w:sz w:val="24"/>
                <w:szCs w:val="24"/>
                <w:highlight w:val="none"/>
              </w:rPr>
              <w:t>1441.7</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w:t>
            </w:r>
            <w:r>
              <w:rPr>
                <w:rFonts w:ascii="Times New Roman"/>
                <w:color w:val="auto"/>
                <w:sz w:val="24"/>
                <w:szCs w:val="24"/>
                <w:highlight w:val="none"/>
              </w:rPr>
              <w:t>27</w:t>
            </w:r>
            <w:r>
              <w:rPr>
                <w:rFonts w:hint="eastAsia"/>
                <w:color w:val="auto"/>
                <w:sz w:val="24"/>
                <w:szCs w:val="24"/>
                <w:highlight w:val="none"/>
              </w:rPr>
              <w:t>和</w:t>
            </w:r>
            <w:r>
              <w:rPr>
                <w:rFonts w:ascii="Times New Roman"/>
                <w:color w:val="auto"/>
                <w:sz w:val="24"/>
                <w:szCs w:val="24"/>
                <w:highlight w:val="none"/>
              </w:rPr>
              <w:t>28</w:t>
            </w:r>
            <w:r>
              <w:rPr>
                <w:rFonts w:hint="eastAsia"/>
                <w:color w:val="auto"/>
                <w:sz w:val="24"/>
                <w:szCs w:val="24"/>
                <w:highlight w:val="none"/>
              </w:rPr>
              <w:t>号站的密度分别为</w:t>
            </w:r>
            <w:r>
              <w:rPr>
                <w:rFonts w:ascii="Times New Roman"/>
                <w:color w:val="auto"/>
                <w:sz w:val="24"/>
                <w:szCs w:val="24"/>
                <w:highlight w:val="none"/>
              </w:rPr>
              <w:t>611.6</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和</w:t>
            </w:r>
            <w:r>
              <w:rPr>
                <w:rFonts w:ascii="Times New Roman"/>
                <w:color w:val="auto"/>
                <w:sz w:val="24"/>
                <w:szCs w:val="24"/>
                <w:highlight w:val="none"/>
              </w:rPr>
              <w:t>777.4</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w:t>
            </w:r>
            <w:r>
              <w:rPr>
                <w:rFonts w:ascii="Times New Roman"/>
                <w:color w:val="auto"/>
                <w:sz w:val="24"/>
                <w:szCs w:val="24"/>
                <w:highlight w:val="none"/>
              </w:rPr>
              <w:t>21</w:t>
            </w:r>
            <w:r>
              <w:rPr>
                <w:rFonts w:hint="eastAsia"/>
                <w:color w:val="auto"/>
                <w:sz w:val="24"/>
                <w:szCs w:val="24"/>
                <w:highlight w:val="none"/>
              </w:rPr>
              <w:t>号站密度为</w:t>
            </w:r>
            <w:r>
              <w:rPr>
                <w:rFonts w:ascii="Times New Roman"/>
                <w:color w:val="auto"/>
                <w:sz w:val="24"/>
                <w:szCs w:val="24"/>
                <w:highlight w:val="none"/>
              </w:rPr>
              <w:t>383.4</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；其他</w:t>
            </w:r>
            <w:r>
              <w:rPr>
                <w:rFonts w:ascii="Times New Roman"/>
                <w:color w:val="auto"/>
                <w:sz w:val="24"/>
                <w:szCs w:val="24"/>
                <w:highlight w:val="none"/>
              </w:rPr>
              <w:t>9</w:t>
            </w:r>
            <w:r>
              <w:rPr>
                <w:rFonts w:hint="eastAsia"/>
                <w:color w:val="auto"/>
                <w:sz w:val="24"/>
                <w:szCs w:val="24"/>
                <w:highlight w:val="none"/>
              </w:rPr>
              <w:t>个站位浮游动物的密度介于</w:t>
            </w:r>
            <w:r>
              <w:rPr>
                <w:rFonts w:ascii="Times New Roman"/>
                <w:color w:val="auto"/>
                <w:sz w:val="24"/>
                <w:szCs w:val="24"/>
                <w:highlight w:val="none"/>
              </w:rPr>
              <w:t>93.4</w:t>
            </w:r>
            <w:r>
              <w:rPr>
                <w:rFonts w:hint="eastAsia"/>
                <w:color w:val="auto"/>
                <w:sz w:val="24"/>
                <w:szCs w:val="24"/>
                <w:highlight w:val="none"/>
              </w:rPr>
              <w:t>～</w:t>
            </w:r>
            <w:r>
              <w:rPr>
                <w:rFonts w:ascii="Times New Roman"/>
                <w:color w:val="auto"/>
                <w:sz w:val="24"/>
                <w:szCs w:val="24"/>
                <w:highlight w:val="none"/>
              </w:rPr>
              <w:t>252.2</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之间，平均密度为</w:t>
            </w:r>
            <w:r>
              <w:rPr>
                <w:rFonts w:ascii="Times New Roman"/>
                <w:color w:val="auto"/>
                <w:sz w:val="24"/>
                <w:szCs w:val="24"/>
                <w:highlight w:val="none"/>
              </w:rPr>
              <w:t>172.5</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w:t>
            </w:r>
            <w:r>
              <w:rPr>
                <w:rFonts w:ascii="Times New Roman"/>
                <w:color w:val="auto"/>
                <w:sz w:val="24"/>
                <w:szCs w:val="24"/>
                <w:highlight w:val="none"/>
              </w:rPr>
              <w:t>2</w:t>
            </w:r>
            <w:r>
              <w:rPr>
                <w:rFonts w:hint="eastAsia"/>
                <w:color w:val="auto"/>
                <w:sz w:val="24"/>
                <w:szCs w:val="24"/>
                <w:highlight w:val="none"/>
              </w:rPr>
              <w:t>号站密度最低，仅为</w:t>
            </w:r>
            <w:r>
              <w:rPr>
                <w:rFonts w:ascii="Times New Roman"/>
                <w:color w:val="auto"/>
                <w:sz w:val="24"/>
                <w:szCs w:val="24"/>
                <w:highlight w:val="none"/>
              </w:rPr>
              <w:t>16.8</w:t>
            </w:r>
            <w:r>
              <w:rPr>
                <w:rFonts w:hint="eastAsia"/>
                <w:color w:val="auto"/>
                <w:sz w:val="24"/>
                <w:szCs w:val="24"/>
                <w:highlight w:val="none"/>
              </w:rPr>
              <w:t>个</w:t>
            </w:r>
            <w:r>
              <w:rPr>
                <w:rFonts w:ascii="Times New Roman"/>
                <w:color w:val="auto"/>
                <w:sz w:val="24"/>
                <w:szCs w:val="24"/>
                <w:highlight w:val="none"/>
              </w:rPr>
              <w:t>/m³</w:t>
            </w:r>
            <w:r>
              <w:rPr>
                <w:rFonts w:hint="eastAsia"/>
                <w:color w:val="auto"/>
                <w:sz w:val="24"/>
                <w:szCs w:val="24"/>
                <w:highlight w:val="none"/>
              </w:rPr>
              <w:t>。</w:t>
            </w:r>
          </w:p>
          <w:p>
            <w:pPr>
              <w:spacing w:line="360" w:lineRule="auto"/>
              <w:ind w:firstLine="480" w:firstLineChars="200"/>
              <w:jc w:val="left"/>
              <w:rPr>
                <w:color w:val="auto"/>
                <w:sz w:val="24"/>
                <w:szCs w:val="24"/>
                <w:highlight w:val="none"/>
              </w:rPr>
            </w:pPr>
            <w:r>
              <w:rPr>
                <w:rFonts w:hint="eastAsia"/>
                <w:color w:val="auto"/>
                <w:sz w:val="24"/>
                <w:szCs w:val="24"/>
                <w:highlight w:val="none"/>
              </w:rPr>
              <w:t>各调查站浮游动物的生物量在</w:t>
            </w:r>
            <w:r>
              <w:rPr>
                <w:color w:val="auto"/>
                <w:sz w:val="24"/>
                <w:szCs w:val="24"/>
                <w:highlight w:val="none"/>
              </w:rPr>
              <w:t>25.9</w:t>
            </w:r>
            <w:r>
              <w:rPr>
                <w:rFonts w:hint="eastAsia"/>
                <w:color w:val="auto"/>
                <w:sz w:val="24"/>
                <w:szCs w:val="24"/>
                <w:highlight w:val="none"/>
              </w:rPr>
              <w:t>～</w:t>
            </w:r>
            <w:r>
              <w:rPr>
                <w:color w:val="auto"/>
                <w:sz w:val="24"/>
                <w:szCs w:val="24"/>
                <w:highlight w:val="none"/>
              </w:rPr>
              <w:t>786.6mg/m³</w:t>
            </w:r>
            <w:r>
              <w:rPr>
                <w:rFonts w:hint="eastAsia"/>
                <w:color w:val="auto"/>
                <w:sz w:val="24"/>
                <w:szCs w:val="24"/>
                <w:highlight w:val="none"/>
              </w:rPr>
              <w:t>之间，平均生物量为</w:t>
            </w:r>
            <w:r>
              <w:rPr>
                <w:color w:val="auto"/>
                <w:sz w:val="24"/>
                <w:szCs w:val="24"/>
                <w:highlight w:val="none"/>
              </w:rPr>
              <w:t>309.1mg/m³</w:t>
            </w:r>
            <w:r>
              <w:rPr>
                <w:rFonts w:hint="eastAsia"/>
                <w:color w:val="auto"/>
                <w:sz w:val="24"/>
                <w:szCs w:val="24"/>
                <w:highlight w:val="none"/>
              </w:rPr>
              <w:t>，各站位浮游动物生物量差异较大。其中，</w:t>
            </w:r>
            <w:r>
              <w:rPr>
                <w:color w:val="auto"/>
                <w:sz w:val="24"/>
                <w:szCs w:val="24"/>
                <w:highlight w:val="none"/>
              </w:rPr>
              <w:t>16</w:t>
            </w:r>
            <w:r>
              <w:rPr>
                <w:rFonts w:hint="eastAsia"/>
                <w:color w:val="auto"/>
                <w:sz w:val="24"/>
                <w:szCs w:val="24"/>
                <w:highlight w:val="none"/>
              </w:rPr>
              <w:t>号站位浮游动物生物量最高，为</w:t>
            </w:r>
            <w:r>
              <w:rPr>
                <w:color w:val="auto"/>
                <w:sz w:val="24"/>
                <w:szCs w:val="24"/>
                <w:highlight w:val="none"/>
              </w:rPr>
              <w:t>786.6mg/m³</w:t>
            </w:r>
            <w:r>
              <w:rPr>
                <w:rFonts w:hint="eastAsia"/>
                <w:color w:val="auto"/>
                <w:sz w:val="24"/>
                <w:szCs w:val="24"/>
                <w:highlight w:val="none"/>
              </w:rPr>
              <w:t>；其次为</w:t>
            </w:r>
            <w:r>
              <w:rPr>
                <w:color w:val="auto"/>
                <w:sz w:val="24"/>
                <w:szCs w:val="24"/>
                <w:highlight w:val="none"/>
              </w:rPr>
              <w:t>30</w:t>
            </w:r>
            <w:r>
              <w:rPr>
                <w:rFonts w:hint="eastAsia"/>
                <w:color w:val="auto"/>
                <w:sz w:val="24"/>
                <w:szCs w:val="24"/>
                <w:highlight w:val="none"/>
              </w:rPr>
              <w:t>和</w:t>
            </w:r>
            <w:r>
              <w:rPr>
                <w:color w:val="auto"/>
                <w:sz w:val="24"/>
                <w:szCs w:val="24"/>
                <w:highlight w:val="none"/>
              </w:rPr>
              <w:t>11</w:t>
            </w:r>
            <w:r>
              <w:rPr>
                <w:rFonts w:hint="eastAsia"/>
                <w:color w:val="auto"/>
                <w:sz w:val="24"/>
                <w:szCs w:val="24"/>
                <w:highlight w:val="none"/>
              </w:rPr>
              <w:t>号站，生物量分别为</w:t>
            </w:r>
            <w:r>
              <w:rPr>
                <w:color w:val="auto"/>
                <w:sz w:val="24"/>
                <w:szCs w:val="24"/>
                <w:highlight w:val="none"/>
              </w:rPr>
              <w:t>724.9mg/m³</w:t>
            </w:r>
            <w:r>
              <w:rPr>
                <w:rFonts w:hint="eastAsia"/>
                <w:color w:val="auto"/>
                <w:sz w:val="24"/>
                <w:szCs w:val="24"/>
                <w:highlight w:val="none"/>
              </w:rPr>
              <w:t>和</w:t>
            </w:r>
            <w:r>
              <w:rPr>
                <w:color w:val="auto"/>
                <w:sz w:val="24"/>
                <w:szCs w:val="24"/>
                <w:highlight w:val="none"/>
              </w:rPr>
              <w:t>706.5mg/m³</w:t>
            </w:r>
            <w:r>
              <w:rPr>
                <w:rFonts w:hint="eastAsia"/>
                <w:color w:val="auto"/>
                <w:sz w:val="24"/>
                <w:szCs w:val="24"/>
                <w:highlight w:val="none"/>
              </w:rPr>
              <w:t>；</w:t>
            </w:r>
            <w:r>
              <w:rPr>
                <w:color w:val="auto"/>
                <w:sz w:val="24"/>
                <w:szCs w:val="24"/>
                <w:highlight w:val="none"/>
              </w:rPr>
              <w:t>23</w:t>
            </w:r>
            <w:r>
              <w:rPr>
                <w:rFonts w:hint="eastAsia"/>
                <w:color w:val="auto"/>
                <w:sz w:val="24"/>
                <w:szCs w:val="24"/>
                <w:highlight w:val="none"/>
              </w:rPr>
              <w:t>号站生物量为</w:t>
            </w:r>
            <w:r>
              <w:rPr>
                <w:color w:val="auto"/>
                <w:sz w:val="24"/>
                <w:szCs w:val="24"/>
                <w:highlight w:val="none"/>
              </w:rPr>
              <w:t>580.8mg/m³</w:t>
            </w:r>
            <w:r>
              <w:rPr>
                <w:rFonts w:hint="eastAsia"/>
                <w:color w:val="auto"/>
                <w:sz w:val="24"/>
                <w:szCs w:val="24"/>
                <w:highlight w:val="none"/>
              </w:rPr>
              <w:t>；</w:t>
            </w:r>
            <w:r>
              <w:rPr>
                <w:color w:val="auto"/>
                <w:sz w:val="24"/>
                <w:szCs w:val="24"/>
                <w:highlight w:val="none"/>
              </w:rPr>
              <w:t>25</w:t>
            </w:r>
            <w:r>
              <w:rPr>
                <w:rFonts w:hint="eastAsia"/>
                <w:color w:val="auto"/>
                <w:sz w:val="24"/>
                <w:szCs w:val="24"/>
                <w:highlight w:val="none"/>
              </w:rPr>
              <w:t>、</w:t>
            </w:r>
            <w:r>
              <w:rPr>
                <w:color w:val="auto"/>
                <w:sz w:val="24"/>
                <w:szCs w:val="24"/>
                <w:highlight w:val="none"/>
              </w:rPr>
              <w:t>29</w:t>
            </w:r>
            <w:r>
              <w:rPr>
                <w:rFonts w:hint="eastAsia"/>
                <w:color w:val="auto"/>
                <w:sz w:val="24"/>
                <w:szCs w:val="24"/>
                <w:highlight w:val="none"/>
              </w:rPr>
              <w:t>和</w:t>
            </w:r>
            <w:r>
              <w:rPr>
                <w:color w:val="auto"/>
                <w:sz w:val="24"/>
                <w:szCs w:val="24"/>
                <w:highlight w:val="none"/>
              </w:rPr>
              <w:t>32</w:t>
            </w:r>
            <w:r>
              <w:rPr>
                <w:rFonts w:hint="eastAsia"/>
                <w:color w:val="auto"/>
                <w:sz w:val="24"/>
                <w:szCs w:val="24"/>
                <w:highlight w:val="none"/>
              </w:rPr>
              <w:t>号站生物量相差不大，平均生物量为</w:t>
            </w:r>
            <w:r>
              <w:rPr>
                <w:color w:val="auto"/>
                <w:sz w:val="24"/>
                <w:szCs w:val="24"/>
                <w:highlight w:val="none"/>
              </w:rPr>
              <w:t>496.2mg/m³</w:t>
            </w:r>
            <w:r>
              <w:rPr>
                <w:rFonts w:hint="eastAsia"/>
                <w:color w:val="auto"/>
                <w:sz w:val="24"/>
                <w:szCs w:val="24"/>
                <w:highlight w:val="none"/>
              </w:rPr>
              <w:t>；</w:t>
            </w:r>
            <w:r>
              <w:rPr>
                <w:color w:val="auto"/>
                <w:sz w:val="24"/>
                <w:szCs w:val="24"/>
                <w:highlight w:val="none"/>
              </w:rPr>
              <w:t>27</w:t>
            </w:r>
            <w:r>
              <w:rPr>
                <w:rFonts w:hint="eastAsia"/>
                <w:color w:val="auto"/>
                <w:sz w:val="24"/>
                <w:szCs w:val="24"/>
                <w:highlight w:val="none"/>
              </w:rPr>
              <w:t>和</w:t>
            </w:r>
            <w:r>
              <w:rPr>
                <w:color w:val="auto"/>
                <w:sz w:val="24"/>
                <w:szCs w:val="24"/>
                <w:highlight w:val="none"/>
              </w:rPr>
              <w:t>28</w:t>
            </w:r>
            <w:r>
              <w:rPr>
                <w:rFonts w:hint="eastAsia"/>
                <w:color w:val="auto"/>
                <w:sz w:val="24"/>
                <w:szCs w:val="24"/>
                <w:highlight w:val="none"/>
              </w:rPr>
              <w:t>号站生物量分别为</w:t>
            </w:r>
            <w:r>
              <w:rPr>
                <w:color w:val="auto"/>
                <w:sz w:val="24"/>
                <w:szCs w:val="24"/>
                <w:highlight w:val="none"/>
              </w:rPr>
              <w:t>345.6mg/m³</w:t>
            </w:r>
            <w:r>
              <w:rPr>
                <w:rFonts w:hint="eastAsia"/>
                <w:color w:val="auto"/>
                <w:sz w:val="24"/>
                <w:szCs w:val="24"/>
                <w:highlight w:val="none"/>
              </w:rPr>
              <w:t>和</w:t>
            </w:r>
            <w:r>
              <w:rPr>
                <w:color w:val="auto"/>
                <w:sz w:val="24"/>
                <w:szCs w:val="24"/>
                <w:highlight w:val="none"/>
              </w:rPr>
              <w:t>414.5mg/m³</w:t>
            </w:r>
            <w:r>
              <w:rPr>
                <w:rFonts w:hint="eastAsia"/>
                <w:color w:val="auto"/>
                <w:sz w:val="24"/>
                <w:szCs w:val="24"/>
                <w:highlight w:val="none"/>
              </w:rPr>
              <w:t>；</w:t>
            </w:r>
            <w:r>
              <w:rPr>
                <w:color w:val="auto"/>
                <w:sz w:val="24"/>
                <w:szCs w:val="24"/>
                <w:highlight w:val="none"/>
              </w:rPr>
              <w:t>21</w:t>
            </w:r>
            <w:r>
              <w:rPr>
                <w:rFonts w:hint="eastAsia"/>
                <w:color w:val="auto"/>
                <w:sz w:val="24"/>
                <w:szCs w:val="24"/>
                <w:highlight w:val="none"/>
              </w:rPr>
              <w:t>号站生物量为</w:t>
            </w:r>
            <w:r>
              <w:rPr>
                <w:color w:val="auto"/>
                <w:sz w:val="24"/>
                <w:szCs w:val="24"/>
                <w:highlight w:val="none"/>
              </w:rPr>
              <w:t>209.6mg/m³</w:t>
            </w:r>
            <w:r>
              <w:rPr>
                <w:rFonts w:hint="eastAsia"/>
                <w:color w:val="auto"/>
                <w:sz w:val="24"/>
                <w:szCs w:val="24"/>
                <w:highlight w:val="none"/>
              </w:rPr>
              <w:t>；其余</w:t>
            </w:r>
            <w:r>
              <w:rPr>
                <w:color w:val="auto"/>
                <w:sz w:val="24"/>
                <w:szCs w:val="24"/>
                <w:highlight w:val="none"/>
              </w:rPr>
              <w:t>9</w:t>
            </w:r>
            <w:r>
              <w:rPr>
                <w:rFonts w:hint="eastAsia"/>
                <w:color w:val="auto"/>
                <w:sz w:val="24"/>
                <w:szCs w:val="24"/>
                <w:highlight w:val="none"/>
              </w:rPr>
              <w:t>个站位的生物量分布于</w:t>
            </w:r>
            <w:r>
              <w:rPr>
                <w:color w:val="auto"/>
                <w:sz w:val="24"/>
                <w:szCs w:val="24"/>
                <w:highlight w:val="none"/>
              </w:rPr>
              <w:t>70.8</w:t>
            </w:r>
            <w:r>
              <w:rPr>
                <w:rFonts w:hint="eastAsia"/>
                <w:color w:val="auto"/>
                <w:sz w:val="24"/>
                <w:szCs w:val="24"/>
                <w:highlight w:val="none"/>
              </w:rPr>
              <w:t>～</w:t>
            </w:r>
            <w:r>
              <w:rPr>
                <w:color w:val="auto"/>
                <w:sz w:val="24"/>
                <w:szCs w:val="24"/>
                <w:highlight w:val="none"/>
              </w:rPr>
              <w:t>134.2mg/m³</w:t>
            </w:r>
            <w:r>
              <w:rPr>
                <w:rFonts w:hint="eastAsia"/>
                <w:color w:val="auto"/>
                <w:sz w:val="24"/>
                <w:szCs w:val="24"/>
                <w:highlight w:val="none"/>
              </w:rPr>
              <w:t>之间，平均生物量为</w:t>
            </w:r>
            <w:r>
              <w:rPr>
                <w:color w:val="auto"/>
                <w:sz w:val="24"/>
                <w:szCs w:val="24"/>
                <w:highlight w:val="none"/>
              </w:rPr>
              <w:t>99.8mg/m³</w:t>
            </w:r>
            <w:r>
              <w:rPr>
                <w:rFonts w:hint="eastAsia"/>
                <w:color w:val="auto"/>
                <w:sz w:val="24"/>
                <w:szCs w:val="24"/>
                <w:highlight w:val="none"/>
              </w:rPr>
              <w:t>；</w:t>
            </w:r>
            <w:r>
              <w:rPr>
                <w:color w:val="auto"/>
                <w:sz w:val="24"/>
                <w:szCs w:val="24"/>
                <w:highlight w:val="none"/>
              </w:rPr>
              <w:t>2</w:t>
            </w:r>
            <w:r>
              <w:rPr>
                <w:rFonts w:hint="eastAsia"/>
                <w:color w:val="auto"/>
                <w:sz w:val="24"/>
                <w:szCs w:val="24"/>
                <w:highlight w:val="none"/>
              </w:rPr>
              <w:t>号站生物量最小，为</w:t>
            </w:r>
            <w:r>
              <w:rPr>
                <w:color w:val="auto"/>
                <w:sz w:val="24"/>
                <w:szCs w:val="24"/>
                <w:highlight w:val="none"/>
              </w:rPr>
              <w:t>25.9mg/m³</w:t>
            </w:r>
            <w:r>
              <w:rPr>
                <w:rFonts w:hint="eastAsia"/>
                <w:color w:val="auto"/>
                <w:sz w:val="24"/>
                <w:szCs w:val="24"/>
                <w:highlight w:val="none"/>
              </w:rPr>
              <w:t>。</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3</w:t>
            </w:r>
            <w:r>
              <w:rPr>
                <w:rFonts w:hint="eastAsia" w:ascii="宋体" w:hAnsi="Times New Roman" w:cs="宋体"/>
                <w:color w:val="auto"/>
                <w:kern w:val="0"/>
                <w:sz w:val="24"/>
                <w:szCs w:val="24"/>
                <w:highlight w:val="none"/>
              </w:rPr>
              <w:t>）优势种及其</w:t>
            </w:r>
            <w:r>
              <w:rPr>
                <w:rFonts w:hint="eastAsia"/>
                <w:color w:val="auto"/>
                <w:spacing w:val="-5"/>
                <w:sz w:val="24"/>
                <w:szCs w:val="24"/>
                <w:highlight w:val="none"/>
              </w:rPr>
              <w:t>优势度</w:t>
            </w:r>
          </w:p>
          <w:p>
            <w:pPr>
              <w:spacing w:line="360" w:lineRule="auto"/>
              <w:ind w:firstLine="480" w:firstLineChars="200"/>
              <w:jc w:val="left"/>
              <w:rPr>
                <w:rFonts w:hint="eastAsia"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根据优势度的计算结果，调查海域</w:t>
            </w:r>
            <w:r>
              <w:rPr>
                <w:rFonts w:hint="eastAsia"/>
                <w:color w:val="auto"/>
                <w:spacing w:val="-5"/>
                <w:sz w:val="24"/>
                <w:szCs w:val="24"/>
                <w:highlight w:val="none"/>
              </w:rPr>
              <w:t>浮游动物</w:t>
            </w:r>
            <w:r>
              <w:rPr>
                <w:rFonts w:hint="eastAsia" w:ascii="宋体" w:hAnsi="Times New Roman" w:cs="宋体"/>
                <w:color w:val="auto"/>
                <w:kern w:val="0"/>
                <w:sz w:val="24"/>
                <w:szCs w:val="24"/>
                <w:highlight w:val="none"/>
              </w:rPr>
              <w:t>优势种类共</w:t>
            </w:r>
            <w:r>
              <w:rPr>
                <w:rFonts w:ascii="Times New Roman" w:hAnsi="Times New Roman"/>
                <w:color w:val="auto"/>
                <w:kern w:val="0"/>
                <w:sz w:val="24"/>
                <w:szCs w:val="24"/>
                <w:highlight w:val="none"/>
              </w:rPr>
              <w:t>9</w:t>
            </w:r>
            <w:r>
              <w:rPr>
                <w:rFonts w:hint="eastAsia" w:ascii="宋体" w:hAnsi="Times New Roman" w:cs="宋体"/>
                <w:color w:val="auto"/>
                <w:kern w:val="0"/>
                <w:sz w:val="24"/>
                <w:szCs w:val="24"/>
                <w:highlight w:val="none"/>
              </w:rPr>
              <w:t>种（包含浮游幼虫），其中鸟喙尖头溞优势度最高，为</w:t>
            </w:r>
            <w:r>
              <w:rPr>
                <w:rFonts w:ascii="Times New Roman" w:hAnsi="Times New Roman"/>
                <w:color w:val="auto"/>
                <w:kern w:val="0"/>
                <w:sz w:val="24"/>
                <w:szCs w:val="24"/>
                <w:highlight w:val="none"/>
              </w:rPr>
              <w:t>0.162</w:t>
            </w:r>
            <w:r>
              <w:rPr>
                <w:rFonts w:hint="eastAsia" w:ascii="宋体" w:hAnsi="Times New Roman" w:cs="宋体"/>
                <w:color w:val="auto"/>
                <w:kern w:val="0"/>
                <w:sz w:val="24"/>
                <w:szCs w:val="24"/>
                <w:highlight w:val="none"/>
              </w:rPr>
              <w:t>；其他优势种的优势度分布于</w:t>
            </w:r>
            <w:r>
              <w:rPr>
                <w:rFonts w:ascii="Times New Roman" w:hAnsi="Times New Roman"/>
                <w:color w:val="auto"/>
                <w:kern w:val="0"/>
                <w:sz w:val="24"/>
                <w:szCs w:val="24"/>
                <w:highlight w:val="none"/>
              </w:rPr>
              <w:t>0.027</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0.075</w:t>
            </w:r>
            <w:r>
              <w:rPr>
                <w:rFonts w:hint="eastAsia" w:ascii="宋体" w:hAnsi="Times New Roman" w:cs="宋体"/>
                <w:color w:val="auto"/>
                <w:kern w:val="0"/>
                <w:sz w:val="24"/>
                <w:szCs w:val="24"/>
                <w:highlight w:val="none"/>
              </w:rPr>
              <w:t>之间。鸟喙尖头溞具有明显优势，各站位密度合计占到浮游动物总密度的</w:t>
            </w:r>
            <w:r>
              <w:rPr>
                <w:rFonts w:ascii="Times New Roman" w:hAnsi="Times New Roman"/>
                <w:color w:val="auto"/>
                <w:kern w:val="0"/>
                <w:sz w:val="24"/>
                <w:szCs w:val="24"/>
                <w:highlight w:val="none"/>
              </w:rPr>
              <w:t>23.1%</w:t>
            </w:r>
            <w:r>
              <w:rPr>
                <w:rFonts w:hint="eastAsia" w:ascii="宋体" w:hAnsi="Times New Roman" w:cs="宋体"/>
                <w:color w:val="auto"/>
                <w:kern w:val="0"/>
                <w:sz w:val="24"/>
                <w:szCs w:val="24"/>
                <w:highlight w:val="none"/>
              </w:rPr>
              <w:t>。</w:t>
            </w:r>
          </w:p>
          <w:p>
            <w:pPr>
              <w:spacing w:line="360" w:lineRule="auto"/>
              <w:ind w:firstLine="480" w:firstLineChars="200"/>
              <w:jc w:val="left"/>
              <w:rPr>
                <w:rFonts w:hint="eastAsia" w:ascii="宋体" w:hAnsi="Times New Roman" w:cs="宋体"/>
                <w:color w:val="auto"/>
                <w:kern w:val="0"/>
                <w:sz w:val="24"/>
                <w:szCs w:val="24"/>
                <w:highlight w:val="none"/>
              </w:rPr>
            </w:pPr>
          </w:p>
          <w:p>
            <w:pPr>
              <w:spacing w:line="360" w:lineRule="auto"/>
              <w:ind w:firstLine="480" w:firstLineChars="200"/>
              <w:jc w:val="left"/>
              <w:rPr>
                <w:rFonts w:hint="eastAsia" w:ascii="宋体" w:hAnsi="Times New Roman" w:cs="宋体"/>
                <w:color w:val="auto"/>
                <w:kern w:val="0"/>
                <w:sz w:val="24"/>
                <w:szCs w:val="24"/>
                <w:highlight w:val="none"/>
              </w:rPr>
            </w:pPr>
          </w:p>
          <w:p>
            <w:pPr>
              <w:spacing w:line="360" w:lineRule="auto"/>
              <w:ind w:firstLine="480" w:firstLineChars="200"/>
              <w:jc w:val="left"/>
              <w:rPr>
                <w:rFonts w:hint="eastAsia" w:ascii="宋体" w:hAnsi="Times New Roman" w:cs="宋体"/>
                <w:color w:val="auto"/>
                <w:kern w:val="0"/>
                <w:sz w:val="24"/>
                <w:szCs w:val="24"/>
                <w:highlight w:val="none"/>
              </w:rPr>
            </w:pPr>
          </w:p>
          <w:p>
            <w:pPr>
              <w:rPr>
                <w:rFonts w:hint="eastAsia" w:ascii="宋体" w:hAnsi="Times New Roman" w:cs="宋体"/>
                <w:color w:val="auto"/>
                <w:kern w:val="0"/>
                <w:sz w:val="24"/>
                <w:szCs w:val="24"/>
                <w:highlight w:val="none"/>
              </w:rPr>
            </w:pPr>
          </w:p>
          <w:p>
            <w:pPr>
              <w:jc w:val="center"/>
              <w:rPr>
                <w:color w:val="auto"/>
                <w:sz w:val="24"/>
                <w:szCs w:val="24"/>
                <w:highlight w:val="none"/>
              </w:rPr>
            </w:pPr>
            <w:r>
              <w:rPr>
                <w:rFonts w:hint="eastAsia" w:ascii="宋体" w:hAnsi="Times New Roman" w:cs="宋体"/>
                <w:color w:val="auto"/>
                <w:kern w:val="0"/>
                <w:sz w:val="24"/>
                <w:szCs w:val="24"/>
                <w:highlight w:val="none"/>
              </w:rPr>
              <w:t>表2.2</w:t>
            </w:r>
            <w:r>
              <w:rPr>
                <w:rFonts w:ascii="Times New Roman" w:hAnsi="Times New Roman"/>
                <w:b/>
                <w:bCs/>
                <w:color w:val="auto"/>
                <w:kern w:val="0"/>
                <w:sz w:val="24"/>
                <w:szCs w:val="24"/>
                <w:highlight w:val="none"/>
              </w:rPr>
              <w:t>-5</w:t>
            </w:r>
            <w:r>
              <w:rPr>
                <w:rFonts w:hint="eastAsia" w:ascii="宋体" w:hAnsi="Times New Roman" w:cs="宋体"/>
                <w:color w:val="auto"/>
                <w:kern w:val="0"/>
                <w:sz w:val="24"/>
                <w:szCs w:val="24"/>
                <w:highlight w:val="none"/>
              </w:rPr>
              <w:t>浮游动物优势种及其优势度</w:t>
            </w:r>
          </w:p>
          <w:p>
            <w:pPr>
              <w:pStyle w:val="3"/>
              <w:rPr>
                <w:color w:val="auto"/>
                <w:highlight w:val="none"/>
              </w:rPr>
            </w:pPr>
            <w:r>
              <w:rPr>
                <w:color w:val="auto"/>
                <w:highlight w:val="none"/>
              </w:rPr>
              <w:drawing>
                <wp:inline distT="0" distB="0" distL="0" distR="0">
                  <wp:extent cx="5751195" cy="2780665"/>
                  <wp:effectExtent l="19050" t="0" r="1731" b="0"/>
                  <wp:docPr id="25" name="图片 15" descr="F:\微信文件File\WeChat Files\wxid_kgkf81ca4cje21\FileStorage\Temp\17012730129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descr="F:\微信文件File\WeChat Files\wxid_kgkf81ca4cje21\FileStorage\Temp\1701273012982.png"/>
                          <pic:cNvPicPr>
                            <a:picLocks noChangeAspect="1" noChangeArrowheads="1"/>
                          </pic:cNvPicPr>
                        </pic:nvPicPr>
                        <pic:blipFill>
                          <a:blip r:embed="rId32"/>
                          <a:srcRect/>
                          <a:stretch>
                            <a:fillRect/>
                          </a:stretch>
                        </pic:blipFill>
                        <pic:spPr>
                          <a:xfrm>
                            <a:off x="0" y="0"/>
                            <a:ext cx="5751261" cy="2780696"/>
                          </a:xfrm>
                          <a:prstGeom prst="rect">
                            <a:avLst/>
                          </a:prstGeom>
                          <a:noFill/>
                          <a:ln w="9525">
                            <a:noFill/>
                            <a:miter lim="800000"/>
                            <a:headEnd/>
                            <a:tailEnd/>
                          </a:ln>
                        </pic:spPr>
                      </pic:pic>
                    </a:graphicData>
                  </a:graphic>
                </wp:inline>
              </w:drawing>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4</w:t>
            </w:r>
            <w:r>
              <w:rPr>
                <w:rFonts w:hint="eastAsia" w:cs="宋体" w:asciiTheme="minorEastAsia" w:hAnsiTheme="minorEastAsia" w:eastAsiaTheme="minorEastAsia"/>
                <w:color w:val="auto"/>
                <w:sz w:val="24"/>
                <w:szCs w:val="24"/>
                <w:highlight w:val="none"/>
              </w:rPr>
              <w:t>）种类</w:t>
            </w:r>
            <w:r>
              <w:rPr>
                <w:rFonts w:hint="eastAsia" w:asciiTheme="minorEastAsia" w:hAnsiTheme="minorEastAsia" w:eastAsiaTheme="minorEastAsia"/>
                <w:color w:val="auto"/>
                <w:spacing w:val="-5"/>
                <w:sz w:val="24"/>
                <w:szCs w:val="24"/>
                <w:highlight w:val="none"/>
              </w:rPr>
              <w:t>多样性指数</w:t>
            </w:r>
            <w:r>
              <w:rPr>
                <w:rFonts w:hint="eastAsia" w:cs="宋体" w:asciiTheme="minorEastAsia" w:hAnsiTheme="minorEastAsia" w:eastAsiaTheme="minorEastAsia"/>
                <w:color w:val="auto"/>
                <w:sz w:val="24"/>
                <w:szCs w:val="24"/>
                <w:highlight w:val="none"/>
              </w:rPr>
              <w:t>、均匀度和丰富度</w:t>
            </w:r>
          </w:p>
          <w:p>
            <w:pPr>
              <w:spacing w:line="360" w:lineRule="auto"/>
              <w:ind w:firstLine="480" w:firstLineChars="200"/>
              <w:jc w:val="left"/>
              <w:rPr>
                <w:rFonts w:hint="eastAsia"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计算结果表明，监测海域各调查站浮游动物种类多样性指数在</w:t>
            </w:r>
            <w:r>
              <w:rPr>
                <w:rFonts w:asciiTheme="minorEastAsia" w:hAnsiTheme="minorEastAsia" w:eastAsiaTheme="minorEastAsia"/>
                <w:color w:val="auto"/>
                <w:sz w:val="24"/>
                <w:szCs w:val="24"/>
                <w:highlight w:val="none"/>
              </w:rPr>
              <w:t>2.93</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4.10</w:t>
            </w:r>
            <w:r>
              <w:rPr>
                <w:rFonts w:hint="eastAsia" w:cs="宋体"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3.51</w:t>
            </w:r>
            <w:r>
              <w:rPr>
                <w:rFonts w:hint="eastAsia" w:cs="宋体" w:asciiTheme="minorEastAsia" w:hAnsiTheme="minorEastAsia" w:eastAsiaTheme="minorEastAsia"/>
                <w:color w:val="auto"/>
                <w:sz w:val="24"/>
                <w:szCs w:val="24"/>
                <w:highlight w:val="none"/>
              </w:rPr>
              <w:t>；均匀度在</w:t>
            </w:r>
            <w:r>
              <w:rPr>
                <w:rFonts w:asciiTheme="minorEastAsia" w:hAnsiTheme="minorEastAsia" w:eastAsiaTheme="minorEastAsia"/>
                <w:color w:val="auto"/>
                <w:sz w:val="24"/>
                <w:szCs w:val="24"/>
                <w:highlight w:val="none"/>
              </w:rPr>
              <w:t>0.61</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0.92</w:t>
            </w:r>
            <w:r>
              <w:rPr>
                <w:rFonts w:hint="eastAsia" w:cs="宋体"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0.77</w:t>
            </w:r>
            <w:r>
              <w:rPr>
                <w:rFonts w:hint="eastAsia" w:cs="宋体" w:asciiTheme="minorEastAsia" w:hAnsiTheme="minorEastAsia" w:eastAsiaTheme="minorEastAsia"/>
                <w:color w:val="auto"/>
                <w:sz w:val="24"/>
                <w:szCs w:val="24"/>
                <w:highlight w:val="none"/>
              </w:rPr>
              <w:t>；丰富度指</w:t>
            </w:r>
            <w:r>
              <w:rPr>
                <w:rFonts w:hint="eastAsia" w:asciiTheme="minorEastAsia" w:hAnsiTheme="minorEastAsia" w:eastAsiaTheme="minorEastAsia"/>
                <w:color w:val="auto"/>
                <w:sz w:val="24"/>
                <w:szCs w:val="24"/>
                <w:highlight w:val="none"/>
              </w:rPr>
              <w:t>数在</w:t>
            </w:r>
            <w:r>
              <w:rPr>
                <w:rFonts w:asciiTheme="minorEastAsia" w:hAnsiTheme="minorEastAsia" w:eastAsiaTheme="minorEastAsia"/>
                <w:color w:val="auto"/>
                <w:sz w:val="24"/>
                <w:szCs w:val="24"/>
                <w:highlight w:val="none"/>
              </w:rPr>
              <w:t>1.58</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4.64</w:t>
            </w:r>
            <w:r>
              <w:rPr>
                <w:rFonts w:hint="eastAsia"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2.92</w:t>
            </w:r>
            <w:r>
              <w:rPr>
                <w:rFonts w:hint="eastAsia" w:asciiTheme="minorEastAsia" w:hAnsiTheme="minorEastAsia" w:eastAsiaTheme="minorEastAsia"/>
                <w:color w:val="auto"/>
                <w:sz w:val="24"/>
                <w:szCs w:val="24"/>
                <w:highlight w:val="none"/>
              </w:rPr>
              <w:t>。其中，浮游动物多样性指数为</w:t>
            </w:r>
            <w:r>
              <w:rPr>
                <w:rFonts w:asciiTheme="minorEastAsia" w:hAnsiTheme="minorEastAsia" w:eastAsiaTheme="minorEastAsia"/>
                <w:color w:val="auto"/>
                <w:sz w:val="24"/>
                <w:szCs w:val="24"/>
                <w:highlight w:val="none"/>
              </w:rPr>
              <w:t>11</w:t>
            </w:r>
            <w:r>
              <w:rPr>
                <w:rFonts w:hint="eastAsia" w:asciiTheme="minorEastAsia" w:hAnsiTheme="minorEastAsia" w:eastAsiaTheme="minorEastAsia"/>
                <w:color w:val="auto"/>
                <w:sz w:val="24"/>
                <w:szCs w:val="24"/>
                <w:highlight w:val="none"/>
              </w:rPr>
              <w:t>号站最高，</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号站最低；均匀度指数</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号站最高，</w:t>
            </w:r>
            <w:r>
              <w:rPr>
                <w:rFonts w:asciiTheme="minorEastAsia" w:hAnsiTheme="minorEastAsia" w:eastAsiaTheme="minorEastAsia"/>
                <w:color w:val="auto"/>
                <w:sz w:val="24"/>
                <w:szCs w:val="24"/>
                <w:highlight w:val="none"/>
              </w:rPr>
              <w:t>23</w:t>
            </w:r>
            <w:r>
              <w:rPr>
                <w:rFonts w:hint="eastAsia" w:asciiTheme="minorEastAsia" w:hAnsiTheme="minorEastAsia" w:eastAsiaTheme="minorEastAsia"/>
                <w:color w:val="auto"/>
                <w:sz w:val="24"/>
                <w:szCs w:val="24"/>
                <w:highlight w:val="none"/>
              </w:rPr>
              <w:t>号站最低；丰富度指数</w:t>
            </w:r>
            <w:r>
              <w:rPr>
                <w:rFonts w:asciiTheme="minorEastAsia" w:hAnsiTheme="minorEastAsia" w:eastAsiaTheme="minorEastAsia"/>
                <w:color w:val="auto"/>
                <w:sz w:val="24"/>
                <w:szCs w:val="24"/>
                <w:highlight w:val="none"/>
              </w:rPr>
              <w:t>16</w:t>
            </w:r>
            <w:r>
              <w:rPr>
                <w:rFonts w:hint="eastAsia" w:asciiTheme="minorEastAsia" w:hAnsiTheme="minorEastAsia" w:eastAsiaTheme="minorEastAsia"/>
                <w:color w:val="auto"/>
                <w:sz w:val="24"/>
                <w:szCs w:val="24"/>
                <w:highlight w:val="none"/>
              </w:rPr>
              <w:t>号站最高，</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号站位最低。总体来说，监测海域多样性指数、均匀度和丰富度指数均处于较高水平。</w:t>
            </w: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w:t>
            </w:r>
            <w:r>
              <w:rPr>
                <w:rFonts w:asciiTheme="minorEastAsia" w:hAnsiTheme="minorEastAsia" w:eastAsiaTheme="minorEastAsia"/>
                <w:b w:val="0"/>
                <w:bCs/>
                <w:color w:val="auto"/>
                <w:sz w:val="24"/>
                <w:szCs w:val="24"/>
                <w:highlight w:val="none"/>
              </w:rPr>
              <w:t>.2-6</w:t>
            </w:r>
            <w:r>
              <w:rPr>
                <w:rFonts w:hint="eastAsia" w:asciiTheme="minorEastAsia" w:hAnsiTheme="minorEastAsia" w:eastAsiaTheme="minorEastAsia"/>
                <w:b w:val="0"/>
                <w:color w:val="auto"/>
                <w:sz w:val="24"/>
                <w:szCs w:val="24"/>
                <w:highlight w:val="none"/>
              </w:rPr>
              <w:t>浮游动物种类多样性指数、均匀度和丰富度</w:t>
            </w:r>
          </w:p>
          <w:p>
            <w:pPr>
              <w:rPr>
                <w:color w:val="auto"/>
                <w:highlight w:val="none"/>
              </w:rPr>
            </w:pPr>
            <w:r>
              <w:rPr>
                <w:color w:val="auto"/>
                <w:highlight w:val="none"/>
              </w:rPr>
              <w:drawing>
                <wp:inline distT="0" distB="0" distL="0" distR="0">
                  <wp:extent cx="5796280" cy="3941445"/>
                  <wp:effectExtent l="19050" t="0" r="0" b="0"/>
                  <wp:docPr id="28" name="图片 16" descr="F:\微信文件File\WeChat Files\wxid_kgkf81ca4cje21\FileStorage\Temp\1701273076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descr="F:\微信文件File\WeChat Files\wxid_kgkf81ca4cje21\FileStorage\Temp\1701273076058.png"/>
                          <pic:cNvPicPr>
                            <a:picLocks noChangeAspect="1" noChangeArrowheads="1"/>
                          </pic:cNvPicPr>
                        </pic:nvPicPr>
                        <pic:blipFill>
                          <a:blip r:embed="rId33"/>
                          <a:srcRect/>
                          <a:stretch>
                            <a:fillRect/>
                          </a:stretch>
                        </pic:blipFill>
                        <pic:spPr>
                          <a:xfrm>
                            <a:off x="0" y="0"/>
                            <a:ext cx="5796549" cy="3941722"/>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w:t>
            </w:r>
            <w:r>
              <w:rPr>
                <w:rFonts w:asciiTheme="minorEastAsia" w:hAnsiTheme="minorEastAsia" w:eastAsiaTheme="minorEastAsia"/>
                <w:bCs/>
                <w:color w:val="auto"/>
                <w:sz w:val="24"/>
                <w:szCs w:val="24"/>
                <w:highlight w:val="none"/>
              </w:rPr>
              <w:t>4</w:t>
            </w:r>
            <w:r>
              <w:rPr>
                <w:rFonts w:hint="eastAsia" w:asciiTheme="minorEastAsia" w:hAnsiTheme="minorEastAsia" w:eastAsiaTheme="minorEastAsia"/>
                <w:color w:val="auto"/>
                <w:sz w:val="24"/>
                <w:szCs w:val="24"/>
                <w:highlight w:val="none"/>
              </w:rPr>
              <w:t>）</w:t>
            </w:r>
            <w:r>
              <w:rPr>
                <w:rFonts w:hint="eastAsia" w:asciiTheme="minorEastAsia" w:hAnsiTheme="minorEastAsia" w:eastAsiaTheme="minorEastAsia"/>
                <w:color w:val="auto"/>
                <w:spacing w:val="-5"/>
                <w:sz w:val="24"/>
                <w:szCs w:val="24"/>
                <w:highlight w:val="none"/>
              </w:rPr>
              <w:t>底栖生物</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底栖生物调查</w:t>
            </w:r>
            <w:r>
              <w:rPr>
                <w:rFonts w:hint="eastAsia" w:asciiTheme="minorEastAsia" w:hAnsiTheme="minorEastAsia" w:eastAsiaTheme="minorEastAsia"/>
                <w:color w:val="auto"/>
                <w:spacing w:val="-5"/>
                <w:sz w:val="24"/>
                <w:szCs w:val="24"/>
                <w:highlight w:val="none"/>
              </w:rPr>
              <w:t>站位</w:t>
            </w:r>
            <w:r>
              <w:rPr>
                <w:rFonts w:hint="eastAsia" w:asciiTheme="minorEastAsia" w:hAnsiTheme="minorEastAsia" w:eastAsiaTheme="minorEastAsia"/>
                <w:color w:val="auto"/>
                <w:sz w:val="24"/>
                <w:szCs w:val="24"/>
                <w:highlight w:val="none"/>
              </w:rPr>
              <w:t>与浮游生物相同，共</w:t>
            </w:r>
            <w:r>
              <w:rPr>
                <w:rFonts w:asciiTheme="minorEastAsia" w:hAnsiTheme="minorEastAsia" w:eastAsiaTheme="minorEastAsia"/>
                <w:color w:val="auto"/>
                <w:sz w:val="24"/>
                <w:szCs w:val="24"/>
                <w:highlight w:val="none"/>
              </w:rPr>
              <w:t>20</w:t>
            </w:r>
            <w:r>
              <w:rPr>
                <w:rFonts w:hint="eastAsia" w:asciiTheme="minorEastAsia" w:hAnsiTheme="minorEastAsia" w:eastAsiaTheme="minorEastAsia"/>
                <w:color w:val="auto"/>
                <w:sz w:val="24"/>
                <w:szCs w:val="24"/>
                <w:highlight w:val="none"/>
              </w:rPr>
              <w:t>个站。现场调查定量样品采用开口面积为</w:t>
            </w:r>
            <w:r>
              <w:rPr>
                <w:rFonts w:asciiTheme="minorEastAsia" w:hAnsiTheme="minorEastAsia" w:eastAsiaTheme="minorEastAsia"/>
                <w:color w:val="auto"/>
                <w:sz w:val="24"/>
                <w:szCs w:val="24"/>
                <w:highlight w:val="none"/>
              </w:rPr>
              <w:t>0.05㎡</w:t>
            </w:r>
            <w:r>
              <w:rPr>
                <w:rFonts w:hint="eastAsia" w:asciiTheme="minorEastAsia" w:hAnsiTheme="minorEastAsia" w:eastAsiaTheme="minorEastAsia"/>
                <w:color w:val="auto"/>
                <w:sz w:val="24"/>
                <w:szCs w:val="24"/>
                <w:highlight w:val="none"/>
              </w:rPr>
              <w:t>的抓斗式采泥器采集，每站采样</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次，泥样淘洗后，拣出所有底栖生物装入样品瓶中，用</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的甲醛溶液固定后带回实验室进行鉴定分析。</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1</w:t>
            </w:r>
            <w:r>
              <w:rPr>
                <w:rFonts w:hint="eastAsia" w:asciiTheme="minorEastAsia" w:hAnsiTheme="minorEastAsia" w:eastAsiaTheme="minorEastAsia"/>
                <w:color w:val="auto"/>
                <w:sz w:val="24"/>
                <w:szCs w:val="24"/>
                <w:highlight w:val="none"/>
              </w:rPr>
              <w:t>）种类组成与分布</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本次调查的底栖生物样品共鉴定出</w:t>
            </w:r>
            <w:r>
              <w:rPr>
                <w:rFonts w:asciiTheme="minorEastAsia" w:hAnsiTheme="minorEastAsia" w:eastAsiaTheme="minorEastAsia"/>
                <w:color w:val="auto"/>
                <w:sz w:val="24"/>
                <w:szCs w:val="24"/>
                <w:highlight w:val="none"/>
              </w:rPr>
              <w:t>67</w:t>
            </w:r>
            <w:r>
              <w:rPr>
                <w:rFonts w:hint="eastAsia" w:asciiTheme="minorEastAsia" w:hAnsiTheme="minorEastAsia" w:eastAsiaTheme="minorEastAsia"/>
                <w:color w:val="auto"/>
                <w:sz w:val="24"/>
                <w:szCs w:val="24"/>
                <w:highlight w:val="none"/>
              </w:rPr>
              <w:t>种，分属于</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个门类，环节动物和软体动物是该海域的主要底栖生物类群，详见附件底栖生物报表。其中环节动物有</w:t>
            </w:r>
            <w:r>
              <w:rPr>
                <w:rFonts w:asciiTheme="minorEastAsia" w:hAnsiTheme="minorEastAsia" w:eastAsiaTheme="minorEastAsia"/>
                <w:color w:val="auto"/>
                <w:sz w:val="24"/>
                <w:szCs w:val="24"/>
                <w:highlight w:val="none"/>
              </w:rPr>
              <w:t>28</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41.8%</w:t>
            </w:r>
            <w:r>
              <w:rPr>
                <w:rFonts w:hint="eastAsia" w:asciiTheme="minorEastAsia" w:hAnsiTheme="minorEastAsia" w:eastAsiaTheme="minorEastAsia"/>
                <w:color w:val="auto"/>
                <w:sz w:val="24"/>
                <w:szCs w:val="24"/>
                <w:highlight w:val="none"/>
              </w:rPr>
              <w:t>；软体动物有</w:t>
            </w:r>
            <w:r>
              <w:rPr>
                <w:rFonts w:asciiTheme="minorEastAsia" w:hAnsiTheme="minorEastAsia" w:eastAsiaTheme="minorEastAsia"/>
                <w:color w:val="auto"/>
                <w:sz w:val="24"/>
                <w:szCs w:val="24"/>
                <w:highlight w:val="none"/>
              </w:rPr>
              <w:t>25</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37.3%</w:t>
            </w:r>
            <w:r>
              <w:rPr>
                <w:rFonts w:hint="eastAsia" w:asciiTheme="minorEastAsia" w:hAnsiTheme="minorEastAsia" w:eastAsiaTheme="minorEastAsia"/>
                <w:color w:val="auto"/>
                <w:sz w:val="24"/>
                <w:szCs w:val="24"/>
                <w:highlight w:val="none"/>
              </w:rPr>
              <w:t>；节肢动物</w:t>
            </w:r>
            <w:r>
              <w:rPr>
                <w:rFonts w:asciiTheme="minorEastAsia" w:hAnsiTheme="minorEastAsia" w:eastAsiaTheme="minorEastAsia"/>
                <w:color w:val="auto"/>
                <w:sz w:val="24"/>
                <w:szCs w:val="24"/>
                <w:highlight w:val="none"/>
              </w:rPr>
              <w:t>7</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10.4%</w:t>
            </w:r>
            <w:r>
              <w:rPr>
                <w:rFonts w:hint="eastAsia" w:asciiTheme="minorEastAsia" w:hAnsiTheme="minorEastAsia" w:eastAsiaTheme="minorEastAsia"/>
                <w:color w:val="auto"/>
                <w:sz w:val="24"/>
                <w:szCs w:val="24"/>
                <w:highlight w:val="none"/>
              </w:rPr>
              <w:t>；棘皮动物和星虫动物各有</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种，各占全部种类的</w:t>
            </w:r>
            <w:r>
              <w:rPr>
                <w:rFonts w:asciiTheme="minorEastAsia" w:hAnsiTheme="minorEastAsia" w:eastAsiaTheme="minorEastAsia"/>
                <w:color w:val="auto"/>
                <w:sz w:val="24"/>
                <w:szCs w:val="24"/>
                <w:highlight w:val="none"/>
              </w:rPr>
              <w:t>3.0%</w:t>
            </w:r>
            <w:r>
              <w:rPr>
                <w:rFonts w:hint="eastAsia" w:asciiTheme="minorEastAsia" w:hAnsiTheme="minorEastAsia" w:eastAsiaTheme="minorEastAsia"/>
                <w:color w:val="auto"/>
                <w:sz w:val="24"/>
                <w:szCs w:val="24"/>
                <w:highlight w:val="none"/>
              </w:rPr>
              <w:t>；刺胞动物、纽形动物和脊索动物各有</w:t>
            </w:r>
            <w:r>
              <w:rPr>
                <w:rFonts w:asciiTheme="minorEastAsia" w:hAnsiTheme="minorEastAsia" w:eastAsiaTheme="minorEastAsia"/>
                <w:color w:val="auto"/>
                <w:sz w:val="24"/>
                <w:szCs w:val="24"/>
                <w:highlight w:val="none"/>
              </w:rPr>
              <w:t>1</w:t>
            </w:r>
            <w:r>
              <w:rPr>
                <w:rFonts w:hint="eastAsia" w:asciiTheme="minorEastAsia" w:hAnsiTheme="minorEastAsia" w:eastAsiaTheme="minorEastAsia"/>
                <w:color w:val="auto"/>
                <w:sz w:val="24"/>
                <w:szCs w:val="24"/>
                <w:highlight w:val="none"/>
              </w:rPr>
              <w:t>种，各占全部种类的</w:t>
            </w:r>
            <w:r>
              <w:rPr>
                <w:rFonts w:asciiTheme="minorEastAsia" w:hAnsiTheme="minorEastAsia" w:eastAsiaTheme="minorEastAsia"/>
                <w:color w:val="auto"/>
                <w:sz w:val="24"/>
                <w:szCs w:val="24"/>
                <w:highlight w:val="none"/>
              </w:rPr>
              <w:t>1.5%</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各站位鉴定出的</w:t>
            </w:r>
            <w:r>
              <w:rPr>
                <w:rFonts w:hint="eastAsia" w:asciiTheme="minorEastAsia" w:hAnsiTheme="minorEastAsia" w:eastAsiaTheme="minorEastAsia"/>
                <w:color w:val="auto"/>
                <w:spacing w:val="-5"/>
                <w:sz w:val="24"/>
                <w:szCs w:val="24"/>
                <w:highlight w:val="none"/>
              </w:rPr>
              <w:t>底栖生物</w:t>
            </w:r>
            <w:r>
              <w:rPr>
                <w:rFonts w:hint="eastAsia" w:cs="宋体" w:asciiTheme="minorEastAsia" w:hAnsiTheme="minorEastAsia" w:eastAsiaTheme="minorEastAsia"/>
                <w:color w:val="auto"/>
                <w:kern w:val="0"/>
                <w:sz w:val="24"/>
                <w:szCs w:val="24"/>
                <w:highlight w:val="none"/>
              </w:rPr>
              <w:t>种类数在</w:t>
            </w:r>
            <w:r>
              <w:rPr>
                <w:rFonts w:asciiTheme="minorEastAsia" w:hAnsiTheme="minorEastAsia" w:eastAsiaTheme="minorEastAsia"/>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种之间，其中，位于鹿耳环江顶部的</w:t>
            </w:r>
            <w:r>
              <w:rPr>
                <w:rFonts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号站底栖生物种类数最高，为</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种；其次为位于茅尾海南部湾口处的</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号站，种类数为</w:t>
            </w:r>
            <w:r>
              <w:rPr>
                <w:rFonts w:asciiTheme="minorEastAsia" w:hAnsiTheme="minorEastAsia" w:eastAsiaTheme="minorEastAsia"/>
                <w:color w:val="auto"/>
                <w:kern w:val="0"/>
                <w:sz w:val="24"/>
                <w:szCs w:val="24"/>
                <w:highlight w:val="none"/>
              </w:rPr>
              <w:t>8</w:t>
            </w:r>
            <w:r>
              <w:rPr>
                <w:rFonts w:hint="eastAsia" w:cs="宋体" w:asciiTheme="minorEastAsia" w:hAnsiTheme="minorEastAsia" w:eastAsiaTheme="minorEastAsia"/>
                <w:color w:val="auto"/>
                <w:kern w:val="0"/>
                <w:sz w:val="24"/>
                <w:szCs w:val="24"/>
                <w:highlight w:val="none"/>
              </w:rPr>
              <w:t>种；有</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个站位（</w:t>
            </w:r>
            <w:r>
              <w:rPr>
                <w:rFonts w:asciiTheme="minorEastAsia" w:hAnsiTheme="minorEastAsia" w:eastAsiaTheme="minorEastAsia"/>
                <w:color w:val="auto"/>
                <w:kern w:val="0"/>
                <w:sz w:val="24"/>
                <w:szCs w:val="24"/>
                <w:highlight w:val="none"/>
              </w:rPr>
              <w:t>8</w:t>
            </w:r>
            <w:r>
              <w:rPr>
                <w:rFonts w:hint="eastAsia" w:cs="宋体" w:asciiTheme="minorEastAsia" w:hAnsiTheme="minorEastAsia" w:eastAsiaTheme="minorEastAsia"/>
                <w:color w:val="auto"/>
                <w:kern w:val="0"/>
                <w:sz w:val="24"/>
                <w:szCs w:val="24"/>
                <w:highlight w:val="none"/>
              </w:rPr>
              <w:t>号和</w:t>
            </w:r>
            <w:r>
              <w:rPr>
                <w:rFonts w:asciiTheme="minorEastAsia" w:hAnsiTheme="minorEastAsia" w:eastAsiaTheme="minorEastAsia"/>
                <w:color w:val="auto"/>
                <w:kern w:val="0"/>
                <w:sz w:val="24"/>
                <w:szCs w:val="24"/>
                <w:highlight w:val="none"/>
              </w:rPr>
              <w:t>10</w:t>
            </w:r>
            <w:r>
              <w:rPr>
                <w:rFonts w:hint="eastAsia" w:cs="宋体" w:asciiTheme="minorEastAsia" w:hAnsiTheme="minorEastAsia" w:eastAsiaTheme="minorEastAsia"/>
                <w:color w:val="auto"/>
                <w:kern w:val="0"/>
                <w:sz w:val="24"/>
                <w:szCs w:val="24"/>
                <w:highlight w:val="none"/>
              </w:rPr>
              <w:t>号站）的种类数为</w:t>
            </w:r>
            <w:r>
              <w:rPr>
                <w:rFonts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种；有</w:t>
            </w:r>
            <w:r>
              <w:rPr>
                <w:rFonts w:asciiTheme="minorEastAsia" w:hAnsiTheme="minorEastAsia" w:eastAsiaTheme="minorEastAsia"/>
                <w:color w:val="auto"/>
                <w:kern w:val="0"/>
                <w:sz w:val="24"/>
                <w:szCs w:val="24"/>
                <w:highlight w:val="none"/>
              </w:rPr>
              <w:t>14</w:t>
            </w:r>
            <w:r>
              <w:rPr>
                <w:rFonts w:hint="eastAsia" w:cs="宋体" w:asciiTheme="minorEastAsia" w:hAnsiTheme="minorEastAsia" w:eastAsiaTheme="minorEastAsia"/>
                <w:color w:val="auto"/>
                <w:kern w:val="0"/>
                <w:sz w:val="24"/>
                <w:szCs w:val="24"/>
                <w:highlight w:val="none"/>
              </w:rPr>
              <w:t>个站位种类数介于</w:t>
            </w:r>
            <w:r>
              <w:rPr>
                <w:rFonts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6</w:t>
            </w:r>
            <w:r>
              <w:rPr>
                <w:rFonts w:hint="eastAsia" w:cs="宋体" w:asciiTheme="minorEastAsia" w:hAnsiTheme="minorEastAsia" w:eastAsiaTheme="minorEastAsia"/>
                <w:color w:val="auto"/>
                <w:kern w:val="0"/>
                <w:sz w:val="24"/>
                <w:szCs w:val="24"/>
                <w:highlight w:val="none"/>
              </w:rPr>
              <w:t>种之间；位于三娘湾海域及其以西海域的</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个站位（</w:t>
            </w:r>
            <w:r>
              <w:rPr>
                <w:rFonts w:asciiTheme="minorEastAsia" w:hAnsiTheme="minorEastAsia" w:eastAsiaTheme="minorEastAsia"/>
                <w:color w:val="auto"/>
                <w:kern w:val="0"/>
                <w:sz w:val="24"/>
                <w:szCs w:val="24"/>
                <w:highlight w:val="none"/>
              </w:rPr>
              <w:t>18</w:t>
            </w:r>
            <w:r>
              <w:rPr>
                <w:rFonts w:hint="eastAsia" w:cs="宋体" w:asciiTheme="minorEastAsia" w:hAnsiTheme="minorEastAsia" w:eastAsiaTheme="minorEastAsia"/>
                <w:color w:val="auto"/>
                <w:kern w:val="0"/>
                <w:sz w:val="24"/>
                <w:szCs w:val="24"/>
                <w:highlight w:val="none"/>
              </w:rPr>
              <w:t>号和</w:t>
            </w:r>
            <w:r>
              <w:rPr>
                <w:rFonts w:asciiTheme="minorEastAsia" w:hAnsiTheme="minorEastAsia" w:eastAsiaTheme="minorEastAsia"/>
                <w:color w:val="auto"/>
                <w:kern w:val="0"/>
                <w:sz w:val="24"/>
                <w:szCs w:val="24"/>
                <w:highlight w:val="none"/>
              </w:rPr>
              <w:t>19</w:t>
            </w:r>
            <w:r>
              <w:rPr>
                <w:rFonts w:hint="eastAsia" w:cs="宋体" w:asciiTheme="minorEastAsia" w:hAnsiTheme="minorEastAsia" w:eastAsiaTheme="minorEastAsia"/>
                <w:color w:val="auto"/>
                <w:kern w:val="0"/>
                <w:sz w:val="24"/>
                <w:szCs w:val="24"/>
                <w:highlight w:val="none"/>
              </w:rPr>
              <w:t>号）种类数相对较低，均为</w:t>
            </w:r>
            <w:r>
              <w:rPr>
                <w:rFonts w:asciiTheme="minorEastAsia" w:hAnsiTheme="minorEastAsia" w:eastAsiaTheme="minorEastAsia"/>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种。各站位出现的底栖生物类群中，环节动物除</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号站外的各站均有出现，软体动物在</w:t>
            </w:r>
            <w:r>
              <w:rPr>
                <w:rFonts w:asciiTheme="minorEastAsia" w:hAnsiTheme="minorEastAsia" w:eastAsiaTheme="minorEastAsia"/>
                <w:color w:val="auto"/>
                <w:kern w:val="0"/>
                <w:sz w:val="24"/>
                <w:szCs w:val="24"/>
                <w:highlight w:val="none"/>
              </w:rPr>
              <w:t>15</w:t>
            </w:r>
            <w:r>
              <w:rPr>
                <w:rFonts w:hint="eastAsia" w:cs="宋体" w:asciiTheme="minorEastAsia" w:hAnsiTheme="minorEastAsia" w:eastAsiaTheme="minorEastAsia"/>
                <w:color w:val="auto"/>
                <w:kern w:val="0"/>
                <w:sz w:val="24"/>
                <w:szCs w:val="24"/>
                <w:highlight w:val="none"/>
              </w:rPr>
              <w:t>个站位出现，节肢动物在</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个站位出现，棘皮动物和星虫动物只在</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个站出现，刺胞动物、纽形动物和脊索动物均只在</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个站位出现。</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）栖息密度</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各调查站位底栖生物栖息密度在</w:t>
            </w:r>
            <w:r>
              <w:rPr>
                <w:rFonts w:asciiTheme="minorEastAsia" w:hAnsiTheme="minorEastAsia" w:eastAsiaTheme="minorEastAsia"/>
                <w:color w:val="auto"/>
                <w:kern w:val="0"/>
                <w:sz w:val="24"/>
                <w:szCs w:val="24"/>
                <w:highlight w:val="none"/>
              </w:rPr>
              <w:t>30</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230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之间，平均栖息密度为</w:t>
            </w:r>
            <w:r>
              <w:rPr>
                <w:rFonts w:asciiTheme="minorEastAsia" w:hAnsiTheme="minorEastAsia" w:eastAsiaTheme="minorEastAsia"/>
                <w:color w:val="auto"/>
                <w:kern w:val="0"/>
                <w:sz w:val="24"/>
                <w:szCs w:val="24"/>
                <w:highlight w:val="none"/>
              </w:rPr>
              <w:t>93.0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，不同调查站位的底栖生物栖息</w:t>
            </w:r>
            <w:r>
              <w:rPr>
                <w:rFonts w:hint="eastAsia" w:asciiTheme="minorEastAsia" w:hAnsiTheme="minorEastAsia" w:eastAsiaTheme="minorEastAsia"/>
                <w:color w:val="auto"/>
                <w:spacing w:val="-5"/>
                <w:sz w:val="24"/>
                <w:szCs w:val="24"/>
                <w:highlight w:val="none"/>
              </w:rPr>
              <w:t>密度</w:t>
            </w:r>
            <w:r>
              <w:rPr>
                <w:rFonts w:hint="eastAsia" w:cs="宋体" w:asciiTheme="minorEastAsia" w:hAnsiTheme="minorEastAsia" w:eastAsiaTheme="minorEastAsia"/>
                <w:color w:val="auto"/>
                <w:kern w:val="0"/>
                <w:sz w:val="24"/>
                <w:szCs w:val="24"/>
                <w:highlight w:val="none"/>
              </w:rPr>
              <w:t>差异较大。</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号站的栖息密度最高，为</w:t>
            </w:r>
            <w:r>
              <w:rPr>
                <w:rFonts w:asciiTheme="minorEastAsia" w:hAnsiTheme="minorEastAsia" w:eastAsiaTheme="minorEastAsia"/>
                <w:color w:val="auto"/>
                <w:kern w:val="0"/>
                <w:sz w:val="24"/>
                <w:szCs w:val="24"/>
                <w:highlight w:val="none"/>
              </w:rPr>
              <w:t>230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28</w:t>
            </w:r>
            <w:r>
              <w:rPr>
                <w:rFonts w:hint="eastAsia" w:cs="宋体" w:asciiTheme="minorEastAsia" w:hAnsiTheme="minorEastAsia" w:eastAsiaTheme="minorEastAsia"/>
                <w:color w:val="auto"/>
                <w:kern w:val="0"/>
                <w:sz w:val="24"/>
                <w:szCs w:val="24"/>
                <w:highlight w:val="none"/>
              </w:rPr>
              <w:t>号站栖息密度为</w:t>
            </w:r>
            <w:r>
              <w:rPr>
                <w:rFonts w:asciiTheme="minorEastAsia" w:hAnsiTheme="minorEastAsia" w:eastAsiaTheme="minorEastAsia"/>
                <w:color w:val="auto"/>
                <w:kern w:val="0"/>
                <w:sz w:val="24"/>
                <w:szCs w:val="24"/>
                <w:highlight w:val="none"/>
              </w:rPr>
              <w:t>170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；有</w:t>
            </w:r>
            <w:r>
              <w:rPr>
                <w:rFonts w:asciiTheme="minorEastAsia" w:hAnsiTheme="minorEastAsia" w:eastAsiaTheme="minorEastAsia"/>
                <w:color w:val="auto"/>
                <w:kern w:val="0"/>
                <w:sz w:val="24"/>
                <w:szCs w:val="24"/>
                <w:highlight w:val="none"/>
              </w:rPr>
              <w:t>8</w:t>
            </w:r>
            <w:r>
              <w:rPr>
                <w:rFonts w:hint="eastAsia" w:cs="宋体" w:asciiTheme="minorEastAsia" w:hAnsiTheme="minorEastAsia" w:eastAsiaTheme="minorEastAsia"/>
                <w:color w:val="auto"/>
                <w:kern w:val="0"/>
                <w:sz w:val="24"/>
                <w:szCs w:val="24"/>
                <w:highlight w:val="none"/>
              </w:rPr>
              <w:t>个站位的底栖生物栖息密度在</w:t>
            </w:r>
            <w:r>
              <w:rPr>
                <w:rFonts w:asciiTheme="minorEastAsia" w:hAnsiTheme="minorEastAsia" w:eastAsiaTheme="minorEastAsia"/>
                <w:color w:val="auto"/>
                <w:kern w:val="0"/>
                <w:sz w:val="24"/>
                <w:szCs w:val="24"/>
                <w:highlight w:val="none"/>
              </w:rPr>
              <w:t>100</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150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之间；有</w:t>
            </w:r>
            <w:r>
              <w:rPr>
                <w:rFonts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个站位的底栖生物栖息密度在</w:t>
            </w:r>
            <w:r>
              <w:rPr>
                <w:rFonts w:asciiTheme="minorEastAsia" w:hAnsiTheme="minorEastAsia" w:eastAsiaTheme="minorEastAsia"/>
                <w:color w:val="auto"/>
                <w:kern w:val="0"/>
                <w:sz w:val="24"/>
                <w:szCs w:val="24"/>
                <w:highlight w:val="none"/>
              </w:rPr>
              <w:t>50</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70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之间；</w:t>
            </w:r>
            <w:r>
              <w:rPr>
                <w:rFonts w:asciiTheme="minorEastAsia" w:hAnsiTheme="minorEastAsia" w:eastAsiaTheme="minorEastAsia"/>
                <w:color w:val="auto"/>
                <w:kern w:val="0"/>
                <w:sz w:val="24"/>
                <w:szCs w:val="24"/>
                <w:highlight w:val="none"/>
              </w:rPr>
              <w:t>18</w:t>
            </w:r>
            <w:r>
              <w:rPr>
                <w:rFonts w:hint="eastAsia" w:cs="宋体" w:asciiTheme="minorEastAsia" w:hAnsiTheme="minorEastAsia" w:eastAsiaTheme="minorEastAsia"/>
                <w:color w:val="auto"/>
                <w:kern w:val="0"/>
                <w:sz w:val="24"/>
                <w:szCs w:val="24"/>
                <w:highlight w:val="none"/>
              </w:rPr>
              <w:t>号和</w:t>
            </w:r>
            <w:r>
              <w:rPr>
                <w:rFonts w:asciiTheme="minorEastAsia" w:hAnsiTheme="minorEastAsia" w:eastAsiaTheme="minorEastAsia"/>
                <w:color w:val="auto"/>
                <w:kern w:val="0"/>
                <w:sz w:val="24"/>
                <w:szCs w:val="24"/>
                <w:highlight w:val="none"/>
              </w:rPr>
              <w:t>29</w:t>
            </w:r>
            <w:r>
              <w:rPr>
                <w:rFonts w:hint="eastAsia" w:cs="宋体" w:asciiTheme="minorEastAsia" w:hAnsiTheme="minorEastAsia" w:eastAsiaTheme="minorEastAsia"/>
                <w:color w:val="auto"/>
                <w:kern w:val="0"/>
                <w:sz w:val="24"/>
                <w:szCs w:val="24"/>
                <w:highlight w:val="none"/>
              </w:rPr>
              <w:t>号站栖息密度为</w:t>
            </w:r>
            <w:r>
              <w:rPr>
                <w:rFonts w:asciiTheme="minorEastAsia" w:hAnsiTheme="minorEastAsia" w:eastAsiaTheme="minorEastAsia"/>
                <w:color w:val="auto"/>
                <w:kern w:val="0"/>
                <w:sz w:val="24"/>
                <w:szCs w:val="24"/>
                <w:highlight w:val="none"/>
              </w:rPr>
              <w:t>40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；位于三娘湾内的</w:t>
            </w:r>
            <w:r>
              <w:rPr>
                <w:rFonts w:asciiTheme="minorEastAsia" w:hAnsiTheme="minorEastAsia" w:eastAsiaTheme="minorEastAsia"/>
                <w:color w:val="auto"/>
                <w:kern w:val="0"/>
                <w:sz w:val="24"/>
                <w:szCs w:val="24"/>
                <w:highlight w:val="none"/>
              </w:rPr>
              <w:t>19</w:t>
            </w:r>
            <w:r>
              <w:rPr>
                <w:rFonts w:hint="eastAsia" w:cs="宋体" w:asciiTheme="minorEastAsia" w:hAnsiTheme="minorEastAsia" w:eastAsiaTheme="minorEastAsia"/>
                <w:color w:val="auto"/>
                <w:kern w:val="0"/>
                <w:sz w:val="24"/>
                <w:szCs w:val="24"/>
                <w:highlight w:val="none"/>
              </w:rPr>
              <w:t>号站位底栖生物栖息密度最小，为</w:t>
            </w:r>
            <w:r>
              <w:rPr>
                <w:rFonts w:asciiTheme="minorEastAsia" w:hAnsiTheme="minorEastAsia" w:eastAsiaTheme="minorEastAsia"/>
                <w:color w:val="auto"/>
                <w:kern w:val="0"/>
                <w:sz w:val="24"/>
                <w:szCs w:val="24"/>
                <w:highlight w:val="none"/>
              </w:rPr>
              <w:t>30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。从类群组成上看，软体动物的平均栖息密度较高，为</w:t>
            </w:r>
            <w:r>
              <w:rPr>
                <w:rFonts w:asciiTheme="minorEastAsia" w:hAnsiTheme="minorEastAsia" w:eastAsiaTheme="minorEastAsia"/>
                <w:color w:val="auto"/>
                <w:kern w:val="0"/>
                <w:sz w:val="24"/>
                <w:szCs w:val="24"/>
                <w:highlight w:val="none"/>
              </w:rPr>
              <w:t>43</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；环节动物的平均栖息密度为</w:t>
            </w:r>
            <w:r>
              <w:rPr>
                <w:rFonts w:asciiTheme="minorEastAsia" w:hAnsiTheme="minorEastAsia" w:eastAsiaTheme="minorEastAsia"/>
                <w:color w:val="auto"/>
                <w:kern w:val="0"/>
                <w:sz w:val="24"/>
                <w:szCs w:val="24"/>
                <w:highlight w:val="none"/>
              </w:rPr>
              <w:t>30</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；节肢动物的平均栖息密度为</w:t>
            </w:r>
            <w:r>
              <w:rPr>
                <w:rFonts w:asciiTheme="minorEastAsia" w:hAnsiTheme="minorEastAsia" w:eastAsiaTheme="minorEastAsia"/>
                <w:color w:val="auto"/>
                <w:kern w:val="0"/>
                <w:sz w:val="24"/>
                <w:szCs w:val="24"/>
                <w:highlight w:val="none"/>
              </w:rPr>
              <w:t>16</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；其他类群平均栖息密度仅在</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个</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之间。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w:t>
            </w:r>
            <w:r>
              <w:rPr>
                <w:rFonts w:hint="eastAsia" w:asciiTheme="minorEastAsia" w:hAnsiTheme="minorEastAsia" w:eastAsiaTheme="minorEastAsia"/>
                <w:color w:val="auto"/>
                <w:spacing w:val="-5"/>
                <w:sz w:val="24"/>
                <w:szCs w:val="24"/>
                <w:highlight w:val="none"/>
              </w:rPr>
              <w:t>生物量</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该海域各调查站位</w:t>
            </w:r>
            <w:r>
              <w:rPr>
                <w:rFonts w:hint="eastAsia" w:asciiTheme="minorEastAsia" w:hAnsiTheme="minorEastAsia" w:eastAsiaTheme="minorEastAsia"/>
                <w:color w:val="auto"/>
                <w:spacing w:val="-5"/>
                <w:sz w:val="24"/>
                <w:szCs w:val="24"/>
                <w:highlight w:val="none"/>
              </w:rPr>
              <w:t>底栖生物</w:t>
            </w:r>
            <w:r>
              <w:rPr>
                <w:rFonts w:hint="eastAsia" w:asciiTheme="minorEastAsia" w:hAnsiTheme="minorEastAsia" w:eastAsiaTheme="minorEastAsia"/>
                <w:color w:val="auto"/>
                <w:sz w:val="24"/>
                <w:szCs w:val="24"/>
                <w:highlight w:val="none"/>
              </w:rPr>
              <w:t>的生物量在</w:t>
            </w:r>
            <w:r>
              <w:rPr>
                <w:rFonts w:asciiTheme="minorEastAsia" w:hAnsiTheme="minorEastAsia" w:eastAsiaTheme="minorEastAsia"/>
                <w:color w:val="auto"/>
                <w:sz w:val="24"/>
                <w:szCs w:val="24"/>
                <w:highlight w:val="none"/>
              </w:rPr>
              <w:t>1.0</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613.8g/㎡</w:t>
            </w:r>
            <w:r>
              <w:rPr>
                <w:rFonts w:hint="eastAsia" w:asciiTheme="minorEastAsia" w:hAnsiTheme="minorEastAsia" w:eastAsiaTheme="minorEastAsia"/>
                <w:color w:val="auto"/>
                <w:sz w:val="24"/>
                <w:szCs w:val="24"/>
                <w:highlight w:val="none"/>
              </w:rPr>
              <w:t>之间，平均生物量为</w:t>
            </w:r>
            <w:r>
              <w:rPr>
                <w:rFonts w:asciiTheme="minorEastAsia" w:hAnsiTheme="minorEastAsia" w:eastAsiaTheme="minorEastAsia"/>
                <w:color w:val="auto"/>
                <w:sz w:val="24"/>
                <w:szCs w:val="24"/>
                <w:highlight w:val="none"/>
              </w:rPr>
              <w:t>99.8g/㎡</w:t>
            </w:r>
            <w:r>
              <w:rPr>
                <w:rFonts w:hint="eastAsia" w:asciiTheme="minorEastAsia" w:hAnsiTheme="minorEastAsia" w:eastAsiaTheme="minorEastAsia"/>
                <w:color w:val="auto"/>
                <w:sz w:val="24"/>
                <w:szCs w:val="24"/>
                <w:highlight w:val="none"/>
              </w:rPr>
              <w:t>。不同调查站位间底栖生物生物量差异较大，其中，</w:t>
            </w:r>
            <w:r>
              <w:rPr>
                <w:rFonts w:asciiTheme="minorEastAsia" w:hAnsiTheme="minorEastAsia" w:eastAsiaTheme="minorEastAsia"/>
                <w:color w:val="auto"/>
                <w:sz w:val="24"/>
                <w:szCs w:val="24"/>
                <w:highlight w:val="none"/>
              </w:rPr>
              <w:t>9</w:t>
            </w:r>
            <w:r>
              <w:rPr>
                <w:rFonts w:hint="eastAsia" w:asciiTheme="minorEastAsia" w:hAnsiTheme="minorEastAsia" w:eastAsiaTheme="minorEastAsia"/>
                <w:color w:val="auto"/>
                <w:sz w:val="24"/>
                <w:szCs w:val="24"/>
                <w:highlight w:val="none"/>
              </w:rPr>
              <w:t>号站生物量最高，为</w:t>
            </w:r>
            <w:r>
              <w:rPr>
                <w:rFonts w:asciiTheme="minorEastAsia" w:hAnsiTheme="minorEastAsia" w:eastAsiaTheme="minorEastAsia"/>
                <w:color w:val="auto"/>
                <w:sz w:val="24"/>
                <w:szCs w:val="24"/>
                <w:highlight w:val="none"/>
              </w:rPr>
              <w:t>613.8g/㎡</w:t>
            </w:r>
            <w:r>
              <w:rPr>
                <w:rFonts w:hint="eastAsia" w:asciiTheme="minorEastAsia" w:hAnsiTheme="minorEastAsia" w:eastAsiaTheme="minorEastAsia"/>
                <w:color w:val="auto"/>
                <w:sz w:val="24"/>
                <w:szCs w:val="24"/>
                <w:highlight w:val="none"/>
              </w:rPr>
              <w:t>；有</w:t>
            </w:r>
            <w:r>
              <w:rPr>
                <w:rFonts w:asciiTheme="minorEastAsia" w:hAnsiTheme="minorEastAsia" w:eastAsiaTheme="minorEastAsia"/>
                <w:color w:val="auto"/>
                <w:sz w:val="24"/>
                <w:szCs w:val="24"/>
                <w:highlight w:val="none"/>
              </w:rPr>
              <w:t>6</w:t>
            </w:r>
            <w:r>
              <w:rPr>
                <w:rFonts w:hint="eastAsia" w:asciiTheme="minorEastAsia" w:hAnsiTheme="minorEastAsia" w:eastAsiaTheme="minorEastAsia"/>
                <w:color w:val="auto"/>
                <w:sz w:val="24"/>
                <w:szCs w:val="24"/>
                <w:highlight w:val="none"/>
              </w:rPr>
              <w:t>个站位（</w:t>
            </w:r>
            <w:r>
              <w:rPr>
                <w:rFonts w:asciiTheme="minorEastAsia" w:hAnsiTheme="minorEastAsia" w:eastAsiaTheme="minorEastAsia"/>
                <w:color w:val="auto"/>
                <w:sz w:val="24"/>
                <w:szCs w:val="24"/>
                <w:highlight w:val="none"/>
              </w:rPr>
              <w:t>11</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14</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25</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27</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28</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32</w:t>
            </w:r>
            <w:r>
              <w:rPr>
                <w:rFonts w:hint="eastAsia" w:asciiTheme="minorEastAsia" w:hAnsiTheme="minorEastAsia" w:eastAsiaTheme="minorEastAsia"/>
                <w:color w:val="auto"/>
                <w:sz w:val="24"/>
                <w:szCs w:val="24"/>
                <w:highlight w:val="none"/>
              </w:rPr>
              <w:t>号站）的生物量在</w:t>
            </w:r>
            <w:r>
              <w:rPr>
                <w:rFonts w:asciiTheme="minorEastAsia" w:hAnsiTheme="minorEastAsia" w:eastAsiaTheme="minorEastAsia"/>
                <w:color w:val="auto"/>
                <w:sz w:val="24"/>
                <w:szCs w:val="24"/>
                <w:highlight w:val="none"/>
              </w:rPr>
              <w:t>109.2</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291.2g/㎡</w:t>
            </w:r>
            <w:r>
              <w:rPr>
                <w:rFonts w:hint="eastAsia" w:asciiTheme="minorEastAsia" w:hAnsiTheme="minorEastAsia" w:eastAsiaTheme="minorEastAsia"/>
                <w:color w:val="auto"/>
                <w:sz w:val="24"/>
                <w:szCs w:val="24"/>
                <w:highlight w:val="none"/>
              </w:rPr>
              <w:t>；其他站位生物量在</w:t>
            </w:r>
            <w:r>
              <w:rPr>
                <w:rFonts w:asciiTheme="minorEastAsia" w:hAnsiTheme="minorEastAsia" w:eastAsiaTheme="minorEastAsia"/>
                <w:color w:val="auto"/>
                <w:sz w:val="24"/>
                <w:szCs w:val="24"/>
                <w:highlight w:val="none"/>
              </w:rPr>
              <w:t>1.0</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58.0g/㎡</w:t>
            </w:r>
            <w:r>
              <w:rPr>
                <w:rFonts w:hint="eastAsia" w:asciiTheme="minorEastAsia" w:hAnsiTheme="minorEastAsia" w:eastAsiaTheme="minorEastAsia"/>
                <w:color w:val="auto"/>
                <w:sz w:val="24"/>
                <w:szCs w:val="24"/>
                <w:highlight w:val="none"/>
              </w:rPr>
              <w:t>之间，位于三娘湾内的</w:t>
            </w:r>
            <w:r>
              <w:rPr>
                <w:rFonts w:asciiTheme="minorEastAsia" w:hAnsiTheme="minorEastAsia" w:eastAsiaTheme="minorEastAsia"/>
                <w:color w:val="auto"/>
                <w:sz w:val="24"/>
                <w:szCs w:val="24"/>
                <w:highlight w:val="none"/>
              </w:rPr>
              <w:t>19</w:t>
            </w:r>
            <w:r>
              <w:rPr>
                <w:rFonts w:hint="eastAsia" w:asciiTheme="minorEastAsia" w:hAnsiTheme="minorEastAsia" w:eastAsiaTheme="minorEastAsia"/>
                <w:color w:val="auto"/>
                <w:sz w:val="24"/>
                <w:szCs w:val="24"/>
                <w:highlight w:val="none"/>
              </w:rPr>
              <w:t>号站的底栖生物生物量最低，仅为</w:t>
            </w:r>
            <w:r>
              <w:rPr>
                <w:rFonts w:asciiTheme="minorEastAsia" w:hAnsiTheme="minorEastAsia" w:eastAsiaTheme="minorEastAsia"/>
                <w:color w:val="auto"/>
                <w:sz w:val="24"/>
                <w:szCs w:val="24"/>
                <w:highlight w:val="none"/>
              </w:rPr>
              <w:t>1.0g/㎡</w:t>
            </w:r>
            <w:r>
              <w:rPr>
                <w:rFonts w:hint="eastAsia" w:asciiTheme="minorEastAsia" w:hAnsiTheme="minorEastAsia" w:eastAsiaTheme="minorEastAsia"/>
                <w:color w:val="auto"/>
                <w:sz w:val="24"/>
                <w:szCs w:val="24"/>
                <w:highlight w:val="none"/>
              </w:rPr>
              <w:t>。软体动物对海区生物量的贡献最大，其平均生物量为</w:t>
            </w:r>
            <w:r>
              <w:rPr>
                <w:rFonts w:asciiTheme="minorEastAsia" w:hAnsiTheme="minorEastAsia" w:eastAsiaTheme="minorEastAsia"/>
                <w:color w:val="auto"/>
                <w:sz w:val="24"/>
                <w:szCs w:val="24"/>
                <w:highlight w:val="none"/>
              </w:rPr>
              <w:t>82.4g/㎡</w:t>
            </w:r>
            <w:r>
              <w:rPr>
                <w:rFonts w:hint="eastAsia" w:asciiTheme="minorEastAsia" w:hAnsiTheme="minorEastAsia" w:eastAsiaTheme="minorEastAsia"/>
                <w:color w:val="auto"/>
                <w:sz w:val="24"/>
                <w:szCs w:val="24"/>
                <w:highlight w:val="none"/>
              </w:rPr>
              <w:t>；其次为节肢动物，其平均生物量为</w:t>
            </w:r>
            <w:r>
              <w:rPr>
                <w:rFonts w:asciiTheme="minorEastAsia" w:hAnsiTheme="minorEastAsia" w:eastAsiaTheme="minorEastAsia"/>
                <w:color w:val="auto"/>
                <w:sz w:val="24"/>
                <w:szCs w:val="24"/>
                <w:highlight w:val="none"/>
              </w:rPr>
              <w:t>9.6g/㎡</w:t>
            </w:r>
            <w:r>
              <w:rPr>
                <w:rFonts w:hint="eastAsia" w:asciiTheme="minorEastAsia" w:hAnsiTheme="minorEastAsia" w:eastAsiaTheme="minorEastAsia"/>
                <w:color w:val="auto"/>
                <w:sz w:val="24"/>
                <w:szCs w:val="24"/>
                <w:highlight w:val="none"/>
              </w:rPr>
              <w:t>；棘皮动物的平均生物量为</w:t>
            </w:r>
            <w:r>
              <w:rPr>
                <w:rFonts w:asciiTheme="minorEastAsia" w:hAnsiTheme="minorEastAsia" w:eastAsiaTheme="minorEastAsia"/>
                <w:color w:val="auto"/>
                <w:sz w:val="24"/>
                <w:szCs w:val="24"/>
                <w:highlight w:val="none"/>
              </w:rPr>
              <w:t>5.5g/㎡</w:t>
            </w:r>
            <w:r>
              <w:rPr>
                <w:rFonts w:hint="eastAsia" w:asciiTheme="minorEastAsia" w:hAnsiTheme="minorEastAsia" w:eastAsiaTheme="minorEastAsia"/>
                <w:color w:val="auto"/>
                <w:sz w:val="24"/>
                <w:szCs w:val="24"/>
                <w:highlight w:val="none"/>
              </w:rPr>
              <w:t>；环节动物的平均生物量为</w:t>
            </w:r>
            <w:r>
              <w:rPr>
                <w:rFonts w:asciiTheme="minorEastAsia" w:hAnsiTheme="minorEastAsia" w:eastAsiaTheme="minorEastAsia"/>
                <w:color w:val="auto"/>
                <w:sz w:val="24"/>
                <w:szCs w:val="24"/>
                <w:highlight w:val="none"/>
              </w:rPr>
              <w:t>1.5g/㎡</w:t>
            </w:r>
            <w:r>
              <w:rPr>
                <w:rFonts w:hint="eastAsia" w:asciiTheme="minorEastAsia" w:hAnsiTheme="minorEastAsia" w:eastAsiaTheme="minorEastAsia"/>
                <w:color w:val="auto"/>
                <w:sz w:val="24"/>
                <w:szCs w:val="24"/>
                <w:highlight w:val="none"/>
              </w:rPr>
              <w:t>；其他类群的平均</w:t>
            </w:r>
            <w:r>
              <w:rPr>
                <w:rFonts w:hint="eastAsia" w:asciiTheme="minorEastAsia" w:hAnsiTheme="minorEastAsia" w:eastAsiaTheme="minorEastAsia"/>
                <w:color w:val="auto"/>
                <w:spacing w:val="-5"/>
                <w:sz w:val="24"/>
                <w:szCs w:val="24"/>
                <w:highlight w:val="none"/>
              </w:rPr>
              <w:t>生物量</w:t>
            </w:r>
            <w:r>
              <w:rPr>
                <w:rFonts w:hint="eastAsia" w:asciiTheme="minorEastAsia" w:hAnsiTheme="minorEastAsia" w:eastAsiaTheme="minorEastAsia"/>
                <w:color w:val="auto"/>
                <w:sz w:val="24"/>
                <w:szCs w:val="24"/>
                <w:highlight w:val="none"/>
              </w:rPr>
              <w:t>较低，仅在</w:t>
            </w:r>
            <w:r>
              <w:rPr>
                <w:rFonts w:asciiTheme="minorEastAsia" w:hAnsiTheme="minorEastAsia" w:eastAsiaTheme="minorEastAsia"/>
                <w:color w:val="auto"/>
                <w:sz w:val="24"/>
                <w:szCs w:val="24"/>
                <w:highlight w:val="none"/>
              </w:rPr>
              <w:t>0.04</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0.39g/㎡</w:t>
            </w:r>
            <w:r>
              <w:rPr>
                <w:rFonts w:hint="eastAsia" w:asciiTheme="minorEastAsia" w:hAnsiTheme="minorEastAsia" w:eastAsiaTheme="minorEastAsia"/>
                <w:color w:val="auto"/>
                <w:sz w:val="24"/>
                <w:szCs w:val="24"/>
                <w:highlight w:val="none"/>
              </w:rPr>
              <w:t>之间。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4</w:t>
            </w:r>
            <w:r>
              <w:rPr>
                <w:rFonts w:hint="eastAsia" w:asciiTheme="minorEastAsia" w:hAnsiTheme="minorEastAsia" w:eastAsiaTheme="minorEastAsia"/>
                <w:color w:val="auto"/>
                <w:sz w:val="24"/>
                <w:szCs w:val="24"/>
                <w:highlight w:val="none"/>
              </w:rPr>
              <w:t>）优势种及其优势度</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根据优势度公式的</w:t>
            </w:r>
            <w:r>
              <w:rPr>
                <w:rFonts w:hint="eastAsia" w:asciiTheme="minorEastAsia" w:hAnsiTheme="minorEastAsia" w:eastAsiaTheme="minorEastAsia"/>
                <w:color w:val="auto"/>
                <w:spacing w:val="-5"/>
                <w:sz w:val="24"/>
                <w:szCs w:val="24"/>
                <w:highlight w:val="none"/>
              </w:rPr>
              <w:t>计算</w:t>
            </w:r>
            <w:r>
              <w:rPr>
                <w:rFonts w:hint="eastAsia" w:asciiTheme="minorEastAsia" w:hAnsiTheme="minorEastAsia" w:eastAsiaTheme="minorEastAsia"/>
                <w:color w:val="auto"/>
                <w:sz w:val="24"/>
                <w:szCs w:val="24"/>
                <w:highlight w:val="none"/>
              </w:rPr>
              <w:t>结果，监测海域底栖生物优势种有</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种，为琴蛰虫（</w:t>
            </w:r>
            <w:r>
              <w:rPr>
                <w:rFonts w:asciiTheme="minorEastAsia" w:hAnsiTheme="minorEastAsia" w:eastAsiaTheme="minorEastAsia"/>
                <w:i/>
                <w:iCs/>
                <w:color w:val="auto"/>
                <w:sz w:val="24"/>
                <w:szCs w:val="24"/>
                <w:highlight w:val="none"/>
              </w:rPr>
              <w:t>Lanice conchilega</w:t>
            </w:r>
            <w:r>
              <w:rPr>
                <w:rFonts w:hint="eastAsia" w:asciiTheme="minorEastAsia" w:hAnsiTheme="minorEastAsia" w:eastAsiaTheme="minorEastAsia"/>
                <w:color w:val="auto"/>
                <w:sz w:val="24"/>
                <w:szCs w:val="24"/>
                <w:highlight w:val="none"/>
              </w:rPr>
              <w:t>）和齿腕拟盲蟹（</w:t>
            </w:r>
            <w:r>
              <w:rPr>
                <w:rFonts w:asciiTheme="minorEastAsia" w:hAnsiTheme="minorEastAsia" w:eastAsiaTheme="minorEastAsia"/>
                <w:i/>
                <w:iCs/>
                <w:color w:val="auto"/>
                <w:sz w:val="24"/>
                <w:szCs w:val="24"/>
                <w:highlight w:val="none"/>
              </w:rPr>
              <w:t>Typhlocarcinops denticarpes</w:t>
            </w:r>
            <w:r>
              <w:rPr>
                <w:rFonts w:hint="eastAsia" w:asciiTheme="minorEastAsia" w:hAnsiTheme="minorEastAsia" w:eastAsiaTheme="minorEastAsia"/>
                <w:color w:val="auto"/>
                <w:sz w:val="24"/>
                <w:szCs w:val="24"/>
                <w:highlight w:val="none"/>
              </w:rPr>
              <w:t>），分别为</w:t>
            </w:r>
            <w:r>
              <w:rPr>
                <w:rFonts w:asciiTheme="minorEastAsia" w:hAnsiTheme="minorEastAsia" w:eastAsiaTheme="minorEastAsia"/>
                <w:color w:val="auto"/>
                <w:sz w:val="24"/>
                <w:szCs w:val="24"/>
                <w:highlight w:val="none"/>
              </w:rPr>
              <w:t>0.024</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0.023</w:t>
            </w:r>
            <w:r>
              <w:rPr>
                <w:rFonts w:hint="eastAsia" w:asciiTheme="minorEastAsia" w:hAnsiTheme="minorEastAsia" w:eastAsiaTheme="minorEastAsia"/>
                <w:color w:val="auto"/>
                <w:sz w:val="24"/>
                <w:szCs w:val="24"/>
                <w:highlight w:val="none"/>
              </w:rPr>
              <w:t>。琴蛰虫在各站出现的频率最高，出现站的比例为</w:t>
            </w:r>
            <w:r>
              <w:rPr>
                <w:rFonts w:asciiTheme="minorEastAsia" w:hAnsiTheme="minorEastAsia" w:eastAsiaTheme="minorEastAsia"/>
                <w:color w:val="auto"/>
                <w:sz w:val="24"/>
                <w:szCs w:val="24"/>
                <w:highlight w:val="none"/>
              </w:rPr>
              <w:t>35%</w:t>
            </w:r>
            <w:r>
              <w:rPr>
                <w:rFonts w:hint="eastAsia" w:asciiTheme="minorEastAsia" w:hAnsiTheme="minorEastAsia" w:eastAsiaTheme="minorEastAsia"/>
                <w:color w:val="auto"/>
                <w:sz w:val="24"/>
                <w:szCs w:val="24"/>
                <w:highlight w:val="none"/>
              </w:rPr>
              <w:t>；其他物种在各站出现的频率在</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25%</w:t>
            </w:r>
            <w:r>
              <w:rPr>
                <w:rFonts w:hint="eastAsia" w:asciiTheme="minorEastAsia" w:hAnsiTheme="minorEastAsia" w:eastAsiaTheme="minorEastAsia"/>
                <w:color w:val="auto"/>
                <w:sz w:val="24"/>
                <w:szCs w:val="24"/>
                <w:highlight w:val="none"/>
              </w:rPr>
              <w:t>之间。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5</w:t>
            </w:r>
            <w:r>
              <w:rPr>
                <w:rFonts w:hint="eastAsia" w:asciiTheme="minorEastAsia" w:hAnsiTheme="minorEastAsia" w:eastAsiaTheme="minorEastAsia"/>
                <w:color w:val="auto"/>
                <w:sz w:val="24"/>
                <w:szCs w:val="24"/>
                <w:highlight w:val="none"/>
              </w:rPr>
              <w:t>）种类多样性指数、均匀度和丰富度</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底栖生物的种类多样性指数</w:t>
            </w:r>
            <w:r>
              <w:rPr>
                <w:rFonts w:asciiTheme="minorEastAsia" w:hAnsiTheme="minorEastAsia" w:eastAsiaTheme="minorEastAsia"/>
                <w:i/>
                <w:iCs/>
                <w:color w:val="auto"/>
                <w:sz w:val="24"/>
                <w:szCs w:val="24"/>
                <w:highlight w:val="none"/>
              </w:rPr>
              <w:t>H′</w:t>
            </w:r>
            <w:r>
              <w:rPr>
                <w:rFonts w:hint="eastAsia" w:asciiTheme="minorEastAsia" w:hAnsiTheme="minorEastAsia" w:eastAsiaTheme="minorEastAsia"/>
                <w:color w:val="auto"/>
                <w:sz w:val="24"/>
                <w:szCs w:val="24"/>
                <w:highlight w:val="none"/>
              </w:rPr>
              <w:t>、均匀度</w:t>
            </w:r>
            <w:r>
              <w:rPr>
                <w:rFonts w:asciiTheme="minorEastAsia" w:hAnsiTheme="minorEastAsia" w:eastAsiaTheme="minorEastAsia"/>
                <w:i/>
                <w:iCs/>
                <w:color w:val="auto"/>
                <w:sz w:val="24"/>
                <w:szCs w:val="24"/>
                <w:highlight w:val="none"/>
              </w:rPr>
              <w:t>J′</w:t>
            </w:r>
            <w:r>
              <w:rPr>
                <w:rFonts w:hint="eastAsia" w:asciiTheme="minorEastAsia" w:hAnsiTheme="minorEastAsia" w:eastAsiaTheme="minorEastAsia"/>
                <w:color w:val="auto"/>
                <w:sz w:val="24"/>
                <w:szCs w:val="24"/>
                <w:highlight w:val="none"/>
              </w:rPr>
              <w:t>及丰富度指数</w:t>
            </w:r>
            <w:r>
              <w:rPr>
                <w:rFonts w:asciiTheme="minorEastAsia" w:hAnsiTheme="minorEastAsia" w:eastAsiaTheme="minorEastAsia"/>
                <w:i/>
                <w:iCs/>
                <w:color w:val="auto"/>
                <w:sz w:val="24"/>
                <w:szCs w:val="24"/>
                <w:highlight w:val="none"/>
              </w:rPr>
              <w:t>d</w:t>
            </w:r>
            <w:r>
              <w:rPr>
                <w:rFonts w:hint="eastAsia" w:asciiTheme="minorEastAsia" w:hAnsiTheme="minorEastAsia" w:eastAsiaTheme="minorEastAsia"/>
                <w:color w:val="auto"/>
                <w:sz w:val="24"/>
                <w:szCs w:val="24"/>
                <w:highlight w:val="none"/>
              </w:rPr>
              <w:t>的列于表2.2</w:t>
            </w:r>
            <w:r>
              <w:rPr>
                <w:rFonts w:asciiTheme="minorEastAsia" w:hAnsiTheme="minorEastAsia" w:eastAsiaTheme="minorEastAsia"/>
                <w:color w:val="auto"/>
                <w:sz w:val="24"/>
                <w:szCs w:val="24"/>
                <w:highlight w:val="none"/>
              </w:rPr>
              <w:t>-7</w:t>
            </w:r>
            <w:r>
              <w:rPr>
                <w:rFonts w:hint="eastAsia" w:asciiTheme="minorEastAsia" w:hAnsiTheme="minorEastAsia" w:eastAsiaTheme="minorEastAsia"/>
                <w:color w:val="auto"/>
                <w:sz w:val="24"/>
                <w:szCs w:val="24"/>
                <w:highlight w:val="none"/>
              </w:rPr>
              <w:t>。由表可知，调查区域底栖生物的种类多样性指数在</w:t>
            </w:r>
            <w:r>
              <w:rPr>
                <w:rFonts w:asciiTheme="minorEastAsia" w:hAnsiTheme="minorEastAsia" w:eastAsiaTheme="minorEastAsia"/>
                <w:color w:val="auto"/>
                <w:sz w:val="24"/>
                <w:szCs w:val="24"/>
                <w:highlight w:val="none"/>
              </w:rPr>
              <w:t>1.21</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3.03</w:t>
            </w:r>
            <w:r>
              <w:rPr>
                <w:rFonts w:hint="eastAsia"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2.09</w:t>
            </w:r>
            <w:r>
              <w:rPr>
                <w:rFonts w:hint="eastAsia" w:asciiTheme="minorEastAsia" w:hAnsiTheme="minorEastAsia" w:eastAsiaTheme="minorEastAsia"/>
                <w:color w:val="auto"/>
                <w:sz w:val="24"/>
                <w:szCs w:val="24"/>
                <w:highlight w:val="none"/>
              </w:rPr>
              <w:t>；均匀度在</w:t>
            </w:r>
            <w:r>
              <w:rPr>
                <w:rFonts w:asciiTheme="minorEastAsia" w:hAnsiTheme="minorEastAsia" w:eastAsiaTheme="minorEastAsia"/>
                <w:color w:val="auto"/>
                <w:sz w:val="24"/>
                <w:szCs w:val="24"/>
                <w:highlight w:val="none"/>
              </w:rPr>
              <w:t>0.60</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1.00</w:t>
            </w:r>
            <w:r>
              <w:rPr>
                <w:rFonts w:hint="eastAsia"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0.89</w:t>
            </w:r>
            <w:r>
              <w:rPr>
                <w:rFonts w:hint="eastAsia" w:asciiTheme="minorEastAsia" w:hAnsiTheme="minorEastAsia" w:eastAsiaTheme="minorEastAsia"/>
                <w:color w:val="auto"/>
                <w:sz w:val="24"/>
                <w:szCs w:val="24"/>
                <w:highlight w:val="none"/>
              </w:rPr>
              <w:t>；丰富度在</w:t>
            </w:r>
            <w:r>
              <w:rPr>
                <w:rFonts w:asciiTheme="minorEastAsia" w:hAnsiTheme="minorEastAsia" w:eastAsiaTheme="minorEastAsia"/>
                <w:color w:val="auto"/>
                <w:sz w:val="24"/>
                <w:szCs w:val="24"/>
                <w:highlight w:val="none"/>
              </w:rPr>
              <w:t>0.38</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1.14</w:t>
            </w:r>
            <w:r>
              <w:rPr>
                <w:rFonts w:hint="eastAsia"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0.67</w:t>
            </w:r>
            <w:r>
              <w:rPr>
                <w:rFonts w:hint="eastAsia" w:asciiTheme="minorEastAsia" w:hAnsiTheme="minorEastAsia" w:eastAsiaTheme="minorEastAsia"/>
                <w:color w:val="auto"/>
                <w:sz w:val="24"/>
                <w:szCs w:val="24"/>
                <w:highlight w:val="none"/>
              </w:rPr>
              <w:t>。调查海域底栖生物的多样性指数处于中等或较低水平；均匀度指数除个别站位（</w:t>
            </w:r>
            <w:r>
              <w:rPr>
                <w:rFonts w:asciiTheme="minorEastAsia" w:hAnsiTheme="minorEastAsia" w:eastAsiaTheme="minorEastAsia"/>
                <w:color w:val="auto"/>
                <w:sz w:val="24"/>
                <w:szCs w:val="24"/>
                <w:highlight w:val="none"/>
              </w:rPr>
              <w:t>9</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11</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27</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28</w:t>
            </w:r>
            <w:r>
              <w:rPr>
                <w:rFonts w:hint="eastAsia" w:asciiTheme="minorEastAsia" w:hAnsiTheme="minorEastAsia" w:eastAsiaTheme="minorEastAsia"/>
                <w:color w:val="auto"/>
                <w:sz w:val="24"/>
                <w:szCs w:val="24"/>
                <w:highlight w:val="none"/>
              </w:rPr>
              <w:t>号站位）外普遍处于较高水平；各调查站位的丰富度指数普遍处于较低水平。</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w:t>
            </w:r>
            <w:r>
              <w:rPr>
                <w:rFonts w:asciiTheme="minorEastAsia" w:hAnsiTheme="minorEastAsia" w:eastAsiaTheme="minorEastAsia"/>
                <w:b w:val="0"/>
                <w:bCs/>
                <w:color w:val="auto"/>
                <w:sz w:val="24"/>
                <w:szCs w:val="24"/>
                <w:highlight w:val="none"/>
              </w:rPr>
              <w:t>.2-7</w:t>
            </w:r>
            <w:r>
              <w:rPr>
                <w:rFonts w:hint="eastAsia" w:asciiTheme="minorEastAsia" w:hAnsiTheme="minorEastAsia" w:eastAsiaTheme="minorEastAsia"/>
                <w:b w:val="0"/>
                <w:color w:val="auto"/>
                <w:sz w:val="24"/>
                <w:szCs w:val="24"/>
                <w:highlight w:val="none"/>
              </w:rPr>
              <w:t>底栖生物种类多样性指数、均匀度和丰富度</w:t>
            </w:r>
          </w:p>
          <w:p>
            <w:pPr>
              <w:pStyle w:val="3"/>
              <w:rPr>
                <w:color w:val="auto"/>
                <w:highlight w:val="none"/>
              </w:rPr>
            </w:pPr>
            <w:r>
              <w:rPr>
                <w:color w:val="auto"/>
                <w:highlight w:val="none"/>
              </w:rPr>
              <w:drawing>
                <wp:inline distT="0" distB="0" distL="0" distR="0">
                  <wp:extent cx="5716905" cy="4184015"/>
                  <wp:effectExtent l="19050" t="0" r="0" b="0"/>
                  <wp:docPr id="29" name="图片 17" descr="F:\微信文件File\WeChat Files\wxid_kgkf81ca4cje21\FileStorage\Temp\1701273170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descr="F:\微信文件File\WeChat Files\wxid_kgkf81ca4cje21\FileStorage\Temp\1701273170751.png"/>
                          <pic:cNvPicPr>
                            <a:picLocks noChangeAspect="1" noChangeArrowheads="1"/>
                          </pic:cNvPicPr>
                        </pic:nvPicPr>
                        <pic:blipFill>
                          <a:blip r:embed="rId34"/>
                          <a:srcRect/>
                          <a:stretch>
                            <a:fillRect/>
                          </a:stretch>
                        </pic:blipFill>
                        <pic:spPr>
                          <a:xfrm>
                            <a:off x="0" y="0"/>
                            <a:ext cx="5716842" cy="4183815"/>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w:t>
            </w:r>
            <w:r>
              <w:rPr>
                <w:rFonts w:asciiTheme="minorEastAsia" w:hAnsiTheme="minorEastAsia" w:eastAsiaTheme="minorEastAsia"/>
                <w:bCs/>
                <w:color w:val="auto"/>
                <w:sz w:val="24"/>
                <w:szCs w:val="24"/>
                <w:highlight w:val="none"/>
              </w:rPr>
              <w:t>5</w:t>
            </w:r>
            <w:r>
              <w:rPr>
                <w:rFonts w:hint="eastAsia" w:asciiTheme="minorEastAsia" w:hAnsiTheme="minorEastAsia" w:eastAsiaTheme="minorEastAsia"/>
                <w:color w:val="auto"/>
                <w:sz w:val="24"/>
                <w:szCs w:val="24"/>
                <w:highlight w:val="none"/>
              </w:rPr>
              <w:t>）潮间带生物</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潮间带生物</w:t>
            </w:r>
            <w:r>
              <w:rPr>
                <w:rFonts w:hint="eastAsia" w:asciiTheme="minorEastAsia" w:hAnsiTheme="minorEastAsia" w:eastAsiaTheme="minorEastAsia"/>
                <w:color w:val="auto"/>
                <w:spacing w:val="-5"/>
                <w:sz w:val="24"/>
                <w:szCs w:val="24"/>
                <w:highlight w:val="none"/>
              </w:rPr>
              <w:t>调查</w:t>
            </w:r>
            <w:r>
              <w:rPr>
                <w:rFonts w:hint="eastAsia" w:asciiTheme="minorEastAsia" w:hAnsiTheme="minorEastAsia" w:eastAsiaTheme="minorEastAsia"/>
                <w:color w:val="auto"/>
                <w:sz w:val="24"/>
                <w:szCs w:val="24"/>
                <w:highlight w:val="none"/>
              </w:rPr>
              <w:t>共设置</w:t>
            </w:r>
            <w:r>
              <w:rPr>
                <w:rFonts w:asciiTheme="minorEastAsia" w:hAnsiTheme="minorEastAsia" w:eastAsiaTheme="minorEastAsia"/>
                <w:color w:val="auto"/>
                <w:sz w:val="24"/>
                <w:szCs w:val="24"/>
                <w:highlight w:val="none"/>
              </w:rPr>
              <w:t>3</w:t>
            </w:r>
            <w:r>
              <w:rPr>
                <w:rFonts w:hint="eastAsia" w:asciiTheme="minorEastAsia" w:hAnsiTheme="minorEastAsia" w:eastAsiaTheme="minorEastAsia"/>
                <w:color w:val="auto"/>
                <w:sz w:val="24"/>
                <w:szCs w:val="24"/>
                <w:highlight w:val="none"/>
              </w:rPr>
              <w:t>条断面，每条断面在高、中、低潮带分别布设一个站位，每个站位用</w:t>
            </w:r>
            <w:r>
              <w:rPr>
                <w:rFonts w:asciiTheme="minorEastAsia" w:hAnsiTheme="minorEastAsia" w:eastAsiaTheme="minorEastAsia"/>
                <w:color w:val="auto"/>
                <w:sz w:val="24"/>
                <w:szCs w:val="24"/>
                <w:highlight w:val="none"/>
              </w:rPr>
              <w:t>25cm×25cm×30cm</w:t>
            </w:r>
            <w:r>
              <w:rPr>
                <w:rFonts w:hint="eastAsia" w:asciiTheme="minorEastAsia" w:hAnsiTheme="minorEastAsia" w:eastAsiaTheme="minorEastAsia"/>
                <w:color w:val="auto"/>
                <w:sz w:val="24"/>
                <w:szCs w:val="24"/>
                <w:highlight w:val="none"/>
              </w:rPr>
              <w:t>的定量采样框采集</w:t>
            </w:r>
            <w:r>
              <w:rPr>
                <w:rFonts w:asciiTheme="minorEastAsia" w:hAnsiTheme="minorEastAsia" w:eastAsiaTheme="minorEastAsia"/>
                <w:color w:val="auto"/>
                <w:sz w:val="24"/>
                <w:szCs w:val="24"/>
                <w:highlight w:val="none"/>
              </w:rPr>
              <w:t>4</w:t>
            </w:r>
            <w:r>
              <w:rPr>
                <w:rFonts w:hint="eastAsia" w:asciiTheme="minorEastAsia" w:hAnsiTheme="minorEastAsia" w:eastAsiaTheme="minorEastAsia"/>
                <w:color w:val="auto"/>
                <w:sz w:val="24"/>
                <w:szCs w:val="24"/>
                <w:highlight w:val="none"/>
              </w:rPr>
              <w:t>个样方内的生物样品，将样方提取的样品合并为一个样品，用</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的甲醛溶液固定后带回实验室进行鉴定分析。</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1</w:t>
            </w:r>
            <w:r>
              <w:rPr>
                <w:rFonts w:hint="eastAsia" w:asciiTheme="minorEastAsia" w:hAnsiTheme="minorEastAsia" w:eastAsiaTheme="minorEastAsia"/>
                <w:color w:val="auto"/>
                <w:sz w:val="24"/>
                <w:szCs w:val="24"/>
                <w:highlight w:val="none"/>
              </w:rPr>
              <w:t>）种类组成与分布</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本次调查的潮间带生物样品共鉴定出</w:t>
            </w:r>
            <w:r>
              <w:rPr>
                <w:rFonts w:asciiTheme="minorEastAsia" w:hAnsiTheme="minorEastAsia" w:eastAsiaTheme="minorEastAsia"/>
                <w:color w:val="auto"/>
                <w:sz w:val="24"/>
                <w:szCs w:val="24"/>
                <w:highlight w:val="none"/>
              </w:rPr>
              <w:t>28</w:t>
            </w:r>
            <w:r>
              <w:rPr>
                <w:rFonts w:hint="eastAsia" w:asciiTheme="minorEastAsia" w:hAnsiTheme="minorEastAsia" w:eastAsiaTheme="minorEastAsia"/>
                <w:color w:val="auto"/>
                <w:sz w:val="24"/>
                <w:szCs w:val="24"/>
                <w:highlight w:val="none"/>
              </w:rPr>
              <w:t>种，分属于</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个门类，软体动物和节肢动物是该海域的主要潮间带生物类群，详见附件潮间带生物报表。其中软体动物有</w:t>
            </w:r>
            <w:r>
              <w:rPr>
                <w:rFonts w:asciiTheme="minorEastAsia" w:hAnsiTheme="minorEastAsia" w:eastAsiaTheme="minorEastAsia"/>
                <w:color w:val="auto"/>
                <w:sz w:val="24"/>
                <w:szCs w:val="24"/>
                <w:highlight w:val="none"/>
              </w:rPr>
              <w:t>13</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46.4%</w:t>
            </w:r>
            <w:r>
              <w:rPr>
                <w:rFonts w:hint="eastAsia" w:asciiTheme="minorEastAsia" w:hAnsiTheme="minorEastAsia" w:eastAsiaTheme="minorEastAsia"/>
                <w:color w:val="auto"/>
                <w:sz w:val="24"/>
                <w:szCs w:val="24"/>
                <w:highlight w:val="none"/>
              </w:rPr>
              <w:t>；节肢动物</w:t>
            </w:r>
            <w:r>
              <w:rPr>
                <w:rFonts w:asciiTheme="minorEastAsia" w:hAnsiTheme="minorEastAsia" w:eastAsiaTheme="minorEastAsia"/>
                <w:color w:val="auto"/>
                <w:sz w:val="24"/>
                <w:szCs w:val="24"/>
                <w:highlight w:val="none"/>
              </w:rPr>
              <w:t>11</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39.3%</w:t>
            </w:r>
            <w:r>
              <w:rPr>
                <w:rFonts w:hint="eastAsia" w:asciiTheme="minorEastAsia" w:hAnsiTheme="minorEastAsia" w:eastAsiaTheme="minorEastAsia"/>
                <w:color w:val="auto"/>
                <w:sz w:val="24"/>
                <w:szCs w:val="24"/>
                <w:highlight w:val="none"/>
              </w:rPr>
              <w:t>；环节动物</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种，占全部种类的</w:t>
            </w:r>
            <w:r>
              <w:rPr>
                <w:rFonts w:asciiTheme="minorEastAsia" w:hAnsiTheme="minorEastAsia" w:eastAsiaTheme="minorEastAsia"/>
                <w:color w:val="auto"/>
                <w:sz w:val="24"/>
                <w:szCs w:val="24"/>
                <w:highlight w:val="none"/>
              </w:rPr>
              <w:t>7.1%</w:t>
            </w:r>
            <w:r>
              <w:rPr>
                <w:rFonts w:hint="eastAsia" w:asciiTheme="minorEastAsia" w:hAnsiTheme="minorEastAsia" w:eastAsiaTheme="minorEastAsia"/>
                <w:color w:val="auto"/>
                <w:sz w:val="24"/>
                <w:szCs w:val="24"/>
                <w:highlight w:val="none"/>
              </w:rPr>
              <w:t>；脊索动物和</w:t>
            </w:r>
            <w:r>
              <w:rPr>
                <w:rFonts w:hint="eastAsia" w:asciiTheme="minorEastAsia" w:hAnsiTheme="minorEastAsia" w:eastAsiaTheme="minorEastAsia"/>
                <w:color w:val="auto"/>
                <w:spacing w:val="-5"/>
                <w:sz w:val="24"/>
                <w:szCs w:val="24"/>
                <w:highlight w:val="none"/>
              </w:rPr>
              <w:t>纽形动物</w:t>
            </w:r>
            <w:r>
              <w:rPr>
                <w:rFonts w:hint="eastAsia" w:asciiTheme="minorEastAsia" w:hAnsiTheme="minorEastAsia" w:eastAsiaTheme="minorEastAsia"/>
                <w:color w:val="auto"/>
                <w:sz w:val="24"/>
                <w:szCs w:val="24"/>
                <w:highlight w:val="none"/>
              </w:rPr>
              <w:t>各有</w:t>
            </w:r>
            <w:r>
              <w:rPr>
                <w:rFonts w:asciiTheme="minorEastAsia" w:hAnsiTheme="minorEastAsia" w:eastAsiaTheme="minorEastAsia"/>
                <w:color w:val="auto"/>
                <w:sz w:val="24"/>
                <w:szCs w:val="24"/>
                <w:highlight w:val="none"/>
              </w:rPr>
              <w:t>1</w:t>
            </w:r>
            <w:r>
              <w:rPr>
                <w:rFonts w:hint="eastAsia" w:asciiTheme="minorEastAsia" w:hAnsiTheme="minorEastAsia" w:eastAsiaTheme="minorEastAsia"/>
                <w:color w:val="auto"/>
                <w:sz w:val="24"/>
                <w:szCs w:val="24"/>
                <w:highlight w:val="none"/>
              </w:rPr>
              <w:t>种。</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C1</w:t>
            </w:r>
            <w:r>
              <w:rPr>
                <w:rFonts w:hint="eastAsia" w:asciiTheme="minorEastAsia" w:hAnsiTheme="minorEastAsia" w:eastAsiaTheme="minorEastAsia"/>
                <w:color w:val="auto"/>
                <w:sz w:val="24"/>
                <w:szCs w:val="24"/>
                <w:highlight w:val="none"/>
              </w:rPr>
              <w:t>断面高潮带种类数为</w:t>
            </w:r>
            <w:r>
              <w:rPr>
                <w:rFonts w:asciiTheme="minorEastAsia" w:hAnsiTheme="minorEastAsia" w:eastAsiaTheme="minorEastAsia"/>
                <w:color w:val="auto"/>
                <w:sz w:val="24"/>
                <w:szCs w:val="24"/>
                <w:highlight w:val="none"/>
              </w:rPr>
              <w:t>1</w:t>
            </w:r>
            <w:r>
              <w:rPr>
                <w:rFonts w:hint="eastAsia" w:asciiTheme="minorEastAsia" w:hAnsiTheme="minorEastAsia" w:eastAsiaTheme="minorEastAsia"/>
                <w:color w:val="auto"/>
                <w:sz w:val="24"/>
                <w:szCs w:val="24"/>
                <w:highlight w:val="none"/>
              </w:rPr>
              <w:t>种，中潮带和低潮带种类数均为</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种；</w:t>
            </w:r>
            <w:r>
              <w:rPr>
                <w:rFonts w:asciiTheme="minorEastAsia" w:hAnsiTheme="minorEastAsia" w:eastAsiaTheme="minorEastAsia"/>
                <w:color w:val="auto"/>
                <w:sz w:val="24"/>
                <w:szCs w:val="24"/>
                <w:highlight w:val="none"/>
              </w:rPr>
              <w:t>C2</w:t>
            </w:r>
            <w:r>
              <w:rPr>
                <w:rFonts w:hint="eastAsia" w:asciiTheme="minorEastAsia" w:hAnsiTheme="minorEastAsia" w:eastAsiaTheme="minorEastAsia"/>
                <w:color w:val="auto"/>
                <w:sz w:val="24"/>
                <w:szCs w:val="24"/>
                <w:highlight w:val="none"/>
              </w:rPr>
              <w:t>断面高潮带种类数为</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种，中潮带和低潮带种类数均为</w:t>
            </w:r>
            <w:r>
              <w:rPr>
                <w:rFonts w:asciiTheme="minorEastAsia" w:hAnsiTheme="minorEastAsia" w:eastAsiaTheme="minorEastAsia"/>
                <w:color w:val="auto"/>
                <w:sz w:val="24"/>
                <w:szCs w:val="24"/>
                <w:highlight w:val="none"/>
              </w:rPr>
              <w:t>7</w:t>
            </w:r>
            <w:r>
              <w:rPr>
                <w:rFonts w:hint="eastAsia" w:asciiTheme="minorEastAsia" w:hAnsiTheme="minorEastAsia" w:eastAsiaTheme="minorEastAsia"/>
                <w:color w:val="auto"/>
                <w:sz w:val="24"/>
                <w:szCs w:val="24"/>
                <w:highlight w:val="none"/>
              </w:rPr>
              <w:t>种；</w:t>
            </w:r>
            <w:r>
              <w:rPr>
                <w:rFonts w:asciiTheme="minorEastAsia" w:hAnsiTheme="minorEastAsia" w:eastAsiaTheme="minorEastAsia"/>
                <w:color w:val="auto"/>
                <w:sz w:val="24"/>
                <w:szCs w:val="24"/>
                <w:highlight w:val="none"/>
              </w:rPr>
              <w:t>C3</w:t>
            </w:r>
            <w:r>
              <w:rPr>
                <w:rFonts w:hint="eastAsia" w:asciiTheme="minorEastAsia" w:hAnsiTheme="minorEastAsia" w:eastAsiaTheme="minorEastAsia"/>
                <w:color w:val="auto"/>
                <w:sz w:val="24"/>
                <w:szCs w:val="24"/>
                <w:highlight w:val="none"/>
              </w:rPr>
              <w:t>断面不同潮带的种类数分布于</w:t>
            </w:r>
            <w:r>
              <w:rPr>
                <w:rFonts w:asciiTheme="minorEastAsia" w:hAnsiTheme="minorEastAsia" w:eastAsiaTheme="minorEastAsia"/>
                <w:color w:val="auto"/>
                <w:sz w:val="24"/>
                <w:szCs w:val="24"/>
                <w:highlight w:val="none"/>
              </w:rPr>
              <w:t>1</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4</w:t>
            </w:r>
            <w:r>
              <w:rPr>
                <w:rFonts w:hint="eastAsia" w:asciiTheme="minorEastAsia" w:hAnsiTheme="minorEastAsia" w:eastAsiaTheme="minorEastAsia"/>
                <w:color w:val="auto"/>
                <w:sz w:val="24"/>
                <w:szCs w:val="24"/>
                <w:highlight w:val="none"/>
              </w:rPr>
              <w:t>种之间；</w:t>
            </w:r>
            <w:r>
              <w:rPr>
                <w:rFonts w:asciiTheme="minorEastAsia" w:hAnsiTheme="minorEastAsia" w:eastAsiaTheme="minorEastAsia"/>
                <w:color w:val="auto"/>
                <w:sz w:val="24"/>
                <w:szCs w:val="24"/>
                <w:highlight w:val="none"/>
              </w:rPr>
              <w:t>C4</w:t>
            </w:r>
            <w:r>
              <w:rPr>
                <w:rFonts w:hint="eastAsia" w:asciiTheme="minorEastAsia" w:hAnsiTheme="minorEastAsia" w:eastAsiaTheme="minorEastAsia"/>
                <w:color w:val="auto"/>
                <w:sz w:val="24"/>
                <w:szCs w:val="24"/>
                <w:highlight w:val="none"/>
              </w:rPr>
              <w:t>断面不同潮带的种类数分布于</w:t>
            </w:r>
            <w:r>
              <w:rPr>
                <w:rFonts w:asciiTheme="minorEastAsia" w:hAnsiTheme="minorEastAsia" w:eastAsiaTheme="minorEastAsia"/>
                <w:color w:val="auto"/>
                <w:sz w:val="24"/>
                <w:szCs w:val="24"/>
                <w:highlight w:val="none"/>
              </w:rPr>
              <w:t>2</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5</w:t>
            </w:r>
            <w:r>
              <w:rPr>
                <w:rFonts w:hint="eastAsia" w:asciiTheme="minorEastAsia" w:hAnsiTheme="minorEastAsia" w:eastAsiaTheme="minorEastAsia"/>
                <w:color w:val="auto"/>
                <w:sz w:val="24"/>
                <w:szCs w:val="24"/>
                <w:highlight w:val="none"/>
              </w:rPr>
              <w:t>种之间。</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2</w:t>
            </w:r>
            <w:r>
              <w:rPr>
                <w:rFonts w:hint="eastAsia" w:asciiTheme="minorEastAsia" w:hAnsiTheme="minorEastAsia" w:eastAsiaTheme="minorEastAsia"/>
                <w:color w:val="auto"/>
                <w:sz w:val="24"/>
                <w:szCs w:val="24"/>
                <w:highlight w:val="none"/>
              </w:rPr>
              <w:t>）数量组成与分布</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各调查站位潮间带生物栖息密度在</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176</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之间，平均栖息密度为</w:t>
            </w:r>
            <w:r>
              <w:rPr>
                <w:rFonts w:asciiTheme="minorEastAsia" w:hAnsiTheme="minorEastAsia" w:eastAsiaTheme="minorEastAsia"/>
                <w:color w:val="auto"/>
                <w:sz w:val="24"/>
                <w:szCs w:val="24"/>
                <w:highlight w:val="none"/>
              </w:rPr>
              <w:t>61</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，分布状况详见表2.2</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。可以看出，</w:t>
            </w:r>
            <w:r>
              <w:rPr>
                <w:rFonts w:asciiTheme="minorEastAsia" w:hAnsiTheme="minorEastAsia" w:eastAsiaTheme="minorEastAsia"/>
                <w:color w:val="auto"/>
                <w:sz w:val="24"/>
                <w:szCs w:val="24"/>
                <w:highlight w:val="none"/>
              </w:rPr>
              <w:t>C1</w:t>
            </w:r>
            <w:r>
              <w:rPr>
                <w:rFonts w:hint="eastAsia" w:asciiTheme="minorEastAsia" w:hAnsiTheme="minorEastAsia" w:eastAsiaTheme="minorEastAsia"/>
                <w:color w:val="auto"/>
                <w:sz w:val="24"/>
                <w:szCs w:val="24"/>
                <w:highlight w:val="none"/>
              </w:rPr>
              <w:t>断面的高潮带栖息密度较低，为</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，中潮带和低潮带栖息密度明显高于高潮带，分别为</w:t>
            </w:r>
            <w:r>
              <w:rPr>
                <w:rFonts w:asciiTheme="minorEastAsia" w:hAnsiTheme="minorEastAsia" w:eastAsiaTheme="minorEastAsia"/>
                <w:color w:val="auto"/>
                <w:sz w:val="24"/>
                <w:szCs w:val="24"/>
                <w:highlight w:val="none"/>
              </w:rPr>
              <w:t>80</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64</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C2</w:t>
            </w:r>
            <w:r>
              <w:rPr>
                <w:rFonts w:hint="eastAsia" w:asciiTheme="minorEastAsia" w:hAnsiTheme="minorEastAsia" w:eastAsiaTheme="minorEastAsia"/>
                <w:color w:val="auto"/>
                <w:sz w:val="24"/>
                <w:szCs w:val="24"/>
                <w:highlight w:val="none"/>
              </w:rPr>
              <w:t>断面的高潮带栖息密度较低，为</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，中潮带和低潮带栖息密度明显高于高潮带，分别为</w:t>
            </w:r>
            <w:r>
              <w:rPr>
                <w:rFonts w:asciiTheme="minorEastAsia" w:hAnsiTheme="minorEastAsia" w:eastAsiaTheme="minorEastAsia"/>
                <w:color w:val="auto"/>
                <w:sz w:val="24"/>
                <w:szCs w:val="24"/>
                <w:highlight w:val="none"/>
              </w:rPr>
              <w:t>116</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176</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C3</w:t>
            </w:r>
            <w:r>
              <w:rPr>
                <w:rFonts w:hint="eastAsia" w:asciiTheme="minorEastAsia" w:hAnsiTheme="minorEastAsia" w:eastAsiaTheme="minorEastAsia"/>
                <w:color w:val="auto"/>
                <w:sz w:val="24"/>
                <w:szCs w:val="24"/>
                <w:highlight w:val="none"/>
              </w:rPr>
              <w:t>断面不同潮带生物栖息密度相差较大，高潮带最高为</w:t>
            </w:r>
            <w:r>
              <w:rPr>
                <w:rFonts w:asciiTheme="minorEastAsia" w:hAnsiTheme="minorEastAsia" w:eastAsiaTheme="minorEastAsia"/>
                <w:color w:val="auto"/>
                <w:sz w:val="24"/>
                <w:szCs w:val="24"/>
                <w:highlight w:val="none"/>
              </w:rPr>
              <w:t>168</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，其次为低潮带为</w:t>
            </w:r>
            <w:r>
              <w:rPr>
                <w:rFonts w:asciiTheme="minorEastAsia" w:hAnsiTheme="minorEastAsia" w:eastAsiaTheme="minorEastAsia"/>
                <w:color w:val="auto"/>
                <w:sz w:val="24"/>
                <w:szCs w:val="24"/>
                <w:highlight w:val="none"/>
              </w:rPr>
              <w:t>24</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，中潮带最低为</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C4</w:t>
            </w:r>
            <w:r>
              <w:rPr>
                <w:rFonts w:hint="eastAsia" w:asciiTheme="minorEastAsia" w:hAnsiTheme="minorEastAsia" w:eastAsiaTheme="minorEastAsia"/>
                <w:color w:val="auto"/>
                <w:sz w:val="24"/>
                <w:szCs w:val="24"/>
                <w:highlight w:val="none"/>
              </w:rPr>
              <w:t>断面表现为高潮带栖息密度最高为</w:t>
            </w:r>
            <w:r>
              <w:rPr>
                <w:rFonts w:asciiTheme="minorEastAsia" w:hAnsiTheme="minorEastAsia" w:eastAsiaTheme="minorEastAsia"/>
                <w:color w:val="auto"/>
                <w:sz w:val="24"/>
                <w:szCs w:val="24"/>
                <w:highlight w:val="none"/>
              </w:rPr>
              <w:t>44</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，其次为低潮带为</w:t>
            </w:r>
            <w:r>
              <w:rPr>
                <w:rFonts w:asciiTheme="minorEastAsia" w:hAnsiTheme="minorEastAsia" w:eastAsiaTheme="minorEastAsia"/>
                <w:color w:val="auto"/>
                <w:sz w:val="24"/>
                <w:szCs w:val="24"/>
                <w:highlight w:val="none"/>
              </w:rPr>
              <w:t>24</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，中潮带最低为</w:t>
            </w:r>
            <w:r>
              <w:rPr>
                <w:rFonts w:asciiTheme="minorEastAsia" w:hAnsiTheme="minorEastAsia" w:eastAsiaTheme="minorEastAsia"/>
                <w:color w:val="auto"/>
                <w:sz w:val="24"/>
                <w:szCs w:val="24"/>
                <w:highlight w:val="none"/>
              </w:rPr>
              <w:t>12</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。从表2.2</w:t>
            </w:r>
            <w:r>
              <w:rPr>
                <w:rFonts w:asciiTheme="minorEastAsia" w:hAnsiTheme="minorEastAsia" w:eastAsiaTheme="minorEastAsia"/>
                <w:color w:val="auto"/>
                <w:sz w:val="24"/>
                <w:szCs w:val="24"/>
                <w:highlight w:val="none"/>
              </w:rPr>
              <w:t>-8</w:t>
            </w:r>
            <w:r>
              <w:rPr>
                <w:rFonts w:hint="eastAsia" w:asciiTheme="minorEastAsia" w:hAnsiTheme="minorEastAsia" w:eastAsiaTheme="minorEastAsia"/>
                <w:color w:val="auto"/>
                <w:sz w:val="24"/>
                <w:szCs w:val="24"/>
                <w:highlight w:val="none"/>
              </w:rPr>
              <w:t>可以看出，节肢动物的平均栖息密度最高，为</w:t>
            </w:r>
            <w:r>
              <w:rPr>
                <w:rFonts w:asciiTheme="minorEastAsia" w:hAnsiTheme="minorEastAsia" w:eastAsiaTheme="minorEastAsia"/>
                <w:color w:val="auto"/>
                <w:sz w:val="24"/>
                <w:szCs w:val="24"/>
                <w:highlight w:val="none"/>
              </w:rPr>
              <w:t>37.0</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；其次为软体动物，平均栖息密度为</w:t>
            </w:r>
            <w:r>
              <w:rPr>
                <w:rFonts w:asciiTheme="minorEastAsia" w:hAnsiTheme="minorEastAsia" w:eastAsiaTheme="minorEastAsia"/>
                <w:color w:val="auto"/>
                <w:sz w:val="24"/>
                <w:szCs w:val="24"/>
                <w:highlight w:val="none"/>
              </w:rPr>
              <w:t>22.3</w:t>
            </w:r>
            <w:r>
              <w:rPr>
                <w:rFonts w:hint="eastAsia" w:asciiTheme="minorEastAsia" w:hAnsiTheme="minorEastAsia" w:eastAsiaTheme="minorEastAsia"/>
                <w:color w:val="auto"/>
                <w:sz w:val="24"/>
                <w:szCs w:val="24"/>
                <w:highlight w:val="none"/>
              </w:rPr>
              <w:t>个</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；环节动物、脊索动物和纽形动物的平均栖息密度均较低。</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2.2</w:t>
            </w:r>
            <w:r>
              <w:rPr>
                <w:rFonts w:asciiTheme="minorEastAsia" w:hAnsiTheme="minorEastAsia" w:eastAsiaTheme="minorEastAsia"/>
                <w:b w:val="0"/>
                <w:bCs/>
                <w:color w:val="auto"/>
                <w:sz w:val="24"/>
                <w:szCs w:val="24"/>
                <w:highlight w:val="none"/>
              </w:rPr>
              <w:t>-8</w:t>
            </w:r>
            <w:r>
              <w:rPr>
                <w:rFonts w:hint="eastAsia" w:asciiTheme="minorEastAsia" w:hAnsiTheme="minorEastAsia" w:eastAsiaTheme="minorEastAsia"/>
                <w:b w:val="0"/>
                <w:color w:val="auto"/>
                <w:sz w:val="24"/>
                <w:szCs w:val="24"/>
                <w:highlight w:val="none"/>
              </w:rPr>
              <w:t>潮间带生物栖息密度及其分布（单位：个</w:t>
            </w:r>
            <w:r>
              <w:rPr>
                <w:rFonts w:asciiTheme="minorEastAsia" w:hAnsiTheme="minorEastAsia" w:eastAsiaTheme="minorEastAsia"/>
                <w:b w:val="0"/>
                <w:bCs/>
                <w:color w:val="auto"/>
                <w:sz w:val="24"/>
                <w:szCs w:val="24"/>
                <w:highlight w:val="none"/>
              </w:rPr>
              <w:t>/㎡</w:t>
            </w:r>
            <w:r>
              <w:rPr>
                <w:rFonts w:hint="eastAsia" w:asciiTheme="minorEastAsia" w:hAnsiTheme="minorEastAsia" w:eastAsiaTheme="minorEastAsia"/>
                <w:b w:val="0"/>
                <w:color w:val="auto"/>
                <w:sz w:val="24"/>
                <w:szCs w:val="24"/>
                <w:highlight w:val="none"/>
              </w:rPr>
              <w:t>）</w:t>
            </w:r>
          </w:p>
          <w:p>
            <w:pPr>
              <w:rPr>
                <w:color w:val="auto"/>
                <w:highlight w:val="none"/>
              </w:rPr>
            </w:pPr>
            <w:r>
              <w:rPr>
                <w:rFonts w:hint="eastAsia"/>
                <w:color w:val="auto"/>
                <w:highlight w:val="none"/>
              </w:rPr>
              <w:drawing>
                <wp:inline distT="0" distB="0" distL="0" distR="0">
                  <wp:extent cx="5756275" cy="2743200"/>
                  <wp:effectExtent l="19050" t="0" r="0" b="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noChangeArrowheads="1"/>
                          </pic:cNvPicPr>
                        </pic:nvPicPr>
                        <pic:blipFill>
                          <a:blip r:embed="rId35"/>
                          <a:srcRect/>
                          <a:stretch>
                            <a:fillRect/>
                          </a:stretch>
                        </pic:blipFill>
                        <pic:spPr>
                          <a:xfrm>
                            <a:off x="0" y="0"/>
                            <a:ext cx="5756275" cy="2743200"/>
                          </a:xfrm>
                          <a:prstGeom prst="rect">
                            <a:avLst/>
                          </a:prstGeom>
                          <a:noFill/>
                          <a:ln w="9525">
                            <a:noFill/>
                            <a:miter lim="800000"/>
                            <a:headEnd/>
                            <a:tailEnd/>
                          </a:ln>
                        </pic:spPr>
                      </pic:pic>
                    </a:graphicData>
                  </a:graphic>
                </wp:inline>
              </w:drawing>
            </w:r>
          </w:p>
          <w:p>
            <w:pPr>
              <w:spacing w:line="360" w:lineRule="auto"/>
              <w:ind w:firstLine="460" w:firstLineChars="200"/>
              <w:jc w:val="left"/>
              <w:rPr>
                <w:color w:val="auto"/>
                <w:spacing w:val="-5"/>
                <w:sz w:val="24"/>
                <w:szCs w:val="24"/>
                <w:highlight w:val="none"/>
              </w:rPr>
            </w:pPr>
          </w:p>
          <w:p>
            <w:pPr>
              <w:spacing w:line="360" w:lineRule="auto"/>
              <w:ind w:firstLine="460" w:firstLineChars="200"/>
              <w:jc w:val="left"/>
              <w:rPr>
                <w:rFonts w:hint="eastAsia" w:asciiTheme="minorEastAsia" w:hAnsiTheme="minorEastAsia" w:eastAsiaTheme="minorEastAsia"/>
                <w:color w:val="auto"/>
                <w:sz w:val="24"/>
                <w:szCs w:val="24"/>
                <w:highlight w:val="none"/>
              </w:rPr>
            </w:pPr>
            <w:r>
              <w:rPr>
                <w:rFonts w:hint="eastAsia" w:asciiTheme="minorEastAsia" w:hAnsiTheme="minorEastAsia" w:eastAsiaTheme="minorEastAsia"/>
                <w:color w:val="auto"/>
                <w:spacing w:val="-5"/>
                <w:sz w:val="24"/>
                <w:szCs w:val="24"/>
                <w:highlight w:val="none"/>
              </w:rPr>
              <w:t>该海域</w:t>
            </w:r>
            <w:r>
              <w:rPr>
                <w:rFonts w:hint="eastAsia" w:asciiTheme="minorEastAsia" w:hAnsiTheme="minorEastAsia" w:eastAsiaTheme="minorEastAsia"/>
                <w:color w:val="auto"/>
                <w:sz w:val="24"/>
                <w:szCs w:val="24"/>
                <w:highlight w:val="none"/>
              </w:rPr>
              <w:t>各调查站位潮间带生物的生物量在</w:t>
            </w:r>
            <w:r>
              <w:rPr>
                <w:rFonts w:asciiTheme="minorEastAsia" w:hAnsiTheme="minorEastAsia" w:eastAsiaTheme="minorEastAsia"/>
                <w:color w:val="auto"/>
                <w:sz w:val="24"/>
                <w:szCs w:val="24"/>
                <w:highlight w:val="none"/>
              </w:rPr>
              <w:t>3.52</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412.16g/㎡</w:t>
            </w:r>
            <w:r>
              <w:rPr>
                <w:rFonts w:hint="eastAsia" w:asciiTheme="minorEastAsia" w:hAnsiTheme="minorEastAsia" w:eastAsiaTheme="minorEastAsia"/>
                <w:color w:val="auto"/>
                <w:sz w:val="24"/>
                <w:szCs w:val="24"/>
                <w:highlight w:val="none"/>
              </w:rPr>
              <w:t>之间，平均生物量为</w:t>
            </w:r>
            <w:r>
              <w:rPr>
                <w:rFonts w:asciiTheme="minorEastAsia" w:hAnsiTheme="minorEastAsia" w:eastAsiaTheme="minorEastAsia"/>
                <w:color w:val="auto"/>
                <w:sz w:val="24"/>
                <w:szCs w:val="24"/>
                <w:highlight w:val="none"/>
              </w:rPr>
              <w:t>76.54g/㎡</w:t>
            </w:r>
            <w:r>
              <w:rPr>
                <w:rFonts w:hint="eastAsia" w:asciiTheme="minorEastAsia" w:hAnsiTheme="minorEastAsia" w:eastAsiaTheme="minorEastAsia"/>
                <w:color w:val="auto"/>
                <w:sz w:val="24"/>
                <w:szCs w:val="24"/>
                <w:highlight w:val="none"/>
              </w:rPr>
              <w:t>，分布状况详见表2.2</w:t>
            </w:r>
            <w:r>
              <w:rPr>
                <w:rFonts w:asciiTheme="minorEastAsia" w:hAnsiTheme="minorEastAsia" w:eastAsiaTheme="minorEastAsia"/>
                <w:color w:val="auto"/>
                <w:sz w:val="24"/>
                <w:szCs w:val="24"/>
                <w:highlight w:val="none"/>
              </w:rPr>
              <w:t>-9</w:t>
            </w:r>
            <w:r>
              <w:rPr>
                <w:rFonts w:hint="eastAsia" w:asciiTheme="minorEastAsia" w:hAnsiTheme="minorEastAsia" w:eastAsiaTheme="minorEastAsia"/>
                <w:color w:val="auto"/>
                <w:sz w:val="24"/>
                <w:szCs w:val="24"/>
                <w:highlight w:val="none"/>
              </w:rPr>
              <w:t>。由图可知，同一断面不同潮带生物的生物量差异较大，其中，</w:t>
            </w:r>
            <w:r>
              <w:rPr>
                <w:rFonts w:asciiTheme="minorEastAsia" w:hAnsiTheme="minorEastAsia" w:eastAsiaTheme="minorEastAsia"/>
                <w:color w:val="auto"/>
                <w:sz w:val="24"/>
                <w:szCs w:val="24"/>
                <w:highlight w:val="none"/>
              </w:rPr>
              <w:t>C1</w:t>
            </w:r>
            <w:r>
              <w:rPr>
                <w:rFonts w:hint="eastAsia" w:asciiTheme="minorEastAsia" w:hAnsiTheme="minorEastAsia" w:eastAsiaTheme="minorEastAsia"/>
                <w:color w:val="auto"/>
                <w:sz w:val="24"/>
                <w:szCs w:val="24"/>
                <w:highlight w:val="none"/>
              </w:rPr>
              <w:t>断面潮间带生物的生物量为中潮带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低潮带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高潮带；</w:t>
            </w:r>
            <w:r>
              <w:rPr>
                <w:rFonts w:asciiTheme="minorEastAsia" w:hAnsiTheme="minorEastAsia" w:eastAsiaTheme="minorEastAsia"/>
                <w:color w:val="auto"/>
                <w:sz w:val="24"/>
                <w:szCs w:val="24"/>
                <w:highlight w:val="none"/>
              </w:rPr>
              <w:t>C2</w:t>
            </w:r>
            <w:r>
              <w:rPr>
                <w:rFonts w:hint="eastAsia" w:asciiTheme="minorEastAsia" w:hAnsiTheme="minorEastAsia" w:eastAsiaTheme="minorEastAsia"/>
                <w:color w:val="auto"/>
                <w:sz w:val="24"/>
                <w:szCs w:val="24"/>
                <w:highlight w:val="none"/>
              </w:rPr>
              <w:t>断面潮间带生物的生物量为低潮带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中潮带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高潮带；</w:t>
            </w:r>
            <w:r>
              <w:rPr>
                <w:rFonts w:asciiTheme="minorEastAsia" w:hAnsiTheme="minorEastAsia" w:eastAsiaTheme="minorEastAsia"/>
                <w:color w:val="auto"/>
                <w:sz w:val="24"/>
                <w:szCs w:val="24"/>
                <w:highlight w:val="none"/>
              </w:rPr>
              <w:t>C3</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C4</w:t>
            </w:r>
            <w:r>
              <w:rPr>
                <w:rFonts w:hint="eastAsia" w:asciiTheme="minorEastAsia" w:hAnsiTheme="minorEastAsia" w:eastAsiaTheme="minorEastAsia"/>
                <w:color w:val="auto"/>
                <w:sz w:val="24"/>
                <w:szCs w:val="24"/>
                <w:highlight w:val="none"/>
              </w:rPr>
              <w:t>断面潮间带生物的生物量为低潮带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高潮带</w:t>
            </w:r>
            <w:r>
              <w:rPr>
                <w:rFonts w:asciiTheme="minorEastAsia" w:hAnsiTheme="minorEastAsia" w:eastAsiaTheme="minorEastAsia"/>
                <w:color w:val="auto"/>
                <w:sz w:val="24"/>
                <w:szCs w:val="24"/>
                <w:highlight w:val="none"/>
              </w:rPr>
              <w:t>&gt;</w:t>
            </w:r>
            <w:r>
              <w:rPr>
                <w:rFonts w:hint="eastAsia" w:asciiTheme="minorEastAsia" w:hAnsiTheme="minorEastAsia" w:eastAsiaTheme="minorEastAsia"/>
                <w:color w:val="auto"/>
                <w:sz w:val="24"/>
                <w:szCs w:val="24"/>
                <w:highlight w:val="none"/>
              </w:rPr>
              <w:t>中潮带。从不同类群来看，节肢动物和软体动物对海区生物量的贡献最大，其平均生物量分别为</w:t>
            </w:r>
            <w:r>
              <w:rPr>
                <w:rFonts w:asciiTheme="minorEastAsia" w:hAnsiTheme="minorEastAsia" w:eastAsiaTheme="minorEastAsia"/>
                <w:color w:val="auto"/>
                <w:sz w:val="24"/>
                <w:szCs w:val="24"/>
                <w:highlight w:val="none"/>
              </w:rPr>
              <w:t>39.25g/㎡</w:t>
            </w:r>
            <w:r>
              <w:rPr>
                <w:rFonts w:hint="eastAsia"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36.68g/㎡</w:t>
            </w:r>
            <w:r>
              <w:rPr>
                <w:rFonts w:hint="eastAsia" w:asciiTheme="minorEastAsia" w:hAnsiTheme="minorEastAsia" w:eastAsiaTheme="minorEastAsia"/>
                <w:color w:val="auto"/>
                <w:sz w:val="24"/>
                <w:szCs w:val="24"/>
                <w:highlight w:val="none"/>
              </w:rPr>
              <w:t>；环节动物、脊索动物和纽形动物的平均生物量均较低，介于</w:t>
            </w:r>
            <w:r>
              <w:rPr>
                <w:rFonts w:asciiTheme="minorEastAsia" w:hAnsiTheme="minorEastAsia" w:eastAsiaTheme="minorEastAsia"/>
                <w:color w:val="auto"/>
                <w:sz w:val="24"/>
                <w:szCs w:val="24"/>
                <w:highlight w:val="none"/>
              </w:rPr>
              <w:t>0.09</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0.37g/㎡</w:t>
            </w:r>
            <w:r>
              <w:rPr>
                <w:rFonts w:hint="eastAsia" w:asciiTheme="minorEastAsia" w:hAnsiTheme="minorEastAsia" w:eastAsiaTheme="minorEastAsia"/>
                <w:color w:val="auto"/>
                <w:sz w:val="24"/>
                <w:szCs w:val="24"/>
                <w:highlight w:val="none"/>
              </w:rPr>
              <w:t>之间。</w:t>
            </w:r>
          </w:p>
          <w:p>
            <w:pPr>
              <w:spacing w:line="360" w:lineRule="auto"/>
              <w:ind w:firstLine="480" w:firstLineChars="200"/>
              <w:jc w:val="left"/>
              <w:rPr>
                <w:rFonts w:hint="eastAsia" w:asciiTheme="minorEastAsia" w:hAnsiTheme="minorEastAsia" w:eastAsiaTheme="minorEastAsia"/>
                <w:color w:val="auto"/>
                <w:sz w:val="24"/>
                <w:szCs w:val="24"/>
                <w:highlight w:val="none"/>
              </w:rPr>
            </w:pP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2.2</w:t>
            </w:r>
            <w:r>
              <w:rPr>
                <w:rFonts w:asciiTheme="minorEastAsia" w:hAnsiTheme="minorEastAsia" w:eastAsiaTheme="minorEastAsia"/>
                <w:b w:val="0"/>
                <w:bCs/>
                <w:color w:val="auto"/>
                <w:sz w:val="24"/>
                <w:szCs w:val="24"/>
                <w:highlight w:val="none"/>
              </w:rPr>
              <w:t>-9</w:t>
            </w:r>
            <w:r>
              <w:rPr>
                <w:rFonts w:hint="eastAsia" w:asciiTheme="minorEastAsia" w:hAnsiTheme="minorEastAsia" w:eastAsiaTheme="minorEastAsia"/>
                <w:b w:val="0"/>
                <w:color w:val="auto"/>
                <w:sz w:val="24"/>
                <w:szCs w:val="24"/>
                <w:highlight w:val="none"/>
              </w:rPr>
              <w:t>潮间带生物生物量及其分布（单位：</w:t>
            </w:r>
            <w:r>
              <w:rPr>
                <w:rFonts w:asciiTheme="minorEastAsia" w:hAnsiTheme="minorEastAsia" w:eastAsiaTheme="minorEastAsia"/>
                <w:b w:val="0"/>
                <w:bCs/>
                <w:color w:val="auto"/>
                <w:sz w:val="24"/>
                <w:szCs w:val="24"/>
                <w:highlight w:val="none"/>
              </w:rPr>
              <w:t>g/㎡</w:t>
            </w:r>
            <w:r>
              <w:rPr>
                <w:rFonts w:hint="eastAsia" w:asciiTheme="minorEastAsia" w:hAnsiTheme="minorEastAsia" w:eastAsiaTheme="minorEastAsia"/>
                <w:b w:val="0"/>
                <w:color w:val="auto"/>
                <w:sz w:val="24"/>
                <w:szCs w:val="24"/>
                <w:highlight w:val="none"/>
              </w:rPr>
              <w:t>）</w:t>
            </w:r>
          </w:p>
          <w:p>
            <w:pPr>
              <w:rPr>
                <w:color w:val="auto"/>
                <w:highlight w:val="none"/>
              </w:rPr>
            </w:pPr>
            <w:r>
              <w:rPr>
                <w:color w:val="auto"/>
                <w:highlight w:val="none"/>
              </w:rPr>
              <w:drawing>
                <wp:inline distT="0" distB="0" distL="0" distR="0">
                  <wp:extent cx="5702300" cy="2633980"/>
                  <wp:effectExtent l="19050" t="0" r="0" b="0"/>
                  <wp:docPr id="31" name="图片 21" descr="F:\微信文件File\WeChat Files\wxid_kgkf81ca4cje21\FileStorage\Temp\1701273412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descr="F:\微信文件File\WeChat Files\wxid_kgkf81ca4cje21\FileStorage\Temp\1701273412991.png"/>
                          <pic:cNvPicPr>
                            <a:picLocks noChangeAspect="1" noChangeArrowheads="1"/>
                          </pic:cNvPicPr>
                        </pic:nvPicPr>
                        <pic:blipFill>
                          <a:blip r:embed="rId36"/>
                          <a:srcRect/>
                          <a:stretch>
                            <a:fillRect/>
                          </a:stretch>
                        </pic:blipFill>
                        <pic:spPr>
                          <a:xfrm>
                            <a:off x="0" y="0"/>
                            <a:ext cx="5702878" cy="2634562"/>
                          </a:xfrm>
                          <a:prstGeom prst="rect">
                            <a:avLst/>
                          </a:prstGeom>
                          <a:noFill/>
                          <a:ln w="9525">
                            <a:noFill/>
                            <a:miter lim="800000"/>
                            <a:headEnd/>
                            <a:tailEnd/>
                          </a:ln>
                        </pic:spPr>
                      </pic:pic>
                    </a:graphicData>
                  </a:graphic>
                </wp:inline>
              </w:drawing>
            </w:r>
          </w:p>
          <w:p>
            <w:pPr>
              <w:spacing w:line="360" w:lineRule="auto"/>
              <w:ind w:firstLine="482"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
                <w:bCs/>
                <w:color w:val="auto"/>
                <w:sz w:val="24"/>
                <w:szCs w:val="24"/>
                <w:highlight w:val="none"/>
              </w:rPr>
              <w:t>3</w:t>
            </w:r>
            <w:r>
              <w:rPr>
                <w:rFonts w:hint="eastAsia" w:cs="宋体" w:asciiTheme="minorEastAsia" w:hAnsiTheme="minorEastAsia" w:eastAsiaTheme="minorEastAsia"/>
                <w:color w:val="auto"/>
                <w:sz w:val="24"/>
                <w:szCs w:val="24"/>
                <w:highlight w:val="none"/>
              </w:rPr>
              <w:t>）优势种</w:t>
            </w:r>
            <w:r>
              <w:rPr>
                <w:rFonts w:hint="eastAsia" w:asciiTheme="minorEastAsia" w:hAnsiTheme="minorEastAsia" w:eastAsiaTheme="minorEastAsia"/>
                <w:color w:val="auto"/>
                <w:spacing w:val="-5"/>
                <w:sz w:val="24"/>
                <w:szCs w:val="24"/>
                <w:highlight w:val="none"/>
              </w:rPr>
              <w:t>及其</w:t>
            </w:r>
            <w:r>
              <w:rPr>
                <w:rFonts w:hint="eastAsia" w:cs="宋体" w:asciiTheme="minorEastAsia" w:hAnsiTheme="minorEastAsia" w:eastAsiaTheme="minorEastAsia"/>
                <w:color w:val="auto"/>
                <w:sz w:val="24"/>
                <w:szCs w:val="24"/>
                <w:highlight w:val="none"/>
              </w:rPr>
              <w:t>优势度</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根据优势度公式的计算结果，监测海域潮间带生物优势种有</w:t>
            </w:r>
            <w:r>
              <w:rPr>
                <w:rFonts w:asciiTheme="minorEastAsia" w:hAnsiTheme="minorEastAsia" w:eastAsiaTheme="minorEastAsia"/>
                <w:color w:val="auto"/>
                <w:sz w:val="24"/>
                <w:szCs w:val="24"/>
                <w:highlight w:val="none"/>
              </w:rPr>
              <w:t>2</w:t>
            </w:r>
            <w:r>
              <w:rPr>
                <w:rFonts w:hint="eastAsia" w:cs="宋体" w:asciiTheme="minorEastAsia" w:hAnsiTheme="minorEastAsia" w:eastAsiaTheme="minorEastAsia"/>
                <w:color w:val="auto"/>
                <w:sz w:val="24"/>
                <w:szCs w:val="24"/>
                <w:highlight w:val="none"/>
              </w:rPr>
              <w:t>种，分别为寄居蟹（</w:t>
            </w:r>
            <w:r>
              <w:rPr>
                <w:rFonts w:asciiTheme="minorEastAsia" w:hAnsiTheme="minorEastAsia" w:eastAsiaTheme="minorEastAsia"/>
                <w:i/>
                <w:iCs/>
                <w:color w:val="auto"/>
                <w:sz w:val="24"/>
                <w:szCs w:val="24"/>
                <w:highlight w:val="none"/>
              </w:rPr>
              <w:t>Pagurus sp.</w:t>
            </w:r>
            <w:r>
              <w:rPr>
                <w:rFonts w:hint="eastAsia" w:cs="宋体" w:asciiTheme="minorEastAsia" w:hAnsiTheme="minorEastAsia" w:eastAsiaTheme="minorEastAsia"/>
                <w:color w:val="auto"/>
                <w:sz w:val="24"/>
                <w:szCs w:val="24"/>
                <w:highlight w:val="none"/>
              </w:rPr>
              <w:t>）和藤壶（</w:t>
            </w:r>
            <w:r>
              <w:rPr>
                <w:rFonts w:asciiTheme="minorEastAsia" w:hAnsiTheme="minorEastAsia" w:eastAsiaTheme="minorEastAsia"/>
                <w:i/>
                <w:iCs/>
                <w:color w:val="auto"/>
                <w:sz w:val="24"/>
                <w:szCs w:val="24"/>
                <w:highlight w:val="none"/>
              </w:rPr>
              <w:t>Balanus sp.</w:t>
            </w:r>
            <w:r>
              <w:rPr>
                <w:rFonts w:hint="eastAsia" w:cs="宋体" w:asciiTheme="minorEastAsia" w:hAnsiTheme="minorEastAsia" w:eastAsiaTheme="minorEastAsia"/>
                <w:color w:val="auto"/>
                <w:sz w:val="24"/>
                <w:szCs w:val="24"/>
                <w:highlight w:val="none"/>
              </w:rPr>
              <w:t>），优势度分别为</w:t>
            </w:r>
            <w:r>
              <w:rPr>
                <w:rFonts w:asciiTheme="minorEastAsia" w:hAnsiTheme="minorEastAsia" w:eastAsiaTheme="minorEastAsia"/>
                <w:color w:val="auto"/>
                <w:sz w:val="24"/>
                <w:szCs w:val="24"/>
                <w:highlight w:val="none"/>
              </w:rPr>
              <w:t>0.051</w:t>
            </w:r>
            <w:r>
              <w:rPr>
                <w:rFonts w:hint="eastAsia" w:cs="宋体" w:asciiTheme="minorEastAsia" w:hAnsiTheme="minorEastAsia" w:eastAsiaTheme="minorEastAsia"/>
                <w:color w:val="auto"/>
                <w:sz w:val="24"/>
                <w:szCs w:val="24"/>
                <w:highlight w:val="none"/>
              </w:rPr>
              <w:t>和</w:t>
            </w:r>
            <w:r>
              <w:rPr>
                <w:rFonts w:asciiTheme="minorEastAsia" w:hAnsiTheme="minorEastAsia" w:eastAsiaTheme="minorEastAsia"/>
                <w:color w:val="auto"/>
                <w:sz w:val="24"/>
                <w:szCs w:val="24"/>
                <w:highlight w:val="none"/>
              </w:rPr>
              <w:t>0.033</w:t>
            </w:r>
            <w:r>
              <w:rPr>
                <w:rFonts w:hint="eastAsia" w:cs="宋体" w:asciiTheme="minorEastAsia" w:hAnsiTheme="minorEastAsia" w:eastAsiaTheme="minorEastAsia"/>
                <w:color w:val="auto"/>
                <w:sz w:val="24"/>
                <w:szCs w:val="24"/>
                <w:highlight w:val="none"/>
              </w:rPr>
              <w:t>。</w:t>
            </w:r>
          </w:p>
          <w:p>
            <w:pPr>
              <w:spacing w:line="360" w:lineRule="auto"/>
              <w:ind w:firstLine="482"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
                <w:bCs/>
                <w:color w:val="auto"/>
                <w:sz w:val="24"/>
                <w:szCs w:val="24"/>
                <w:highlight w:val="none"/>
              </w:rPr>
              <w:t>4</w:t>
            </w:r>
            <w:r>
              <w:rPr>
                <w:rFonts w:hint="eastAsia" w:cs="宋体" w:asciiTheme="minorEastAsia" w:hAnsiTheme="minorEastAsia" w:eastAsiaTheme="minorEastAsia"/>
                <w:color w:val="auto"/>
                <w:sz w:val="24"/>
                <w:szCs w:val="24"/>
                <w:highlight w:val="none"/>
              </w:rPr>
              <w:t>）种类</w:t>
            </w:r>
            <w:r>
              <w:rPr>
                <w:rFonts w:hint="eastAsia" w:asciiTheme="minorEastAsia" w:hAnsiTheme="minorEastAsia" w:eastAsiaTheme="minorEastAsia"/>
                <w:color w:val="auto"/>
                <w:spacing w:val="-5"/>
                <w:sz w:val="24"/>
                <w:szCs w:val="24"/>
                <w:highlight w:val="none"/>
              </w:rPr>
              <w:t>多样性指数</w:t>
            </w:r>
            <w:r>
              <w:rPr>
                <w:rFonts w:hint="eastAsia" w:cs="宋体" w:asciiTheme="minorEastAsia" w:hAnsiTheme="minorEastAsia" w:eastAsiaTheme="minorEastAsia"/>
                <w:color w:val="auto"/>
                <w:sz w:val="24"/>
                <w:szCs w:val="24"/>
                <w:highlight w:val="none"/>
              </w:rPr>
              <w:t>、均匀度和丰富度</w:t>
            </w: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潮间带生物的种类</w:t>
            </w:r>
            <w:r>
              <w:rPr>
                <w:rFonts w:hint="eastAsia" w:asciiTheme="minorEastAsia" w:hAnsiTheme="minorEastAsia" w:eastAsiaTheme="minorEastAsia"/>
                <w:color w:val="auto"/>
                <w:spacing w:val="-5"/>
                <w:sz w:val="24"/>
                <w:szCs w:val="24"/>
                <w:highlight w:val="none"/>
              </w:rPr>
              <w:t>多样性指数</w:t>
            </w:r>
            <w:r>
              <w:rPr>
                <w:rFonts w:asciiTheme="minorEastAsia" w:hAnsiTheme="minorEastAsia" w:eastAsiaTheme="minorEastAsia"/>
                <w:i/>
                <w:iCs/>
                <w:color w:val="auto"/>
                <w:sz w:val="24"/>
                <w:szCs w:val="24"/>
                <w:highlight w:val="none"/>
              </w:rPr>
              <w:t>H′</w:t>
            </w:r>
            <w:r>
              <w:rPr>
                <w:rFonts w:hint="eastAsia" w:cs="宋体" w:asciiTheme="minorEastAsia" w:hAnsiTheme="minorEastAsia" w:eastAsiaTheme="minorEastAsia"/>
                <w:color w:val="auto"/>
                <w:sz w:val="24"/>
                <w:szCs w:val="24"/>
                <w:highlight w:val="none"/>
              </w:rPr>
              <w:t>、均匀度</w:t>
            </w:r>
            <w:r>
              <w:rPr>
                <w:rFonts w:asciiTheme="minorEastAsia" w:hAnsiTheme="minorEastAsia" w:eastAsiaTheme="minorEastAsia"/>
                <w:i/>
                <w:iCs/>
                <w:color w:val="auto"/>
                <w:sz w:val="24"/>
                <w:szCs w:val="24"/>
                <w:highlight w:val="none"/>
              </w:rPr>
              <w:t>J′</w:t>
            </w:r>
            <w:r>
              <w:rPr>
                <w:rFonts w:hint="eastAsia" w:cs="宋体" w:asciiTheme="minorEastAsia" w:hAnsiTheme="minorEastAsia" w:eastAsiaTheme="minorEastAsia"/>
                <w:color w:val="auto"/>
                <w:sz w:val="24"/>
                <w:szCs w:val="24"/>
                <w:highlight w:val="none"/>
              </w:rPr>
              <w:t>及丰富度指数</w:t>
            </w:r>
            <w:r>
              <w:rPr>
                <w:rFonts w:asciiTheme="minorEastAsia" w:hAnsiTheme="minorEastAsia" w:eastAsiaTheme="minorEastAsia"/>
                <w:i/>
                <w:iCs/>
                <w:color w:val="auto"/>
                <w:sz w:val="24"/>
                <w:szCs w:val="24"/>
                <w:highlight w:val="none"/>
              </w:rPr>
              <w:t>d</w:t>
            </w:r>
            <w:r>
              <w:rPr>
                <w:rFonts w:hint="eastAsia" w:cs="宋体" w:asciiTheme="minorEastAsia" w:hAnsiTheme="minorEastAsia" w:eastAsiaTheme="minorEastAsia"/>
                <w:color w:val="auto"/>
                <w:sz w:val="24"/>
                <w:szCs w:val="24"/>
                <w:highlight w:val="none"/>
              </w:rPr>
              <w:t>的计算结果列于表2.2</w:t>
            </w:r>
            <w:r>
              <w:rPr>
                <w:rFonts w:asciiTheme="minorEastAsia" w:hAnsiTheme="minorEastAsia" w:eastAsiaTheme="minorEastAsia"/>
                <w:color w:val="auto"/>
                <w:sz w:val="24"/>
                <w:szCs w:val="24"/>
                <w:highlight w:val="none"/>
              </w:rPr>
              <w:t>-10</w:t>
            </w:r>
            <w:r>
              <w:rPr>
                <w:rFonts w:hint="eastAsia" w:cs="宋体" w:asciiTheme="minorEastAsia" w:hAnsiTheme="minorEastAsia" w:eastAsiaTheme="minorEastAsia"/>
                <w:color w:val="auto"/>
                <w:sz w:val="24"/>
                <w:szCs w:val="24"/>
                <w:highlight w:val="none"/>
              </w:rPr>
              <w:t>。由表可见，调查海域各站位潮间带生物种类多样性指数在</w:t>
            </w:r>
            <w:r>
              <w:rPr>
                <w:rFonts w:asciiTheme="minorEastAsia" w:hAnsiTheme="minorEastAsia" w:eastAsiaTheme="minorEastAsia"/>
                <w:color w:val="auto"/>
                <w:sz w:val="24"/>
                <w:szCs w:val="24"/>
                <w:highlight w:val="none"/>
              </w:rPr>
              <w:t>0</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2.35</w:t>
            </w:r>
            <w:r>
              <w:rPr>
                <w:rFonts w:hint="eastAsia" w:cs="宋体"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1.39</w:t>
            </w:r>
            <w:r>
              <w:rPr>
                <w:rFonts w:hint="eastAsia" w:cs="宋体" w:asciiTheme="minorEastAsia" w:hAnsiTheme="minorEastAsia" w:eastAsiaTheme="minorEastAsia"/>
                <w:color w:val="auto"/>
                <w:sz w:val="24"/>
                <w:szCs w:val="24"/>
                <w:highlight w:val="none"/>
              </w:rPr>
              <w:t>；均匀度在</w:t>
            </w:r>
            <w:r>
              <w:rPr>
                <w:rFonts w:asciiTheme="minorEastAsia" w:hAnsiTheme="minorEastAsia" w:eastAsiaTheme="minorEastAsia"/>
                <w:color w:val="auto"/>
                <w:sz w:val="24"/>
                <w:szCs w:val="24"/>
                <w:highlight w:val="none"/>
              </w:rPr>
              <w:t>0.46</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1.00</w:t>
            </w:r>
            <w:r>
              <w:rPr>
                <w:rFonts w:hint="eastAsia" w:cs="宋体"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0.84</w:t>
            </w:r>
            <w:r>
              <w:rPr>
                <w:rFonts w:hint="eastAsia" w:cs="宋体" w:asciiTheme="minorEastAsia" w:hAnsiTheme="minorEastAsia" w:eastAsiaTheme="minorEastAsia"/>
                <w:color w:val="auto"/>
                <w:sz w:val="24"/>
                <w:szCs w:val="24"/>
                <w:highlight w:val="none"/>
              </w:rPr>
              <w:t>；丰富度指数在</w:t>
            </w:r>
            <w:r>
              <w:rPr>
                <w:rFonts w:asciiTheme="minorEastAsia" w:hAnsiTheme="minorEastAsia" w:eastAsiaTheme="minorEastAsia"/>
                <w:color w:val="auto"/>
                <w:sz w:val="24"/>
                <w:szCs w:val="24"/>
                <w:highlight w:val="none"/>
              </w:rPr>
              <w:t>0</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0.87</w:t>
            </w:r>
            <w:r>
              <w:rPr>
                <w:rFonts w:hint="eastAsia" w:cs="宋体" w:asciiTheme="minorEastAsia" w:hAnsiTheme="minorEastAsia" w:eastAsiaTheme="minorEastAsia"/>
                <w:color w:val="auto"/>
                <w:sz w:val="24"/>
                <w:szCs w:val="24"/>
                <w:highlight w:val="none"/>
              </w:rPr>
              <w:t>之间，平均值为</w:t>
            </w:r>
            <w:r>
              <w:rPr>
                <w:rFonts w:asciiTheme="minorEastAsia" w:hAnsiTheme="minorEastAsia" w:eastAsiaTheme="minorEastAsia"/>
                <w:color w:val="auto"/>
                <w:sz w:val="24"/>
                <w:szCs w:val="24"/>
                <w:highlight w:val="none"/>
              </w:rPr>
              <w:t>0.47</w:t>
            </w:r>
            <w:r>
              <w:rPr>
                <w:rFonts w:hint="eastAsia" w:cs="宋体" w:asciiTheme="minorEastAsia" w:hAnsiTheme="minorEastAsia" w:eastAsiaTheme="minorEastAsia"/>
                <w:color w:val="auto"/>
                <w:sz w:val="24"/>
                <w:szCs w:val="24"/>
                <w:highlight w:val="none"/>
              </w:rPr>
              <w:t>。整体来说，调查海域潮间带生物的多样性指数处于中等或较低水平，均匀度普遍较高但丰富度较低。</w:t>
            </w: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sz w:val="24"/>
                <w:szCs w:val="24"/>
                <w:highlight w:val="none"/>
              </w:rPr>
            </w:pPr>
          </w:p>
          <w:p>
            <w:pPr>
              <w:jc w:val="center"/>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表2.2</w:t>
            </w:r>
            <w:r>
              <w:rPr>
                <w:rFonts w:asciiTheme="minorEastAsia" w:hAnsiTheme="minorEastAsia" w:eastAsiaTheme="minorEastAsia"/>
                <w:b/>
                <w:bCs/>
                <w:color w:val="auto"/>
                <w:sz w:val="24"/>
                <w:szCs w:val="24"/>
                <w:highlight w:val="none"/>
              </w:rPr>
              <w:t>-10</w:t>
            </w:r>
            <w:r>
              <w:rPr>
                <w:rFonts w:hint="eastAsia" w:asciiTheme="minorEastAsia" w:hAnsiTheme="minorEastAsia" w:eastAsiaTheme="minorEastAsia"/>
                <w:color w:val="auto"/>
                <w:sz w:val="24"/>
                <w:szCs w:val="24"/>
                <w:highlight w:val="none"/>
              </w:rPr>
              <w:t>潮间带生物种类多样性指数、均匀度和丰富度</w:t>
            </w:r>
          </w:p>
          <w:p>
            <w:pPr>
              <w:pStyle w:val="3"/>
              <w:rPr>
                <w:color w:val="auto"/>
                <w:highlight w:val="none"/>
              </w:rPr>
            </w:pPr>
            <w:r>
              <w:rPr>
                <w:color w:val="auto"/>
                <w:highlight w:val="none"/>
              </w:rPr>
              <w:drawing>
                <wp:inline distT="0" distB="0" distL="0" distR="0">
                  <wp:extent cx="5744210" cy="4342130"/>
                  <wp:effectExtent l="19050" t="0" r="8659" b="0"/>
                  <wp:docPr id="64" name="图片 22" descr="F:\微信文件File\WeChat Files\wxid_kgkf81ca4cje21\FileStorage\Temp\170127347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descr="F:\微信文件File\WeChat Files\wxid_kgkf81ca4cje21\FileStorage\Temp\1701273473841.png"/>
                          <pic:cNvPicPr>
                            <a:picLocks noChangeAspect="1" noChangeArrowheads="1"/>
                          </pic:cNvPicPr>
                        </pic:nvPicPr>
                        <pic:blipFill>
                          <a:blip r:embed="rId37"/>
                          <a:srcRect/>
                          <a:stretch>
                            <a:fillRect/>
                          </a:stretch>
                        </pic:blipFill>
                        <pic:spPr>
                          <a:xfrm>
                            <a:off x="0" y="0"/>
                            <a:ext cx="5744081" cy="4341978"/>
                          </a:xfrm>
                          <a:prstGeom prst="rect">
                            <a:avLst/>
                          </a:prstGeom>
                          <a:noFill/>
                          <a:ln w="9525">
                            <a:noFill/>
                            <a:miter lim="800000"/>
                            <a:headEnd/>
                            <a:tailEnd/>
                          </a:ln>
                        </pic:spPr>
                      </pic:pic>
                    </a:graphicData>
                  </a:graphic>
                </wp:inline>
              </w:drawing>
            </w:r>
          </w:p>
          <w:p>
            <w:pPr>
              <w:spacing w:line="360" w:lineRule="auto"/>
              <w:ind w:firstLine="420" w:firstLineChars="200"/>
              <w:jc w:val="left"/>
              <w:rPr>
                <w:color w:val="auto"/>
                <w:highlight w:val="none"/>
              </w:rPr>
            </w:pPr>
          </w:p>
          <w:p>
            <w:pPr>
              <w:spacing w:line="360" w:lineRule="auto"/>
              <w:ind w:firstLine="480" w:firstLineChars="200"/>
              <w:jc w:val="left"/>
              <w:rPr>
                <w:color w:val="auto"/>
                <w:sz w:val="24"/>
                <w:szCs w:val="24"/>
                <w:highlight w:val="none"/>
              </w:rPr>
            </w:pPr>
            <w:r>
              <w:rPr>
                <w:rFonts w:hint="eastAsia"/>
                <w:color w:val="auto"/>
                <w:sz w:val="24"/>
                <w:szCs w:val="24"/>
                <w:highlight w:val="none"/>
              </w:rPr>
              <w:t>（</w:t>
            </w:r>
            <w:r>
              <w:rPr>
                <w:rFonts w:ascii="Times New Roman"/>
                <w:b/>
                <w:bCs/>
                <w:color w:val="auto"/>
                <w:sz w:val="24"/>
                <w:szCs w:val="24"/>
                <w:highlight w:val="none"/>
              </w:rPr>
              <w:t>6</w:t>
            </w:r>
            <w:r>
              <w:rPr>
                <w:rFonts w:hint="eastAsia"/>
                <w:color w:val="auto"/>
                <w:sz w:val="24"/>
                <w:szCs w:val="24"/>
                <w:highlight w:val="none"/>
              </w:rPr>
              <w:t>）鱼卵仔鱼</w:t>
            </w:r>
          </w:p>
          <w:p>
            <w:pPr>
              <w:spacing w:line="360" w:lineRule="auto"/>
              <w:ind w:firstLine="480" w:firstLineChars="200"/>
              <w:jc w:val="left"/>
              <w:rPr>
                <w:color w:val="auto"/>
                <w:sz w:val="24"/>
                <w:szCs w:val="24"/>
                <w:highlight w:val="none"/>
              </w:rPr>
            </w:pPr>
            <w:r>
              <w:rPr>
                <w:rFonts w:hint="eastAsia"/>
                <w:color w:val="auto"/>
                <w:sz w:val="24"/>
                <w:szCs w:val="24"/>
                <w:highlight w:val="none"/>
              </w:rPr>
              <w:t>本次监测鱼卵仔鱼调查站位与浮游生物相同。现场调查采用浅水</w:t>
            </w:r>
            <w:r>
              <w:rPr>
                <w:rFonts w:hint="eastAsia" w:ascii="宋体" w:hAnsi="宋体" w:cs="宋体"/>
                <w:color w:val="auto"/>
                <w:sz w:val="24"/>
                <w:szCs w:val="24"/>
                <w:highlight w:val="none"/>
              </w:rPr>
              <w:t>Ⅰ</w:t>
            </w:r>
            <w:r>
              <w:rPr>
                <w:rFonts w:hint="eastAsia"/>
                <w:color w:val="auto"/>
                <w:sz w:val="24"/>
                <w:szCs w:val="24"/>
                <w:highlight w:val="none"/>
              </w:rPr>
              <w:t>型浮游生物网（网口面积</w:t>
            </w:r>
            <w:r>
              <w:rPr>
                <w:rFonts w:ascii="Times New Roman"/>
                <w:color w:val="auto"/>
                <w:sz w:val="24"/>
                <w:szCs w:val="24"/>
                <w:highlight w:val="none"/>
              </w:rPr>
              <w:t>0.2㎡</w:t>
            </w:r>
            <w:r>
              <w:rPr>
                <w:rFonts w:hint="eastAsia"/>
                <w:color w:val="auto"/>
                <w:sz w:val="24"/>
                <w:szCs w:val="24"/>
                <w:highlight w:val="none"/>
              </w:rPr>
              <w:t>，网口直径</w:t>
            </w:r>
            <w:r>
              <w:rPr>
                <w:rFonts w:ascii="Times New Roman"/>
                <w:color w:val="auto"/>
                <w:sz w:val="24"/>
                <w:szCs w:val="24"/>
                <w:highlight w:val="none"/>
              </w:rPr>
              <w:t>50cm</w:t>
            </w:r>
            <w:r>
              <w:rPr>
                <w:rFonts w:hint="eastAsia"/>
                <w:color w:val="auto"/>
                <w:sz w:val="24"/>
                <w:szCs w:val="24"/>
                <w:highlight w:val="none"/>
              </w:rPr>
              <w:t>，网长</w:t>
            </w:r>
            <w:r>
              <w:rPr>
                <w:rFonts w:ascii="Times New Roman"/>
                <w:color w:val="auto"/>
                <w:sz w:val="24"/>
                <w:szCs w:val="24"/>
                <w:highlight w:val="none"/>
              </w:rPr>
              <w:t>145cm</w:t>
            </w:r>
            <w:r>
              <w:rPr>
                <w:rFonts w:hint="eastAsia"/>
                <w:color w:val="auto"/>
                <w:sz w:val="24"/>
                <w:szCs w:val="24"/>
                <w:highlight w:val="none"/>
              </w:rPr>
              <w:t>）进行水平拖网采样调查，采集到的样品用</w:t>
            </w:r>
            <w:r>
              <w:rPr>
                <w:rFonts w:ascii="Times New Roman"/>
                <w:color w:val="auto"/>
                <w:sz w:val="24"/>
                <w:szCs w:val="24"/>
                <w:highlight w:val="none"/>
              </w:rPr>
              <w:t>5%</w:t>
            </w:r>
            <w:r>
              <w:rPr>
                <w:rFonts w:hint="eastAsia"/>
                <w:color w:val="auto"/>
                <w:sz w:val="24"/>
                <w:szCs w:val="24"/>
                <w:highlight w:val="none"/>
              </w:rPr>
              <w:t>的甲醛溶液固定，带回实验室进行种类鉴定和个体数量计数。</w:t>
            </w:r>
          </w:p>
          <w:p>
            <w:pPr>
              <w:spacing w:line="360" w:lineRule="auto"/>
              <w:ind w:firstLine="482" w:firstLineChars="200"/>
              <w:jc w:val="left"/>
              <w:rPr>
                <w:color w:val="auto"/>
                <w:sz w:val="24"/>
                <w:szCs w:val="24"/>
                <w:highlight w:val="none"/>
              </w:rPr>
            </w:pPr>
            <w:r>
              <w:rPr>
                <w:rFonts w:ascii="Times New Roman"/>
                <w:b/>
                <w:bCs/>
                <w:color w:val="auto"/>
                <w:sz w:val="24"/>
                <w:szCs w:val="24"/>
                <w:highlight w:val="none"/>
              </w:rPr>
              <w:t>1</w:t>
            </w:r>
            <w:r>
              <w:rPr>
                <w:rFonts w:hint="eastAsia"/>
                <w:color w:val="auto"/>
                <w:sz w:val="24"/>
                <w:szCs w:val="24"/>
                <w:highlight w:val="none"/>
              </w:rPr>
              <w:t>）种类组成及</w:t>
            </w:r>
            <w:r>
              <w:rPr>
                <w:rFonts w:hint="eastAsia"/>
                <w:color w:val="auto"/>
                <w:spacing w:val="-5"/>
                <w:sz w:val="24"/>
                <w:szCs w:val="24"/>
                <w:highlight w:val="none"/>
              </w:rPr>
              <w:t>数量</w:t>
            </w:r>
            <w:r>
              <w:rPr>
                <w:rFonts w:hint="eastAsia"/>
                <w:color w:val="auto"/>
                <w:sz w:val="24"/>
                <w:szCs w:val="24"/>
                <w:highlight w:val="none"/>
              </w:rPr>
              <w:t>分布</w:t>
            </w:r>
          </w:p>
          <w:p>
            <w:pPr>
              <w:spacing w:line="360" w:lineRule="auto"/>
              <w:ind w:firstLine="480" w:firstLineChars="200"/>
              <w:jc w:val="left"/>
              <w:rPr>
                <w:color w:val="auto"/>
                <w:sz w:val="24"/>
                <w:szCs w:val="24"/>
                <w:highlight w:val="none"/>
              </w:rPr>
            </w:pPr>
            <w:r>
              <w:rPr>
                <w:rFonts w:hint="eastAsia"/>
                <w:color w:val="auto"/>
                <w:sz w:val="24"/>
                <w:szCs w:val="24"/>
                <w:highlight w:val="none"/>
              </w:rPr>
              <w:t>本次定性调查（</w:t>
            </w:r>
            <w:r>
              <w:rPr>
                <w:rFonts w:hint="eastAsia"/>
                <w:color w:val="auto"/>
                <w:spacing w:val="-5"/>
                <w:sz w:val="24"/>
                <w:szCs w:val="24"/>
                <w:highlight w:val="none"/>
              </w:rPr>
              <w:t>水平</w:t>
            </w:r>
            <w:r>
              <w:rPr>
                <w:rFonts w:hint="eastAsia"/>
                <w:color w:val="auto"/>
                <w:sz w:val="24"/>
                <w:szCs w:val="24"/>
                <w:highlight w:val="none"/>
              </w:rPr>
              <w:t>拖网）共采获鱼卵</w:t>
            </w:r>
            <w:r>
              <w:rPr>
                <w:rFonts w:ascii="Times New Roman"/>
                <w:color w:val="auto"/>
                <w:sz w:val="24"/>
                <w:szCs w:val="24"/>
                <w:highlight w:val="none"/>
              </w:rPr>
              <w:t>8663</w:t>
            </w:r>
            <w:r>
              <w:rPr>
                <w:rFonts w:hint="eastAsia"/>
                <w:color w:val="auto"/>
                <w:sz w:val="24"/>
                <w:szCs w:val="24"/>
                <w:highlight w:val="none"/>
              </w:rPr>
              <w:t>粒，经鉴定隶属于</w:t>
            </w:r>
            <w:r>
              <w:rPr>
                <w:rFonts w:ascii="Times New Roman"/>
                <w:color w:val="auto"/>
                <w:sz w:val="24"/>
                <w:szCs w:val="24"/>
                <w:highlight w:val="none"/>
              </w:rPr>
              <w:t>1</w:t>
            </w:r>
            <w:r>
              <w:rPr>
                <w:rFonts w:hint="eastAsia"/>
                <w:color w:val="auto"/>
                <w:sz w:val="24"/>
                <w:szCs w:val="24"/>
                <w:highlight w:val="none"/>
              </w:rPr>
              <w:t>个门</w:t>
            </w:r>
            <w:r>
              <w:rPr>
                <w:rFonts w:ascii="Times New Roman"/>
                <w:color w:val="auto"/>
                <w:sz w:val="24"/>
                <w:szCs w:val="24"/>
                <w:highlight w:val="none"/>
              </w:rPr>
              <w:t>3</w:t>
            </w:r>
            <w:r>
              <w:rPr>
                <w:rFonts w:hint="eastAsia"/>
                <w:color w:val="auto"/>
                <w:sz w:val="24"/>
                <w:szCs w:val="24"/>
                <w:highlight w:val="none"/>
              </w:rPr>
              <w:t>科</w:t>
            </w:r>
            <w:r>
              <w:rPr>
                <w:rFonts w:ascii="Times New Roman"/>
                <w:color w:val="auto"/>
                <w:sz w:val="24"/>
                <w:szCs w:val="24"/>
                <w:highlight w:val="none"/>
              </w:rPr>
              <w:t>4</w:t>
            </w:r>
            <w:r>
              <w:rPr>
                <w:rFonts w:hint="eastAsia"/>
                <w:color w:val="auto"/>
                <w:sz w:val="24"/>
                <w:szCs w:val="24"/>
                <w:highlight w:val="none"/>
              </w:rPr>
              <w:t>种，其中鲾科（</w:t>
            </w:r>
            <w:r>
              <w:rPr>
                <w:rFonts w:ascii="Times New Roman"/>
                <w:color w:val="auto"/>
                <w:sz w:val="24"/>
                <w:szCs w:val="24"/>
                <w:highlight w:val="none"/>
              </w:rPr>
              <w:t>Leiognathidae sp.</w:t>
            </w:r>
            <w:r>
              <w:rPr>
                <w:rFonts w:hint="eastAsia"/>
                <w:color w:val="auto"/>
                <w:sz w:val="24"/>
                <w:szCs w:val="24"/>
                <w:highlight w:val="none"/>
              </w:rPr>
              <w:t>）</w:t>
            </w:r>
            <w:r>
              <w:rPr>
                <w:rFonts w:ascii="Times New Roman"/>
                <w:color w:val="auto"/>
                <w:sz w:val="24"/>
                <w:szCs w:val="24"/>
                <w:highlight w:val="none"/>
              </w:rPr>
              <w:t>6681</w:t>
            </w:r>
            <w:r>
              <w:rPr>
                <w:rFonts w:hint="eastAsia"/>
                <w:color w:val="auto"/>
                <w:sz w:val="24"/>
                <w:szCs w:val="24"/>
                <w:highlight w:val="none"/>
              </w:rPr>
              <w:t>粒，鳀科（</w:t>
            </w:r>
            <w:r>
              <w:rPr>
                <w:rFonts w:ascii="Times New Roman"/>
                <w:color w:val="auto"/>
                <w:sz w:val="24"/>
                <w:szCs w:val="24"/>
                <w:highlight w:val="none"/>
              </w:rPr>
              <w:t>Engraulidae sp.</w:t>
            </w:r>
            <w:r>
              <w:rPr>
                <w:rFonts w:hint="eastAsia"/>
                <w:color w:val="auto"/>
                <w:sz w:val="24"/>
                <w:szCs w:val="24"/>
                <w:highlight w:val="none"/>
              </w:rPr>
              <w:t>）</w:t>
            </w:r>
            <w:r>
              <w:rPr>
                <w:rFonts w:ascii="Times New Roman"/>
                <w:color w:val="auto"/>
                <w:sz w:val="24"/>
                <w:szCs w:val="24"/>
                <w:highlight w:val="none"/>
              </w:rPr>
              <w:t>1345</w:t>
            </w:r>
            <w:r>
              <w:rPr>
                <w:rFonts w:hint="eastAsia"/>
                <w:color w:val="auto"/>
                <w:sz w:val="24"/>
                <w:szCs w:val="24"/>
                <w:highlight w:val="none"/>
              </w:rPr>
              <w:t>粒，鲻科（</w:t>
            </w:r>
            <w:r>
              <w:rPr>
                <w:rFonts w:ascii="Times New Roman"/>
                <w:color w:val="auto"/>
                <w:sz w:val="24"/>
                <w:szCs w:val="24"/>
                <w:highlight w:val="none"/>
              </w:rPr>
              <w:t>Mugilidae sp.</w:t>
            </w:r>
            <w:r>
              <w:rPr>
                <w:rFonts w:hint="eastAsia"/>
                <w:color w:val="auto"/>
                <w:sz w:val="24"/>
                <w:szCs w:val="24"/>
                <w:highlight w:val="none"/>
              </w:rPr>
              <w:t>）</w:t>
            </w:r>
            <w:r>
              <w:rPr>
                <w:rFonts w:ascii="Times New Roman"/>
                <w:color w:val="auto"/>
                <w:sz w:val="24"/>
                <w:szCs w:val="24"/>
                <w:highlight w:val="none"/>
              </w:rPr>
              <w:t>4</w:t>
            </w:r>
            <w:r>
              <w:rPr>
                <w:rFonts w:hint="eastAsia"/>
                <w:color w:val="auto"/>
                <w:sz w:val="24"/>
                <w:szCs w:val="24"/>
                <w:highlight w:val="none"/>
              </w:rPr>
              <w:t>粒，未定种</w:t>
            </w:r>
            <w:r>
              <w:rPr>
                <w:rFonts w:ascii="Times New Roman"/>
                <w:color w:val="auto"/>
                <w:sz w:val="24"/>
                <w:szCs w:val="24"/>
                <w:highlight w:val="none"/>
              </w:rPr>
              <w:t>633</w:t>
            </w:r>
            <w:r>
              <w:rPr>
                <w:rFonts w:hint="eastAsia"/>
                <w:color w:val="auto"/>
                <w:sz w:val="24"/>
                <w:szCs w:val="24"/>
                <w:highlight w:val="none"/>
              </w:rPr>
              <w:t>粒。共采获仔稚鱼</w:t>
            </w:r>
            <w:r>
              <w:rPr>
                <w:rFonts w:ascii="Times New Roman"/>
                <w:color w:val="auto"/>
                <w:sz w:val="24"/>
                <w:szCs w:val="24"/>
                <w:highlight w:val="none"/>
              </w:rPr>
              <w:t>624</w:t>
            </w:r>
            <w:r>
              <w:rPr>
                <w:rFonts w:hint="eastAsia"/>
                <w:color w:val="auto"/>
                <w:sz w:val="24"/>
                <w:szCs w:val="24"/>
                <w:highlight w:val="none"/>
              </w:rPr>
              <w:t>尾，经鉴定隶属于</w:t>
            </w:r>
            <w:r>
              <w:rPr>
                <w:rFonts w:ascii="Times New Roman"/>
                <w:color w:val="auto"/>
                <w:sz w:val="24"/>
                <w:szCs w:val="24"/>
                <w:highlight w:val="none"/>
              </w:rPr>
              <w:t>1</w:t>
            </w:r>
            <w:r>
              <w:rPr>
                <w:rFonts w:hint="eastAsia"/>
                <w:color w:val="auto"/>
                <w:sz w:val="24"/>
                <w:szCs w:val="24"/>
                <w:highlight w:val="none"/>
              </w:rPr>
              <w:t>个门</w:t>
            </w:r>
            <w:r>
              <w:rPr>
                <w:rFonts w:ascii="Times New Roman"/>
                <w:color w:val="auto"/>
                <w:sz w:val="24"/>
                <w:szCs w:val="24"/>
                <w:highlight w:val="none"/>
              </w:rPr>
              <w:t>12</w:t>
            </w:r>
            <w:r>
              <w:rPr>
                <w:rFonts w:hint="eastAsia"/>
                <w:color w:val="auto"/>
                <w:sz w:val="24"/>
                <w:szCs w:val="24"/>
                <w:highlight w:val="none"/>
              </w:rPr>
              <w:t>科</w:t>
            </w:r>
            <w:r>
              <w:rPr>
                <w:rFonts w:ascii="Times New Roman"/>
                <w:color w:val="auto"/>
                <w:sz w:val="24"/>
                <w:szCs w:val="24"/>
                <w:highlight w:val="none"/>
              </w:rPr>
              <w:t>15</w:t>
            </w:r>
            <w:r>
              <w:rPr>
                <w:rFonts w:hint="eastAsia"/>
                <w:color w:val="auto"/>
                <w:sz w:val="24"/>
                <w:szCs w:val="24"/>
                <w:highlight w:val="none"/>
              </w:rPr>
              <w:t>种，其中鳚科肩鳃鳚属（</w:t>
            </w:r>
            <w:r>
              <w:rPr>
                <w:rFonts w:ascii="Times New Roman"/>
                <w:i/>
                <w:iCs/>
                <w:color w:val="auto"/>
                <w:sz w:val="24"/>
                <w:szCs w:val="24"/>
                <w:highlight w:val="none"/>
              </w:rPr>
              <w:t xml:space="preserve">Omobranchus </w:t>
            </w:r>
            <w:r>
              <w:rPr>
                <w:rFonts w:ascii="Times New Roman"/>
                <w:color w:val="auto"/>
                <w:sz w:val="24"/>
                <w:szCs w:val="24"/>
                <w:highlight w:val="none"/>
              </w:rPr>
              <w:t>sp.</w:t>
            </w:r>
            <w:r>
              <w:rPr>
                <w:rFonts w:hint="eastAsia"/>
                <w:color w:val="auto"/>
                <w:sz w:val="24"/>
                <w:szCs w:val="24"/>
                <w:highlight w:val="none"/>
              </w:rPr>
              <w:t>）</w:t>
            </w:r>
            <w:r>
              <w:rPr>
                <w:rFonts w:ascii="Times New Roman"/>
                <w:color w:val="auto"/>
                <w:sz w:val="24"/>
                <w:szCs w:val="24"/>
                <w:highlight w:val="none"/>
              </w:rPr>
              <w:t>340</w:t>
            </w:r>
            <w:r>
              <w:rPr>
                <w:rFonts w:hint="eastAsia"/>
                <w:color w:val="auto"/>
                <w:sz w:val="24"/>
                <w:szCs w:val="24"/>
                <w:highlight w:val="none"/>
              </w:rPr>
              <w:t>尾，鳚科（</w:t>
            </w:r>
            <w:r>
              <w:rPr>
                <w:rFonts w:ascii="Times New Roman"/>
                <w:color w:val="auto"/>
                <w:sz w:val="24"/>
                <w:szCs w:val="24"/>
                <w:highlight w:val="none"/>
              </w:rPr>
              <w:t>Blenniidae sp.</w:t>
            </w:r>
            <w:r>
              <w:rPr>
                <w:rFonts w:hint="eastAsia"/>
                <w:color w:val="auto"/>
                <w:sz w:val="24"/>
                <w:szCs w:val="24"/>
                <w:highlight w:val="none"/>
              </w:rPr>
              <w:t>）</w:t>
            </w:r>
            <w:r>
              <w:rPr>
                <w:rFonts w:ascii="Times New Roman"/>
                <w:color w:val="auto"/>
                <w:sz w:val="24"/>
                <w:szCs w:val="24"/>
                <w:highlight w:val="none"/>
              </w:rPr>
              <w:t>95</w:t>
            </w:r>
            <w:r>
              <w:rPr>
                <w:rFonts w:hint="eastAsia"/>
                <w:color w:val="auto"/>
                <w:sz w:val="24"/>
                <w:szCs w:val="24"/>
                <w:highlight w:val="none"/>
              </w:rPr>
              <w:t>尾，鱚科多鳞鱚（</w:t>
            </w:r>
            <w:r>
              <w:rPr>
                <w:rFonts w:ascii="Times New Roman"/>
                <w:i/>
                <w:iCs/>
                <w:color w:val="auto"/>
                <w:sz w:val="24"/>
                <w:szCs w:val="24"/>
                <w:highlight w:val="none"/>
              </w:rPr>
              <w:t>Sillago sihama</w:t>
            </w:r>
            <w:r>
              <w:rPr>
                <w:rFonts w:hint="eastAsia"/>
                <w:color w:val="auto"/>
                <w:sz w:val="24"/>
                <w:szCs w:val="24"/>
                <w:highlight w:val="none"/>
              </w:rPr>
              <w:t>）</w:t>
            </w:r>
            <w:r>
              <w:rPr>
                <w:rFonts w:ascii="Times New Roman"/>
                <w:color w:val="auto"/>
                <w:sz w:val="24"/>
                <w:szCs w:val="24"/>
                <w:highlight w:val="none"/>
              </w:rPr>
              <w:t>59</w:t>
            </w:r>
            <w:r>
              <w:rPr>
                <w:rFonts w:hint="eastAsia"/>
                <w:color w:val="auto"/>
                <w:sz w:val="24"/>
                <w:szCs w:val="24"/>
                <w:highlight w:val="none"/>
              </w:rPr>
              <w:t>尾，银汉鱼科白氏银汉鱼（</w:t>
            </w:r>
            <w:r>
              <w:rPr>
                <w:rFonts w:ascii="Times New Roman"/>
                <w:i/>
                <w:iCs/>
                <w:color w:val="auto"/>
                <w:sz w:val="24"/>
                <w:szCs w:val="24"/>
                <w:highlight w:val="none"/>
              </w:rPr>
              <w:t>Allanetta bleekeri</w:t>
            </w:r>
            <w:r>
              <w:rPr>
                <w:rFonts w:hint="eastAsia"/>
                <w:color w:val="auto"/>
                <w:sz w:val="24"/>
                <w:szCs w:val="24"/>
                <w:highlight w:val="none"/>
              </w:rPr>
              <w:t>）</w:t>
            </w:r>
            <w:r>
              <w:rPr>
                <w:rFonts w:ascii="Times New Roman"/>
                <w:color w:val="auto"/>
                <w:sz w:val="24"/>
                <w:szCs w:val="24"/>
                <w:highlight w:val="none"/>
              </w:rPr>
              <w:t>50</w:t>
            </w:r>
            <w:r>
              <w:rPr>
                <w:rFonts w:hint="eastAsia"/>
                <w:color w:val="auto"/>
                <w:sz w:val="24"/>
                <w:szCs w:val="24"/>
                <w:highlight w:val="none"/>
              </w:rPr>
              <w:t>尾，鳀科</w:t>
            </w:r>
            <w:r>
              <w:rPr>
                <w:rFonts w:ascii="Times New Roman"/>
                <w:color w:val="auto"/>
                <w:sz w:val="24"/>
                <w:szCs w:val="24"/>
                <w:highlight w:val="none"/>
              </w:rPr>
              <w:t>43</w:t>
            </w:r>
            <w:r>
              <w:rPr>
                <w:rFonts w:hint="eastAsia"/>
                <w:color w:val="auto"/>
                <w:sz w:val="24"/>
                <w:szCs w:val="24"/>
                <w:highlight w:val="none"/>
              </w:rPr>
              <w:t>尾，双边鱼科眶棘双边鱼（</w:t>
            </w:r>
            <w:r>
              <w:rPr>
                <w:rFonts w:ascii="Times New Roman"/>
                <w:i/>
                <w:iCs/>
                <w:color w:val="auto"/>
                <w:sz w:val="24"/>
                <w:szCs w:val="24"/>
                <w:highlight w:val="none"/>
              </w:rPr>
              <w:t>Ambassis gymnocephalus</w:t>
            </w:r>
            <w:r>
              <w:rPr>
                <w:rFonts w:hint="eastAsia"/>
                <w:color w:val="auto"/>
                <w:sz w:val="24"/>
                <w:szCs w:val="24"/>
                <w:highlight w:val="none"/>
              </w:rPr>
              <w:t>）</w:t>
            </w:r>
            <w:r>
              <w:rPr>
                <w:rFonts w:ascii="Times New Roman"/>
                <w:color w:val="auto"/>
                <w:sz w:val="24"/>
                <w:szCs w:val="24"/>
                <w:highlight w:val="none"/>
              </w:rPr>
              <w:t>24</w:t>
            </w:r>
            <w:r>
              <w:rPr>
                <w:rFonts w:hint="eastAsia"/>
                <w:color w:val="auto"/>
                <w:sz w:val="24"/>
                <w:szCs w:val="24"/>
                <w:highlight w:val="none"/>
              </w:rPr>
              <w:t>尾，鲹科丽叶鲹（</w:t>
            </w:r>
            <w:r>
              <w:rPr>
                <w:rFonts w:ascii="Times New Roman"/>
                <w:i/>
                <w:iCs/>
                <w:color w:val="auto"/>
                <w:sz w:val="24"/>
                <w:szCs w:val="24"/>
                <w:highlight w:val="none"/>
              </w:rPr>
              <w:t>Caranx kalla</w:t>
            </w:r>
            <w:r>
              <w:rPr>
                <w:rFonts w:hint="eastAsia"/>
                <w:color w:val="auto"/>
                <w:sz w:val="24"/>
                <w:szCs w:val="24"/>
                <w:highlight w:val="none"/>
              </w:rPr>
              <w:t>）和鲹科（</w:t>
            </w:r>
            <w:r>
              <w:rPr>
                <w:rFonts w:ascii="Times New Roman"/>
                <w:color w:val="auto"/>
                <w:sz w:val="24"/>
                <w:szCs w:val="24"/>
                <w:highlight w:val="none"/>
              </w:rPr>
              <w:t>Carangidae sp.</w:t>
            </w:r>
            <w:r>
              <w:rPr>
                <w:rFonts w:hint="eastAsia"/>
                <w:color w:val="auto"/>
                <w:sz w:val="24"/>
                <w:szCs w:val="24"/>
                <w:highlight w:val="none"/>
              </w:rPr>
              <w:t>）各</w:t>
            </w:r>
            <w:r>
              <w:rPr>
                <w:rFonts w:ascii="Times New Roman"/>
                <w:color w:val="auto"/>
                <w:sz w:val="24"/>
                <w:szCs w:val="24"/>
                <w:highlight w:val="none"/>
              </w:rPr>
              <w:t>3</w:t>
            </w:r>
            <w:r>
              <w:rPr>
                <w:rFonts w:hint="eastAsia"/>
                <w:color w:val="auto"/>
                <w:sz w:val="24"/>
                <w:szCs w:val="24"/>
                <w:highlight w:val="none"/>
              </w:rPr>
              <w:t>尾，羊鱼科（</w:t>
            </w:r>
            <w:r>
              <w:rPr>
                <w:rFonts w:ascii="Times New Roman"/>
                <w:color w:val="auto"/>
                <w:sz w:val="24"/>
                <w:szCs w:val="24"/>
                <w:highlight w:val="none"/>
              </w:rPr>
              <w:t>Mullidae sp.</w:t>
            </w:r>
            <w:r>
              <w:rPr>
                <w:rFonts w:hint="eastAsia"/>
                <w:color w:val="auto"/>
                <w:sz w:val="24"/>
                <w:szCs w:val="24"/>
                <w:highlight w:val="none"/>
              </w:rPr>
              <w:t>）、颌针鱼科（</w:t>
            </w:r>
            <w:r>
              <w:rPr>
                <w:rFonts w:ascii="Times New Roman"/>
                <w:color w:val="auto"/>
                <w:sz w:val="24"/>
                <w:szCs w:val="24"/>
                <w:highlight w:val="none"/>
              </w:rPr>
              <w:t>Belonidae sp.</w:t>
            </w:r>
            <w:r>
              <w:rPr>
                <w:rFonts w:hint="eastAsia"/>
                <w:color w:val="auto"/>
                <w:sz w:val="24"/>
                <w:szCs w:val="24"/>
                <w:highlight w:val="none"/>
              </w:rPr>
              <w:t>）、海龙科海马属（</w:t>
            </w:r>
            <w:r>
              <w:rPr>
                <w:rFonts w:ascii="Times New Roman"/>
                <w:i/>
                <w:iCs/>
                <w:color w:val="auto"/>
                <w:sz w:val="24"/>
                <w:szCs w:val="24"/>
                <w:highlight w:val="none"/>
              </w:rPr>
              <w:t xml:space="preserve">Hippocampus </w:t>
            </w:r>
            <w:r>
              <w:rPr>
                <w:rFonts w:ascii="Times New Roman"/>
                <w:color w:val="auto"/>
                <w:sz w:val="24"/>
                <w:szCs w:val="24"/>
                <w:highlight w:val="none"/>
              </w:rPr>
              <w:t>sp.</w:t>
            </w:r>
            <w:r>
              <w:rPr>
                <w:rFonts w:hint="eastAsia"/>
                <w:color w:val="auto"/>
                <w:sz w:val="24"/>
                <w:szCs w:val="24"/>
                <w:highlight w:val="none"/>
              </w:rPr>
              <w:t>）、鲹科平线若鲹（</w:t>
            </w:r>
            <w:r>
              <w:rPr>
                <w:rFonts w:ascii="Times New Roman"/>
                <w:i/>
                <w:iCs/>
                <w:color w:val="auto"/>
                <w:sz w:val="24"/>
                <w:szCs w:val="24"/>
                <w:highlight w:val="none"/>
              </w:rPr>
              <w:t>Carangoides ferdau</w:t>
            </w:r>
            <w:r>
              <w:rPr>
                <w:rFonts w:hint="eastAsia"/>
                <w:color w:val="auto"/>
                <w:sz w:val="24"/>
                <w:szCs w:val="24"/>
                <w:highlight w:val="none"/>
              </w:rPr>
              <w:t>）、鲻科、鲾科和鱵科杜氏下鱵（</w:t>
            </w:r>
            <w:r>
              <w:rPr>
                <w:rFonts w:ascii="Times New Roman"/>
                <w:i/>
                <w:iCs/>
                <w:color w:val="auto"/>
                <w:sz w:val="24"/>
                <w:szCs w:val="24"/>
                <w:highlight w:val="none"/>
              </w:rPr>
              <w:t>Hyporhamphus dussumieri</w:t>
            </w:r>
            <w:r>
              <w:rPr>
                <w:rFonts w:hint="eastAsia"/>
                <w:color w:val="auto"/>
                <w:sz w:val="24"/>
                <w:szCs w:val="24"/>
                <w:highlight w:val="none"/>
              </w:rPr>
              <w:t>）各</w:t>
            </w:r>
            <w:r>
              <w:rPr>
                <w:rFonts w:ascii="Times New Roman"/>
                <w:color w:val="auto"/>
                <w:sz w:val="24"/>
                <w:szCs w:val="24"/>
                <w:highlight w:val="none"/>
              </w:rPr>
              <w:t>1</w:t>
            </w:r>
            <w:r>
              <w:rPr>
                <w:rFonts w:hint="eastAsia"/>
                <w:color w:val="auto"/>
                <w:sz w:val="24"/>
                <w:szCs w:val="24"/>
                <w:highlight w:val="none"/>
              </w:rPr>
              <w:t>尾。</w:t>
            </w:r>
          </w:p>
          <w:p>
            <w:pPr>
              <w:spacing w:line="360" w:lineRule="auto"/>
              <w:ind w:firstLine="482" w:firstLineChars="200"/>
              <w:jc w:val="left"/>
              <w:rPr>
                <w:color w:val="auto"/>
                <w:sz w:val="24"/>
                <w:szCs w:val="24"/>
                <w:highlight w:val="none"/>
              </w:rPr>
            </w:pPr>
            <w:r>
              <w:rPr>
                <w:rFonts w:ascii="Times New Roman"/>
                <w:b/>
                <w:bCs/>
                <w:color w:val="auto"/>
                <w:sz w:val="24"/>
                <w:szCs w:val="24"/>
                <w:highlight w:val="none"/>
              </w:rPr>
              <w:t>2</w:t>
            </w:r>
            <w:r>
              <w:rPr>
                <w:rFonts w:hint="eastAsia"/>
                <w:color w:val="auto"/>
                <w:sz w:val="24"/>
                <w:szCs w:val="24"/>
                <w:highlight w:val="none"/>
              </w:rPr>
              <w:t>）</w:t>
            </w:r>
            <w:r>
              <w:rPr>
                <w:rFonts w:hint="eastAsia"/>
                <w:color w:val="auto"/>
                <w:spacing w:val="-5"/>
                <w:sz w:val="24"/>
                <w:szCs w:val="24"/>
                <w:highlight w:val="none"/>
              </w:rPr>
              <w:t>密度分布</w:t>
            </w:r>
          </w:p>
          <w:p>
            <w:pPr>
              <w:spacing w:line="360" w:lineRule="auto"/>
              <w:ind w:firstLine="480" w:firstLineChars="200"/>
              <w:jc w:val="left"/>
              <w:rPr>
                <w:color w:val="auto"/>
                <w:sz w:val="24"/>
                <w:szCs w:val="24"/>
                <w:highlight w:val="none"/>
              </w:rPr>
            </w:pPr>
            <w:r>
              <w:rPr>
                <w:rFonts w:hint="eastAsia"/>
                <w:color w:val="auto"/>
                <w:sz w:val="24"/>
                <w:szCs w:val="24"/>
                <w:highlight w:val="none"/>
              </w:rPr>
              <w:t>①鱼卵的密度分布</w:t>
            </w:r>
          </w:p>
          <w:p>
            <w:pPr>
              <w:spacing w:line="360" w:lineRule="auto"/>
              <w:ind w:firstLine="480" w:firstLineChars="200"/>
              <w:jc w:val="left"/>
              <w:rPr>
                <w:color w:val="auto"/>
                <w:sz w:val="24"/>
                <w:szCs w:val="24"/>
                <w:highlight w:val="none"/>
              </w:rPr>
            </w:pPr>
            <w:r>
              <w:rPr>
                <w:rFonts w:hint="eastAsia"/>
                <w:color w:val="auto"/>
                <w:sz w:val="24"/>
                <w:szCs w:val="24"/>
                <w:highlight w:val="none"/>
              </w:rPr>
              <w:t>水平</w:t>
            </w:r>
            <w:r>
              <w:rPr>
                <w:rFonts w:hint="eastAsia"/>
                <w:color w:val="auto"/>
                <w:spacing w:val="-5"/>
                <w:sz w:val="24"/>
                <w:szCs w:val="24"/>
                <w:highlight w:val="none"/>
              </w:rPr>
              <w:t>拖网</w:t>
            </w:r>
          </w:p>
          <w:p>
            <w:pPr>
              <w:spacing w:line="360" w:lineRule="auto"/>
              <w:ind w:firstLine="480" w:firstLineChars="200"/>
              <w:jc w:val="left"/>
              <w:rPr>
                <w:color w:val="auto"/>
                <w:sz w:val="24"/>
                <w:szCs w:val="24"/>
                <w:highlight w:val="none"/>
              </w:rPr>
            </w:pPr>
            <w:r>
              <w:rPr>
                <w:rFonts w:hint="eastAsia"/>
                <w:color w:val="auto"/>
                <w:sz w:val="24"/>
                <w:szCs w:val="24"/>
                <w:highlight w:val="none"/>
              </w:rPr>
              <w:t>本次定性调查（水平拖网）鱼卵采获数量范围为</w:t>
            </w:r>
            <w:r>
              <w:rPr>
                <w:rFonts w:ascii="Times New Roman"/>
                <w:color w:val="auto"/>
                <w:sz w:val="24"/>
                <w:szCs w:val="24"/>
                <w:highlight w:val="none"/>
              </w:rPr>
              <w:t>0~5123 ind/net</w:t>
            </w:r>
            <w:r>
              <w:rPr>
                <w:rFonts w:hint="eastAsia"/>
                <w:color w:val="auto"/>
                <w:sz w:val="24"/>
                <w:szCs w:val="24"/>
                <w:highlight w:val="none"/>
              </w:rPr>
              <w:t>，最高出现在</w:t>
            </w:r>
            <w:r>
              <w:rPr>
                <w:rFonts w:ascii="Times New Roman"/>
                <w:color w:val="auto"/>
                <w:sz w:val="24"/>
                <w:szCs w:val="24"/>
                <w:highlight w:val="none"/>
              </w:rPr>
              <w:t>30</w:t>
            </w:r>
            <w:r>
              <w:rPr>
                <w:rFonts w:hint="eastAsia"/>
                <w:color w:val="auto"/>
                <w:sz w:val="24"/>
                <w:szCs w:val="24"/>
                <w:highlight w:val="none"/>
              </w:rPr>
              <w:t>号站位，平均为</w:t>
            </w:r>
            <w:r>
              <w:rPr>
                <w:rFonts w:ascii="Times New Roman"/>
                <w:color w:val="auto"/>
                <w:sz w:val="24"/>
                <w:szCs w:val="24"/>
                <w:highlight w:val="none"/>
              </w:rPr>
              <w:t>433.15 ind/net</w:t>
            </w:r>
            <w:r>
              <w:rPr>
                <w:rFonts w:hint="eastAsia"/>
                <w:color w:val="auto"/>
                <w:sz w:val="24"/>
                <w:szCs w:val="24"/>
                <w:highlight w:val="none"/>
              </w:rPr>
              <w:t>。详见表2.2</w:t>
            </w:r>
            <w:r>
              <w:rPr>
                <w:rFonts w:ascii="Times New Roman"/>
                <w:color w:val="auto"/>
                <w:sz w:val="24"/>
                <w:szCs w:val="24"/>
                <w:highlight w:val="none"/>
              </w:rPr>
              <w:t>-11</w:t>
            </w:r>
            <w:r>
              <w:rPr>
                <w:rFonts w:hint="eastAsia"/>
                <w:color w:val="auto"/>
                <w:sz w:val="24"/>
                <w:szCs w:val="24"/>
                <w:highlight w:val="none"/>
              </w:rPr>
              <w:t>。</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2.2</w:t>
            </w:r>
            <w:r>
              <w:rPr>
                <w:rFonts w:asciiTheme="minorEastAsia" w:hAnsiTheme="minorEastAsia" w:eastAsiaTheme="minorEastAsia"/>
                <w:b w:val="0"/>
                <w:bCs/>
                <w:color w:val="auto"/>
                <w:sz w:val="24"/>
                <w:szCs w:val="24"/>
                <w:highlight w:val="none"/>
              </w:rPr>
              <w:t>-11</w:t>
            </w:r>
            <w:r>
              <w:rPr>
                <w:rFonts w:hint="eastAsia" w:asciiTheme="minorEastAsia" w:hAnsiTheme="minorEastAsia" w:eastAsiaTheme="minorEastAsia"/>
                <w:b w:val="0"/>
                <w:color w:val="auto"/>
                <w:sz w:val="24"/>
                <w:szCs w:val="24"/>
                <w:highlight w:val="none"/>
              </w:rPr>
              <w:t>各站位水平拖网的鱼卵密度分布（单位：</w:t>
            </w:r>
            <w:r>
              <w:rPr>
                <w:rFonts w:asciiTheme="minorEastAsia" w:hAnsiTheme="minorEastAsia" w:eastAsiaTheme="minorEastAsia"/>
                <w:b w:val="0"/>
                <w:bCs/>
                <w:color w:val="auto"/>
                <w:sz w:val="24"/>
                <w:szCs w:val="24"/>
                <w:highlight w:val="none"/>
              </w:rPr>
              <w:t>ind/net</w:t>
            </w:r>
            <w:r>
              <w:rPr>
                <w:rFonts w:hint="eastAsia" w:asciiTheme="minorEastAsia" w:hAnsiTheme="minorEastAsia" w:eastAsiaTheme="minorEastAsia"/>
                <w:b w:val="0"/>
                <w:color w:val="auto"/>
                <w:sz w:val="24"/>
                <w:szCs w:val="24"/>
                <w:highlight w:val="none"/>
              </w:rPr>
              <w:t>）</w:t>
            </w:r>
          </w:p>
          <w:p>
            <w:pPr>
              <w:rPr>
                <w:color w:val="auto"/>
                <w:highlight w:val="none"/>
              </w:rPr>
            </w:pPr>
            <w:r>
              <w:rPr>
                <w:color w:val="auto"/>
                <w:highlight w:val="none"/>
              </w:rPr>
              <w:drawing>
                <wp:inline distT="0" distB="0" distL="0" distR="0">
                  <wp:extent cx="5702300" cy="1063625"/>
                  <wp:effectExtent l="19050" t="0" r="0" b="0"/>
                  <wp:docPr id="65" name="图片 23" descr="F:\微信文件File\WeChat Files\wxid_kgkf81ca4cje21\FileStorage\Temp\1701273564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descr="F:\微信文件File\WeChat Files\wxid_kgkf81ca4cje21\FileStorage\Temp\1701273564527.png"/>
                          <pic:cNvPicPr>
                            <a:picLocks noChangeAspect="1" noChangeArrowheads="1"/>
                          </pic:cNvPicPr>
                        </pic:nvPicPr>
                        <pic:blipFill>
                          <a:blip r:embed="rId38"/>
                          <a:srcRect/>
                          <a:stretch>
                            <a:fillRect/>
                          </a:stretch>
                        </pic:blipFill>
                        <pic:spPr>
                          <a:xfrm>
                            <a:off x="0" y="0"/>
                            <a:ext cx="5703410" cy="1064285"/>
                          </a:xfrm>
                          <a:prstGeom prst="rect">
                            <a:avLst/>
                          </a:prstGeom>
                          <a:noFill/>
                          <a:ln w="9525">
                            <a:noFill/>
                            <a:miter lim="800000"/>
                            <a:headEnd/>
                            <a:tailEnd/>
                          </a:ln>
                        </pic:spPr>
                      </pic:pic>
                    </a:graphicData>
                  </a:graphic>
                </wp:inline>
              </w:drawing>
            </w:r>
          </w:p>
          <w:p>
            <w:pPr>
              <w:spacing w:line="360" w:lineRule="auto"/>
              <w:ind w:firstLine="480" w:firstLineChars="200"/>
              <w:jc w:val="left"/>
              <w:rPr>
                <w:color w:val="auto"/>
                <w:sz w:val="24"/>
                <w:szCs w:val="24"/>
                <w:highlight w:val="none"/>
              </w:rPr>
            </w:pPr>
            <w:r>
              <w:rPr>
                <w:rFonts w:hint="eastAsia"/>
                <w:color w:val="auto"/>
                <w:sz w:val="24"/>
                <w:szCs w:val="24"/>
                <w:highlight w:val="none"/>
              </w:rPr>
              <w:t>②仔稚鱼的</w:t>
            </w:r>
            <w:r>
              <w:rPr>
                <w:rFonts w:hint="eastAsia"/>
                <w:color w:val="auto"/>
                <w:spacing w:val="-5"/>
                <w:sz w:val="24"/>
                <w:szCs w:val="24"/>
                <w:highlight w:val="none"/>
              </w:rPr>
              <w:t>密度分布</w:t>
            </w:r>
          </w:p>
          <w:p>
            <w:pPr>
              <w:spacing w:line="360" w:lineRule="auto"/>
              <w:ind w:firstLine="480" w:firstLineChars="200"/>
              <w:jc w:val="left"/>
              <w:rPr>
                <w:color w:val="auto"/>
                <w:sz w:val="24"/>
                <w:szCs w:val="24"/>
                <w:highlight w:val="none"/>
              </w:rPr>
            </w:pPr>
            <w:r>
              <w:rPr>
                <w:rFonts w:hint="eastAsia"/>
                <w:color w:val="auto"/>
                <w:sz w:val="24"/>
                <w:szCs w:val="24"/>
                <w:highlight w:val="none"/>
              </w:rPr>
              <w:t>水平</w:t>
            </w:r>
            <w:r>
              <w:rPr>
                <w:rFonts w:hint="eastAsia"/>
                <w:color w:val="auto"/>
                <w:spacing w:val="-5"/>
                <w:sz w:val="24"/>
                <w:szCs w:val="24"/>
                <w:highlight w:val="none"/>
              </w:rPr>
              <w:t>拖网</w:t>
            </w:r>
          </w:p>
          <w:p>
            <w:pPr>
              <w:spacing w:line="360" w:lineRule="auto"/>
              <w:ind w:firstLine="480" w:firstLineChars="200"/>
              <w:jc w:val="left"/>
              <w:rPr>
                <w:color w:val="auto"/>
                <w:sz w:val="24"/>
                <w:szCs w:val="24"/>
                <w:highlight w:val="none"/>
              </w:rPr>
            </w:pPr>
            <w:r>
              <w:rPr>
                <w:rFonts w:hint="eastAsia"/>
                <w:color w:val="auto"/>
                <w:sz w:val="24"/>
                <w:szCs w:val="24"/>
                <w:highlight w:val="none"/>
              </w:rPr>
              <w:t>本次定性调查（水平拖网）仔稚鱼采获数量范围为</w:t>
            </w:r>
            <w:r>
              <w:rPr>
                <w:rFonts w:ascii="Times New Roman"/>
                <w:color w:val="auto"/>
                <w:sz w:val="24"/>
                <w:szCs w:val="24"/>
                <w:highlight w:val="none"/>
              </w:rPr>
              <w:t>0~230 ind/net</w:t>
            </w:r>
            <w:r>
              <w:rPr>
                <w:rFonts w:hint="eastAsia"/>
                <w:color w:val="auto"/>
                <w:sz w:val="24"/>
                <w:szCs w:val="24"/>
                <w:highlight w:val="none"/>
              </w:rPr>
              <w:t>，最高出现在</w:t>
            </w:r>
            <w:r>
              <w:rPr>
                <w:rFonts w:ascii="Times New Roman"/>
                <w:color w:val="auto"/>
                <w:sz w:val="24"/>
                <w:szCs w:val="24"/>
                <w:highlight w:val="none"/>
              </w:rPr>
              <w:t>21</w:t>
            </w:r>
            <w:r>
              <w:rPr>
                <w:rFonts w:hint="eastAsia"/>
                <w:color w:val="auto"/>
                <w:sz w:val="24"/>
                <w:szCs w:val="24"/>
                <w:highlight w:val="none"/>
              </w:rPr>
              <w:t>号站位，平均为</w:t>
            </w:r>
            <w:r>
              <w:rPr>
                <w:rFonts w:ascii="Times New Roman"/>
                <w:color w:val="auto"/>
                <w:sz w:val="24"/>
                <w:szCs w:val="24"/>
                <w:highlight w:val="none"/>
              </w:rPr>
              <w:t>31.20 ind/net</w:t>
            </w:r>
            <w:r>
              <w:rPr>
                <w:rFonts w:hint="eastAsia"/>
                <w:color w:val="auto"/>
                <w:sz w:val="24"/>
                <w:szCs w:val="24"/>
                <w:highlight w:val="none"/>
              </w:rPr>
              <w:t>，详见表2.2</w:t>
            </w:r>
            <w:r>
              <w:rPr>
                <w:rFonts w:ascii="Times New Roman"/>
                <w:color w:val="auto"/>
                <w:sz w:val="24"/>
                <w:szCs w:val="24"/>
                <w:highlight w:val="none"/>
              </w:rPr>
              <w:t>-12</w:t>
            </w:r>
            <w:r>
              <w:rPr>
                <w:rFonts w:hint="eastAsia"/>
                <w:color w:val="auto"/>
                <w:sz w:val="24"/>
                <w:szCs w:val="24"/>
                <w:highlight w:val="none"/>
              </w:rPr>
              <w:t>。</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hint="eastAsia" w:asciiTheme="minorEastAsia" w:hAnsiTheme="minorEastAsia" w:eastAsiaTheme="minorEastAsia"/>
                <w:b w:val="0"/>
                <w:bCs/>
                <w:color w:val="auto"/>
                <w:sz w:val="24"/>
                <w:szCs w:val="24"/>
                <w:highlight w:val="none"/>
              </w:rPr>
              <w:t>2.2</w:t>
            </w:r>
            <w:r>
              <w:rPr>
                <w:rFonts w:asciiTheme="minorEastAsia" w:hAnsiTheme="minorEastAsia" w:eastAsiaTheme="minorEastAsia"/>
                <w:b w:val="0"/>
                <w:bCs/>
                <w:color w:val="auto"/>
                <w:sz w:val="24"/>
                <w:szCs w:val="24"/>
                <w:highlight w:val="none"/>
              </w:rPr>
              <w:t>-12</w:t>
            </w:r>
            <w:r>
              <w:rPr>
                <w:rFonts w:hint="eastAsia" w:asciiTheme="minorEastAsia" w:hAnsiTheme="minorEastAsia" w:eastAsiaTheme="minorEastAsia"/>
                <w:b w:val="0"/>
                <w:color w:val="auto"/>
                <w:sz w:val="24"/>
                <w:szCs w:val="24"/>
                <w:highlight w:val="none"/>
              </w:rPr>
              <w:t>各站位垂直拖网的仔稚鱼密度分布（单位：</w:t>
            </w:r>
            <w:r>
              <w:rPr>
                <w:rFonts w:asciiTheme="minorEastAsia" w:hAnsiTheme="minorEastAsia" w:eastAsiaTheme="minorEastAsia"/>
                <w:b w:val="0"/>
                <w:bCs/>
                <w:color w:val="auto"/>
                <w:sz w:val="24"/>
                <w:szCs w:val="24"/>
                <w:highlight w:val="none"/>
              </w:rPr>
              <w:t>ind/net</w:t>
            </w:r>
            <w:r>
              <w:rPr>
                <w:rFonts w:hint="eastAsia" w:asciiTheme="minorEastAsia" w:hAnsiTheme="minorEastAsia" w:eastAsiaTheme="minorEastAsia"/>
                <w:b w:val="0"/>
                <w:color w:val="auto"/>
                <w:sz w:val="24"/>
                <w:szCs w:val="24"/>
                <w:highlight w:val="none"/>
              </w:rPr>
              <w:t>）</w:t>
            </w:r>
          </w:p>
          <w:p>
            <w:pPr>
              <w:rPr>
                <w:color w:val="auto"/>
                <w:highlight w:val="none"/>
              </w:rPr>
            </w:pPr>
            <w:r>
              <w:rPr>
                <w:color w:val="auto"/>
                <w:highlight w:val="none"/>
              </w:rPr>
              <w:drawing>
                <wp:inline distT="0" distB="0" distL="0" distR="0">
                  <wp:extent cx="5668010" cy="1052830"/>
                  <wp:effectExtent l="19050" t="0" r="8659" b="0"/>
                  <wp:docPr id="66" name="图片 24" descr="F:\微信文件File\WeChat Files\wxid_kgkf81ca4cje21\FileStorage\Temp\1701273612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descr="F:\微信文件File\WeChat Files\wxid_kgkf81ca4cje21\FileStorage\Temp\1701273612546.png"/>
                          <pic:cNvPicPr>
                            <a:picLocks noChangeAspect="1" noChangeArrowheads="1"/>
                          </pic:cNvPicPr>
                        </pic:nvPicPr>
                        <pic:blipFill>
                          <a:blip r:embed="rId39"/>
                          <a:srcRect/>
                          <a:stretch>
                            <a:fillRect/>
                          </a:stretch>
                        </pic:blipFill>
                        <pic:spPr>
                          <a:xfrm>
                            <a:off x="0" y="0"/>
                            <a:ext cx="5668770" cy="1053368"/>
                          </a:xfrm>
                          <a:prstGeom prst="rect">
                            <a:avLst/>
                          </a:prstGeom>
                          <a:noFill/>
                          <a:ln w="9525">
                            <a:noFill/>
                            <a:miter lim="800000"/>
                            <a:headEnd/>
                            <a:tailEnd/>
                          </a:ln>
                        </pic:spPr>
                      </pic:pic>
                    </a:graphicData>
                  </a:graphic>
                </wp:inline>
              </w:drawing>
            </w:r>
          </w:p>
          <w:p>
            <w:pPr>
              <w:spacing w:line="360" w:lineRule="auto"/>
              <w:ind w:firstLine="480" w:firstLineChars="200"/>
              <w:jc w:val="left"/>
              <w:rPr>
                <w:color w:val="auto"/>
                <w:sz w:val="24"/>
                <w:szCs w:val="24"/>
                <w:highlight w:val="none"/>
              </w:rPr>
            </w:pP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w:t>
            </w:r>
            <w:r>
              <w:rPr>
                <w:rFonts w:ascii="Times New Roman" w:hAnsi="Times New Roman"/>
                <w:b/>
                <w:bCs/>
                <w:color w:val="auto"/>
                <w:kern w:val="0"/>
                <w:sz w:val="24"/>
                <w:szCs w:val="24"/>
                <w:highlight w:val="none"/>
              </w:rPr>
              <w:t>7</w:t>
            </w:r>
            <w:r>
              <w:rPr>
                <w:rFonts w:hint="eastAsia" w:ascii="宋体" w:hAnsi="Times New Roman" w:cs="宋体"/>
                <w:color w:val="auto"/>
                <w:kern w:val="0"/>
                <w:sz w:val="24"/>
                <w:szCs w:val="24"/>
                <w:highlight w:val="none"/>
              </w:rPr>
              <w:t>）游泳动物</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本次调查游泳生物</w:t>
            </w:r>
            <w:r>
              <w:rPr>
                <w:rFonts w:ascii="宋体" w:hAnsi="Times New Roman" w:cs="宋体"/>
                <w:color w:val="auto"/>
                <w:kern w:val="0"/>
                <w:sz w:val="24"/>
                <w:szCs w:val="24"/>
                <w:highlight w:val="none"/>
              </w:rPr>
              <w:t>20</w:t>
            </w:r>
            <w:r>
              <w:rPr>
                <w:rFonts w:hint="eastAsia" w:ascii="宋体" w:hAnsi="Times New Roman" w:cs="宋体"/>
                <w:color w:val="auto"/>
                <w:kern w:val="0"/>
                <w:sz w:val="24"/>
                <w:szCs w:val="24"/>
                <w:highlight w:val="none"/>
              </w:rPr>
              <w:t>个站位。现场调查采用的网具为底拖网，网口宽度</w:t>
            </w:r>
            <w:r>
              <w:rPr>
                <w:rFonts w:ascii="宋体" w:hAnsi="Times New Roman" w:cs="宋体"/>
                <w:color w:val="auto"/>
                <w:kern w:val="0"/>
                <w:sz w:val="24"/>
                <w:szCs w:val="24"/>
                <w:highlight w:val="none"/>
              </w:rPr>
              <w:t>7m</w:t>
            </w:r>
            <w:r>
              <w:rPr>
                <w:rFonts w:hint="eastAsia" w:ascii="宋体" w:hAnsi="Times New Roman" w:cs="宋体"/>
                <w:color w:val="auto"/>
                <w:kern w:val="0"/>
                <w:sz w:val="24"/>
                <w:szCs w:val="24"/>
                <w:highlight w:val="none"/>
              </w:rPr>
              <w:t>，网长</w:t>
            </w:r>
            <w:r>
              <w:rPr>
                <w:rFonts w:ascii="宋体" w:hAnsi="Times New Roman" w:cs="宋体"/>
                <w:color w:val="auto"/>
                <w:kern w:val="0"/>
                <w:sz w:val="24"/>
                <w:szCs w:val="24"/>
                <w:highlight w:val="none"/>
              </w:rPr>
              <w:t>24m</w:t>
            </w:r>
            <w:r>
              <w:rPr>
                <w:rFonts w:hint="eastAsia" w:ascii="宋体" w:hAnsi="Times New Roman" w:cs="宋体"/>
                <w:color w:val="auto"/>
                <w:kern w:val="0"/>
                <w:sz w:val="24"/>
                <w:szCs w:val="24"/>
                <w:highlight w:val="none"/>
              </w:rPr>
              <w:t>，平均拖速</w:t>
            </w:r>
            <w:r>
              <w:rPr>
                <w:rFonts w:ascii="宋体" w:hAnsi="Times New Roman" w:cs="宋体"/>
                <w:color w:val="auto"/>
                <w:kern w:val="0"/>
                <w:sz w:val="24"/>
                <w:szCs w:val="24"/>
                <w:highlight w:val="none"/>
              </w:rPr>
              <w:t>3kn</w:t>
            </w:r>
            <w:r>
              <w:rPr>
                <w:rFonts w:hint="eastAsia" w:ascii="宋体" w:hAnsi="Times New Roman" w:cs="宋体"/>
                <w:color w:val="auto"/>
                <w:kern w:val="0"/>
                <w:sz w:val="24"/>
                <w:szCs w:val="24"/>
                <w:highlight w:val="none"/>
              </w:rPr>
              <w:t>，拖网时间</w:t>
            </w:r>
            <w:r>
              <w:rPr>
                <w:rFonts w:ascii="宋体" w:hAnsi="Times New Roman" w:cs="宋体"/>
                <w:color w:val="auto"/>
                <w:kern w:val="0"/>
                <w:sz w:val="24"/>
                <w:szCs w:val="24"/>
                <w:highlight w:val="none"/>
              </w:rPr>
              <w:t>30min</w:t>
            </w:r>
            <w:r>
              <w:rPr>
                <w:rFonts w:hint="eastAsia" w:ascii="宋体" w:hAnsi="Times New Roman" w:cs="宋体"/>
                <w:color w:val="auto"/>
                <w:kern w:val="0"/>
                <w:sz w:val="24"/>
                <w:szCs w:val="24"/>
                <w:highlight w:val="none"/>
              </w:rPr>
              <w:t>。</w:t>
            </w:r>
          </w:p>
          <w:p>
            <w:pPr>
              <w:spacing w:line="360" w:lineRule="auto"/>
              <w:ind w:firstLine="482" w:firstLineChars="200"/>
              <w:jc w:val="left"/>
              <w:rPr>
                <w:rFonts w:ascii="宋体" w:hAnsi="Times New Roman" w:cs="宋体"/>
                <w:color w:val="auto"/>
                <w:kern w:val="0"/>
                <w:sz w:val="24"/>
                <w:szCs w:val="24"/>
                <w:highlight w:val="none"/>
              </w:rPr>
            </w:pPr>
            <w:r>
              <w:rPr>
                <w:rFonts w:ascii="Times New Roman" w:hAnsi="Times New Roman"/>
                <w:b/>
                <w:bCs/>
                <w:color w:val="auto"/>
                <w:kern w:val="0"/>
                <w:sz w:val="24"/>
                <w:szCs w:val="24"/>
                <w:highlight w:val="none"/>
              </w:rPr>
              <w:t>1</w:t>
            </w:r>
            <w:r>
              <w:rPr>
                <w:rFonts w:hint="eastAsia" w:ascii="宋体" w:hAnsi="Times New Roman" w:cs="宋体"/>
                <w:color w:val="auto"/>
                <w:kern w:val="0"/>
                <w:sz w:val="24"/>
                <w:szCs w:val="24"/>
                <w:highlight w:val="none"/>
              </w:rPr>
              <w:t>）种类组成与分布</w:t>
            </w:r>
          </w:p>
          <w:p>
            <w:pPr>
              <w:spacing w:line="360" w:lineRule="auto"/>
              <w:ind w:firstLine="480" w:firstLineChars="200"/>
              <w:jc w:val="left"/>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本次调查共捕获渔业资源游泳生物</w:t>
            </w:r>
            <w:r>
              <w:rPr>
                <w:rFonts w:ascii="Times New Roman" w:hAnsi="Times New Roman"/>
                <w:color w:val="auto"/>
                <w:kern w:val="0"/>
                <w:sz w:val="24"/>
                <w:szCs w:val="24"/>
                <w:highlight w:val="none"/>
              </w:rPr>
              <w:t>102</w:t>
            </w:r>
            <w:r>
              <w:rPr>
                <w:rFonts w:hint="eastAsia" w:ascii="宋体" w:hAnsi="Times New Roman" w:cs="宋体"/>
                <w:color w:val="auto"/>
                <w:kern w:val="0"/>
                <w:sz w:val="24"/>
                <w:szCs w:val="24"/>
                <w:highlight w:val="none"/>
              </w:rPr>
              <w:t>种，其中鱼类种类最多，为</w:t>
            </w:r>
            <w:r>
              <w:rPr>
                <w:rFonts w:ascii="Times New Roman" w:hAnsi="Times New Roman"/>
                <w:color w:val="auto"/>
                <w:kern w:val="0"/>
                <w:sz w:val="24"/>
                <w:szCs w:val="24"/>
                <w:highlight w:val="none"/>
              </w:rPr>
              <w:t>67</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65.7%</w:t>
            </w:r>
            <w:r>
              <w:rPr>
                <w:rFonts w:hint="eastAsia" w:ascii="宋体" w:hAnsi="Times New Roman" w:cs="宋体"/>
                <w:color w:val="auto"/>
                <w:kern w:val="0"/>
                <w:sz w:val="24"/>
                <w:szCs w:val="24"/>
                <w:highlight w:val="none"/>
              </w:rPr>
              <w:t>；蟹类</w:t>
            </w:r>
            <w:r>
              <w:rPr>
                <w:rFonts w:ascii="Times New Roman" w:hAnsi="Times New Roman"/>
                <w:color w:val="auto"/>
                <w:kern w:val="0"/>
                <w:sz w:val="24"/>
                <w:szCs w:val="24"/>
                <w:highlight w:val="none"/>
              </w:rPr>
              <w:t>21</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20.6%</w:t>
            </w:r>
            <w:r>
              <w:rPr>
                <w:rFonts w:hint="eastAsia" w:ascii="宋体" w:hAnsi="Times New Roman" w:cs="宋体"/>
                <w:color w:val="auto"/>
                <w:kern w:val="0"/>
                <w:sz w:val="24"/>
                <w:szCs w:val="24"/>
                <w:highlight w:val="none"/>
              </w:rPr>
              <w:t>；虾类</w:t>
            </w:r>
            <w:r>
              <w:rPr>
                <w:rFonts w:ascii="Times New Roman" w:hAnsi="Times New Roman"/>
                <w:color w:val="auto"/>
                <w:kern w:val="0"/>
                <w:sz w:val="24"/>
                <w:szCs w:val="24"/>
                <w:highlight w:val="none"/>
              </w:rPr>
              <w:t>8</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7.8%</w:t>
            </w:r>
            <w:r>
              <w:rPr>
                <w:rFonts w:hint="eastAsia" w:ascii="宋体" w:hAnsi="Times New Roman" w:cs="宋体"/>
                <w:color w:val="auto"/>
                <w:kern w:val="0"/>
                <w:sz w:val="24"/>
                <w:szCs w:val="24"/>
                <w:highlight w:val="none"/>
              </w:rPr>
              <w:t>；头足类</w:t>
            </w:r>
            <w:r>
              <w:rPr>
                <w:rFonts w:ascii="Times New Roman" w:hAnsi="Times New Roman"/>
                <w:color w:val="auto"/>
                <w:kern w:val="0"/>
                <w:sz w:val="24"/>
                <w:szCs w:val="24"/>
                <w:highlight w:val="none"/>
              </w:rPr>
              <w:t>4</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3.9%</w:t>
            </w:r>
            <w:r>
              <w:rPr>
                <w:rFonts w:hint="eastAsia" w:ascii="宋体" w:hAnsi="Times New Roman" w:cs="宋体"/>
                <w:color w:val="auto"/>
                <w:kern w:val="0"/>
                <w:sz w:val="24"/>
                <w:szCs w:val="24"/>
                <w:highlight w:val="none"/>
              </w:rPr>
              <w:t>；虾姑类</w:t>
            </w:r>
            <w:r>
              <w:rPr>
                <w:rFonts w:ascii="Times New Roman" w:hAnsi="Times New Roman"/>
                <w:color w:val="auto"/>
                <w:kern w:val="0"/>
                <w:sz w:val="24"/>
                <w:szCs w:val="24"/>
                <w:highlight w:val="none"/>
              </w:rPr>
              <w:t>2</w:t>
            </w:r>
            <w:r>
              <w:rPr>
                <w:rFonts w:hint="eastAsia" w:ascii="宋体" w:hAnsi="Times New Roman" w:cs="宋体"/>
                <w:color w:val="auto"/>
                <w:kern w:val="0"/>
                <w:sz w:val="24"/>
                <w:szCs w:val="24"/>
                <w:highlight w:val="none"/>
              </w:rPr>
              <w:t>种，占总种数的</w:t>
            </w:r>
            <w:r>
              <w:rPr>
                <w:rFonts w:ascii="Times New Roman" w:hAnsi="Times New Roman"/>
                <w:color w:val="auto"/>
                <w:kern w:val="0"/>
                <w:sz w:val="24"/>
                <w:szCs w:val="24"/>
                <w:highlight w:val="none"/>
              </w:rPr>
              <w:t>2.0%</w:t>
            </w:r>
            <w:r>
              <w:rPr>
                <w:rFonts w:hint="eastAsia" w:ascii="宋体" w:hAnsi="Times New Roman" w:cs="宋体"/>
                <w:color w:val="auto"/>
                <w:kern w:val="0"/>
                <w:sz w:val="24"/>
                <w:szCs w:val="24"/>
                <w:highlight w:val="none"/>
              </w:rPr>
              <w:t>。</w:t>
            </w:r>
          </w:p>
          <w:p>
            <w:pPr>
              <w:spacing w:line="360" w:lineRule="auto"/>
              <w:ind w:firstLine="480" w:firstLineChars="200"/>
              <w:jc w:val="left"/>
              <w:rPr>
                <w:rFonts w:ascii="宋体" w:hAnsi="Times New Roman" w:cs="宋体"/>
                <w:color w:val="auto"/>
                <w:sz w:val="24"/>
                <w:szCs w:val="24"/>
                <w:highlight w:val="none"/>
              </w:rPr>
            </w:pPr>
            <w:r>
              <w:rPr>
                <w:rFonts w:hint="eastAsia" w:ascii="宋体" w:hAnsi="Times New Roman" w:cs="宋体"/>
                <w:color w:val="auto"/>
                <w:sz w:val="24"/>
                <w:szCs w:val="24"/>
                <w:highlight w:val="none"/>
              </w:rPr>
              <w:t>调查的</w:t>
            </w:r>
            <w:r>
              <w:rPr>
                <w:rFonts w:ascii="Times New Roman" w:hAnsi="Times New Roman"/>
                <w:color w:val="auto"/>
                <w:sz w:val="24"/>
                <w:szCs w:val="24"/>
                <w:highlight w:val="none"/>
              </w:rPr>
              <w:t>20</w:t>
            </w:r>
            <w:r>
              <w:rPr>
                <w:rFonts w:hint="eastAsia" w:ascii="宋体" w:hAnsi="Times New Roman" w:cs="宋体"/>
                <w:color w:val="auto"/>
                <w:sz w:val="24"/>
                <w:szCs w:val="24"/>
                <w:highlight w:val="none"/>
              </w:rPr>
              <w:t>个站位总渔获种数在</w:t>
            </w:r>
            <w:r>
              <w:rPr>
                <w:rFonts w:ascii="Times New Roman" w:hAnsi="Times New Roman"/>
                <w:color w:val="auto"/>
                <w:sz w:val="24"/>
                <w:szCs w:val="24"/>
                <w:highlight w:val="none"/>
              </w:rPr>
              <w:t>18</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39</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29</w:t>
            </w:r>
            <w:r>
              <w:rPr>
                <w:rFonts w:hint="eastAsia" w:ascii="宋体" w:hAnsi="Times New Roman" w:cs="宋体"/>
                <w:color w:val="auto"/>
                <w:sz w:val="24"/>
                <w:szCs w:val="24"/>
                <w:highlight w:val="none"/>
              </w:rPr>
              <w:t>种。鱼类在全部站位均有出现，出现站渔获种数在</w:t>
            </w:r>
            <w:r>
              <w:rPr>
                <w:rFonts w:ascii="Times New Roman" w:hAnsi="Times New Roman"/>
                <w:color w:val="auto"/>
                <w:sz w:val="24"/>
                <w:szCs w:val="24"/>
                <w:highlight w:val="none"/>
              </w:rPr>
              <w:t>11</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23</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18</w:t>
            </w:r>
            <w:r>
              <w:rPr>
                <w:rFonts w:hint="eastAsia" w:ascii="宋体" w:hAnsi="Times New Roman" w:cs="宋体"/>
                <w:color w:val="auto"/>
                <w:sz w:val="24"/>
                <w:szCs w:val="24"/>
                <w:highlight w:val="none"/>
              </w:rPr>
              <w:t>种。虾类在全部站位均有出现，出现站渔获种数在</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4</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2</w:t>
            </w:r>
            <w:r>
              <w:rPr>
                <w:rFonts w:hint="eastAsia" w:ascii="宋体" w:hAnsi="Times New Roman" w:cs="宋体"/>
                <w:color w:val="auto"/>
                <w:sz w:val="24"/>
                <w:szCs w:val="24"/>
                <w:highlight w:val="none"/>
              </w:rPr>
              <w:t>种。蟹类在全部站位均有出现，出现站渔获种数在</w:t>
            </w:r>
            <w:r>
              <w:rPr>
                <w:rFonts w:ascii="Times New Roman" w:hAnsi="Times New Roman"/>
                <w:color w:val="auto"/>
                <w:sz w:val="24"/>
                <w:szCs w:val="24"/>
                <w:highlight w:val="none"/>
              </w:rPr>
              <w:t>3</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9</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6</w:t>
            </w:r>
            <w:r>
              <w:rPr>
                <w:rFonts w:hint="eastAsia" w:ascii="宋体" w:hAnsi="Times New Roman" w:cs="宋体"/>
                <w:color w:val="auto"/>
                <w:sz w:val="24"/>
                <w:szCs w:val="24"/>
                <w:highlight w:val="none"/>
              </w:rPr>
              <w:t>种。虾姑类在全部站位均有出现，出现站渔获种数在</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2</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2</w:t>
            </w:r>
            <w:r>
              <w:rPr>
                <w:rFonts w:hint="eastAsia" w:ascii="宋体" w:hAnsi="Times New Roman" w:cs="宋体"/>
                <w:color w:val="auto"/>
                <w:sz w:val="24"/>
                <w:szCs w:val="24"/>
                <w:highlight w:val="none"/>
              </w:rPr>
              <w:t>种。头足类在全部站位均有出现，出现站渔获种数为在</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w:t>
            </w:r>
            <w:r>
              <w:rPr>
                <w:rFonts w:ascii="Times New Roman" w:hAnsi="Times New Roman"/>
                <w:color w:val="auto"/>
                <w:sz w:val="24"/>
                <w:szCs w:val="24"/>
                <w:highlight w:val="none"/>
              </w:rPr>
              <w:t>2</w:t>
            </w:r>
            <w:r>
              <w:rPr>
                <w:rFonts w:hint="eastAsia" w:ascii="宋体" w:hAnsi="Times New Roman" w:cs="宋体"/>
                <w:color w:val="auto"/>
                <w:sz w:val="24"/>
                <w:szCs w:val="24"/>
                <w:highlight w:val="none"/>
              </w:rPr>
              <w:t>种之间，平均每站渔获</w:t>
            </w:r>
            <w:r>
              <w:rPr>
                <w:rFonts w:ascii="Times New Roman" w:hAnsi="Times New Roman"/>
                <w:color w:val="auto"/>
                <w:sz w:val="24"/>
                <w:szCs w:val="24"/>
                <w:highlight w:val="none"/>
              </w:rPr>
              <w:t>1</w:t>
            </w:r>
            <w:r>
              <w:rPr>
                <w:rFonts w:hint="eastAsia" w:ascii="宋体" w:hAnsi="Times New Roman" w:cs="宋体"/>
                <w:color w:val="auto"/>
                <w:sz w:val="24"/>
                <w:szCs w:val="24"/>
                <w:highlight w:val="none"/>
              </w:rPr>
              <w:t>种。各站位渔获种类数分布详见表2.2</w:t>
            </w:r>
            <w:r>
              <w:rPr>
                <w:rFonts w:ascii="Times New Roman" w:hAnsi="Times New Roman"/>
                <w:color w:val="auto"/>
                <w:sz w:val="24"/>
                <w:szCs w:val="24"/>
                <w:highlight w:val="none"/>
              </w:rPr>
              <w:t>-13</w:t>
            </w:r>
            <w:r>
              <w:rPr>
                <w:rFonts w:hint="eastAsia" w:ascii="宋体" w:hAnsi="Times New Roman" w:cs="宋体"/>
                <w:color w:val="auto"/>
                <w:sz w:val="24"/>
                <w:szCs w:val="24"/>
                <w:highlight w:val="none"/>
              </w:rPr>
              <w:t>。</w:t>
            </w:r>
          </w:p>
          <w:p>
            <w:pPr>
              <w:jc w:val="center"/>
              <w:rPr>
                <w:color w:val="auto"/>
                <w:sz w:val="24"/>
                <w:szCs w:val="24"/>
                <w:highlight w:val="none"/>
              </w:rPr>
            </w:pPr>
            <w:r>
              <w:rPr>
                <w:rFonts w:hint="eastAsia" w:ascii="宋体" w:hAnsi="Times New Roman" w:cs="宋体"/>
                <w:color w:val="auto"/>
                <w:kern w:val="0"/>
                <w:sz w:val="24"/>
                <w:szCs w:val="24"/>
                <w:highlight w:val="none"/>
              </w:rPr>
              <w:t>表</w:t>
            </w:r>
            <w:r>
              <w:rPr>
                <w:rFonts w:hint="eastAsia" w:ascii="Times New Roman" w:hAnsi="Times New Roman"/>
                <w:b/>
                <w:bCs/>
                <w:color w:val="auto"/>
                <w:kern w:val="0"/>
                <w:sz w:val="24"/>
                <w:szCs w:val="24"/>
                <w:highlight w:val="none"/>
              </w:rPr>
              <w:t>2.2</w:t>
            </w:r>
            <w:r>
              <w:rPr>
                <w:rFonts w:ascii="Times New Roman" w:hAnsi="Times New Roman"/>
                <w:b/>
                <w:bCs/>
                <w:color w:val="auto"/>
                <w:kern w:val="0"/>
                <w:sz w:val="24"/>
                <w:szCs w:val="24"/>
                <w:highlight w:val="none"/>
              </w:rPr>
              <w:t>-13</w:t>
            </w:r>
            <w:r>
              <w:rPr>
                <w:rFonts w:hint="eastAsia" w:ascii="宋体" w:hAnsi="Times New Roman" w:cs="宋体"/>
                <w:color w:val="auto"/>
                <w:kern w:val="0"/>
                <w:sz w:val="24"/>
                <w:szCs w:val="24"/>
                <w:highlight w:val="none"/>
              </w:rPr>
              <w:t>各站各类游泳动物渔获种数分布</w:t>
            </w:r>
          </w:p>
          <w:p>
            <w:pPr>
              <w:pStyle w:val="3"/>
              <w:rPr>
                <w:color w:val="auto"/>
                <w:highlight w:val="none"/>
              </w:rPr>
            </w:pPr>
            <w:r>
              <w:rPr>
                <w:color w:val="auto"/>
                <w:highlight w:val="none"/>
              </w:rPr>
              <w:drawing>
                <wp:inline distT="0" distB="0" distL="0" distR="0">
                  <wp:extent cx="5756275" cy="4114800"/>
                  <wp:effectExtent l="19050" t="0" r="0" b="0"/>
                  <wp:docPr id="67" name="图片 25" descr="F:\微信文件File\WeChat Files\wxid_kgkf81ca4cje21\FileStorage\Temp\1701273674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descr="F:\微信文件File\WeChat Files\wxid_kgkf81ca4cje21\FileStorage\Temp\1701273674364.png"/>
                          <pic:cNvPicPr>
                            <a:picLocks noChangeAspect="1" noChangeArrowheads="1"/>
                          </pic:cNvPicPr>
                        </pic:nvPicPr>
                        <pic:blipFill>
                          <a:blip r:embed="rId40"/>
                          <a:srcRect/>
                          <a:stretch>
                            <a:fillRect/>
                          </a:stretch>
                        </pic:blipFill>
                        <pic:spPr>
                          <a:xfrm>
                            <a:off x="0" y="0"/>
                            <a:ext cx="5756794" cy="4114909"/>
                          </a:xfrm>
                          <a:prstGeom prst="rect">
                            <a:avLst/>
                          </a:prstGeom>
                          <a:noFill/>
                          <a:ln w="9525">
                            <a:noFill/>
                            <a:miter lim="800000"/>
                            <a:headEnd/>
                            <a:tailEnd/>
                          </a:ln>
                        </pic:spPr>
                      </pic:pic>
                    </a:graphicData>
                  </a:graphic>
                </wp:inline>
              </w:drawing>
            </w:r>
          </w:p>
          <w:p>
            <w:pPr>
              <w:spacing w:line="360" w:lineRule="auto"/>
              <w:ind w:firstLine="480" w:firstLineChars="200"/>
              <w:jc w:val="left"/>
              <w:rPr>
                <w:color w:val="auto"/>
                <w:sz w:val="24"/>
                <w:szCs w:val="24"/>
                <w:highlight w:val="none"/>
              </w:rPr>
            </w:pPr>
          </w:p>
          <w:p>
            <w:pPr>
              <w:spacing w:line="360" w:lineRule="auto"/>
              <w:ind w:firstLine="482" w:firstLineChars="200"/>
              <w:jc w:val="left"/>
              <w:rPr>
                <w:rFonts w:ascii="宋体" w:cs="宋体"/>
                <w:color w:val="auto"/>
                <w:sz w:val="24"/>
                <w:szCs w:val="24"/>
                <w:highlight w:val="none"/>
              </w:rPr>
            </w:pPr>
            <w:r>
              <w:rPr>
                <w:b/>
                <w:bCs/>
                <w:color w:val="auto"/>
                <w:sz w:val="24"/>
                <w:szCs w:val="24"/>
                <w:highlight w:val="none"/>
              </w:rPr>
              <w:t>2</w:t>
            </w:r>
            <w:r>
              <w:rPr>
                <w:rFonts w:hint="eastAsia" w:ascii="宋体" w:cs="宋体"/>
                <w:color w:val="auto"/>
                <w:sz w:val="24"/>
                <w:szCs w:val="24"/>
                <w:highlight w:val="none"/>
              </w:rPr>
              <w:t>）渔获率分布</w:t>
            </w:r>
          </w:p>
          <w:p>
            <w:pPr>
              <w:spacing w:line="360" w:lineRule="auto"/>
              <w:ind w:firstLine="480" w:firstLineChars="200"/>
              <w:rPr>
                <w:rFonts w:ascii="宋体" w:cs="宋体"/>
                <w:color w:val="auto"/>
                <w:sz w:val="24"/>
                <w:szCs w:val="24"/>
                <w:highlight w:val="none"/>
              </w:rPr>
            </w:pPr>
            <w:r>
              <w:rPr>
                <w:rFonts w:hint="eastAsia" w:ascii="宋体" w:cs="宋体"/>
                <w:color w:val="auto"/>
                <w:sz w:val="24"/>
                <w:szCs w:val="24"/>
                <w:highlight w:val="none"/>
              </w:rPr>
              <w:t>本次调查</w:t>
            </w:r>
            <w:r>
              <w:rPr>
                <w:color w:val="auto"/>
                <w:sz w:val="24"/>
                <w:szCs w:val="24"/>
                <w:highlight w:val="none"/>
              </w:rPr>
              <w:t>20</w:t>
            </w:r>
            <w:r>
              <w:rPr>
                <w:rFonts w:hint="eastAsia" w:ascii="宋体" w:cs="宋体"/>
                <w:color w:val="auto"/>
                <w:sz w:val="24"/>
                <w:szCs w:val="24"/>
                <w:highlight w:val="none"/>
              </w:rPr>
              <w:t>个站位总渔获量共</w:t>
            </w:r>
            <w:r>
              <w:rPr>
                <w:color w:val="auto"/>
                <w:sz w:val="24"/>
                <w:szCs w:val="24"/>
                <w:highlight w:val="none"/>
              </w:rPr>
              <w:t>152.8292kg</w:t>
            </w:r>
            <w:r>
              <w:rPr>
                <w:rFonts w:hint="eastAsia" w:ascii="宋体" w:cs="宋体"/>
                <w:color w:val="auto"/>
                <w:sz w:val="24"/>
                <w:szCs w:val="24"/>
                <w:highlight w:val="none"/>
              </w:rPr>
              <w:t>，</w:t>
            </w:r>
            <w:r>
              <w:rPr>
                <w:color w:val="auto"/>
                <w:sz w:val="24"/>
                <w:szCs w:val="24"/>
                <w:highlight w:val="none"/>
              </w:rPr>
              <w:t>7018</w:t>
            </w:r>
            <w:r>
              <w:rPr>
                <w:rFonts w:hint="eastAsia" w:ascii="宋体" w:cs="宋体"/>
                <w:color w:val="auto"/>
                <w:sz w:val="24"/>
                <w:szCs w:val="24"/>
                <w:highlight w:val="none"/>
              </w:rPr>
              <w:t>尾，各站位平均渔获率为</w:t>
            </w:r>
            <w:r>
              <w:rPr>
                <w:color w:val="auto"/>
                <w:sz w:val="24"/>
                <w:szCs w:val="24"/>
                <w:highlight w:val="none"/>
              </w:rPr>
              <w:t>15.2829kg/h</w:t>
            </w:r>
            <w:r>
              <w:rPr>
                <w:rFonts w:hint="eastAsia" w:ascii="宋体" w:cs="宋体"/>
                <w:color w:val="auto"/>
                <w:sz w:val="24"/>
                <w:szCs w:val="24"/>
                <w:highlight w:val="none"/>
              </w:rPr>
              <w:t>，平均尾数渔获率为</w:t>
            </w:r>
            <w:r>
              <w:rPr>
                <w:color w:val="auto"/>
                <w:sz w:val="24"/>
                <w:szCs w:val="24"/>
                <w:highlight w:val="none"/>
              </w:rPr>
              <w:t>702ind/h</w:t>
            </w:r>
            <w:r>
              <w:rPr>
                <w:rFonts w:hint="eastAsia" w:ascii="宋体" w:cs="宋体"/>
                <w:color w:val="auto"/>
                <w:sz w:val="24"/>
                <w:szCs w:val="24"/>
                <w:highlight w:val="none"/>
              </w:rPr>
              <w:t>。渔获率最高的站位是</w:t>
            </w:r>
            <w:r>
              <w:rPr>
                <w:color w:val="auto"/>
                <w:sz w:val="24"/>
                <w:szCs w:val="24"/>
                <w:highlight w:val="none"/>
              </w:rPr>
              <w:t>19</w:t>
            </w:r>
            <w:r>
              <w:rPr>
                <w:rFonts w:hint="eastAsia" w:ascii="宋体" w:cs="宋体"/>
                <w:color w:val="auto"/>
                <w:sz w:val="24"/>
                <w:szCs w:val="24"/>
                <w:highlight w:val="none"/>
              </w:rPr>
              <w:t>号站，为</w:t>
            </w:r>
            <w:r>
              <w:rPr>
                <w:color w:val="auto"/>
                <w:sz w:val="24"/>
                <w:szCs w:val="24"/>
                <w:highlight w:val="none"/>
              </w:rPr>
              <w:t>21.8000kg/h</w:t>
            </w:r>
            <w:r>
              <w:rPr>
                <w:rFonts w:hint="eastAsia" w:ascii="宋体" w:cs="宋体"/>
                <w:color w:val="auto"/>
                <w:sz w:val="24"/>
                <w:szCs w:val="24"/>
                <w:highlight w:val="none"/>
              </w:rPr>
              <w:t>；最低的是</w:t>
            </w:r>
            <w:r>
              <w:rPr>
                <w:color w:val="auto"/>
                <w:sz w:val="24"/>
                <w:szCs w:val="24"/>
                <w:highlight w:val="none"/>
              </w:rPr>
              <w:t>23</w:t>
            </w:r>
            <w:r>
              <w:rPr>
                <w:rFonts w:hint="eastAsia" w:ascii="宋体" w:cs="宋体"/>
                <w:color w:val="auto"/>
                <w:sz w:val="24"/>
                <w:szCs w:val="24"/>
                <w:highlight w:val="none"/>
              </w:rPr>
              <w:t>号站，渔获率为</w:t>
            </w:r>
            <w:r>
              <w:rPr>
                <w:color w:val="auto"/>
                <w:sz w:val="24"/>
                <w:szCs w:val="24"/>
                <w:highlight w:val="none"/>
              </w:rPr>
              <w:t>10.7202kg/h</w:t>
            </w:r>
            <w:r>
              <w:rPr>
                <w:rFonts w:hint="eastAsia" w:ascii="宋体" w:cs="宋体"/>
                <w:color w:val="auto"/>
                <w:sz w:val="24"/>
                <w:szCs w:val="24"/>
                <w:highlight w:val="none"/>
              </w:rPr>
              <w:t>。尾数渔获率最高的是</w:t>
            </w:r>
            <w:r>
              <w:rPr>
                <w:color w:val="auto"/>
                <w:sz w:val="24"/>
                <w:szCs w:val="24"/>
                <w:highlight w:val="none"/>
              </w:rPr>
              <w:t>9</w:t>
            </w:r>
            <w:r>
              <w:rPr>
                <w:rFonts w:hint="eastAsia" w:ascii="宋体" w:cs="宋体"/>
                <w:color w:val="auto"/>
                <w:sz w:val="24"/>
                <w:szCs w:val="24"/>
                <w:highlight w:val="none"/>
              </w:rPr>
              <w:t>号站，为</w:t>
            </w:r>
            <w:r>
              <w:rPr>
                <w:color w:val="auto"/>
                <w:sz w:val="24"/>
                <w:szCs w:val="24"/>
                <w:highlight w:val="none"/>
              </w:rPr>
              <w:t>1224ind/h</w:t>
            </w:r>
            <w:r>
              <w:rPr>
                <w:rFonts w:hint="eastAsia" w:ascii="宋体" w:cs="宋体"/>
                <w:color w:val="auto"/>
                <w:sz w:val="24"/>
                <w:szCs w:val="24"/>
                <w:highlight w:val="none"/>
              </w:rPr>
              <w:t>；最低的是</w:t>
            </w:r>
            <w:r>
              <w:rPr>
                <w:color w:val="auto"/>
                <w:sz w:val="24"/>
                <w:szCs w:val="24"/>
                <w:highlight w:val="none"/>
              </w:rPr>
              <w:t>23</w:t>
            </w:r>
            <w:r>
              <w:rPr>
                <w:rFonts w:hint="eastAsia" w:ascii="宋体" w:cs="宋体"/>
                <w:color w:val="auto"/>
                <w:sz w:val="24"/>
                <w:szCs w:val="24"/>
                <w:highlight w:val="none"/>
              </w:rPr>
              <w:t>号站，尾数渔获率为</w:t>
            </w:r>
            <w:r>
              <w:rPr>
                <w:color w:val="auto"/>
                <w:sz w:val="24"/>
                <w:szCs w:val="24"/>
                <w:highlight w:val="none"/>
              </w:rPr>
              <w:t>486ind/h</w:t>
            </w:r>
            <w:r>
              <w:rPr>
                <w:rFonts w:hint="eastAsia" w:ascii="宋体" w:cs="宋体"/>
                <w:color w:val="auto"/>
                <w:sz w:val="24"/>
                <w:szCs w:val="24"/>
                <w:highlight w:val="none"/>
              </w:rPr>
              <w:t>。各站位渔获率及尾数渔获率详见表2.2</w:t>
            </w:r>
            <w:r>
              <w:rPr>
                <w:color w:val="auto"/>
                <w:sz w:val="24"/>
                <w:szCs w:val="24"/>
                <w:highlight w:val="none"/>
              </w:rPr>
              <w:t>-14</w:t>
            </w:r>
            <w:r>
              <w:rPr>
                <w:rFonts w:hint="eastAsia" w:ascii="宋体" w:cs="宋体"/>
                <w:color w:val="auto"/>
                <w:sz w:val="24"/>
                <w:szCs w:val="24"/>
                <w:highlight w:val="none"/>
              </w:rPr>
              <w:t>、表2.2</w:t>
            </w:r>
            <w:r>
              <w:rPr>
                <w:color w:val="auto"/>
                <w:sz w:val="24"/>
                <w:szCs w:val="24"/>
                <w:highlight w:val="none"/>
              </w:rPr>
              <w:t>-15</w:t>
            </w:r>
            <w:r>
              <w:rPr>
                <w:rFonts w:hint="eastAsia" w:ascii="宋体" w:cs="宋体"/>
                <w:color w:val="auto"/>
                <w:sz w:val="24"/>
                <w:szCs w:val="24"/>
                <w:highlight w:val="none"/>
              </w:rPr>
              <w:t>。</w:t>
            </w:r>
          </w:p>
          <w:p>
            <w:pPr>
              <w:spacing w:line="360" w:lineRule="auto"/>
              <w:ind w:firstLine="480" w:firstLineChars="200"/>
              <w:jc w:val="left"/>
              <w:rPr>
                <w:rFonts w:ascii="宋体" w:cs="宋体"/>
                <w:color w:val="auto"/>
                <w:sz w:val="24"/>
                <w:szCs w:val="24"/>
                <w:highlight w:val="none"/>
              </w:rPr>
            </w:pPr>
            <w:r>
              <w:rPr>
                <w:rFonts w:hint="eastAsia" w:ascii="宋体" w:cs="宋体"/>
                <w:color w:val="auto"/>
                <w:sz w:val="24"/>
                <w:szCs w:val="24"/>
                <w:highlight w:val="none"/>
              </w:rPr>
              <w:t>各类</w:t>
            </w:r>
            <w:r>
              <w:rPr>
                <w:rFonts w:hint="eastAsia"/>
                <w:color w:val="auto"/>
                <w:spacing w:val="-5"/>
                <w:sz w:val="24"/>
                <w:szCs w:val="24"/>
                <w:highlight w:val="none"/>
              </w:rPr>
              <w:t>游泳生物</w:t>
            </w:r>
            <w:r>
              <w:rPr>
                <w:rFonts w:hint="eastAsia" w:ascii="宋体" w:cs="宋体"/>
                <w:color w:val="auto"/>
                <w:sz w:val="24"/>
                <w:szCs w:val="24"/>
                <w:highlight w:val="none"/>
              </w:rPr>
              <w:t>的平均渔获率由高到低依次为鱼类、蟹类、虾类、虾蛄类、头足类（表2.2</w:t>
            </w:r>
            <w:r>
              <w:rPr>
                <w:color w:val="auto"/>
                <w:sz w:val="24"/>
                <w:szCs w:val="24"/>
                <w:highlight w:val="none"/>
              </w:rPr>
              <w:t>-14</w:t>
            </w:r>
            <w:r>
              <w:rPr>
                <w:rFonts w:hint="eastAsia" w:ascii="宋体" w:cs="宋体"/>
                <w:color w:val="auto"/>
                <w:sz w:val="24"/>
                <w:szCs w:val="24"/>
                <w:highlight w:val="none"/>
              </w:rPr>
              <w:t>）。各类游泳生物的平均尾数渔获率由高到低依次为鱼类、虾类、蟹类、虾蛄类、头足类（表2.2</w:t>
            </w:r>
            <w:r>
              <w:rPr>
                <w:color w:val="auto"/>
                <w:sz w:val="24"/>
                <w:szCs w:val="24"/>
                <w:highlight w:val="none"/>
              </w:rPr>
              <w:t>-15</w:t>
            </w:r>
            <w:r>
              <w:rPr>
                <w:rFonts w:hint="eastAsia" w:ascii="宋体" w:cs="宋体"/>
                <w:color w:val="auto"/>
                <w:sz w:val="24"/>
                <w:szCs w:val="24"/>
                <w:highlight w:val="none"/>
              </w:rPr>
              <w:t>）。</w:t>
            </w:r>
          </w:p>
          <w:p>
            <w:pPr>
              <w:jc w:val="center"/>
              <w:rPr>
                <w:color w:val="auto"/>
                <w:sz w:val="24"/>
                <w:szCs w:val="24"/>
                <w:highlight w:val="none"/>
              </w:rPr>
            </w:pPr>
            <w:r>
              <w:rPr>
                <w:rFonts w:hint="eastAsia"/>
                <w:color w:val="auto"/>
                <w:sz w:val="24"/>
                <w:szCs w:val="24"/>
                <w:highlight w:val="none"/>
              </w:rPr>
              <w:t>表</w:t>
            </w:r>
            <w:r>
              <w:rPr>
                <w:rFonts w:ascii="Times New Roman"/>
                <w:b/>
                <w:bCs/>
                <w:color w:val="auto"/>
                <w:sz w:val="24"/>
                <w:szCs w:val="24"/>
                <w:highlight w:val="none"/>
              </w:rPr>
              <w:t>2.2-14</w:t>
            </w:r>
            <w:r>
              <w:rPr>
                <w:rFonts w:hint="eastAsia"/>
                <w:color w:val="auto"/>
                <w:sz w:val="24"/>
                <w:szCs w:val="24"/>
                <w:highlight w:val="none"/>
              </w:rPr>
              <w:t>各站各类游泳动物渔获率分布（</w:t>
            </w:r>
            <w:r>
              <w:rPr>
                <w:rFonts w:ascii="Times New Roman"/>
                <w:b/>
                <w:bCs/>
                <w:color w:val="auto"/>
                <w:sz w:val="24"/>
                <w:szCs w:val="24"/>
                <w:highlight w:val="none"/>
              </w:rPr>
              <w:t>kg/h</w:t>
            </w:r>
            <w:r>
              <w:rPr>
                <w:rFonts w:hint="eastAsia"/>
                <w:color w:val="auto"/>
                <w:sz w:val="24"/>
                <w:szCs w:val="24"/>
                <w:highlight w:val="none"/>
              </w:rPr>
              <w:t>）</w:t>
            </w:r>
          </w:p>
          <w:p>
            <w:pPr>
              <w:pStyle w:val="3"/>
              <w:rPr>
                <w:color w:val="auto"/>
                <w:highlight w:val="none"/>
              </w:rPr>
            </w:pPr>
            <w:r>
              <w:rPr>
                <w:color w:val="auto"/>
                <w:highlight w:val="none"/>
              </w:rPr>
              <w:drawing>
                <wp:inline distT="0" distB="0" distL="0" distR="0">
                  <wp:extent cx="5744210" cy="3743960"/>
                  <wp:effectExtent l="19050" t="0" r="8659" b="0"/>
                  <wp:docPr id="68" name="图片 26" descr="F:\微信文件File\WeChat Files\wxid_kgkf81ca4cje21\FileStorage\Temp\1701273740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 descr="F:\微信文件File\WeChat Files\wxid_kgkf81ca4cje21\FileStorage\Temp\1701273740043.png"/>
                          <pic:cNvPicPr>
                            <a:picLocks noChangeAspect="1" noChangeArrowheads="1"/>
                          </pic:cNvPicPr>
                        </pic:nvPicPr>
                        <pic:blipFill>
                          <a:blip r:embed="rId41"/>
                          <a:srcRect/>
                          <a:stretch>
                            <a:fillRect/>
                          </a:stretch>
                        </pic:blipFill>
                        <pic:spPr>
                          <a:xfrm>
                            <a:off x="0" y="0"/>
                            <a:ext cx="5744441" cy="3744467"/>
                          </a:xfrm>
                          <a:prstGeom prst="rect">
                            <a:avLst/>
                          </a:prstGeom>
                          <a:noFill/>
                          <a:ln w="9525">
                            <a:noFill/>
                            <a:miter lim="800000"/>
                            <a:headEnd/>
                            <a:tailEnd/>
                          </a:ln>
                        </pic:spPr>
                      </pic:pic>
                    </a:graphicData>
                  </a:graphic>
                </wp:inline>
              </w:drawing>
            </w: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color w:val="auto"/>
                <w:sz w:val="24"/>
                <w:szCs w:val="24"/>
                <w:highlight w:val="none"/>
              </w:rPr>
            </w:pPr>
            <w:r>
              <w:rPr>
                <w:rFonts w:hint="eastAsia"/>
                <w:color w:val="auto"/>
                <w:sz w:val="24"/>
                <w:szCs w:val="24"/>
                <w:highlight w:val="none"/>
              </w:rPr>
              <w:t>表</w:t>
            </w:r>
            <w:r>
              <w:rPr>
                <w:rFonts w:ascii="Times New Roman"/>
                <w:b/>
                <w:bCs/>
                <w:color w:val="auto"/>
                <w:sz w:val="24"/>
                <w:szCs w:val="24"/>
                <w:highlight w:val="none"/>
              </w:rPr>
              <w:t>2.2-15</w:t>
            </w:r>
            <w:r>
              <w:rPr>
                <w:rFonts w:hint="eastAsia"/>
                <w:color w:val="auto"/>
                <w:sz w:val="24"/>
                <w:szCs w:val="24"/>
                <w:highlight w:val="none"/>
              </w:rPr>
              <w:t>各站各类游泳动物尾数渔获率分布（</w:t>
            </w:r>
            <w:r>
              <w:rPr>
                <w:rFonts w:ascii="Times New Roman"/>
                <w:b/>
                <w:bCs/>
                <w:color w:val="auto"/>
                <w:sz w:val="24"/>
                <w:szCs w:val="24"/>
                <w:highlight w:val="none"/>
              </w:rPr>
              <w:t>ind/h</w:t>
            </w:r>
            <w:r>
              <w:rPr>
                <w:rFonts w:hint="eastAsia"/>
                <w:color w:val="auto"/>
                <w:sz w:val="24"/>
                <w:szCs w:val="24"/>
                <w:highlight w:val="none"/>
              </w:rPr>
              <w:t>）</w:t>
            </w:r>
          </w:p>
          <w:p>
            <w:pPr>
              <w:pStyle w:val="3"/>
              <w:rPr>
                <w:color w:val="auto"/>
                <w:highlight w:val="none"/>
              </w:rPr>
            </w:pPr>
            <w:r>
              <w:rPr>
                <w:color w:val="auto"/>
                <w:highlight w:val="none"/>
              </w:rPr>
              <w:drawing>
                <wp:inline distT="0" distB="0" distL="0" distR="0">
                  <wp:extent cx="5742940" cy="3762375"/>
                  <wp:effectExtent l="19050" t="0" r="0" b="0"/>
                  <wp:docPr id="69" name="图片 27" descr="F:\微信文件File\WeChat Files\wxid_kgkf81ca4cje21\FileStorage\Temp\170127378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7" descr="F:\微信文件File\WeChat Files\wxid_kgkf81ca4cje21\FileStorage\Temp\1701273780307.png"/>
                          <pic:cNvPicPr>
                            <a:picLocks noChangeAspect="1" noChangeArrowheads="1"/>
                          </pic:cNvPicPr>
                        </pic:nvPicPr>
                        <pic:blipFill>
                          <a:blip r:embed="rId42"/>
                          <a:srcRect/>
                          <a:stretch>
                            <a:fillRect/>
                          </a:stretch>
                        </pic:blipFill>
                        <pic:spPr>
                          <a:xfrm>
                            <a:off x="0" y="0"/>
                            <a:ext cx="5743114" cy="3762813"/>
                          </a:xfrm>
                          <a:prstGeom prst="rect">
                            <a:avLst/>
                          </a:prstGeom>
                          <a:noFill/>
                          <a:ln w="9525">
                            <a:noFill/>
                            <a:miter lim="800000"/>
                            <a:headEnd/>
                            <a:tailEnd/>
                          </a:ln>
                        </pic:spPr>
                      </pic:pic>
                    </a:graphicData>
                  </a:graphic>
                </wp:inline>
              </w:drawing>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2</w:t>
            </w:r>
            <w:r>
              <w:rPr>
                <w:rFonts w:hint="eastAsia" w:cs="宋体" w:asciiTheme="minorEastAsia" w:hAnsiTheme="minorEastAsia" w:eastAsiaTheme="minorEastAsia"/>
                <w:color w:val="auto"/>
                <w:sz w:val="24"/>
                <w:szCs w:val="24"/>
                <w:highlight w:val="none"/>
              </w:rPr>
              <w:t>）渔业资源密度分布</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游泳生物资源密度</w:t>
            </w:r>
            <w:r>
              <w:rPr>
                <w:rFonts w:hint="eastAsia" w:asciiTheme="minorEastAsia" w:hAnsiTheme="minorEastAsia" w:eastAsiaTheme="minorEastAsia"/>
                <w:bCs/>
                <w:color w:val="auto"/>
                <w:sz w:val="24"/>
                <w:szCs w:val="24"/>
                <w:highlight w:val="none"/>
              </w:rPr>
              <w:t>采用</w:t>
            </w:r>
            <w:r>
              <w:rPr>
                <w:rFonts w:hint="eastAsia" w:cs="宋体" w:asciiTheme="minorEastAsia" w:hAnsiTheme="minorEastAsia" w:eastAsiaTheme="minorEastAsia"/>
                <w:color w:val="auto"/>
                <w:sz w:val="24"/>
                <w:szCs w:val="24"/>
                <w:highlight w:val="none"/>
              </w:rPr>
              <w:t>底拖网扫海面积法（</w:t>
            </w:r>
            <w:r>
              <w:rPr>
                <w:rFonts w:asciiTheme="minorEastAsia" w:hAnsiTheme="minorEastAsia" w:eastAsiaTheme="minorEastAsia"/>
                <w:color w:val="auto"/>
                <w:sz w:val="24"/>
                <w:szCs w:val="24"/>
                <w:highlight w:val="none"/>
              </w:rPr>
              <w:t>Shindo</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1973</w:t>
            </w:r>
            <w:r>
              <w:rPr>
                <w:rFonts w:hint="eastAsia" w:cs="宋体" w:asciiTheme="minorEastAsia" w:hAnsiTheme="minorEastAsia" w:eastAsiaTheme="minorEastAsia"/>
                <w:color w:val="auto"/>
                <w:sz w:val="24"/>
                <w:szCs w:val="24"/>
                <w:highlight w:val="none"/>
              </w:rPr>
              <w:t>转引自</w:t>
            </w:r>
            <w:r>
              <w:rPr>
                <w:rFonts w:asciiTheme="minorEastAsia" w:hAnsiTheme="minorEastAsia" w:eastAsiaTheme="minorEastAsia"/>
                <w:color w:val="auto"/>
                <w:sz w:val="24"/>
                <w:szCs w:val="24"/>
                <w:highlight w:val="none"/>
              </w:rPr>
              <w:t>Aoyama</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1973</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Nguyen</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2005</w:t>
            </w:r>
            <w:r>
              <w:rPr>
                <w:rFonts w:hint="eastAsia" w:cs="宋体" w:asciiTheme="minorEastAsia" w:hAnsiTheme="minorEastAsia" w:eastAsiaTheme="minorEastAsia"/>
                <w:color w:val="auto"/>
                <w:sz w:val="24"/>
                <w:szCs w:val="24"/>
                <w:highlight w:val="none"/>
              </w:rPr>
              <w:t>）估算。计算公式为：</w:t>
            </w:r>
          </w:p>
          <w:p>
            <w:pPr>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drawing>
                <wp:inline distT="0" distB="0" distL="0" distR="0">
                  <wp:extent cx="1219200" cy="512445"/>
                  <wp:effectExtent l="19050" t="0" r="0" b="0"/>
                  <wp:docPr id="71" name="图片 29" descr="F:\微信文件File\WeChat Files\wxid_kgkf81ca4cje21\FileStorage\Temp\1701273844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9" descr="F:\微信文件File\WeChat Files\wxid_kgkf81ca4cje21\FileStorage\Temp\1701273844021(1).png"/>
                          <pic:cNvPicPr>
                            <a:picLocks noChangeAspect="1" noChangeArrowheads="1"/>
                          </pic:cNvPicPr>
                        </pic:nvPicPr>
                        <pic:blipFill>
                          <a:blip r:embed="rId43"/>
                          <a:srcRect/>
                          <a:stretch>
                            <a:fillRect/>
                          </a:stretch>
                        </pic:blipFill>
                        <pic:spPr>
                          <a:xfrm>
                            <a:off x="0" y="0"/>
                            <a:ext cx="1219200" cy="512445"/>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式中：</w:t>
            </w:r>
            <w:r>
              <w:rPr>
                <w:rFonts w:asciiTheme="minorEastAsia" w:hAnsiTheme="minorEastAsia" w:eastAsiaTheme="minorEastAsia"/>
                <w:i/>
                <w:iCs/>
                <w:color w:val="auto"/>
                <w:sz w:val="24"/>
                <w:szCs w:val="24"/>
                <w:highlight w:val="none"/>
              </w:rPr>
              <w:t>d</w:t>
            </w:r>
            <w:r>
              <w:rPr>
                <w:rFonts w:hint="eastAsia" w:asciiTheme="minorEastAsia" w:hAnsiTheme="minorEastAsia" w:eastAsiaTheme="minorEastAsia"/>
                <w:color w:val="auto"/>
                <w:sz w:val="24"/>
                <w:szCs w:val="24"/>
                <w:highlight w:val="none"/>
              </w:rPr>
              <w:t>为资源密度；</w:t>
            </w:r>
            <w:r>
              <w:rPr>
                <w:rFonts w:asciiTheme="minorEastAsia" w:hAnsiTheme="minorEastAsia" w:eastAsiaTheme="minorEastAsia"/>
                <w:i/>
                <w:iCs/>
                <w:color w:val="auto"/>
                <w:sz w:val="24"/>
                <w:szCs w:val="24"/>
                <w:highlight w:val="none"/>
              </w:rPr>
              <w:t>y</w:t>
            </w:r>
            <w:r>
              <w:rPr>
                <w:rFonts w:hint="eastAsia" w:asciiTheme="minorEastAsia" w:hAnsiTheme="minorEastAsia" w:eastAsiaTheme="minorEastAsia"/>
                <w:color w:val="auto"/>
                <w:sz w:val="24"/>
                <w:szCs w:val="24"/>
                <w:highlight w:val="none"/>
              </w:rPr>
              <w:t>为</w:t>
            </w:r>
            <w:r>
              <w:rPr>
                <w:rFonts w:hint="eastAsia" w:asciiTheme="minorEastAsia" w:hAnsiTheme="minorEastAsia" w:eastAsiaTheme="minorEastAsia"/>
                <w:bCs/>
                <w:color w:val="auto"/>
                <w:sz w:val="24"/>
                <w:szCs w:val="24"/>
                <w:highlight w:val="none"/>
              </w:rPr>
              <w:t>拖网</w:t>
            </w:r>
            <w:r>
              <w:rPr>
                <w:rFonts w:hint="eastAsia" w:asciiTheme="minorEastAsia" w:hAnsiTheme="minorEastAsia" w:eastAsiaTheme="minorEastAsia"/>
                <w:color w:val="auto"/>
                <w:sz w:val="24"/>
                <w:szCs w:val="24"/>
                <w:highlight w:val="none"/>
              </w:rPr>
              <w:t>渔获率；</w:t>
            </w:r>
            <w:r>
              <w:rPr>
                <w:rFonts w:asciiTheme="minorEastAsia" w:hAnsiTheme="minorEastAsia" w:eastAsiaTheme="minorEastAsia"/>
                <w:i/>
                <w:iCs/>
                <w:color w:val="auto"/>
                <w:sz w:val="24"/>
                <w:szCs w:val="24"/>
                <w:highlight w:val="none"/>
              </w:rPr>
              <w:t>v</w:t>
            </w:r>
            <w:r>
              <w:rPr>
                <w:rFonts w:hint="eastAsia" w:asciiTheme="minorEastAsia" w:hAnsiTheme="minorEastAsia" w:eastAsiaTheme="minorEastAsia"/>
                <w:color w:val="auto"/>
                <w:sz w:val="24"/>
                <w:szCs w:val="24"/>
                <w:highlight w:val="none"/>
              </w:rPr>
              <w:t>为平均拖速；</w:t>
            </w:r>
            <w:r>
              <w:rPr>
                <w:rFonts w:asciiTheme="minorEastAsia" w:hAnsiTheme="minorEastAsia" w:eastAsiaTheme="minorEastAsia"/>
                <w:i/>
                <w:iCs/>
                <w:color w:val="auto"/>
                <w:sz w:val="24"/>
                <w:szCs w:val="24"/>
                <w:highlight w:val="none"/>
              </w:rPr>
              <w:t>l</w:t>
            </w:r>
            <w:r>
              <w:rPr>
                <w:rFonts w:hint="eastAsia" w:asciiTheme="minorEastAsia" w:hAnsiTheme="minorEastAsia" w:eastAsiaTheme="minorEastAsia"/>
                <w:color w:val="auto"/>
                <w:sz w:val="24"/>
                <w:szCs w:val="24"/>
                <w:highlight w:val="none"/>
              </w:rPr>
              <w:t>为网口宽度（取</w:t>
            </w:r>
            <w:r>
              <w:rPr>
                <w:rFonts w:asciiTheme="minorEastAsia" w:hAnsiTheme="minorEastAsia" w:eastAsiaTheme="minorEastAsia"/>
                <w:color w:val="auto"/>
                <w:sz w:val="24"/>
                <w:szCs w:val="24"/>
                <w:highlight w:val="none"/>
              </w:rPr>
              <w:t>7m</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i/>
                <w:iCs/>
                <w:color w:val="auto"/>
                <w:sz w:val="24"/>
                <w:szCs w:val="24"/>
                <w:highlight w:val="none"/>
              </w:rPr>
              <w:t>E</w:t>
            </w:r>
            <w:r>
              <w:rPr>
                <w:rFonts w:hint="eastAsia" w:asciiTheme="minorEastAsia" w:hAnsiTheme="minorEastAsia" w:eastAsiaTheme="minorEastAsia"/>
                <w:color w:val="auto"/>
                <w:sz w:val="24"/>
                <w:szCs w:val="24"/>
                <w:highlight w:val="none"/>
              </w:rPr>
              <w:t>为逃逸率（取</w:t>
            </w:r>
            <w:r>
              <w:rPr>
                <w:rFonts w:asciiTheme="minorEastAsia" w:hAnsiTheme="minorEastAsia" w:eastAsiaTheme="minorEastAsia"/>
                <w:color w:val="auto"/>
                <w:sz w:val="24"/>
                <w:szCs w:val="24"/>
                <w:highlight w:val="none"/>
              </w:rPr>
              <w:t>0.5</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本次游泳生物调查各站位</w:t>
            </w:r>
            <w:r>
              <w:rPr>
                <w:rFonts w:hint="eastAsia" w:asciiTheme="minorEastAsia" w:hAnsiTheme="minorEastAsia" w:eastAsiaTheme="minorEastAsia"/>
                <w:bCs/>
                <w:color w:val="auto"/>
                <w:sz w:val="24"/>
                <w:szCs w:val="24"/>
                <w:highlight w:val="none"/>
              </w:rPr>
              <w:t>平均</w:t>
            </w:r>
            <w:r>
              <w:rPr>
                <w:rFonts w:hint="eastAsia" w:asciiTheme="minorEastAsia" w:hAnsiTheme="minorEastAsia" w:eastAsiaTheme="minorEastAsia"/>
                <w:color w:val="auto"/>
                <w:sz w:val="24"/>
                <w:szCs w:val="24"/>
                <w:highlight w:val="none"/>
              </w:rPr>
              <w:t>资源密度为</w:t>
            </w:r>
            <w:r>
              <w:rPr>
                <w:rFonts w:asciiTheme="minorEastAsia" w:hAnsiTheme="minorEastAsia" w:eastAsiaTheme="minorEastAsia"/>
                <w:color w:val="auto"/>
                <w:sz w:val="24"/>
                <w:szCs w:val="24"/>
                <w:highlight w:val="none"/>
              </w:rPr>
              <w:t>785.916kg/k㎡</w:t>
            </w:r>
            <w:r>
              <w:rPr>
                <w:rFonts w:hint="eastAsia" w:asciiTheme="minorEastAsia" w:hAnsiTheme="minorEastAsia" w:eastAsiaTheme="minorEastAsia"/>
                <w:color w:val="auto"/>
                <w:sz w:val="24"/>
                <w:szCs w:val="24"/>
                <w:highlight w:val="none"/>
              </w:rPr>
              <w:t>，平均资源尾数密度为</w:t>
            </w:r>
            <w:r>
              <w:rPr>
                <w:rFonts w:asciiTheme="minorEastAsia" w:hAnsiTheme="minorEastAsia" w:eastAsiaTheme="minorEastAsia"/>
                <w:color w:val="auto"/>
                <w:sz w:val="24"/>
                <w:szCs w:val="24"/>
                <w:highlight w:val="none"/>
              </w:rPr>
              <w:t>36090ind/k㎡</w:t>
            </w:r>
            <w:r>
              <w:rPr>
                <w:rFonts w:hint="eastAsia" w:asciiTheme="minorEastAsia" w:hAnsiTheme="minorEastAsia" w:eastAsiaTheme="minorEastAsia"/>
                <w:color w:val="auto"/>
                <w:sz w:val="24"/>
                <w:szCs w:val="24"/>
                <w:highlight w:val="none"/>
              </w:rPr>
              <w:t>。资源密度最高的站位是</w:t>
            </w:r>
            <w:r>
              <w:rPr>
                <w:rFonts w:asciiTheme="minorEastAsia" w:hAnsiTheme="minorEastAsia" w:eastAsiaTheme="minorEastAsia"/>
                <w:color w:val="auto"/>
                <w:sz w:val="24"/>
                <w:szCs w:val="24"/>
                <w:highlight w:val="none"/>
              </w:rPr>
              <w:t>19</w:t>
            </w:r>
            <w:r>
              <w:rPr>
                <w:rFonts w:hint="eastAsia" w:asciiTheme="minorEastAsia" w:hAnsiTheme="minorEastAsia" w:eastAsiaTheme="minorEastAsia"/>
                <w:color w:val="auto"/>
                <w:sz w:val="24"/>
                <w:szCs w:val="24"/>
                <w:highlight w:val="none"/>
              </w:rPr>
              <w:t>号站位，为</w:t>
            </w:r>
            <w:r>
              <w:rPr>
                <w:rFonts w:asciiTheme="minorEastAsia" w:hAnsiTheme="minorEastAsia" w:eastAsiaTheme="minorEastAsia"/>
                <w:color w:val="auto"/>
                <w:sz w:val="24"/>
                <w:szCs w:val="24"/>
                <w:highlight w:val="none"/>
              </w:rPr>
              <w:t>1121.053kg/k㎡</w:t>
            </w:r>
            <w:r>
              <w:rPr>
                <w:rFonts w:hint="eastAsia" w:asciiTheme="minorEastAsia" w:hAnsiTheme="minorEastAsia" w:eastAsiaTheme="minorEastAsia"/>
                <w:color w:val="auto"/>
                <w:sz w:val="24"/>
                <w:szCs w:val="24"/>
                <w:highlight w:val="none"/>
              </w:rPr>
              <w:t>，最低的是</w:t>
            </w:r>
            <w:r>
              <w:rPr>
                <w:rFonts w:asciiTheme="minorEastAsia" w:hAnsiTheme="minorEastAsia" w:eastAsiaTheme="minorEastAsia"/>
                <w:color w:val="auto"/>
                <w:sz w:val="24"/>
                <w:szCs w:val="24"/>
                <w:highlight w:val="none"/>
              </w:rPr>
              <w:t>23</w:t>
            </w:r>
            <w:r>
              <w:rPr>
                <w:rFonts w:hint="eastAsia" w:asciiTheme="minorEastAsia" w:hAnsiTheme="minorEastAsia" w:eastAsiaTheme="minorEastAsia"/>
                <w:color w:val="auto"/>
                <w:sz w:val="24"/>
                <w:szCs w:val="24"/>
                <w:highlight w:val="none"/>
              </w:rPr>
              <w:t>号站位，为</w:t>
            </w:r>
            <w:r>
              <w:rPr>
                <w:rFonts w:asciiTheme="minorEastAsia" w:hAnsiTheme="minorEastAsia" w:eastAsiaTheme="minorEastAsia"/>
                <w:color w:val="auto"/>
                <w:sz w:val="24"/>
                <w:szCs w:val="24"/>
                <w:highlight w:val="none"/>
              </w:rPr>
              <w:t>551.280kg/k㎡</w:t>
            </w:r>
            <w:r>
              <w:rPr>
                <w:rFonts w:hint="eastAsia" w:asciiTheme="minorEastAsia" w:hAnsiTheme="minorEastAsia" w:eastAsiaTheme="minorEastAsia"/>
                <w:color w:val="auto"/>
                <w:sz w:val="24"/>
                <w:szCs w:val="24"/>
                <w:highlight w:val="none"/>
              </w:rPr>
              <w:t>。资源尾数密度最高的站位是</w:t>
            </w:r>
            <w:r>
              <w:rPr>
                <w:rFonts w:asciiTheme="minorEastAsia" w:hAnsiTheme="minorEastAsia" w:eastAsiaTheme="minorEastAsia"/>
                <w:color w:val="auto"/>
                <w:sz w:val="24"/>
                <w:szCs w:val="24"/>
                <w:highlight w:val="none"/>
              </w:rPr>
              <w:t>9</w:t>
            </w:r>
            <w:r>
              <w:rPr>
                <w:rFonts w:hint="eastAsia" w:asciiTheme="minorEastAsia" w:hAnsiTheme="minorEastAsia" w:eastAsiaTheme="minorEastAsia"/>
                <w:color w:val="auto"/>
                <w:sz w:val="24"/>
                <w:szCs w:val="24"/>
                <w:highlight w:val="none"/>
              </w:rPr>
              <w:t>号站位，为</w:t>
            </w:r>
            <w:r>
              <w:rPr>
                <w:rFonts w:asciiTheme="minorEastAsia" w:hAnsiTheme="minorEastAsia" w:eastAsiaTheme="minorEastAsia"/>
                <w:color w:val="auto"/>
                <w:sz w:val="24"/>
                <w:szCs w:val="24"/>
                <w:highlight w:val="none"/>
              </w:rPr>
              <w:t>62944ind/k㎡</w:t>
            </w:r>
            <w:r>
              <w:rPr>
                <w:rFonts w:hint="eastAsia" w:asciiTheme="minorEastAsia" w:hAnsiTheme="minorEastAsia" w:eastAsiaTheme="minorEastAsia"/>
                <w:color w:val="auto"/>
                <w:sz w:val="24"/>
                <w:szCs w:val="24"/>
                <w:highlight w:val="none"/>
              </w:rPr>
              <w:t>，最低的是</w:t>
            </w:r>
            <w:r>
              <w:rPr>
                <w:rFonts w:asciiTheme="minorEastAsia" w:hAnsiTheme="minorEastAsia" w:eastAsiaTheme="minorEastAsia"/>
                <w:color w:val="auto"/>
                <w:sz w:val="24"/>
                <w:szCs w:val="24"/>
                <w:highlight w:val="none"/>
              </w:rPr>
              <w:t>23</w:t>
            </w:r>
            <w:r>
              <w:rPr>
                <w:rFonts w:hint="eastAsia" w:asciiTheme="minorEastAsia" w:hAnsiTheme="minorEastAsia" w:eastAsiaTheme="minorEastAsia"/>
                <w:color w:val="auto"/>
                <w:sz w:val="24"/>
                <w:szCs w:val="24"/>
                <w:highlight w:val="none"/>
              </w:rPr>
              <w:t>号站位，为</w:t>
            </w:r>
            <w:r>
              <w:rPr>
                <w:rFonts w:asciiTheme="minorEastAsia" w:hAnsiTheme="minorEastAsia" w:eastAsiaTheme="minorEastAsia"/>
                <w:color w:val="auto"/>
                <w:sz w:val="24"/>
                <w:szCs w:val="24"/>
                <w:highlight w:val="none"/>
              </w:rPr>
              <w:t>24992ind/k㎡</w:t>
            </w:r>
            <w:r>
              <w:rPr>
                <w:rFonts w:hint="eastAsia" w:asciiTheme="minorEastAsia" w:hAnsiTheme="minorEastAsia" w:eastAsiaTheme="minorEastAsia"/>
                <w:color w:val="auto"/>
                <w:sz w:val="24"/>
                <w:szCs w:val="24"/>
                <w:highlight w:val="none"/>
              </w:rPr>
              <w:t>。各站位的资源密度及资源尾数密度详见表2.2</w:t>
            </w:r>
            <w:r>
              <w:rPr>
                <w:rFonts w:asciiTheme="minorEastAsia" w:hAnsiTheme="minorEastAsia" w:eastAsiaTheme="minorEastAsia"/>
                <w:color w:val="auto"/>
                <w:sz w:val="24"/>
                <w:szCs w:val="24"/>
                <w:highlight w:val="none"/>
              </w:rPr>
              <w:t>-16</w:t>
            </w:r>
            <w:r>
              <w:rPr>
                <w:rFonts w:hint="eastAsia" w:asciiTheme="minorEastAsia" w:hAnsiTheme="minorEastAsia" w:eastAsiaTheme="minorEastAsia"/>
                <w:color w:val="auto"/>
                <w:sz w:val="24"/>
                <w:szCs w:val="24"/>
                <w:highlight w:val="none"/>
              </w:rPr>
              <w:t>、表2.2</w:t>
            </w:r>
            <w:r>
              <w:rPr>
                <w:rFonts w:asciiTheme="minorEastAsia" w:hAnsiTheme="minorEastAsia" w:eastAsiaTheme="minorEastAsia"/>
                <w:color w:val="auto"/>
                <w:sz w:val="24"/>
                <w:szCs w:val="24"/>
                <w:highlight w:val="none"/>
              </w:rPr>
              <w:t>-17</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各类游泳生物的平均资源密度由高到低依次为鱼类、蟹类、虾类、虾蛄类、头足类（表2.2</w:t>
            </w:r>
            <w:r>
              <w:rPr>
                <w:rFonts w:asciiTheme="minorEastAsia" w:hAnsiTheme="minorEastAsia" w:eastAsiaTheme="minorEastAsia"/>
                <w:color w:val="auto"/>
                <w:sz w:val="24"/>
                <w:szCs w:val="24"/>
                <w:highlight w:val="none"/>
              </w:rPr>
              <w:t>-16</w:t>
            </w:r>
            <w:r>
              <w:rPr>
                <w:rFonts w:hint="eastAsia" w:asciiTheme="minorEastAsia" w:hAnsiTheme="minorEastAsia" w:eastAsiaTheme="minorEastAsia"/>
                <w:color w:val="auto"/>
                <w:sz w:val="24"/>
                <w:szCs w:val="24"/>
                <w:highlight w:val="none"/>
              </w:rPr>
              <w:t>）；各类游泳生物的平均资源尾数密度由高到低依次为鱼类、虾类、蟹类、虾蛄类、头足类（表2.2</w:t>
            </w:r>
            <w:r>
              <w:rPr>
                <w:rFonts w:asciiTheme="minorEastAsia" w:hAnsiTheme="minorEastAsia" w:eastAsiaTheme="minorEastAsia"/>
                <w:color w:val="auto"/>
                <w:sz w:val="24"/>
                <w:szCs w:val="24"/>
                <w:highlight w:val="none"/>
              </w:rPr>
              <w:t>-17</w:t>
            </w:r>
            <w:r>
              <w:rPr>
                <w:rFonts w:hint="eastAsia" w:asciiTheme="minorEastAsia" w:hAnsiTheme="minorEastAsia" w:eastAsiaTheme="minorEastAsia"/>
                <w:color w:val="auto"/>
                <w:sz w:val="24"/>
                <w:szCs w:val="24"/>
                <w:highlight w:val="none"/>
              </w:rPr>
              <w:t>）。</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asciiTheme="minorEastAsia" w:hAnsiTheme="minorEastAsia" w:eastAsiaTheme="minorEastAsia"/>
                <w:b w:val="0"/>
                <w:bCs/>
                <w:color w:val="auto"/>
                <w:sz w:val="24"/>
                <w:szCs w:val="24"/>
                <w:highlight w:val="none"/>
              </w:rPr>
              <w:t>2.2-16</w:t>
            </w:r>
            <w:r>
              <w:rPr>
                <w:rFonts w:hint="eastAsia" w:asciiTheme="minorEastAsia" w:hAnsiTheme="minorEastAsia" w:eastAsiaTheme="minorEastAsia"/>
                <w:b w:val="0"/>
                <w:color w:val="auto"/>
                <w:sz w:val="24"/>
                <w:szCs w:val="24"/>
                <w:highlight w:val="none"/>
              </w:rPr>
              <w:t>各站各类游泳生物资源密度分布（</w:t>
            </w:r>
            <w:r>
              <w:rPr>
                <w:rFonts w:asciiTheme="minorEastAsia" w:hAnsiTheme="minorEastAsia" w:eastAsiaTheme="minorEastAsia"/>
                <w:b w:val="0"/>
                <w:bCs/>
                <w:color w:val="auto"/>
                <w:sz w:val="24"/>
                <w:szCs w:val="24"/>
                <w:highlight w:val="none"/>
              </w:rPr>
              <w:t>kg/k㎡</w:t>
            </w:r>
            <w:r>
              <w:rPr>
                <w:rFonts w:hint="eastAsia" w:asciiTheme="minorEastAsia" w:hAnsiTheme="minorEastAsia" w:eastAsiaTheme="minorEastAsia"/>
                <w:b w:val="0"/>
                <w:color w:val="auto"/>
                <w:sz w:val="24"/>
                <w:szCs w:val="24"/>
                <w:highlight w:val="none"/>
              </w:rPr>
              <w:t>）</w:t>
            </w:r>
          </w:p>
          <w:p>
            <w:pPr>
              <w:rPr>
                <w:color w:val="auto"/>
                <w:highlight w:val="none"/>
              </w:rPr>
            </w:pPr>
            <w:r>
              <w:rPr>
                <w:color w:val="auto"/>
                <w:highlight w:val="none"/>
              </w:rPr>
              <w:drawing>
                <wp:inline distT="0" distB="0" distL="0" distR="0">
                  <wp:extent cx="5742940" cy="3756660"/>
                  <wp:effectExtent l="19050" t="0" r="0" b="0"/>
                  <wp:docPr id="72" name="图片 30" descr="F:\微信文件File\WeChat Files\wxid_kgkf81ca4cje21\FileStorage\Temp\1701273882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0" descr="F:\微信文件File\WeChat Files\wxid_kgkf81ca4cje21\FileStorage\Temp\1701273882605.png"/>
                          <pic:cNvPicPr>
                            <a:picLocks noChangeAspect="1" noChangeArrowheads="1"/>
                          </pic:cNvPicPr>
                        </pic:nvPicPr>
                        <pic:blipFill>
                          <a:blip r:embed="rId44"/>
                          <a:srcRect/>
                          <a:stretch>
                            <a:fillRect/>
                          </a:stretch>
                        </pic:blipFill>
                        <pic:spPr>
                          <a:xfrm>
                            <a:off x="0" y="0"/>
                            <a:ext cx="5743198" cy="3756879"/>
                          </a:xfrm>
                          <a:prstGeom prst="rect">
                            <a:avLst/>
                          </a:prstGeom>
                          <a:noFill/>
                          <a:ln w="9525">
                            <a:noFill/>
                            <a:miter lim="800000"/>
                            <a:headEnd/>
                            <a:tailEnd/>
                          </a:ln>
                        </pic:spPr>
                      </pic:pic>
                    </a:graphicData>
                  </a:graphic>
                </wp:inline>
              </w:drawing>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w:t>
            </w:r>
            <w:r>
              <w:rPr>
                <w:rFonts w:asciiTheme="minorEastAsia" w:hAnsiTheme="minorEastAsia" w:eastAsiaTheme="minorEastAsia"/>
                <w:b w:val="0"/>
                <w:bCs/>
                <w:color w:val="auto"/>
                <w:sz w:val="24"/>
                <w:szCs w:val="24"/>
                <w:highlight w:val="none"/>
              </w:rPr>
              <w:t>2.2-17</w:t>
            </w:r>
            <w:r>
              <w:rPr>
                <w:rFonts w:hint="eastAsia" w:asciiTheme="minorEastAsia" w:hAnsiTheme="minorEastAsia" w:eastAsiaTheme="minorEastAsia"/>
                <w:b w:val="0"/>
                <w:color w:val="auto"/>
                <w:sz w:val="24"/>
                <w:szCs w:val="24"/>
                <w:highlight w:val="none"/>
              </w:rPr>
              <w:t>各站各类游泳生物资源尾数密度分布（</w:t>
            </w:r>
            <w:r>
              <w:rPr>
                <w:rFonts w:asciiTheme="minorEastAsia" w:hAnsiTheme="minorEastAsia" w:eastAsiaTheme="minorEastAsia"/>
                <w:b w:val="0"/>
                <w:bCs/>
                <w:color w:val="auto"/>
                <w:sz w:val="24"/>
                <w:szCs w:val="24"/>
                <w:highlight w:val="none"/>
              </w:rPr>
              <w:t>ind/k㎡</w:t>
            </w:r>
            <w:r>
              <w:rPr>
                <w:rFonts w:hint="eastAsia" w:asciiTheme="minorEastAsia" w:hAnsiTheme="minorEastAsia" w:eastAsiaTheme="minorEastAsia"/>
                <w:b w:val="0"/>
                <w:color w:val="auto"/>
                <w:sz w:val="24"/>
                <w:szCs w:val="24"/>
                <w:highlight w:val="none"/>
              </w:rPr>
              <w:t>）</w:t>
            </w:r>
          </w:p>
          <w:p>
            <w:pPr>
              <w:rPr>
                <w:color w:val="auto"/>
                <w:highlight w:val="none"/>
              </w:rPr>
            </w:pPr>
            <w:r>
              <w:rPr>
                <w:rFonts w:hint="eastAsia"/>
                <w:color w:val="auto"/>
                <w:highlight w:val="none"/>
              </w:rPr>
              <w:drawing>
                <wp:inline distT="0" distB="0" distL="0" distR="0">
                  <wp:extent cx="5756275" cy="3740785"/>
                  <wp:effectExtent l="19050" t="0" r="0" b="0"/>
                  <wp:docPr id="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pic:cNvPicPr>
                            <a:picLocks noChangeAspect="1" noChangeArrowheads="1"/>
                          </pic:cNvPicPr>
                        </pic:nvPicPr>
                        <pic:blipFill>
                          <a:blip r:embed="rId45"/>
                          <a:srcRect/>
                          <a:stretch>
                            <a:fillRect/>
                          </a:stretch>
                        </pic:blipFill>
                        <pic:spPr>
                          <a:xfrm>
                            <a:off x="0" y="0"/>
                            <a:ext cx="5756275" cy="3740785"/>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bCs/>
                <w:color w:val="auto"/>
                <w:sz w:val="24"/>
                <w:szCs w:val="24"/>
                <w:highlight w:val="none"/>
              </w:rPr>
            </w:pPr>
          </w:p>
          <w:p>
            <w:pPr>
              <w:spacing w:line="360" w:lineRule="auto"/>
              <w:ind w:firstLine="480" w:firstLineChars="200"/>
              <w:jc w:val="left"/>
              <w:rPr>
                <w:rFonts w:asciiTheme="minorEastAsia" w:hAnsiTheme="minorEastAsia" w:eastAsiaTheme="minorEastAsia"/>
                <w:bCs/>
                <w:color w:val="auto"/>
                <w:sz w:val="24"/>
                <w:szCs w:val="24"/>
                <w:highlight w:val="none"/>
              </w:rPr>
            </w:pP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asciiTheme="minorEastAsia" w:hAnsiTheme="minorEastAsia" w:eastAsiaTheme="minorEastAsia"/>
                <w:bCs/>
                <w:color w:val="auto"/>
                <w:sz w:val="24"/>
                <w:szCs w:val="24"/>
                <w:highlight w:val="none"/>
              </w:rPr>
              <w:t>2.3</w:t>
            </w:r>
            <w:r>
              <w:rPr>
                <w:rFonts w:hint="eastAsia" w:cs="宋体" w:asciiTheme="minorEastAsia" w:hAnsiTheme="minorEastAsia" w:eastAsiaTheme="minorEastAsia"/>
                <w:color w:val="auto"/>
                <w:sz w:val="24"/>
                <w:szCs w:val="24"/>
                <w:highlight w:val="none"/>
              </w:rPr>
              <w:t>海水水质现状调查与评价</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2.3.1</w:t>
            </w:r>
            <w:r>
              <w:rPr>
                <w:rFonts w:hint="eastAsia" w:cs="宋体" w:asciiTheme="minorEastAsia" w:hAnsiTheme="minorEastAsia" w:eastAsiaTheme="minorEastAsia"/>
                <w:color w:val="auto"/>
                <w:sz w:val="24"/>
                <w:szCs w:val="24"/>
                <w:highlight w:val="none"/>
              </w:rPr>
              <w:t>调查</w:t>
            </w:r>
            <w:r>
              <w:rPr>
                <w:rFonts w:hint="eastAsia" w:asciiTheme="minorEastAsia" w:hAnsiTheme="minorEastAsia" w:eastAsiaTheme="minorEastAsia"/>
                <w:bCs/>
                <w:color w:val="auto"/>
                <w:sz w:val="24"/>
                <w:szCs w:val="24"/>
                <w:highlight w:val="none"/>
              </w:rPr>
              <w:t>概况</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海水水质现状调查资料引自国家海洋局北海海洋环境监测中心站《</w:t>
            </w:r>
            <w:r>
              <w:rPr>
                <w:rFonts w:asciiTheme="minorEastAsia" w:hAnsiTheme="minorEastAsia" w:eastAsiaTheme="minorEastAsia"/>
                <w:color w:val="auto"/>
                <w:sz w:val="24"/>
                <w:szCs w:val="24"/>
                <w:highlight w:val="none"/>
              </w:rPr>
              <w:t>2022</w:t>
            </w:r>
            <w:r>
              <w:rPr>
                <w:rFonts w:hint="eastAsia" w:cs="宋体" w:asciiTheme="minorEastAsia" w:hAnsiTheme="minorEastAsia" w:eastAsiaTheme="minorEastAsia"/>
                <w:color w:val="auto"/>
                <w:sz w:val="24"/>
                <w:szCs w:val="24"/>
                <w:highlight w:val="none"/>
              </w:rPr>
              <w:t>年广西钦州市海洋生态保护修复项目海洋生态环境状况调查报告（秋季）》。依据《海洋监测规范》（</w:t>
            </w:r>
            <w:r>
              <w:rPr>
                <w:rFonts w:asciiTheme="minorEastAsia" w:hAnsiTheme="minorEastAsia" w:eastAsiaTheme="minorEastAsia"/>
                <w:color w:val="auto"/>
                <w:sz w:val="24"/>
                <w:szCs w:val="24"/>
                <w:highlight w:val="none"/>
              </w:rPr>
              <w:t>GB17378-2007</w:t>
            </w:r>
            <w:r>
              <w:rPr>
                <w:rFonts w:hint="eastAsia" w:cs="宋体" w:asciiTheme="minorEastAsia" w:hAnsiTheme="minorEastAsia" w:eastAsiaTheme="minorEastAsia"/>
                <w:color w:val="auto"/>
                <w:sz w:val="24"/>
                <w:szCs w:val="24"/>
                <w:highlight w:val="none"/>
              </w:rPr>
              <w:t>）站位布设原则及《海域使用论证技术导则》（</w:t>
            </w:r>
            <w:r>
              <w:rPr>
                <w:rFonts w:asciiTheme="minorEastAsia" w:hAnsiTheme="minorEastAsia" w:eastAsiaTheme="minorEastAsia"/>
                <w:color w:val="auto"/>
                <w:sz w:val="24"/>
                <w:szCs w:val="24"/>
                <w:highlight w:val="none"/>
              </w:rPr>
              <w:t>GB/T42361-2023</w:t>
            </w:r>
            <w:r>
              <w:rPr>
                <w:rFonts w:hint="eastAsia" w:cs="宋体" w:asciiTheme="minorEastAsia" w:hAnsiTheme="minorEastAsia" w:eastAsiaTheme="minorEastAsia"/>
                <w:color w:val="auto"/>
                <w:sz w:val="24"/>
                <w:szCs w:val="24"/>
                <w:highlight w:val="none"/>
              </w:rPr>
              <w:t>）的相关技术要求，在项目近岸海域共布设</w:t>
            </w:r>
            <w:r>
              <w:rPr>
                <w:rFonts w:asciiTheme="minorEastAsia" w:hAnsiTheme="minorEastAsia" w:eastAsiaTheme="minorEastAsia"/>
                <w:color w:val="auto"/>
                <w:sz w:val="24"/>
                <w:szCs w:val="24"/>
                <w:highlight w:val="none"/>
              </w:rPr>
              <w:t>32</w:t>
            </w:r>
            <w:r>
              <w:rPr>
                <w:rFonts w:hint="eastAsia" w:cs="宋体" w:asciiTheme="minorEastAsia" w:hAnsiTheme="minorEastAsia" w:eastAsiaTheme="minorEastAsia"/>
                <w:color w:val="auto"/>
                <w:sz w:val="24"/>
                <w:szCs w:val="24"/>
                <w:highlight w:val="none"/>
              </w:rPr>
              <w:t>个海水水质站位。</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调查站位如表2.2</w:t>
            </w:r>
            <w:r>
              <w:rPr>
                <w:rFonts w:asciiTheme="minorEastAsia" w:hAnsiTheme="minorEastAsia" w:eastAsiaTheme="minorEastAsia"/>
                <w:color w:val="auto"/>
                <w:sz w:val="24"/>
                <w:szCs w:val="24"/>
                <w:highlight w:val="none"/>
              </w:rPr>
              <w:t>-1</w:t>
            </w:r>
            <w:r>
              <w:rPr>
                <w:rFonts w:hint="eastAsia" w:cs="宋体" w:asciiTheme="minorEastAsia" w:hAnsiTheme="minorEastAsia" w:eastAsiaTheme="minorEastAsia"/>
                <w:color w:val="auto"/>
                <w:sz w:val="24"/>
                <w:szCs w:val="24"/>
                <w:highlight w:val="none"/>
              </w:rPr>
              <w:t>，</w:t>
            </w:r>
            <w:r>
              <w:rPr>
                <w:rFonts w:hint="eastAsia" w:asciiTheme="minorEastAsia" w:hAnsiTheme="minorEastAsia" w:eastAsiaTheme="minorEastAsia"/>
                <w:bCs/>
                <w:color w:val="auto"/>
                <w:sz w:val="24"/>
                <w:szCs w:val="24"/>
                <w:highlight w:val="none"/>
              </w:rPr>
              <w:t>站位图</w:t>
            </w:r>
            <w:r>
              <w:rPr>
                <w:rFonts w:hint="eastAsia" w:cs="宋体" w:asciiTheme="minorEastAsia" w:hAnsiTheme="minorEastAsia" w:eastAsiaTheme="minorEastAsia"/>
                <w:color w:val="auto"/>
                <w:sz w:val="24"/>
                <w:szCs w:val="24"/>
                <w:highlight w:val="none"/>
              </w:rPr>
              <w:t>见图</w:t>
            </w:r>
            <w:r>
              <w:rPr>
                <w:rFonts w:asciiTheme="minorEastAsia" w:hAnsiTheme="minorEastAsia" w:eastAsiaTheme="minorEastAsia"/>
                <w:color w:val="auto"/>
                <w:sz w:val="24"/>
                <w:szCs w:val="24"/>
                <w:highlight w:val="none"/>
              </w:rPr>
              <w:t>2.2-1</w:t>
            </w:r>
            <w:r>
              <w:rPr>
                <w:rFonts w:hint="eastAsia" w:cs="宋体" w:asciiTheme="minorEastAsia" w:hAnsiTheme="minorEastAsia" w:eastAsiaTheme="minorEastAsia"/>
                <w:color w:val="auto"/>
                <w:sz w:val="24"/>
                <w:szCs w:val="24"/>
                <w:highlight w:val="none"/>
              </w:rPr>
              <w:t>。</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2.3.2</w:t>
            </w:r>
            <w:r>
              <w:rPr>
                <w:rFonts w:hint="eastAsia" w:cs="宋体" w:asciiTheme="minorEastAsia" w:hAnsiTheme="minorEastAsia" w:eastAsiaTheme="minorEastAsia"/>
                <w:color w:val="auto"/>
                <w:sz w:val="24"/>
                <w:szCs w:val="24"/>
                <w:highlight w:val="none"/>
              </w:rPr>
              <w:t>调查内容</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海水水质现状调查内容为：水温、</w:t>
            </w:r>
            <w:r>
              <w:rPr>
                <w:rFonts w:asciiTheme="minorEastAsia" w:hAnsiTheme="minorEastAsia" w:eastAsiaTheme="minorEastAsia"/>
                <w:color w:val="auto"/>
                <w:sz w:val="24"/>
                <w:szCs w:val="24"/>
                <w:highlight w:val="none"/>
              </w:rPr>
              <w:t>pH</w:t>
            </w:r>
            <w:r>
              <w:rPr>
                <w:rFonts w:hint="eastAsia" w:cs="宋体" w:asciiTheme="minorEastAsia" w:hAnsiTheme="minorEastAsia" w:eastAsiaTheme="minorEastAsia"/>
                <w:color w:val="auto"/>
                <w:sz w:val="24"/>
                <w:szCs w:val="24"/>
                <w:highlight w:val="none"/>
              </w:rPr>
              <w:t>、盐度、悬浮物、溶解氧、化学需氧量、五日生化需氧量（</w:t>
            </w:r>
            <w:r>
              <w:rPr>
                <w:rFonts w:asciiTheme="minorEastAsia" w:hAnsiTheme="minorEastAsia" w:eastAsiaTheme="minorEastAsia"/>
                <w:color w:val="auto"/>
                <w:sz w:val="24"/>
                <w:szCs w:val="24"/>
                <w:highlight w:val="none"/>
              </w:rPr>
              <w:t>BOD5</w:t>
            </w:r>
            <w:r>
              <w:rPr>
                <w:rFonts w:hint="eastAsia" w:cs="宋体" w:asciiTheme="minorEastAsia" w:hAnsiTheme="minorEastAsia" w:eastAsiaTheme="minorEastAsia"/>
                <w:color w:val="auto"/>
                <w:sz w:val="24"/>
                <w:szCs w:val="24"/>
                <w:highlight w:val="none"/>
              </w:rPr>
              <w:t>）、亚硝酸盐氮、硝酸盐氮、氨氮、活性磷酸盐、汞、铜、锌、铅、镉、总铬、砷、石油类。</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2.3.3</w:t>
            </w:r>
            <w:r>
              <w:rPr>
                <w:rFonts w:hint="eastAsia" w:cs="宋体" w:asciiTheme="minorEastAsia" w:hAnsiTheme="minorEastAsia" w:eastAsiaTheme="minorEastAsia"/>
                <w:color w:val="auto"/>
                <w:sz w:val="24"/>
                <w:szCs w:val="24"/>
                <w:highlight w:val="none"/>
              </w:rPr>
              <w:t>调查</w:t>
            </w:r>
            <w:r>
              <w:rPr>
                <w:rFonts w:hint="eastAsia" w:asciiTheme="minorEastAsia" w:hAnsiTheme="minorEastAsia" w:eastAsiaTheme="minorEastAsia"/>
                <w:bCs/>
                <w:color w:val="auto"/>
                <w:sz w:val="24"/>
                <w:szCs w:val="24"/>
                <w:highlight w:val="none"/>
              </w:rPr>
              <w:t>分析</w:t>
            </w:r>
            <w:r>
              <w:rPr>
                <w:rFonts w:hint="eastAsia" w:cs="宋体" w:asciiTheme="minorEastAsia" w:hAnsiTheme="minorEastAsia" w:eastAsiaTheme="minorEastAsia"/>
                <w:color w:val="auto"/>
                <w:sz w:val="24"/>
                <w:szCs w:val="24"/>
                <w:highlight w:val="none"/>
              </w:rPr>
              <w:t>方法</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bCs/>
                <w:color w:val="auto"/>
                <w:sz w:val="24"/>
                <w:szCs w:val="24"/>
                <w:highlight w:val="none"/>
              </w:rPr>
              <w:t>1</w:t>
            </w:r>
            <w:r>
              <w:rPr>
                <w:rFonts w:hint="eastAsia" w:cs="宋体" w:asciiTheme="minorEastAsia" w:hAnsiTheme="minorEastAsia" w:eastAsiaTheme="minorEastAsia"/>
                <w:color w:val="auto"/>
                <w:sz w:val="24"/>
                <w:szCs w:val="24"/>
                <w:highlight w:val="none"/>
              </w:rPr>
              <w:t>）采样方法</w:t>
            </w:r>
          </w:p>
          <w:p>
            <w:pPr>
              <w:spacing w:line="360" w:lineRule="auto"/>
              <w:ind w:firstLine="480" w:firstLineChars="200"/>
              <w:jc w:val="left"/>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采样层次按《海洋调查规范》（</w:t>
            </w:r>
            <w:r>
              <w:rPr>
                <w:rFonts w:asciiTheme="minorEastAsia" w:hAnsiTheme="minorEastAsia" w:eastAsiaTheme="minorEastAsia"/>
                <w:color w:val="auto"/>
                <w:sz w:val="24"/>
                <w:szCs w:val="24"/>
                <w:highlight w:val="none"/>
              </w:rPr>
              <w:t>GB/T12763-2007</w:t>
            </w:r>
            <w:r>
              <w:rPr>
                <w:rFonts w:hint="eastAsia" w:cs="宋体" w:asciiTheme="minorEastAsia" w:hAnsiTheme="minorEastAsia" w:eastAsiaTheme="minorEastAsia"/>
                <w:color w:val="auto"/>
                <w:sz w:val="24"/>
                <w:szCs w:val="24"/>
                <w:highlight w:val="none"/>
              </w:rPr>
              <w:t>）、《海洋监测规范》（</w:t>
            </w:r>
            <w:r>
              <w:rPr>
                <w:rFonts w:asciiTheme="minorEastAsia" w:hAnsiTheme="minorEastAsia" w:eastAsiaTheme="minorEastAsia"/>
                <w:color w:val="auto"/>
                <w:sz w:val="24"/>
                <w:szCs w:val="24"/>
                <w:highlight w:val="none"/>
              </w:rPr>
              <w:t>GB17378-2007</w:t>
            </w:r>
            <w:r>
              <w:rPr>
                <w:rFonts w:hint="eastAsia" w:cs="宋体" w:asciiTheme="minorEastAsia" w:hAnsiTheme="minorEastAsia" w:eastAsiaTheme="minorEastAsia"/>
                <w:color w:val="auto"/>
                <w:sz w:val="24"/>
                <w:szCs w:val="24"/>
                <w:highlight w:val="none"/>
              </w:rPr>
              <w:t>）有关技术要求执行，水深小于</w:t>
            </w:r>
            <w:r>
              <w:rPr>
                <w:rFonts w:asciiTheme="minorEastAsia" w:hAnsiTheme="minorEastAsia" w:eastAsiaTheme="minorEastAsia"/>
                <w:color w:val="auto"/>
                <w:sz w:val="24"/>
                <w:szCs w:val="24"/>
                <w:highlight w:val="none"/>
              </w:rPr>
              <w:t>10m</w:t>
            </w:r>
            <w:r>
              <w:rPr>
                <w:rFonts w:hint="eastAsia" w:cs="宋体" w:asciiTheme="minorEastAsia" w:hAnsiTheme="minorEastAsia" w:eastAsiaTheme="minorEastAsia"/>
                <w:color w:val="auto"/>
                <w:sz w:val="24"/>
                <w:szCs w:val="24"/>
                <w:highlight w:val="none"/>
              </w:rPr>
              <w:t>时，只采表层水样，水深大于</w:t>
            </w:r>
            <w:r>
              <w:rPr>
                <w:rFonts w:asciiTheme="minorEastAsia" w:hAnsiTheme="minorEastAsia" w:eastAsiaTheme="minorEastAsia"/>
                <w:color w:val="auto"/>
                <w:sz w:val="24"/>
                <w:szCs w:val="24"/>
                <w:highlight w:val="none"/>
              </w:rPr>
              <w:t>10m</w:t>
            </w:r>
            <w:r>
              <w:rPr>
                <w:rFonts w:hint="eastAsia" w:cs="宋体" w:asciiTheme="minorEastAsia" w:hAnsiTheme="minorEastAsia" w:eastAsiaTheme="minorEastAsia"/>
                <w:color w:val="auto"/>
                <w:sz w:val="24"/>
                <w:szCs w:val="24"/>
                <w:highlight w:val="none"/>
              </w:rPr>
              <w:t>时，采集表、底层水样（表层指海面以下（</w:t>
            </w:r>
            <w:r>
              <w:rPr>
                <w:rFonts w:asciiTheme="minorEastAsia" w:hAnsiTheme="minorEastAsia" w:eastAsiaTheme="minorEastAsia"/>
                <w:color w:val="auto"/>
                <w:sz w:val="24"/>
                <w:szCs w:val="24"/>
                <w:highlight w:val="none"/>
              </w:rPr>
              <w:t>0</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1.0</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m</w:t>
            </w:r>
            <w:r>
              <w:rPr>
                <w:rFonts w:hint="eastAsia" w:cs="宋体" w:asciiTheme="minorEastAsia" w:hAnsiTheme="minorEastAsia" w:eastAsiaTheme="minorEastAsia"/>
                <w:color w:val="auto"/>
                <w:sz w:val="24"/>
                <w:szCs w:val="24"/>
                <w:highlight w:val="none"/>
              </w:rPr>
              <w:t>，底层为距海底</w:t>
            </w:r>
            <w:r>
              <w:rPr>
                <w:rFonts w:asciiTheme="minorEastAsia" w:hAnsiTheme="minorEastAsia" w:eastAsiaTheme="minorEastAsia"/>
                <w:color w:val="auto"/>
                <w:sz w:val="24"/>
                <w:szCs w:val="24"/>
                <w:highlight w:val="none"/>
              </w:rPr>
              <w:t>2.0m</w:t>
            </w:r>
            <w:r>
              <w:rPr>
                <w:rFonts w:hint="eastAsia" w:cs="宋体" w:asciiTheme="minorEastAsia" w:hAnsiTheme="minorEastAsia" w:eastAsiaTheme="minorEastAsia"/>
                <w:color w:val="auto"/>
                <w:sz w:val="24"/>
                <w:szCs w:val="24"/>
                <w:highlight w:val="none"/>
              </w:rPr>
              <w:t>的水层）。石油类只采表层样品。</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水样分装顺序的基本原则是：不过滤的样品先装，需过滤的样品后分装。一般按照溶解氧（</w:t>
            </w:r>
            <w:r>
              <w:rPr>
                <w:rFonts w:hint="eastAsia" w:asciiTheme="minorEastAsia" w:hAnsiTheme="minorEastAsia" w:eastAsiaTheme="minorEastAsia"/>
                <w:bCs/>
                <w:color w:val="auto"/>
                <w:sz w:val="24"/>
                <w:szCs w:val="24"/>
                <w:highlight w:val="none"/>
              </w:rPr>
              <w:t>生化需氧量</w:t>
            </w:r>
            <w:r>
              <w:rPr>
                <w:rFonts w:hint="eastAsia" w:cs="宋体"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w:t>
            </w:r>
            <w:r>
              <w:rPr>
                <w:rFonts w:hint="eastAsia" w:cs="宋体" w:asciiTheme="minorEastAsia" w:hAnsiTheme="minorEastAsia" w:eastAsiaTheme="minorEastAsia"/>
                <w:color w:val="auto"/>
                <w:sz w:val="24"/>
                <w:szCs w:val="24"/>
                <w:highlight w:val="none"/>
              </w:rPr>
              <w:t>化学需氧量</w:t>
            </w:r>
            <w:r>
              <w:rPr>
                <w:rFonts w:asciiTheme="minorEastAsia" w:hAnsiTheme="minorEastAsia" w:eastAsiaTheme="minorEastAsia"/>
                <w:color w:val="auto"/>
                <w:sz w:val="24"/>
                <w:szCs w:val="24"/>
                <w:highlight w:val="none"/>
              </w:rPr>
              <w:t>→</w:t>
            </w:r>
            <w:r>
              <w:rPr>
                <w:rFonts w:hint="eastAsia" w:cs="宋体" w:asciiTheme="minorEastAsia" w:hAnsiTheme="minorEastAsia" w:eastAsiaTheme="minorEastAsia"/>
                <w:color w:val="auto"/>
                <w:sz w:val="24"/>
                <w:szCs w:val="24"/>
                <w:highlight w:val="none"/>
              </w:rPr>
              <w:t>汞</w:t>
            </w:r>
            <w:r>
              <w:rPr>
                <w:rFonts w:asciiTheme="minorEastAsia" w:hAnsiTheme="minorEastAsia" w:eastAsiaTheme="minorEastAsia"/>
                <w:color w:val="auto"/>
                <w:sz w:val="24"/>
                <w:szCs w:val="24"/>
                <w:highlight w:val="none"/>
              </w:rPr>
              <w:t>→pH→</w:t>
            </w:r>
            <w:r>
              <w:rPr>
                <w:rFonts w:hint="eastAsia" w:cs="宋体" w:asciiTheme="minorEastAsia" w:hAnsiTheme="minorEastAsia" w:eastAsiaTheme="minorEastAsia"/>
                <w:color w:val="auto"/>
                <w:sz w:val="24"/>
                <w:szCs w:val="24"/>
                <w:highlight w:val="none"/>
              </w:rPr>
              <w:t>悬浮物</w:t>
            </w:r>
            <w:r>
              <w:rPr>
                <w:rFonts w:asciiTheme="minorEastAsia" w:hAnsiTheme="minorEastAsia" w:eastAsiaTheme="minorEastAsia"/>
                <w:color w:val="auto"/>
                <w:sz w:val="24"/>
                <w:szCs w:val="24"/>
                <w:highlight w:val="none"/>
              </w:rPr>
              <w:t>→</w:t>
            </w:r>
            <w:r>
              <w:rPr>
                <w:rFonts w:hint="eastAsia" w:cs="宋体" w:asciiTheme="minorEastAsia" w:hAnsiTheme="minorEastAsia" w:eastAsiaTheme="minorEastAsia"/>
                <w:color w:val="auto"/>
                <w:sz w:val="24"/>
                <w:szCs w:val="24"/>
                <w:highlight w:val="none"/>
              </w:rPr>
              <w:t>叶绿素</w:t>
            </w:r>
            <w:r>
              <w:rPr>
                <w:rFonts w:asciiTheme="minorEastAsia" w:hAnsiTheme="minorEastAsia" w:eastAsiaTheme="minorEastAsia"/>
                <w:color w:val="auto"/>
                <w:sz w:val="24"/>
                <w:szCs w:val="24"/>
                <w:highlight w:val="none"/>
              </w:rPr>
              <w:t>-a→</w:t>
            </w:r>
            <w:r>
              <w:rPr>
                <w:rFonts w:hint="eastAsia" w:cs="宋体" w:asciiTheme="minorEastAsia" w:hAnsiTheme="minorEastAsia" w:eastAsiaTheme="minorEastAsia"/>
                <w:color w:val="auto"/>
                <w:sz w:val="24"/>
                <w:szCs w:val="24"/>
                <w:highlight w:val="none"/>
              </w:rPr>
              <w:t>营养</w:t>
            </w:r>
            <w:r>
              <w:rPr>
                <w:rFonts w:hint="eastAsia" w:asciiTheme="minorEastAsia" w:hAnsiTheme="minorEastAsia" w:eastAsiaTheme="minorEastAsia"/>
                <w:color w:val="auto"/>
                <w:sz w:val="24"/>
                <w:szCs w:val="24"/>
                <w:highlight w:val="none"/>
              </w:rPr>
              <w:t>盐</w:t>
            </w:r>
            <w:r>
              <w:rPr>
                <w:rFonts w:asciiTheme="minorEastAsia" w:hAnsiTheme="minorEastAsia" w:eastAsiaTheme="minorEastAsia"/>
                <w:color w:val="auto"/>
                <w:sz w:val="24"/>
                <w:szCs w:val="24"/>
                <w:highlight w:val="none"/>
              </w:rPr>
              <w:t>→</w:t>
            </w:r>
            <w:r>
              <w:rPr>
                <w:rFonts w:hint="eastAsia" w:asciiTheme="minorEastAsia" w:hAnsiTheme="minorEastAsia" w:eastAsiaTheme="minorEastAsia"/>
                <w:color w:val="auto"/>
                <w:sz w:val="24"/>
                <w:szCs w:val="24"/>
                <w:highlight w:val="none"/>
              </w:rPr>
              <w:t>其它重金属的顺序进行。</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w:t>
            </w:r>
            <w:r>
              <w:rPr>
                <w:rFonts w:asciiTheme="minorEastAsia" w:hAnsiTheme="minorEastAsia" w:eastAsiaTheme="minorEastAsia"/>
                <w:bCs/>
                <w:color w:val="auto"/>
                <w:sz w:val="24"/>
                <w:szCs w:val="24"/>
                <w:highlight w:val="none"/>
              </w:rPr>
              <w:t>2</w:t>
            </w:r>
            <w:r>
              <w:rPr>
                <w:rFonts w:hint="eastAsia" w:asciiTheme="minorEastAsia" w:hAnsiTheme="minorEastAsia" w:eastAsiaTheme="minorEastAsia"/>
                <w:color w:val="auto"/>
                <w:sz w:val="24"/>
                <w:szCs w:val="24"/>
                <w:highlight w:val="none"/>
              </w:rPr>
              <w:t>）分析方法</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海水水质各监测项目分析方法、仪器及检出限见表</w:t>
            </w:r>
            <w:r>
              <w:rPr>
                <w:rFonts w:asciiTheme="minorEastAsia" w:hAnsiTheme="minorEastAsia" w:eastAsiaTheme="minorEastAsia"/>
                <w:color w:val="auto"/>
                <w:sz w:val="24"/>
                <w:szCs w:val="24"/>
                <w:highlight w:val="none"/>
              </w:rPr>
              <w:t>2.3.1-1。</w:t>
            </w: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asciiTheme="minorEastAsia" w:hAnsiTheme="minorEastAsia" w:eastAsiaTheme="minorEastAsia"/>
                <w:color w:val="auto"/>
                <w:sz w:val="24"/>
                <w:szCs w:val="24"/>
                <w:highlight w:val="none"/>
              </w:rPr>
            </w:pP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表2.3</w:t>
            </w:r>
            <w:r>
              <w:rPr>
                <w:rFonts w:asciiTheme="minorEastAsia" w:hAnsiTheme="minorEastAsia" w:eastAsiaTheme="minorEastAsia"/>
                <w:b w:val="0"/>
                <w:bCs/>
                <w:color w:val="auto"/>
                <w:sz w:val="24"/>
                <w:szCs w:val="24"/>
                <w:highlight w:val="none"/>
              </w:rPr>
              <w:t>-1</w:t>
            </w:r>
            <w:r>
              <w:rPr>
                <w:rFonts w:hint="eastAsia" w:asciiTheme="minorEastAsia" w:hAnsiTheme="minorEastAsia" w:eastAsiaTheme="minorEastAsia"/>
                <w:b w:val="0"/>
                <w:color w:val="auto"/>
                <w:sz w:val="24"/>
                <w:szCs w:val="24"/>
                <w:highlight w:val="none"/>
              </w:rPr>
              <w:t>海水水质各监测项目分析方法、仪器及检出限</w:t>
            </w:r>
          </w:p>
          <w:p>
            <w:pPr>
              <w:rPr>
                <w:color w:val="auto"/>
                <w:highlight w:val="none"/>
              </w:rPr>
            </w:pPr>
            <w:r>
              <w:rPr>
                <w:rFonts w:hint="eastAsia"/>
                <w:color w:val="auto"/>
                <w:highlight w:val="none"/>
              </w:rPr>
              <w:drawing>
                <wp:inline distT="0" distB="0" distL="0" distR="0">
                  <wp:extent cx="5669915" cy="8679815"/>
                  <wp:effectExtent l="19050" t="0" r="6458"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6"/>
                          <a:srcRect/>
                          <a:stretch>
                            <a:fillRect/>
                          </a:stretch>
                        </pic:blipFill>
                        <pic:spPr>
                          <a:xfrm>
                            <a:off x="0" y="0"/>
                            <a:ext cx="5670293" cy="8679645"/>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w:t>
            </w:r>
            <w:r>
              <w:rPr>
                <w:rFonts w:asciiTheme="minorEastAsia" w:hAnsiTheme="minorEastAsia" w:eastAsiaTheme="minorEastAsia"/>
                <w:bCs/>
                <w:color w:val="auto"/>
                <w:sz w:val="24"/>
                <w:szCs w:val="24"/>
                <w:highlight w:val="none"/>
              </w:rPr>
              <w:t>3</w:t>
            </w:r>
            <w:r>
              <w:rPr>
                <w:rFonts w:hint="eastAsia" w:asciiTheme="minorEastAsia" w:hAnsiTheme="minorEastAsia" w:eastAsiaTheme="minorEastAsia"/>
                <w:color w:val="auto"/>
                <w:sz w:val="24"/>
                <w:szCs w:val="24"/>
                <w:highlight w:val="none"/>
              </w:rPr>
              <w:t>）评价</w:t>
            </w:r>
            <w:r>
              <w:rPr>
                <w:rFonts w:hint="eastAsia" w:asciiTheme="minorEastAsia" w:hAnsiTheme="minorEastAsia" w:eastAsiaTheme="minorEastAsia"/>
                <w:bCs/>
                <w:color w:val="auto"/>
                <w:sz w:val="24"/>
                <w:szCs w:val="24"/>
                <w:highlight w:val="none"/>
              </w:rPr>
              <w:t>方法</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监测海域海水</w:t>
            </w:r>
            <w:r>
              <w:rPr>
                <w:rFonts w:hint="eastAsia" w:asciiTheme="minorEastAsia" w:hAnsiTheme="minorEastAsia" w:eastAsiaTheme="minorEastAsia"/>
                <w:bCs/>
                <w:color w:val="auto"/>
                <w:sz w:val="24"/>
                <w:szCs w:val="24"/>
                <w:highlight w:val="none"/>
              </w:rPr>
              <w:t>评价</w:t>
            </w:r>
            <w:r>
              <w:rPr>
                <w:rFonts w:hint="eastAsia" w:asciiTheme="minorEastAsia" w:hAnsiTheme="minorEastAsia" w:eastAsiaTheme="minorEastAsia"/>
                <w:color w:val="auto"/>
                <w:sz w:val="24"/>
                <w:szCs w:val="24"/>
                <w:highlight w:val="none"/>
              </w:rPr>
              <w:t>采用《海水水质标准》（</w:t>
            </w:r>
            <w:r>
              <w:rPr>
                <w:rFonts w:asciiTheme="minorEastAsia" w:hAnsiTheme="minorEastAsia" w:eastAsiaTheme="minorEastAsia"/>
                <w:color w:val="auto"/>
                <w:sz w:val="24"/>
                <w:szCs w:val="24"/>
                <w:highlight w:val="none"/>
              </w:rPr>
              <w:t>GB3097-1997</w:t>
            </w:r>
            <w:r>
              <w:rPr>
                <w:rFonts w:hint="eastAsia" w:asciiTheme="minorEastAsia" w:hAnsiTheme="minorEastAsia" w:eastAsiaTheme="minorEastAsia"/>
                <w:color w:val="auto"/>
                <w:sz w:val="24"/>
                <w:szCs w:val="24"/>
                <w:highlight w:val="none"/>
              </w:rPr>
              <w:t>）。水质各评价因子的评价标准值详见表</w:t>
            </w:r>
            <w:r>
              <w:rPr>
                <w:rFonts w:asciiTheme="minorEastAsia" w:hAnsiTheme="minorEastAsia" w:eastAsiaTheme="minorEastAsia"/>
                <w:color w:val="auto"/>
                <w:sz w:val="24"/>
                <w:szCs w:val="24"/>
                <w:highlight w:val="none"/>
              </w:rPr>
              <w:t>2.3.1-2</w:t>
            </w:r>
            <w:r>
              <w:rPr>
                <w:rFonts w:hint="eastAsia" w:asciiTheme="minorEastAsia" w:hAnsiTheme="minorEastAsia" w:eastAsiaTheme="minorEastAsia"/>
                <w:color w:val="auto"/>
                <w:sz w:val="24"/>
                <w:szCs w:val="24"/>
                <w:highlight w:val="none"/>
              </w:rPr>
              <w:t>。依据《广西壮族自治区海洋功能区划（</w:t>
            </w:r>
            <w:r>
              <w:rPr>
                <w:rFonts w:asciiTheme="minorEastAsia" w:hAnsiTheme="minorEastAsia" w:eastAsiaTheme="minorEastAsia"/>
                <w:color w:val="auto"/>
                <w:sz w:val="24"/>
                <w:szCs w:val="24"/>
                <w:highlight w:val="none"/>
              </w:rPr>
              <w:t>2011-2020</w:t>
            </w:r>
            <w:r>
              <w:rPr>
                <w:rFonts w:hint="eastAsia" w:asciiTheme="minorEastAsia" w:hAnsiTheme="minorEastAsia" w:eastAsiaTheme="minorEastAsia"/>
                <w:color w:val="auto"/>
                <w:sz w:val="24"/>
                <w:szCs w:val="24"/>
                <w:highlight w:val="none"/>
              </w:rPr>
              <w:t>年）》的海水水质保护管理要求，结合站位布设的实际情况，本次监测海域海水环境质量主要执行《海水水质标准》（</w:t>
            </w:r>
            <w:r>
              <w:rPr>
                <w:rFonts w:asciiTheme="minorEastAsia" w:hAnsiTheme="minorEastAsia" w:eastAsiaTheme="minorEastAsia"/>
                <w:color w:val="auto"/>
                <w:sz w:val="24"/>
                <w:szCs w:val="24"/>
                <w:highlight w:val="none"/>
              </w:rPr>
              <w:t>GB3097-1997</w:t>
            </w:r>
            <w:r>
              <w:rPr>
                <w:rFonts w:hint="eastAsia" w:asciiTheme="minorEastAsia" w:hAnsiTheme="minorEastAsia" w:eastAsiaTheme="minorEastAsia"/>
                <w:color w:val="auto"/>
                <w:sz w:val="24"/>
                <w:szCs w:val="24"/>
                <w:highlight w:val="none"/>
              </w:rPr>
              <w:t>）中的二类、四类海水水质标准进行现状评价，各站位执行水质标准见表</w:t>
            </w:r>
            <w:r>
              <w:rPr>
                <w:rFonts w:asciiTheme="minorEastAsia" w:hAnsiTheme="minorEastAsia" w:eastAsiaTheme="minorEastAsia"/>
                <w:color w:val="auto"/>
                <w:sz w:val="24"/>
                <w:szCs w:val="24"/>
                <w:highlight w:val="none"/>
              </w:rPr>
              <w:t>2.3.1-3</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采用</w:t>
            </w:r>
            <w:r>
              <w:rPr>
                <w:rFonts w:hint="eastAsia" w:asciiTheme="minorEastAsia" w:hAnsiTheme="minorEastAsia" w:eastAsiaTheme="minorEastAsia"/>
                <w:bCs/>
                <w:color w:val="auto"/>
                <w:sz w:val="24"/>
                <w:szCs w:val="24"/>
                <w:highlight w:val="none"/>
              </w:rPr>
              <w:t>《环境影响评价技术导则地表水环境》</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HJ2.3-2018</w:t>
            </w:r>
            <w:r>
              <w:rPr>
                <w:rFonts w:hint="eastAsia" w:asciiTheme="minorEastAsia" w:hAnsiTheme="minorEastAsia" w:eastAsiaTheme="minorEastAsia"/>
                <w:color w:val="auto"/>
                <w:sz w:val="24"/>
                <w:szCs w:val="24"/>
                <w:highlight w:val="none"/>
              </w:rPr>
              <w:t>）中推荐的水质指数法，当水质指数</w:t>
            </w:r>
            <w:r>
              <w:rPr>
                <w:rFonts w:asciiTheme="minorEastAsia" w:hAnsiTheme="minorEastAsia" w:eastAsiaTheme="minorEastAsia"/>
                <w:color w:val="auto"/>
                <w:sz w:val="24"/>
                <w:szCs w:val="24"/>
                <w:highlight w:val="none"/>
              </w:rPr>
              <w:t>Si，j</w:t>
            </w:r>
            <w:r>
              <w:rPr>
                <w:rFonts w:hint="eastAsia" w:asciiTheme="minorEastAsia" w:hAnsiTheme="minorEastAsia" w:eastAsiaTheme="minorEastAsia"/>
                <w:color w:val="auto"/>
                <w:sz w:val="24"/>
                <w:szCs w:val="24"/>
                <w:highlight w:val="none"/>
              </w:rPr>
              <w:t>值大于</w:t>
            </w:r>
            <w:r>
              <w:rPr>
                <w:rFonts w:asciiTheme="minorEastAsia" w:hAnsiTheme="minorEastAsia" w:eastAsiaTheme="minorEastAsia"/>
                <w:color w:val="auto"/>
                <w:sz w:val="24"/>
                <w:szCs w:val="24"/>
                <w:highlight w:val="none"/>
              </w:rPr>
              <w:t>1</w:t>
            </w:r>
            <w:r>
              <w:rPr>
                <w:rFonts w:hint="eastAsia" w:asciiTheme="minorEastAsia" w:hAnsiTheme="minorEastAsia" w:eastAsiaTheme="minorEastAsia"/>
                <w:color w:val="auto"/>
                <w:sz w:val="24"/>
                <w:szCs w:val="24"/>
                <w:highlight w:val="none"/>
              </w:rPr>
              <w:t>时，表示第</w:t>
            </w:r>
            <w:r>
              <w:rPr>
                <w:rFonts w:asciiTheme="minorEastAsia" w:hAnsiTheme="minorEastAsia" w:eastAsiaTheme="minorEastAsia"/>
                <w:color w:val="auto"/>
                <w:sz w:val="24"/>
                <w:szCs w:val="24"/>
                <w:highlight w:val="none"/>
              </w:rPr>
              <w:t>i</w:t>
            </w:r>
            <w:r>
              <w:rPr>
                <w:rFonts w:hint="eastAsia" w:asciiTheme="minorEastAsia" w:hAnsiTheme="minorEastAsia" w:eastAsiaTheme="minorEastAsia"/>
                <w:color w:val="auto"/>
                <w:sz w:val="24"/>
                <w:szCs w:val="24"/>
                <w:highlight w:val="none"/>
              </w:rPr>
              <w:t>项因子超出了其相应的评价标准，即表明该因子不能满足评价海域水质标准要求。标准指数法的计算方法如下：</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一般</w:t>
            </w:r>
            <w:r>
              <w:rPr>
                <w:rFonts w:hint="eastAsia" w:asciiTheme="minorEastAsia" w:hAnsiTheme="minorEastAsia" w:eastAsiaTheme="minorEastAsia"/>
                <w:bCs/>
                <w:color w:val="auto"/>
                <w:sz w:val="24"/>
                <w:szCs w:val="24"/>
                <w:highlight w:val="none"/>
              </w:rPr>
              <w:t>污染物</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Si，j=Ci，j/</w:t>
            </w:r>
            <w:r>
              <w:rPr>
                <w:rFonts w:hint="eastAsia" w:asciiTheme="minorEastAsia" w:hAnsiTheme="minorEastAsia" w:eastAsiaTheme="minorEastAsia"/>
                <w:bCs/>
                <w:color w:val="auto"/>
                <w:sz w:val="24"/>
                <w:szCs w:val="24"/>
                <w:highlight w:val="none"/>
              </w:rPr>
              <w:t>Cst</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式中：</w:t>
            </w:r>
            <w:r>
              <w:rPr>
                <w:rFonts w:asciiTheme="minorEastAsia" w:hAnsiTheme="minorEastAsia" w:eastAsiaTheme="minorEastAsia"/>
                <w:color w:val="auto"/>
                <w:sz w:val="24"/>
                <w:szCs w:val="24"/>
                <w:highlight w:val="none"/>
              </w:rPr>
              <w:t>Si，j—</w:t>
            </w:r>
            <w:r>
              <w:rPr>
                <w:rFonts w:hint="eastAsia" w:asciiTheme="minorEastAsia" w:hAnsiTheme="minorEastAsia" w:eastAsiaTheme="minorEastAsia"/>
                <w:color w:val="auto"/>
                <w:sz w:val="24"/>
                <w:szCs w:val="24"/>
                <w:highlight w:val="none"/>
              </w:rPr>
              <w:t>评价因子</w:t>
            </w:r>
            <w:r>
              <w:rPr>
                <w:rFonts w:asciiTheme="minorEastAsia" w:hAnsiTheme="minorEastAsia" w:eastAsiaTheme="minorEastAsia"/>
                <w:color w:val="auto"/>
                <w:sz w:val="24"/>
                <w:szCs w:val="24"/>
                <w:highlight w:val="none"/>
              </w:rPr>
              <w:t>i</w:t>
            </w:r>
            <w:r>
              <w:rPr>
                <w:rFonts w:hint="eastAsia" w:asciiTheme="minorEastAsia" w:hAnsiTheme="minorEastAsia" w:eastAsiaTheme="minorEastAsia"/>
                <w:color w:val="auto"/>
                <w:sz w:val="24"/>
                <w:szCs w:val="24"/>
                <w:highlight w:val="none"/>
              </w:rPr>
              <w:t>的水质指数；</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Ci，j—</w:t>
            </w:r>
            <w:r>
              <w:rPr>
                <w:rFonts w:hint="eastAsia" w:asciiTheme="minorEastAsia" w:hAnsiTheme="minorEastAsia" w:eastAsiaTheme="minorEastAsia"/>
                <w:color w:val="auto"/>
                <w:sz w:val="24"/>
                <w:szCs w:val="24"/>
                <w:highlight w:val="none"/>
              </w:rPr>
              <w:t>评价</w:t>
            </w:r>
            <w:r>
              <w:rPr>
                <w:rFonts w:hint="eastAsia" w:asciiTheme="minorEastAsia" w:hAnsiTheme="minorEastAsia" w:eastAsiaTheme="minorEastAsia"/>
                <w:bCs/>
                <w:color w:val="auto"/>
                <w:sz w:val="24"/>
                <w:szCs w:val="24"/>
                <w:highlight w:val="none"/>
              </w:rPr>
              <w:t>因子</w:t>
            </w:r>
            <w:r>
              <w:rPr>
                <w:rFonts w:asciiTheme="minorEastAsia" w:hAnsiTheme="minorEastAsia" w:eastAsiaTheme="minorEastAsia"/>
                <w:color w:val="auto"/>
                <w:sz w:val="24"/>
                <w:szCs w:val="24"/>
                <w:highlight w:val="none"/>
              </w:rPr>
              <w:t>i</w:t>
            </w:r>
            <w:r>
              <w:rPr>
                <w:rFonts w:hint="eastAsia" w:asciiTheme="minorEastAsia" w:hAnsiTheme="minorEastAsia" w:eastAsiaTheme="minorEastAsia"/>
                <w:color w:val="auto"/>
                <w:sz w:val="24"/>
                <w:szCs w:val="24"/>
                <w:highlight w:val="none"/>
              </w:rPr>
              <w:t>在</w:t>
            </w:r>
            <w:r>
              <w:rPr>
                <w:rFonts w:asciiTheme="minorEastAsia" w:hAnsiTheme="minorEastAsia" w:eastAsiaTheme="minorEastAsia"/>
                <w:color w:val="auto"/>
                <w:sz w:val="24"/>
                <w:szCs w:val="24"/>
                <w:highlight w:val="none"/>
              </w:rPr>
              <w:t>j</w:t>
            </w:r>
            <w:r>
              <w:rPr>
                <w:rFonts w:hint="eastAsia" w:asciiTheme="minorEastAsia" w:hAnsiTheme="minorEastAsia" w:eastAsiaTheme="minorEastAsia"/>
                <w:color w:val="auto"/>
                <w:sz w:val="24"/>
                <w:szCs w:val="24"/>
                <w:highlight w:val="none"/>
              </w:rPr>
              <w:t>点的实测统计代表值，</w:t>
            </w:r>
            <w:r>
              <w:rPr>
                <w:rFonts w:asciiTheme="minorEastAsia" w:hAnsiTheme="minorEastAsia" w:eastAsiaTheme="minorEastAsia"/>
                <w:color w:val="auto"/>
                <w:sz w:val="24"/>
                <w:szCs w:val="24"/>
                <w:highlight w:val="none"/>
              </w:rPr>
              <w:t>mg/L</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Csi—</w:t>
            </w:r>
            <w:r>
              <w:rPr>
                <w:rFonts w:hint="eastAsia" w:asciiTheme="minorEastAsia" w:hAnsiTheme="minorEastAsia" w:eastAsiaTheme="minorEastAsia"/>
                <w:color w:val="auto"/>
                <w:sz w:val="24"/>
                <w:szCs w:val="24"/>
                <w:highlight w:val="none"/>
              </w:rPr>
              <w:t>评价</w:t>
            </w:r>
            <w:r>
              <w:rPr>
                <w:rFonts w:hint="eastAsia" w:asciiTheme="minorEastAsia" w:hAnsiTheme="minorEastAsia" w:eastAsiaTheme="minorEastAsia"/>
                <w:bCs/>
                <w:color w:val="auto"/>
                <w:sz w:val="24"/>
                <w:szCs w:val="24"/>
                <w:highlight w:val="none"/>
              </w:rPr>
              <w:t>因子</w:t>
            </w:r>
            <w:r>
              <w:rPr>
                <w:rFonts w:asciiTheme="minorEastAsia" w:hAnsiTheme="minorEastAsia" w:eastAsiaTheme="minorEastAsia"/>
                <w:color w:val="auto"/>
                <w:sz w:val="24"/>
                <w:szCs w:val="24"/>
                <w:highlight w:val="none"/>
              </w:rPr>
              <w:t>i</w:t>
            </w:r>
            <w:r>
              <w:rPr>
                <w:rFonts w:hint="eastAsia" w:asciiTheme="minorEastAsia" w:hAnsiTheme="minorEastAsia" w:eastAsiaTheme="minorEastAsia"/>
                <w:color w:val="auto"/>
                <w:sz w:val="24"/>
                <w:szCs w:val="24"/>
                <w:highlight w:val="none"/>
              </w:rPr>
              <w:t>的水质评价标准限值，</w:t>
            </w:r>
            <w:r>
              <w:rPr>
                <w:rFonts w:asciiTheme="minorEastAsia" w:hAnsiTheme="minorEastAsia" w:eastAsiaTheme="minorEastAsia"/>
                <w:color w:val="auto"/>
                <w:sz w:val="24"/>
                <w:szCs w:val="24"/>
                <w:highlight w:val="none"/>
              </w:rPr>
              <w:t>mg/L</w:t>
            </w:r>
            <w:r>
              <w:rPr>
                <w:rFonts w:hint="eastAsia" w:asciiTheme="minorEastAsia" w:hAnsiTheme="minorEastAsia" w:eastAsiaTheme="minorEastAsia"/>
                <w:color w:val="auto"/>
                <w:sz w:val="24"/>
                <w:szCs w:val="24"/>
                <w:highlight w:val="none"/>
              </w:rPr>
              <w:t>。</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bCs/>
                <w:color w:val="auto"/>
                <w:sz w:val="24"/>
                <w:szCs w:val="24"/>
                <w:highlight w:val="none"/>
              </w:rPr>
              <w:t>DO</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溶解氧的标准指数计算公式为</w:t>
            </w:r>
            <w:r>
              <w:rPr>
                <w:rFonts w:asciiTheme="minorEastAsia" w:hAnsiTheme="minorEastAsia" w:eastAsiaTheme="minorEastAsia"/>
                <w:color w:val="auto"/>
                <w:sz w:val="24"/>
                <w:szCs w:val="24"/>
                <w:highlight w:val="none"/>
              </w:rPr>
              <w:t>：</w:t>
            </w:r>
          </w:p>
          <w:p>
            <w:pPr>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drawing>
                <wp:inline distT="0" distB="0" distL="0" distR="0">
                  <wp:extent cx="2562860" cy="914400"/>
                  <wp:effectExtent l="19050" t="0" r="8890" b="0"/>
                  <wp:docPr id="37" name="图片 37" descr="F:\微信文件File\WeChat Files\wxid_kgkf81ca4cje21\FileStorage\Temp\170127448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微信文件File\WeChat Files\wxid_kgkf81ca4cje21\FileStorage\Temp\1701274487441.png"/>
                          <pic:cNvPicPr>
                            <a:picLocks noChangeAspect="1" noChangeArrowheads="1"/>
                          </pic:cNvPicPr>
                        </pic:nvPicPr>
                        <pic:blipFill>
                          <a:blip r:embed="rId47"/>
                          <a:srcRect/>
                          <a:stretch>
                            <a:fillRect/>
                          </a:stretch>
                        </pic:blipFill>
                        <pic:spPr>
                          <a:xfrm>
                            <a:off x="0" y="0"/>
                            <a:ext cx="2562860" cy="914400"/>
                          </a:xfrm>
                          <a:prstGeom prst="rect">
                            <a:avLst/>
                          </a:prstGeom>
                          <a:noFill/>
                          <a:ln w="9525">
                            <a:noFill/>
                            <a:miter lim="800000"/>
                            <a:headEnd/>
                            <a:tailEnd/>
                          </a:ln>
                        </pic:spPr>
                      </pic:pic>
                    </a:graphicData>
                  </a:graphic>
                </wp:inline>
              </w:drawing>
            </w:r>
          </w:p>
          <w:p>
            <w:pPr>
              <w:spacing w:line="360" w:lineRule="auto"/>
              <w:ind w:firstLine="480" w:firstLineChars="200"/>
              <w:jc w:val="left"/>
              <w:rPr>
                <w:rFonts w:asciiTheme="minorEastAsia" w:hAnsiTheme="minorEastAsia" w:eastAsiaTheme="minorEastAsia"/>
                <w:color w:val="auto"/>
                <w:sz w:val="24"/>
                <w:szCs w:val="24"/>
                <w:highlight w:val="none"/>
              </w:rPr>
            </w:pP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式中：</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SDO</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i/>
                <w:iCs/>
                <w:color w:val="auto"/>
                <w:kern w:val="0"/>
                <w:sz w:val="24"/>
                <w:szCs w:val="24"/>
                <w:highlight w:val="none"/>
              </w:rPr>
              <w:t>j</w:t>
            </w:r>
            <w:r>
              <w:rPr>
                <w:rFonts w:asciiTheme="minorEastAsia" w:hAnsiTheme="minorEastAsia" w:eastAsiaTheme="minorEastAsia"/>
                <w:color w:val="auto"/>
                <w:kern w:val="0"/>
                <w:sz w:val="24"/>
                <w:szCs w:val="24"/>
                <w:highlight w:val="none"/>
              </w:rPr>
              <w:t>—</w:t>
            </w:r>
            <w:r>
              <w:rPr>
                <w:rFonts w:hint="eastAsia" w:asciiTheme="minorEastAsia" w:hAnsiTheme="minorEastAsia" w:eastAsiaTheme="minorEastAsia"/>
                <w:bCs/>
                <w:color w:val="auto"/>
                <w:sz w:val="24"/>
                <w:szCs w:val="24"/>
                <w:highlight w:val="none"/>
              </w:rPr>
              <w:t>溶解氧</w:t>
            </w:r>
            <w:r>
              <w:rPr>
                <w:rFonts w:hint="eastAsia" w:cs="宋体" w:asciiTheme="minorEastAsia" w:hAnsiTheme="minorEastAsia" w:eastAsiaTheme="minorEastAsia"/>
                <w:color w:val="auto"/>
                <w:kern w:val="0"/>
                <w:sz w:val="24"/>
                <w:szCs w:val="24"/>
                <w:highlight w:val="none"/>
              </w:rPr>
              <w:t>的标准指数；</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DOf</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饱和</w:t>
            </w:r>
            <w:r>
              <w:rPr>
                <w:rFonts w:hint="eastAsia" w:asciiTheme="minorEastAsia" w:hAnsiTheme="minorEastAsia" w:eastAsiaTheme="minorEastAsia"/>
                <w:bCs/>
                <w:color w:val="auto"/>
                <w:sz w:val="24"/>
                <w:szCs w:val="24"/>
                <w:highlight w:val="none"/>
              </w:rPr>
              <w:t>溶解氧</w:t>
            </w:r>
            <w:r>
              <w:rPr>
                <w:rFonts w:hint="eastAsia" w:cs="宋体" w:asciiTheme="minorEastAsia" w:hAnsiTheme="minorEastAsia" w:eastAsiaTheme="minorEastAsia"/>
                <w:color w:val="auto"/>
                <w:kern w:val="0"/>
                <w:sz w:val="24"/>
                <w:szCs w:val="24"/>
                <w:highlight w:val="none"/>
              </w:rPr>
              <w:t>浓度（</w:t>
            </w:r>
            <w:r>
              <w:rPr>
                <w:rFonts w:asciiTheme="minorEastAsia" w:hAnsiTheme="minorEastAsia" w:eastAsiaTheme="minorEastAsia"/>
                <w:color w:val="auto"/>
                <w:kern w:val="0"/>
                <w:sz w:val="24"/>
                <w:szCs w:val="24"/>
                <w:highlight w:val="none"/>
              </w:rPr>
              <w:t>mg/L</w:t>
            </w:r>
            <w:r>
              <w:rPr>
                <w:rFonts w:hint="eastAsia" w:cs="宋体" w:asciiTheme="minorEastAsia" w:hAnsiTheme="minorEastAsia" w:eastAsiaTheme="minorEastAsia"/>
                <w:color w:val="auto"/>
                <w:kern w:val="0"/>
                <w:sz w:val="24"/>
                <w:szCs w:val="24"/>
                <w:highlight w:val="none"/>
              </w:rPr>
              <w:t>），对于盐度比较高的湖泊、水库及入海河口、近岸海域，</w:t>
            </w:r>
            <w:r>
              <w:rPr>
                <w:rFonts w:asciiTheme="minorEastAsia" w:hAnsiTheme="minorEastAsia" w:eastAsiaTheme="minorEastAsia"/>
                <w:i/>
                <w:iCs/>
                <w:color w:val="auto"/>
                <w:kern w:val="0"/>
                <w:sz w:val="24"/>
                <w:szCs w:val="24"/>
                <w:highlight w:val="none"/>
              </w:rPr>
              <w:t>DOf=</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i/>
                <w:iCs/>
                <w:color w:val="auto"/>
                <w:kern w:val="0"/>
                <w:sz w:val="24"/>
                <w:szCs w:val="24"/>
                <w:highlight w:val="none"/>
              </w:rPr>
              <w:t>491-2.</w:t>
            </w:r>
            <w:r>
              <w:rPr>
                <w:rFonts w:asciiTheme="minorEastAsia" w:hAnsiTheme="minorEastAsia" w:eastAsiaTheme="minorEastAsia"/>
                <w:bCs/>
                <w:color w:val="auto"/>
                <w:sz w:val="24"/>
                <w:szCs w:val="24"/>
                <w:highlight w:val="none"/>
              </w:rPr>
              <w:t>65S</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i/>
                <w:iCs/>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i/>
                <w:iCs/>
                <w:color w:val="auto"/>
                <w:kern w:val="0"/>
                <w:sz w:val="24"/>
                <w:szCs w:val="24"/>
                <w:highlight w:val="none"/>
              </w:rPr>
              <w:t>33.5+T</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S</w:t>
            </w:r>
            <w:r>
              <w:rPr>
                <w:rFonts w:hint="eastAsia" w:cs="宋体" w:asciiTheme="minorEastAsia" w:hAnsiTheme="minorEastAsia" w:eastAsiaTheme="minorEastAsia"/>
                <w:color w:val="auto"/>
                <w:kern w:val="0"/>
                <w:sz w:val="24"/>
                <w:szCs w:val="24"/>
                <w:highlight w:val="none"/>
              </w:rPr>
              <w:t>为</w:t>
            </w:r>
            <w:r>
              <w:rPr>
                <w:rFonts w:hint="eastAsia" w:asciiTheme="minorEastAsia" w:hAnsiTheme="minorEastAsia" w:eastAsiaTheme="minorEastAsia"/>
                <w:bCs/>
                <w:color w:val="auto"/>
                <w:sz w:val="24"/>
                <w:szCs w:val="24"/>
                <w:highlight w:val="none"/>
              </w:rPr>
              <w:t>实用盐度</w:t>
            </w:r>
            <w:r>
              <w:rPr>
                <w:rFonts w:hint="eastAsia" w:cs="宋体" w:asciiTheme="minorEastAsia" w:hAnsiTheme="minorEastAsia" w:eastAsiaTheme="minorEastAsia"/>
                <w:color w:val="auto"/>
                <w:kern w:val="0"/>
                <w:sz w:val="24"/>
                <w:szCs w:val="24"/>
                <w:highlight w:val="none"/>
              </w:rPr>
              <w:t>符号，</w:t>
            </w:r>
            <w:r>
              <w:rPr>
                <w:rFonts w:asciiTheme="minorEastAsia" w:hAnsiTheme="minorEastAsia" w:eastAsiaTheme="minorEastAsia"/>
                <w:color w:val="auto"/>
                <w:kern w:val="0"/>
                <w:sz w:val="24"/>
                <w:szCs w:val="24"/>
                <w:highlight w:val="none"/>
              </w:rPr>
              <w:t>T</w:t>
            </w:r>
            <w:r>
              <w:rPr>
                <w:rFonts w:hint="eastAsia" w:cs="宋体" w:asciiTheme="minorEastAsia" w:hAnsiTheme="minorEastAsia" w:eastAsiaTheme="minorEastAsia"/>
                <w:color w:val="auto"/>
                <w:kern w:val="0"/>
                <w:sz w:val="24"/>
                <w:szCs w:val="24"/>
                <w:highlight w:val="none"/>
              </w:rPr>
              <w:t>为水温（℃）；</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i/>
                <w:iCs/>
                <w:color w:val="auto"/>
                <w:kern w:val="0"/>
                <w:sz w:val="24"/>
                <w:szCs w:val="24"/>
                <w:highlight w:val="none"/>
              </w:rPr>
              <w:t>DOs</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溶解氧的水质评价</w:t>
            </w:r>
            <w:r>
              <w:rPr>
                <w:rFonts w:hint="eastAsia" w:asciiTheme="minorEastAsia" w:hAnsiTheme="minorEastAsia" w:eastAsiaTheme="minorEastAsia"/>
                <w:bCs/>
                <w:color w:val="auto"/>
                <w:sz w:val="24"/>
                <w:szCs w:val="24"/>
                <w:highlight w:val="none"/>
              </w:rPr>
              <w:t>标准</w:t>
            </w:r>
            <w:r>
              <w:rPr>
                <w:rFonts w:hint="eastAsia" w:cs="宋体" w:asciiTheme="minorEastAsia" w:hAnsiTheme="minorEastAsia" w:eastAsiaTheme="minorEastAsia"/>
                <w:color w:val="auto"/>
                <w:kern w:val="0"/>
                <w:sz w:val="24"/>
                <w:szCs w:val="24"/>
                <w:highlight w:val="none"/>
              </w:rPr>
              <w:t>限值（</w:t>
            </w:r>
            <w:r>
              <w:rPr>
                <w:rFonts w:asciiTheme="minorEastAsia" w:hAnsiTheme="minorEastAsia" w:eastAsiaTheme="minorEastAsia"/>
                <w:color w:val="auto"/>
                <w:kern w:val="0"/>
                <w:sz w:val="24"/>
                <w:szCs w:val="24"/>
                <w:highlight w:val="none"/>
              </w:rPr>
              <w:t>mg/L</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DOj</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溶解氧在</w:t>
            </w:r>
            <w:r>
              <w:rPr>
                <w:rFonts w:asciiTheme="minorEastAsia" w:hAnsiTheme="minorEastAsia" w:eastAsiaTheme="minorEastAsia"/>
                <w:color w:val="auto"/>
                <w:kern w:val="0"/>
                <w:sz w:val="24"/>
                <w:szCs w:val="24"/>
                <w:highlight w:val="none"/>
              </w:rPr>
              <w:t>j</w:t>
            </w:r>
            <w:r>
              <w:rPr>
                <w:rFonts w:hint="eastAsia" w:cs="宋体" w:asciiTheme="minorEastAsia" w:hAnsiTheme="minorEastAsia" w:eastAsiaTheme="minorEastAsia"/>
                <w:color w:val="auto"/>
                <w:kern w:val="0"/>
                <w:sz w:val="24"/>
                <w:szCs w:val="24"/>
                <w:highlight w:val="none"/>
              </w:rPr>
              <w:t>点的</w:t>
            </w:r>
            <w:r>
              <w:rPr>
                <w:rFonts w:hint="eastAsia" w:asciiTheme="minorEastAsia" w:hAnsiTheme="minorEastAsia" w:eastAsiaTheme="minorEastAsia"/>
                <w:bCs/>
                <w:color w:val="auto"/>
                <w:sz w:val="24"/>
                <w:szCs w:val="24"/>
                <w:highlight w:val="none"/>
              </w:rPr>
              <w:t>实测</w:t>
            </w:r>
            <w:r>
              <w:rPr>
                <w:rFonts w:hint="eastAsia" w:cs="宋体" w:asciiTheme="minorEastAsia" w:hAnsiTheme="minorEastAsia" w:eastAsiaTheme="minorEastAsia"/>
                <w:color w:val="auto"/>
                <w:kern w:val="0"/>
                <w:sz w:val="24"/>
                <w:szCs w:val="24"/>
                <w:highlight w:val="none"/>
              </w:rPr>
              <w:t>统计代表值（</w:t>
            </w:r>
            <w:r>
              <w:rPr>
                <w:rFonts w:asciiTheme="minorEastAsia" w:hAnsiTheme="minorEastAsia" w:eastAsiaTheme="minorEastAsia"/>
                <w:color w:val="auto"/>
                <w:kern w:val="0"/>
                <w:sz w:val="24"/>
                <w:szCs w:val="24"/>
                <w:highlight w:val="none"/>
              </w:rPr>
              <w:t>mg/L</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jc w:val="left"/>
              <w:rPr>
                <w:rFonts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pH</w:t>
            </w:r>
          </w:p>
          <w:p>
            <w:pPr>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i/>
                <w:iCs/>
                <w:color w:val="auto"/>
                <w:kern w:val="0"/>
                <w:sz w:val="24"/>
                <w:szCs w:val="24"/>
                <w:highlight w:val="none"/>
              </w:rPr>
              <w:t>pH</w:t>
            </w:r>
            <w:r>
              <w:rPr>
                <w:rFonts w:hint="eastAsia" w:cs="宋体" w:asciiTheme="minorEastAsia" w:hAnsiTheme="minorEastAsia" w:eastAsiaTheme="minorEastAsia"/>
                <w:color w:val="auto"/>
                <w:kern w:val="0"/>
                <w:sz w:val="24"/>
                <w:szCs w:val="24"/>
                <w:highlight w:val="none"/>
              </w:rPr>
              <w:t>采用原</w:t>
            </w:r>
            <w:r>
              <w:rPr>
                <w:rFonts w:hint="eastAsia" w:asciiTheme="minorEastAsia" w:hAnsiTheme="minorEastAsia" w:eastAsiaTheme="minorEastAsia"/>
                <w:bCs/>
                <w:color w:val="auto"/>
                <w:sz w:val="24"/>
                <w:szCs w:val="24"/>
                <w:highlight w:val="none"/>
              </w:rPr>
              <w:t>《近岸海域环境监测规范》</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HJ442-2008</w:t>
            </w:r>
            <w:r>
              <w:rPr>
                <w:rFonts w:hint="eastAsia" w:cs="宋体" w:asciiTheme="minorEastAsia" w:hAnsiTheme="minorEastAsia" w:eastAsiaTheme="minorEastAsia"/>
                <w:color w:val="auto"/>
                <w:kern w:val="0"/>
                <w:sz w:val="24"/>
                <w:szCs w:val="24"/>
                <w:highlight w:val="none"/>
              </w:rPr>
              <w:t>）中推荐的指数计算公式：</w:t>
            </w:r>
          </w:p>
          <w:p>
            <w:pPr>
              <w:pStyle w:val="3"/>
              <w:rPr>
                <w:rFonts w:asciiTheme="minorEastAsia" w:hAnsiTheme="minorEastAsia" w:eastAsiaTheme="minorEastAsia"/>
                <w:b w:val="0"/>
                <w:color w:val="auto"/>
                <w:sz w:val="24"/>
                <w:szCs w:val="24"/>
                <w:highlight w:val="none"/>
              </w:rPr>
            </w:pPr>
            <w:r>
              <w:rPr>
                <w:rFonts w:asciiTheme="minorEastAsia" w:hAnsiTheme="minorEastAsia" w:eastAsiaTheme="minorEastAsia"/>
                <w:b w:val="0"/>
                <w:color w:val="auto"/>
                <w:sz w:val="24"/>
                <w:szCs w:val="24"/>
                <w:highlight w:val="none"/>
              </w:rPr>
              <w:drawing>
                <wp:inline distT="0" distB="0" distL="0" distR="0">
                  <wp:extent cx="3041015" cy="2009140"/>
                  <wp:effectExtent l="19050" t="0" r="6985" b="0"/>
                  <wp:docPr id="38" name="图片 38" descr="F:\微信文件File\WeChat Files\wxid_kgkf81ca4cje21\FileStorage\Temp\1701274558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微信文件File\WeChat Files\wxid_kgkf81ca4cje21\FileStorage\Temp\1701274558166.png"/>
                          <pic:cNvPicPr>
                            <a:picLocks noChangeAspect="1" noChangeArrowheads="1"/>
                          </pic:cNvPicPr>
                        </pic:nvPicPr>
                        <pic:blipFill>
                          <a:blip r:embed="rId48"/>
                          <a:srcRect/>
                          <a:stretch>
                            <a:fillRect/>
                          </a:stretch>
                        </pic:blipFill>
                        <pic:spPr>
                          <a:xfrm>
                            <a:off x="0" y="0"/>
                            <a:ext cx="3041015" cy="2009140"/>
                          </a:xfrm>
                          <a:prstGeom prst="rect">
                            <a:avLst/>
                          </a:prstGeom>
                          <a:noFill/>
                          <a:ln w="9525">
                            <a:noFill/>
                            <a:miter lim="800000"/>
                            <a:headEnd/>
                            <a:tailEnd/>
                          </a:ln>
                        </pic:spPr>
                      </pic:pic>
                    </a:graphicData>
                  </a:graphic>
                </wp:inline>
              </w:drawing>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式中：</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PIpH</w:t>
            </w:r>
            <w:r>
              <w:rPr>
                <w:rFonts w:asciiTheme="minorEastAsia" w:hAnsiTheme="minorEastAsia" w:eastAsiaTheme="minorEastAsia"/>
                <w:color w:val="auto"/>
                <w:kern w:val="0"/>
                <w:sz w:val="24"/>
                <w:szCs w:val="24"/>
                <w:highlight w:val="none"/>
              </w:rPr>
              <w:t>—pH</w:t>
            </w:r>
            <w:r>
              <w:rPr>
                <w:rFonts w:hint="eastAsia" w:cs="宋体" w:asciiTheme="minorEastAsia" w:hAnsiTheme="minorEastAsia" w:eastAsiaTheme="minorEastAsia"/>
                <w:color w:val="auto"/>
                <w:kern w:val="0"/>
                <w:sz w:val="24"/>
                <w:szCs w:val="24"/>
                <w:highlight w:val="none"/>
              </w:rPr>
              <w:t>的污染指数；</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pH</w:t>
            </w:r>
            <w:r>
              <w:rPr>
                <w:rFonts w:asciiTheme="minorEastAsia" w:hAnsiTheme="minorEastAsia" w:eastAsiaTheme="minorEastAsia"/>
                <w:color w:val="auto"/>
                <w:kern w:val="0"/>
                <w:sz w:val="24"/>
                <w:szCs w:val="24"/>
                <w:highlight w:val="none"/>
              </w:rPr>
              <w:t>—pH</w:t>
            </w:r>
            <w:r>
              <w:rPr>
                <w:rFonts w:hint="eastAsia" w:cs="宋体" w:asciiTheme="minorEastAsia" w:hAnsiTheme="minorEastAsia" w:eastAsiaTheme="minorEastAsia"/>
                <w:color w:val="auto"/>
                <w:kern w:val="0"/>
                <w:sz w:val="24"/>
                <w:szCs w:val="24"/>
                <w:highlight w:val="none"/>
              </w:rPr>
              <w:t>的实测值；</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pHsu</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评价标准规定的上限值；</w:t>
            </w: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r>
              <w:rPr>
                <w:rFonts w:asciiTheme="minorEastAsia" w:hAnsiTheme="minorEastAsia" w:eastAsiaTheme="minorEastAsia"/>
                <w:i/>
                <w:iCs/>
                <w:color w:val="auto"/>
                <w:kern w:val="0"/>
                <w:sz w:val="24"/>
                <w:szCs w:val="24"/>
                <w:highlight w:val="none"/>
              </w:rPr>
              <w:t>pHsd</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评价标准规定的下限值。</w:t>
            </w: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jc w:val="left"/>
              <w:rPr>
                <w:rFonts w:hint="eastAsia" w:cs="宋体" w:asciiTheme="minorEastAsia" w:hAnsiTheme="minorEastAsia" w:eastAsiaTheme="minorEastAsia"/>
                <w:color w:val="auto"/>
                <w:kern w:val="0"/>
                <w:sz w:val="24"/>
                <w:szCs w:val="24"/>
                <w:highlight w:val="none"/>
              </w:rPr>
            </w:pP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表2.3</w:t>
            </w:r>
            <w:r>
              <w:rPr>
                <w:rFonts w:asciiTheme="minorEastAsia" w:hAnsiTheme="minorEastAsia" w:eastAsiaTheme="minorEastAsia"/>
                <w:b w:val="0"/>
                <w:bCs/>
                <w:color w:val="auto"/>
                <w:sz w:val="24"/>
                <w:szCs w:val="24"/>
                <w:highlight w:val="none"/>
              </w:rPr>
              <w:t>-2</w:t>
            </w:r>
            <w:r>
              <w:rPr>
                <w:rFonts w:hint="eastAsia" w:asciiTheme="minorEastAsia" w:hAnsiTheme="minorEastAsia" w:eastAsiaTheme="minorEastAsia"/>
                <w:b w:val="0"/>
                <w:color w:val="auto"/>
                <w:sz w:val="24"/>
                <w:szCs w:val="24"/>
                <w:highlight w:val="none"/>
              </w:rPr>
              <w:t>海水水质标准（</w:t>
            </w:r>
            <w:r>
              <w:rPr>
                <w:rFonts w:asciiTheme="minorEastAsia" w:hAnsiTheme="minorEastAsia" w:eastAsiaTheme="minorEastAsia"/>
                <w:b w:val="0"/>
                <w:bCs/>
                <w:color w:val="auto"/>
                <w:sz w:val="24"/>
                <w:szCs w:val="24"/>
                <w:highlight w:val="none"/>
              </w:rPr>
              <w:t>mg/L</w:t>
            </w:r>
            <w:r>
              <w:rPr>
                <w:rFonts w:hint="eastAsia" w:asciiTheme="minorEastAsia" w:hAnsiTheme="minorEastAsia" w:eastAsiaTheme="minorEastAsia"/>
                <w:b w:val="0"/>
                <w:color w:val="auto"/>
                <w:sz w:val="24"/>
                <w:szCs w:val="24"/>
                <w:highlight w:val="none"/>
              </w:rPr>
              <w:t>）</w:t>
            </w:r>
          </w:p>
          <w:p>
            <w:pPr>
              <w:rPr>
                <w:color w:val="auto"/>
                <w:highlight w:val="none"/>
              </w:rPr>
            </w:pPr>
            <w:r>
              <w:rPr>
                <w:rFonts w:hint="eastAsia"/>
                <w:color w:val="auto"/>
                <w:highlight w:val="none"/>
              </w:rPr>
              <w:drawing>
                <wp:inline distT="0" distB="0" distL="0" distR="0">
                  <wp:extent cx="5756275" cy="4662170"/>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9"/>
                          <a:srcRect/>
                          <a:stretch>
                            <a:fillRect/>
                          </a:stretch>
                        </pic:blipFill>
                        <pic:spPr>
                          <a:xfrm>
                            <a:off x="0" y="0"/>
                            <a:ext cx="5756275" cy="4662170"/>
                          </a:xfrm>
                          <a:prstGeom prst="rect">
                            <a:avLst/>
                          </a:prstGeom>
                          <a:noFill/>
                          <a:ln w="9525">
                            <a:noFill/>
                            <a:miter lim="800000"/>
                            <a:headEnd/>
                            <a:tailEnd/>
                          </a:ln>
                        </pic:spPr>
                      </pic:pic>
                    </a:graphicData>
                  </a:graphic>
                </wp:inline>
              </w:drawing>
            </w:r>
          </w:p>
          <w:p>
            <w:pPr>
              <w:pStyle w:val="22"/>
              <w:rPr>
                <w:color w:val="auto"/>
                <w:sz w:val="18"/>
                <w:szCs w:val="18"/>
                <w:highlight w:val="none"/>
              </w:rPr>
            </w:pPr>
            <w:r>
              <w:rPr>
                <w:rFonts w:hint="eastAsia"/>
                <w:color w:val="auto"/>
                <w:sz w:val="18"/>
                <w:szCs w:val="18"/>
                <w:highlight w:val="none"/>
              </w:rPr>
              <w:t>注：第一类适用于海洋渔业海域，海上自然保护区和珍稀濒危海洋生物保护区；</w:t>
            </w:r>
          </w:p>
          <w:p>
            <w:pPr>
              <w:pStyle w:val="22"/>
              <w:rPr>
                <w:color w:val="auto"/>
                <w:sz w:val="18"/>
                <w:szCs w:val="18"/>
                <w:highlight w:val="none"/>
              </w:rPr>
            </w:pPr>
            <w:r>
              <w:rPr>
                <w:rFonts w:hint="eastAsia"/>
                <w:color w:val="auto"/>
                <w:sz w:val="18"/>
                <w:szCs w:val="18"/>
                <w:highlight w:val="none"/>
              </w:rPr>
              <w:t>第二类适用于水产养殖区，海水浴场，人体直接接触海水的海上运动或娱乐区，以及与人类食用直接有关的工业用水区；</w:t>
            </w:r>
          </w:p>
          <w:p>
            <w:pPr>
              <w:pStyle w:val="22"/>
              <w:rPr>
                <w:color w:val="auto"/>
                <w:sz w:val="18"/>
                <w:szCs w:val="18"/>
                <w:highlight w:val="none"/>
              </w:rPr>
            </w:pPr>
            <w:r>
              <w:rPr>
                <w:rFonts w:hint="eastAsia"/>
                <w:color w:val="auto"/>
                <w:sz w:val="18"/>
                <w:szCs w:val="18"/>
                <w:highlight w:val="none"/>
              </w:rPr>
              <w:t>第三类适用于一般工业用水区，滨海风景旅游区；</w:t>
            </w:r>
          </w:p>
          <w:p>
            <w:pPr>
              <w:pStyle w:val="22"/>
              <w:rPr>
                <w:rFonts w:hint="eastAsia"/>
                <w:color w:val="auto"/>
                <w:sz w:val="18"/>
                <w:szCs w:val="18"/>
                <w:highlight w:val="none"/>
              </w:rPr>
            </w:pPr>
            <w:r>
              <w:rPr>
                <w:rFonts w:hint="eastAsia"/>
                <w:color w:val="auto"/>
                <w:sz w:val="18"/>
                <w:szCs w:val="18"/>
                <w:highlight w:val="none"/>
              </w:rPr>
              <w:t>第四类适用于海洋港口水域，海洋开发作业区。</w:t>
            </w: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22"/>
              <w:rPr>
                <w:rFonts w:hint="eastAsia"/>
                <w:color w:val="auto"/>
                <w:sz w:val="18"/>
                <w:szCs w:val="18"/>
                <w:highlight w:val="none"/>
              </w:rPr>
            </w:pP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表2.3</w:t>
            </w:r>
            <w:r>
              <w:rPr>
                <w:rFonts w:asciiTheme="minorEastAsia" w:hAnsiTheme="minorEastAsia" w:eastAsiaTheme="minorEastAsia"/>
                <w:b w:val="0"/>
                <w:bCs/>
                <w:color w:val="auto"/>
                <w:sz w:val="24"/>
                <w:szCs w:val="24"/>
                <w:highlight w:val="none"/>
              </w:rPr>
              <w:t>-3</w:t>
            </w:r>
            <w:r>
              <w:rPr>
                <w:rFonts w:hint="eastAsia" w:asciiTheme="minorEastAsia" w:hAnsiTheme="minorEastAsia" w:eastAsiaTheme="minorEastAsia"/>
                <w:b w:val="0"/>
                <w:color w:val="auto"/>
                <w:sz w:val="24"/>
                <w:szCs w:val="24"/>
                <w:highlight w:val="none"/>
              </w:rPr>
              <w:t>各调查站位海水水质执行标准</w:t>
            </w:r>
          </w:p>
          <w:p>
            <w:pPr>
              <w:jc w:val="center"/>
              <w:rPr>
                <w:color w:val="auto"/>
                <w:highlight w:val="none"/>
              </w:rPr>
            </w:pPr>
            <w:r>
              <w:rPr>
                <w:color w:val="auto"/>
                <w:highlight w:val="none"/>
              </w:rPr>
              <w:drawing>
                <wp:inline distT="0" distB="0" distL="0" distR="0">
                  <wp:extent cx="5179695" cy="3912870"/>
                  <wp:effectExtent l="0" t="0" r="1905" b="11430"/>
                  <wp:docPr id="42" name="图片 42" descr="F:\微信文件File\WeChat Files\wxid_kgkf81ca4cje21\FileStorage\Temp\1701274752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微信文件File\WeChat Files\wxid_kgkf81ca4cje21\FileStorage\Temp\1701274752946.png"/>
                          <pic:cNvPicPr>
                            <a:picLocks noChangeAspect="1" noChangeArrowheads="1"/>
                          </pic:cNvPicPr>
                        </pic:nvPicPr>
                        <pic:blipFill>
                          <a:blip r:embed="rId50"/>
                          <a:srcRect/>
                          <a:stretch>
                            <a:fillRect/>
                          </a:stretch>
                        </pic:blipFill>
                        <pic:spPr>
                          <a:xfrm>
                            <a:off x="0" y="0"/>
                            <a:ext cx="5179695" cy="3912870"/>
                          </a:xfrm>
                          <a:prstGeom prst="rect">
                            <a:avLst/>
                          </a:prstGeom>
                          <a:noFill/>
                          <a:ln w="9525">
                            <a:noFill/>
                            <a:miter lim="800000"/>
                            <a:headEnd/>
                            <a:tailEnd/>
                          </a:ln>
                        </pic:spPr>
                      </pic:pic>
                    </a:graphicData>
                  </a:graphic>
                </wp:inline>
              </w:drawing>
            </w:r>
          </w:p>
          <w:p>
            <w:pPr>
              <w:pStyle w:val="3"/>
              <w:jc w:val="center"/>
              <w:rPr>
                <w:color w:val="auto"/>
                <w:sz w:val="21"/>
                <w:szCs w:val="21"/>
                <w:highlight w:val="none"/>
              </w:rPr>
            </w:pPr>
            <w:r>
              <w:rPr>
                <w:color w:val="auto"/>
                <w:sz w:val="21"/>
                <w:szCs w:val="21"/>
                <w:highlight w:val="none"/>
              </w:rPr>
              <w:drawing>
                <wp:inline distT="0" distB="0" distL="0" distR="0">
                  <wp:extent cx="5493385" cy="3893185"/>
                  <wp:effectExtent l="0" t="0" r="12065" b="12065"/>
                  <wp:docPr id="43" name="图片 43" descr="F:\微信文件File\WeChat Files\wxid_kgkf81ca4cje21\FileStorage\Temp\1701274839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微信文件File\WeChat Files\wxid_kgkf81ca4cje21\FileStorage\Temp\1701274839049.png"/>
                          <pic:cNvPicPr>
                            <a:picLocks noChangeAspect="1" noChangeArrowheads="1"/>
                          </pic:cNvPicPr>
                        </pic:nvPicPr>
                        <pic:blipFill>
                          <a:blip r:embed="rId51"/>
                          <a:srcRect/>
                          <a:stretch>
                            <a:fillRect/>
                          </a:stretch>
                        </pic:blipFill>
                        <pic:spPr>
                          <a:xfrm>
                            <a:off x="0" y="0"/>
                            <a:ext cx="5493385" cy="3893185"/>
                          </a:xfrm>
                          <a:prstGeom prst="rect">
                            <a:avLst/>
                          </a:prstGeom>
                          <a:noFill/>
                          <a:ln w="9525">
                            <a:noFill/>
                            <a:miter lim="800000"/>
                            <a:headEnd/>
                            <a:tailEnd/>
                          </a:ln>
                        </pic:spPr>
                      </pic:pic>
                    </a:graphicData>
                  </a:graphic>
                </wp:inline>
              </w:drawing>
            </w:r>
          </w:p>
          <w:p>
            <w:pPr>
              <w:spacing w:line="360" w:lineRule="auto"/>
              <w:ind w:firstLine="480" w:firstLineChars="200"/>
              <w:jc w:val="center"/>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图</w:t>
            </w:r>
            <w:r>
              <w:rPr>
                <w:rFonts w:asciiTheme="minorEastAsia" w:hAnsiTheme="minorEastAsia" w:eastAsiaTheme="minorEastAsia"/>
                <w:bCs/>
                <w:color w:val="auto"/>
                <w:sz w:val="24"/>
                <w:szCs w:val="24"/>
                <w:highlight w:val="none"/>
              </w:rPr>
              <w:t>2.3.1-1</w:t>
            </w:r>
            <w:r>
              <w:rPr>
                <w:rFonts w:hint="eastAsia" w:asciiTheme="minorEastAsia" w:hAnsiTheme="minorEastAsia" w:eastAsiaTheme="minorEastAsia"/>
                <w:color w:val="auto"/>
                <w:sz w:val="24"/>
                <w:szCs w:val="24"/>
                <w:highlight w:val="none"/>
              </w:rPr>
              <w:t>调查点位与功能区划叠置图</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2.3.4</w:t>
            </w:r>
            <w:r>
              <w:rPr>
                <w:rFonts w:hint="eastAsia" w:cs="宋体" w:asciiTheme="minorEastAsia" w:hAnsiTheme="minorEastAsia" w:eastAsiaTheme="minorEastAsia"/>
                <w:color w:val="auto"/>
                <w:kern w:val="0"/>
                <w:sz w:val="24"/>
                <w:szCs w:val="24"/>
                <w:highlight w:val="none"/>
              </w:rPr>
              <w:t>调查</w:t>
            </w:r>
            <w:r>
              <w:rPr>
                <w:rFonts w:hint="eastAsia" w:asciiTheme="minorEastAsia" w:hAnsiTheme="minorEastAsia" w:eastAsiaTheme="minorEastAsia"/>
                <w:bCs/>
                <w:color w:val="auto"/>
                <w:sz w:val="24"/>
                <w:szCs w:val="24"/>
                <w:highlight w:val="none"/>
              </w:rPr>
              <w:t>结果</w:t>
            </w:r>
            <w:r>
              <w:rPr>
                <w:rFonts w:hint="eastAsia" w:cs="宋体" w:asciiTheme="minorEastAsia" w:hAnsiTheme="minorEastAsia" w:eastAsiaTheme="minorEastAsia"/>
                <w:color w:val="auto"/>
                <w:kern w:val="0"/>
                <w:sz w:val="24"/>
                <w:szCs w:val="24"/>
                <w:highlight w:val="none"/>
              </w:rPr>
              <w:t>及评价</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）调查</w:t>
            </w:r>
            <w:r>
              <w:rPr>
                <w:rFonts w:hint="eastAsia" w:asciiTheme="minorEastAsia" w:hAnsiTheme="minorEastAsia" w:eastAsiaTheme="minorEastAsia"/>
                <w:bCs/>
                <w:color w:val="auto"/>
                <w:sz w:val="24"/>
                <w:szCs w:val="24"/>
                <w:highlight w:val="none"/>
              </w:rPr>
              <w:t>结果</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各监测站位</w:t>
            </w:r>
            <w:r>
              <w:rPr>
                <w:rFonts w:hint="eastAsia" w:asciiTheme="minorEastAsia" w:hAnsiTheme="minorEastAsia" w:eastAsiaTheme="minorEastAsia"/>
                <w:bCs/>
                <w:color w:val="auto"/>
                <w:sz w:val="24"/>
                <w:szCs w:val="24"/>
                <w:highlight w:val="none"/>
              </w:rPr>
              <w:t>分析</w:t>
            </w:r>
            <w:r>
              <w:rPr>
                <w:rFonts w:hint="eastAsia" w:cs="宋体" w:asciiTheme="minorEastAsia" w:hAnsiTheme="minorEastAsia" w:eastAsiaTheme="minorEastAsia"/>
                <w:color w:val="auto"/>
                <w:kern w:val="0"/>
                <w:sz w:val="24"/>
                <w:szCs w:val="24"/>
                <w:highlight w:val="none"/>
              </w:rPr>
              <w:t>数据及统计结果列于表</w:t>
            </w:r>
            <w:r>
              <w:rPr>
                <w:rFonts w:asciiTheme="minorEastAsia" w:hAnsiTheme="minorEastAsia" w:eastAsiaTheme="minorEastAsia"/>
                <w:color w:val="auto"/>
                <w:kern w:val="0"/>
                <w:sz w:val="24"/>
                <w:szCs w:val="24"/>
                <w:highlight w:val="none"/>
              </w:rPr>
              <w:t>2.3.1-4</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）评价结果</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asciiTheme="minorEastAsia" w:hAnsiTheme="minorEastAsia" w:eastAsiaTheme="minorEastAsia"/>
                <w:color w:val="auto"/>
                <w:kern w:val="0"/>
                <w:sz w:val="24"/>
                <w:szCs w:val="24"/>
                <w:highlight w:val="none"/>
              </w:rPr>
              <w:t>2022</w:t>
            </w:r>
            <w:r>
              <w:rPr>
                <w:rFonts w:hint="eastAsia" w:cs="宋体" w:asciiTheme="minorEastAsia" w:hAnsiTheme="minorEastAsia" w:eastAsiaTheme="minorEastAsia"/>
                <w:color w:val="auto"/>
                <w:kern w:val="0"/>
                <w:sz w:val="24"/>
                <w:szCs w:val="24"/>
                <w:highlight w:val="none"/>
              </w:rPr>
              <w:t>年秋季共采集</w:t>
            </w:r>
            <w:r>
              <w:rPr>
                <w:rFonts w:asciiTheme="minorEastAsia" w:hAnsiTheme="minorEastAsia" w:eastAsiaTheme="minorEastAsia"/>
                <w:color w:val="auto"/>
                <w:kern w:val="0"/>
                <w:sz w:val="24"/>
                <w:szCs w:val="24"/>
                <w:highlight w:val="none"/>
              </w:rPr>
              <w:t>32</w:t>
            </w:r>
            <w:r>
              <w:rPr>
                <w:rFonts w:hint="eastAsia" w:cs="宋体" w:asciiTheme="minorEastAsia" w:hAnsiTheme="minorEastAsia" w:eastAsiaTheme="minorEastAsia"/>
                <w:color w:val="auto"/>
                <w:kern w:val="0"/>
                <w:sz w:val="24"/>
                <w:szCs w:val="24"/>
                <w:highlight w:val="none"/>
              </w:rPr>
              <w:t>个站位</w:t>
            </w:r>
            <w:r>
              <w:rPr>
                <w:rFonts w:asciiTheme="minorEastAsia" w:hAnsiTheme="minorEastAsia" w:eastAsiaTheme="minorEastAsia"/>
                <w:color w:val="auto"/>
                <w:kern w:val="0"/>
                <w:sz w:val="24"/>
                <w:szCs w:val="24"/>
                <w:highlight w:val="none"/>
              </w:rPr>
              <w:t>35</w:t>
            </w:r>
            <w:r>
              <w:rPr>
                <w:rFonts w:hint="eastAsia" w:cs="宋体" w:asciiTheme="minorEastAsia" w:hAnsiTheme="minorEastAsia" w:eastAsiaTheme="minorEastAsia"/>
                <w:color w:val="auto"/>
                <w:kern w:val="0"/>
                <w:sz w:val="24"/>
                <w:szCs w:val="24"/>
                <w:highlight w:val="none"/>
              </w:rPr>
              <w:t>个水质样品，其中</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号站位进行逐级评价，其他站位进行分类评价，评价因子包括</w:t>
            </w:r>
            <w:r>
              <w:rPr>
                <w:rFonts w:asciiTheme="minorEastAsia" w:hAnsiTheme="minorEastAsia" w:eastAsiaTheme="minorEastAsia"/>
                <w:color w:val="auto"/>
                <w:kern w:val="0"/>
                <w:sz w:val="24"/>
                <w:szCs w:val="24"/>
                <w:highlight w:val="none"/>
              </w:rPr>
              <w:t>pH</w:t>
            </w:r>
            <w:r>
              <w:rPr>
                <w:rFonts w:hint="eastAsia" w:cs="宋体" w:asciiTheme="minorEastAsia" w:hAnsiTheme="minorEastAsia" w:eastAsiaTheme="minorEastAsia"/>
                <w:color w:val="auto"/>
                <w:kern w:val="0"/>
                <w:sz w:val="24"/>
                <w:szCs w:val="24"/>
                <w:highlight w:val="none"/>
              </w:rPr>
              <w:t>、溶解氧（</w:t>
            </w:r>
            <w:r>
              <w:rPr>
                <w:rFonts w:asciiTheme="minorEastAsia" w:hAnsiTheme="minorEastAsia" w:eastAsiaTheme="minorEastAsia"/>
                <w:color w:val="auto"/>
                <w:kern w:val="0"/>
                <w:sz w:val="24"/>
                <w:szCs w:val="24"/>
                <w:highlight w:val="none"/>
              </w:rPr>
              <w:t>DO</w:t>
            </w:r>
            <w:r>
              <w:rPr>
                <w:rFonts w:hint="eastAsia" w:cs="宋体" w:asciiTheme="minorEastAsia" w:hAnsiTheme="minorEastAsia" w:eastAsiaTheme="minorEastAsia"/>
                <w:color w:val="auto"/>
                <w:kern w:val="0"/>
                <w:sz w:val="24"/>
                <w:szCs w:val="24"/>
                <w:highlight w:val="none"/>
              </w:rPr>
              <w:t>）、化学需氧量（</w:t>
            </w:r>
            <w:r>
              <w:rPr>
                <w:rFonts w:asciiTheme="minorEastAsia" w:hAnsiTheme="minorEastAsia" w:eastAsiaTheme="minorEastAsia"/>
                <w:color w:val="auto"/>
                <w:kern w:val="0"/>
                <w:sz w:val="24"/>
                <w:szCs w:val="24"/>
                <w:highlight w:val="none"/>
              </w:rPr>
              <w:t>COD</w:t>
            </w:r>
            <w:r>
              <w:rPr>
                <w:rFonts w:hint="eastAsia" w:cs="宋体" w:asciiTheme="minorEastAsia" w:hAnsiTheme="minorEastAsia" w:eastAsiaTheme="minorEastAsia"/>
                <w:color w:val="auto"/>
                <w:kern w:val="0"/>
                <w:sz w:val="24"/>
                <w:szCs w:val="24"/>
                <w:highlight w:val="none"/>
              </w:rPr>
              <w:t>）、生化需氧量（</w:t>
            </w:r>
            <w:r>
              <w:rPr>
                <w:rFonts w:asciiTheme="minorEastAsia" w:hAnsiTheme="minorEastAsia" w:eastAsiaTheme="minorEastAsia"/>
                <w:color w:val="auto"/>
                <w:kern w:val="0"/>
                <w:sz w:val="24"/>
                <w:szCs w:val="24"/>
                <w:highlight w:val="none"/>
              </w:rPr>
              <w:t>BOD5</w:t>
            </w:r>
            <w:r>
              <w:rPr>
                <w:rFonts w:hint="eastAsia" w:cs="宋体" w:asciiTheme="minorEastAsia" w:hAnsiTheme="minorEastAsia" w:eastAsiaTheme="minorEastAsia"/>
                <w:color w:val="auto"/>
                <w:kern w:val="0"/>
                <w:sz w:val="24"/>
                <w:szCs w:val="24"/>
                <w:highlight w:val="none"/>
              </w:rPr>
              <w:t>）、活性磷酸盐、无机氮（亚硝酸盐</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氮、硝酸盐</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氮、氨</w:t>
            </w:r>
            <w:r>
              <w:rPr>
                <w:rFonts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氮）、石油类、铜、铅、锌、镉、总铬、汞和砷，共</w:t>
            </w:r>
            <w:r>
              <w:rPr>
                <w:rFonts w:asciiTheme="minorEastAsia" w:hAnsiTheme="minorEastAsia" w:eastAsiaTheme="minorEastAsia"/>
                <w:color w:val="auto"/>
                <w:kern w:val="0"/>
                <w:sz w:val="24"/>
                <w:szCs w:val="24"/>
                <w:highlight w:val="none"/>
              </w:rPr>
              <w:t>14</w:t>
            </w:r>
            <w:r>
              <w:rPr>
                <w:rFonts w:hint="eastAsia" w:cs="宋体" w:asciiTheme="minorEastAsia" w:hAnsiTheme="minorEastAsia" w:eastAsiaTheme="minorEastAsia"/>
                <w:color w:val="auto"/>
                <w:kern w:val="0"/>
                <w:sz w:val="24"/>
                <w:szCs w:val="24"/>
                <w:highlight w:val="none"/>
              </w:rPr>
              <w:t>项。分类评价结果列于表</w:t>
            </w:r>
            <w:r>
              <w:rPr>
                <w:rFonts w:asciiTheme="minorEastAsia" w:hAnsiTheme="minorEastAsia" w:eastAsiaTheme="minorEastAsia"/>
                <w:color w:val="auto"/>
                <w:kern w:val="0"/>
                <w:sz w:val="24"/>
                <w:szCs w:val="24"/>
                <w:highlight w:val="none"/>
              </w:rPr>
              <w:t>2.3.1-5</w:t>
            </w:r>
            <w:r>
              <w:rPr>
                <w:rFonts w:hint="eastAsia" w:cs="宋体" w:asciiTheme="minorEastAsia" w:hAnsiTheme="minorEastAsia" w:eastAsiaTheme="minorEastAsia"/>
                <w:color w:val="auto"/>
                <w:kern w:val="0"/>
                <w:sz w:val="24"/>
                <w:szCs w:val="24"/>
                <w:highlight w:val="none"/>
              </w:rPr>
              <w:t>，逐级评价结果列于表</w:t>
            </w:r>
            <w:r>
              <w:rPr>
                <w:rFonts w:asciiTheme="minorEastAsia" w:hAnsiTheme="minorEastAsia" w:eastAsiaTheme="minorEastAsia"/>
                <w:color w:val="auto"/>
                <w:kern w:val="0"/>
                <w:sz w:val="24"/>
                <w:szCs w:val="24"/>
                <w:highlight w:val="none"/>
              </w:rPr>
              <w:t>2.3.1-6</w:t>
            </w:r>
            <w:r>
              <w:rPr>
                <w:rFonts w:hint="eastAsia" w:cs="宋体" w:asciiTheme="minorEastAsia" w:hAnsiTheme="minorEastAsia" w:eastAsiaTheme="minorEastAsia"/>
                <w:color w:val="auto"/>
                <w:kern w:val="0"/>
                <w:sz w:val="24"/>
                <w:szCs w:val="24"/>
                <w:highlight w:val="none"/>
              </w:rPr>
              <w:t>、表</w:t>
            </w:r>
            <w:r>
              <w:rPr>
                <w:rFonts w:asciiTheme="minorEastAsia" w:hAnsiTheme="minorEastAsia" w:eastAsiaTheme="minorEastAsia"/>
                <w:color w:val="auto"/>
                <w:kern w:val="0"/>
                <w:sz w:val="24"/>
                <w:szCs w:val="24"/>
                <w:highlight w:val="none"/>
              </w:rPr>
              <w:t>2.3.1-7</w:t>
            </w:r>
            <w:r>
              <w:rPr>
                <w:rFonts w:hint="eastAsia" w:cs="宋体" w:asciiTheme="minorEastAsia" w:hAnsiTheme="minorEastAsia" w:eastAsiaTheme="minorEastAsia"/>
                <w:color w:val="auto"/>
                <w:kern w:val="0"/>
                <w:sz w:val="24"/>
                <w:szCs w:val="24"/>
                <w:highlight w:val="none"/>
              </w:rPr>
              <w:t>、表</w:t>
            </w:r>
            <w:r>
              <w:rPr>
                <w:rFonts w:asciiTheme="minorEastAsia" w:hAnsiTheme="minorEastAsia" w:eastAsiaTheme="minorEastAsia"/>
                <w:color w:val="auto"/>
                <w:kern w:val="0"/>
                <w:sz w:val="24"/>
                <w:szCs w:val="24"/>
                <w:highlight w:val="none"/>
              </w:rPr>
              <w:t>2.3.1-8</w:t>
            </w:r>
            <w:r>
              <w:rPr>
                <w:rFonts w:hint="eastAsia" w:cs="宋体" w:asciiTheme="minorEastAsia" w:hAnsiTheme="minorEastAsia" w:eastAsiaTheme="minorEastAsia"/>
                <w:color w:val="auto"/>
                <w:kern w:val="0"/>
                <w:sz w:val="24"/>
                <w:szCs w:val="24"/>
                <w:highlight w:val="none"/>
              </w:rPr>
              <w:t>、表</w:t>
            </w:r>
            <w:r>
              <w:rPr>
                <w:rFonts w:asciiTheme="minorEastAsia" w:hAnsiTheme="minorEastAsia" w:eastAsiaTheme="minorEastAsia"/>
                <w:color w:val="auto"/>
                <w:kern w:val="0"/>
                <w:sz w:val="24"/>
                <w:szCs w:val="24"/>
                <w:highlight w:val="none"/>
              </w:rPr>
              <w:t>2.3.1-9</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分类评价结果表明：溶解氧（</w:t>
            </w:r>
            <w:r>
              <w:rPr>
                <w:rFonts w:asciiTheme="minorEastAsia" w:hAnsiTheme="minorEastAsia" w:eastAsiaTheme="minorEastAsia"/>
                <w:color w:val="auto"/>
                <w:kern w:val="0"/>
                <w:sz w:val="24"/>
                <w:szCs w:val="24"/>
                <w:highlight w:val="none"/>
              </w:rPr>
              <w:t>DO</w:t>
            </w:r>
            <w:r>
              <w:rPr>
                <w:rFonts w:hint="eastAsia" w:cs="宋体" w:asciiTheme="minorEastAsia" w:hAnsiTheme="minorEastAsia" w:eastAsiaTheme="minorEastAsia"/>
                <w:color w:val="auto"/>
                <w:kern w:val="0"/>
                <w:sz w:val="24"/>
                <w:szCs w:val="24"/>
                <w:highlight w:val="none"/>
              </w:rPr>
              <w:t>）、化学需氧量（</w:t>
            </w:r>
            <w:r>
              <w:rPr>
                <w:rFonts w:asciiTheme="minorEastAsia" w:hAnsiTheme="minorEastAsia" w:eastAsiaTheme="minorEastAsia"/>
                <w:color w:val="auto"/>
                <w:kern w:val="0"/>
                <w:sz w:val="24"/>
                <w:szCs w:val="24"/>
                <w:highlight w:val="none"/>
              </w:rPr>
              <w:t>COD</w:t>
            </w:r>
            <w:r>
              <w:rPr>
                <w:rFonts w:hint="eastAsia" w:cs="宋体" w:asciiTheme="minorEastAsia" w:hAnsiTheme="minorEastAsia" w:eastAsiaTheme="minorEastAsia"/>
                <w:color w:val="auto"/>
                <w:kern w:val="0"/>
                <w:sz w:val="24"/>
                <w:szCs w:val="24"/>
                <w:highlight w:val="none"/>
              </w:rPr>
              <w:t>）、生化需氧量（</w:t>
            </w:r>
            <w:r>
              <w:rPr>
                <w:rFonts w:asciiTheme="minorEastAsia" w:hAnsiTheme="minorEastAsia" w:eastAsiaTheme="minorEastAsia"/>
                <w:color w:val="auto"/>
                <w:kern w:val="0"/>
                <w:sz w:val="24"/>
                <w:szCs w:val="24"/>
                <w:highlight w:val="none"/>
              </w:rPr>
              <w:t>BOD5</w:t>
            </w:r>
            <w:r>
              <w:rPr>
                <w:rFonts w:hint="eastAsia" w:cs="宋体" w:asciiTheme="minorEastAsia" w:hAnsiTheme="minorEastAsia" w:eastAsiaTheme="minorEastAsia"/>
                <w:color w:val="auto"/>
                <w:kern w:val="0"/>
                <w:sz w:val="24"/>
                <w:szCs w:val="24"/>
                <w:highlight w:val="none"/>
              </w:rPr>
              <w:t>）、无机氮、石油类、铜、铅、锌、镉、总铬、汞和砷，共</w:t>
            </w:r>
            <w:r>
              <w:rPr>
                <w:rFonts w:asciiTheme="minorEastAsia" w:hAnsiTheme="minorEastAsia" w:eastAsiaTheme="minorEastAsia"/>
                <w:color w:val="auto"/>
                <w:kern w:val="0"/>
                <w:sz w:val="24"/>
                <w:szCs w:val="24"/>
                <w:highlight w:val="none"/>
              </w:rPr>
              <w:t>12</w:t>
            </w:r>
            <w:r>
              <w:rPr>
                <w:rFonts w:hint="eastAsia" w:cs="宋体" w:asciiTheme="minorEastAsia" w:hAnsiTheme="minorEastAsia" w:eastAsiaTheme="minorEastAsia"/>
                <w:color w:val="auto"/>
                <w:kern w:val="0"/>
                <w:sz w:val="24"/>
                <w:szCs w:val="24"/>
                <w:highlight w:val="none"/>
              </w:rPr>
              <w:t>项评价指标的单因子指数均小于</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，满足所属海洋功能区的水质管控要求；</w:t>
            </w:r>
            <w:r>
              <w:rPr>
                <w:rFonts w:asciiTheme="minorEastAsia" w:hAnsiTheme="minorEastAsia" w:eastAsiaTheme="minorEastAsia"/>
                <w:color w:val="auto"/>
                <w:kern w:val="0"/>
                <w:sz w:val="24"/>
                <w:szCs w:val="24"/>
                <w:highlight w:val="none"/>
              </w:rPr>
              <w:t>pH</w:t>
            </w:r>
            <w:r>
              <w:rPr>
                <w:rFonts w:hint="eastAsia" w:cs="宋体" w:asciiTheme="minorEastAsia" w:hAnsiTheme="minorEastAsia" w:eastAsiaTheme="minorEastAsia"/>
                <w:color w:val="auto"/>
                <w:kern w:val="0"/>
                <w:sz w:val="24"/>
                <w:szCs w:val="24"/>
                <w:highlight w:val="none"/>
              </w:rPr>
              <w:t>在</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号站位（均位于茅尾海）出现超标；活性磷酸盐在</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号（位于鹿耳环江）站位出现超标。</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kern w:val="0"/>
                <w:sz w:val="24"/>
                <w:szCs w:val="24"/>
                <w:highlight w:val="none"/>
              </w:rPr>
              <w:t>逐级评价的三个站位中，</w:t>
            </w:r>
            <w:r>
              <w:rPr>
                <w:rFonts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号</w:t>
            </w:r>
            <w:r>
              <w:rPr>
                <w:rFonts w:hint="eastAsia" w:asciiTheme="minorEastAsia" w:hAnsiTheme="minorEastAsia" w:eastAsiaTheme="minorEastAsia"/>
                <w:bCs/>
                <w:color w:val="auto"/>
                <w:sz w:val="24"/>
                <w:szCs w:val="24"/>
                <w:highlight w:val="none"/>
              </w:rPr>
              <w:t>站位</w:t>
            </w:r>
            <w:r>
              <w:rPr>
                <w:rFonts w:hint="eastAsia" w:cs="宋体" w:asciiTheme="minorEastAsia" w:hAnsiTheme="minorEastAsia" w:eastAsiaTheme="minorEastAsia"/>
                <w:color w:val="auto"/>
                <w:kern w:val="0"/>
                <w:sz w:val="24"/>
                <w:szCs w:val="24"/>
                <w:highlight w:val="none"/>
              </w:rPr>
              <w:t>达到三类标准，</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号站位达到四级标准。</w:t>
            </w:r>
          </w:p>
          <w:p>
            <w:pPr>
              <w:pStyle w:val="3"/>
              <w:jc w:val="center"/>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表2.3</w:t>
            </w:r>
            <w:r>
              <w:rPr>
                <w:rFonts w:asciiTheme="minorEastAsia" w:hAnsiTheme="minorEastAsia" w:eastAsiaTheme="minorEastAsia"/>
                <w:b w:val="0"/>
                <w:bCs/>
                <w:color w:val="auto"/>
                <w:sz w:val="24"/>
                <w:szCs w:val="24"/>
                <w:highlight w:val="none"/>
              </w:rPr>
              <w:t>-42022</w:t>
            </w:r>
            <w:r>
              <w:rPr>
                <w:rFonts w:hint="eastAsia" w:asciiTheme="minorEastAsia" w:hAnsiTheme="minorEastAsia" w:eastAsiaTheme="minorEastAsia"/>
                <w:b w:val="0"/>
                <w:color w:val="auto"/>
                <w:sz w:val="24"/>
                <w:szCs w:val="24"/>
                <w:highlight w:val="none"/>
              </w:rPr>
              <w:t>年秋季监测海域水质监测结果</w:t>
            </w:r>
          </w:p>
          <w:p>
            <w:pPr>
              <w:pStyle w:val="3"/>
              <w:rPr>
                <w:color w:val="auto"/>
                <w:sz w:val="21"/>
                <w:szCs w:val="21"/>
                <w:highlight w:val="none"/>
              </w:rPr>
            </w:pPr>
            <w:r>
              <w:rPr>
                <w:color w:val="auto"/>
                <w:sz w:val="21"/>
                <w:szCs w:val="21"/>
                <w:highlight w:val="none"/>
              </w:rPr>
              <w:drawing>
                <wp:inline distT="0" distB="0" distL="0" distR="0">
                  <wp:extent cx="5758815" cy="3815715"/>
                  <wp:effectExtent l="19050" t="0" r="0" b="0"/>
                  <wp:docPr id="44" name="图片 44" descr="F:\微信文件File\WeChat Files\wxid_kgkf81ca4cje21\FileStorage\Temp\1701274930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微信文件File\WeChat Files\wxid_kgkf81ca4cje21\FileStorage\Temp\1701274930729.png"/>
                          <pic:cNvPicPr>
                            <a:picLocks noChangeAspect="1" noChangeArrowheads="1"/>
                          </pic:cNvPicPr>
                        </pic:nvPicPr>
                        <pic:blipFill>
                          <a:blip r:embed="rId52"/>
                          <a:srcRect/>
                          <a:stretch>
                            <a:fillRect/>
                          </a:stretch>
                        </pic:blipFill>
                        <pic:spPr>
                          <a:xfrm>
                            <a:off x="0" y="0"/>
                            <a:ext cx="5758780" cy="3815515"/>
                          </a:xfrm>
                          <a:prstGeom prst="rect">
                            <a:avLst/>
                          </a:prstGeom>
                          <a:noFill/>
                          <a:ln w="9525">
                            <a:noFill/>
                            <a:miter lim="800000"/>
                            <a:headEnd/>
                            <a:tailEnd/>
                          </a:ln>
                        </pic:spPr>
                      </pic:pic>
                    </a:graphicData>
                  </a:graphic>
                </wp:inline>
              </w:drawing>
            </w:r>
          </w:p>
          <w:p>
            <w:pPr>
              <w:pStyle w:val="3"/>
              <w:rPr>
                <w:color w:val="auto"/>
                <w:sz w:val="21"/>
                <w:szCs w:val="21"/>
                <w:highlight w:val="none"/>
              </w:rPr>
            </w:pPr>
          </w:p>
          <w:p>
            <w:pPr>
              <w:pStyle w:val="3"/>
              <w:rPr>
                <w:color w:val="auto"/>
                <w:sz w:val="21"/>
                <w:szCs w:val="21"/>
                <w:highlight w:val="none"/>
              </w:rPr>
            </w:pPr>
            <w:r>
              <w:rPr>
                <w:color w:val="auto"/>
                <w:sz w:val="21"/>
                <w:szCs w:val="21"/>
                <w:highlight w:val="none"/>
              </w:rPr>
              <w:drawing>
                <wp:inline distT="0" distB="0" distL="0" distR="0">
                  <wp:extent cx="5760085" cy="3899535"/>
                  <wp:effectExtent l="19050" t="0" r="0" b="0"/>
                  <wp:docPr id="45" name="图片 45" descr="F:\微信文件File\WeChat Files\wxid_kgkf81ca4cje21\FileStorage\Temp\1701274994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微信文件File\WeChat Files\wxid_kgkf81ca4cje21\FileStorage\Temp\1701274994278.png"/>
                          <pic:cNvPicPr>
                            <a:picLocks noChangeAspect="1" noChangeArrowheads="1"/>
                          </pic:cNvPicPr>
                        </pic:nvPicPr>
                        <pic:blipFill>
                          <a:blip r:embed="rId53"/>
                          <a:srcRect/>
                          <a:stretch>
                            <a:fillRect/>
                          </a:stretch>
                        </pic:blipFill>
                        <pic:spPr>
                          <a:xfrm>
                            <a:off x="0" y="0"/>
                            <a:ext cx="5757388" cy="3897360"/>
                          </a:xfrm>
                          <a:prstGeom prst="rect">
                            <a:avLst/>
                          </a:prstGeom>
                          <a:noFill/>
                          <a:ln w="9525">
                            <a:noFill/>
                            <a:miter lim="800000"/>
                            <a:headEnd/>
                            <a:tailEnd/>
                          </a:ln>
                        </pic:spPr>
                      </pic:pic>
                    </a:graphicData>
                  </a:graphic>
                </wp:inline>
              </w:drawing>
            </w:r>
          </w:p>
          <w:p>
            <w:pPr>
              <w:pStyle w:val="3"/>
              <w:rPr>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rFonts w:hint="eastAsia"/>
                <w:color w:val="auto"/>
                <w:sz w:val="24"/>
                <w:szCs w:val="24"/>
                <w:highlight w:val="none"/>
              </w:rPr>
            </w:pPr>
          </w:p>
          <w:p>
            <w:pPr>
              <w:jc w:val="center"/>
              <w:rPr>
                <w:color w:val="auto"/>
                <w:sz w:val="24"/>
                <w:szCs w:val="24"/>
                <w:highlight w:val="none"/>
              </w:rPr>
            </w:pPr>
            <w:r>
              <w:rPr>
                <w:rFonts w:hint="eastAsia"/>
                <w:color w:val="auto"/>
                <w:sz w:val="24"/>
                <w:szCs w:val="24"/>
                <w:highlight w:val="none"/>
              </w:rPr>
              <w:t>表2.3</w:t>
            </w:r>
            <w:r>
              <w:rPr>
                <w:rFonts w:ascii="Times New Roman"/>
                <w:b/>
                <w:bCs/>
                <w:color w:val="auto"/>
                <w:sz w:val="24"/>
                <w:szCs w:val="24"/>
                <w:highlight w:val="none"/>
              </w:rPr>
              <w:t>-52022</w:t>
            </w:r>
            <w:r>
              <w:rPr>
                <w:rFonts w:hint="eastAsia"/>
                <w:color w:val="auto"/>
                <w:sz w:val="24"/>
                <w:szCs w:val="24"/>
                <w:highlight w:val="none"/>
              </w:rPr>
              <w:t>年秋季海水水质分类评价结果</w:t>
            </w:r>
          </w:p>
          <w:p>
            <w:pPr>
              <w:pStyle w:val="3"/>
              <w:rPr>
                <w:color w:val="auto"/>
                <w:highlight w:val="none"/>
              </w:rPr>
            </w:pPr>
            <w:r>
              <w:rPr>
                <w:rFonts w:hint="eastAsia"/>
                <w:b w:val="0"/>
                <w:color w:val="auto"/>
                <w:highlight w:val="none"/>
              </w:rPr>
              <w:drawing>
                <wp:inline distT="0" distB="0" distL="0" distR="0">
                  <wp:extent cx="5753100" cy="4527550"/>
                  <wp:effectExtent l="19050" t="0" r="0" b="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noChangeArrowheads="1"/>
                          </pic:cNvPicPr>
                        </pic:nvPicPr>
                        <pic:blipFill>
                          <a:blip r:embed="rId54"/>
                          <a:srcRect/>
                          <a:stretch>
                            <a:fillRect/>
                          </a:stretch>
                        </pic:blipFill>
                        <pic:spPr>
                          <a:xfrm>
                            <a:off x="0" y="0"/>
                            <a:ext cx="5753100" cy="4527550"/>
                          </a:xfrm>
                          <a:prstGeom prst="rect">
                            <a:avLst/>
                          </a:prstGeom>
                          <a:noFill/>
                          <a:ln w="9525">
                            <a:noFill/>
                            <a:miter lim="800000"/>
                            <a:headEnd/>
                            <a:tailEnd/>
                          </a:ln>
                        </pic:spPr>
                      </pic:pic>
                    </a:graphicData>
                  </a:graphic>
                </wp:inline>
              </w:drawing>
            </w:r>
          </w:p>
          <w:p>
            <w:pPr>
              <w:jc w:val="center"/>
              <w:rPr>
                <w:color w:val="auto"/>
                <w:sz w:val="24"/>
                <w:szCs w:val="24"/>
                <w:highlight w:val="none"/>
              </w:rPr>
            </w:pPr>
            <w:r>
              <w:rPr>
                <w:rFonts w:hint="eastAsia"/>
                <w:color w:val="auto"/>
                <w:sz w:val="24"/>
                <w:szCs w:val="24"/>
                <w:highlight w:val="none"/>
              </w:rPr>
              <w:t>表2.3</w:t>
            </w:r>
            <w:r>
              <w:rPr>
                <w:rFonts w:ascii="Times New Roman"/>
                <w:b/>
                <w:bCs/>
                <w:color w:val="auto"/>
                <w:sz w:val="24"/>
                <w:szCs w:val="24"/>
                <w:highlight w:val="none"/>
              </w:rPr>
              <w:t>-62022</w:t>
            </w:r>
            <w:r>
              <w:rPr>
                <w:rFonts w:hint="eastAsia"/>
                <w:color w:val="auto"/>
                <w:sz w:val="24"/>
                <w:szCs w:val="24"/>
                <w:highlight w:val="none"/>
              </w:rPr>
              <w:t>年秋季海水水质逐级评价结果（一类）</w:t>
            </w:r>
          </w:p>
          <w:p>
            <w:pPr>
              <w:pStyle w:val="3"/>
              <w:rPr>
                <w:color w:val="auto"/>
                <w:sz w:val="24"/>
                <w:szCs w:val="24"/>
                <w:highlight w:val="none"/>
              </w:rPr>
            </w:pPr>
            <w:r>
              <w:rPr>
                <w:color w:val="auto"/>
                <w:sz w:val="24"/>
                <w:szCs w:val="24"/>
                <w:highlight w:val="none"/>
              </w:rPr>
              <w:drawing>
                <wp:inline distT="0" distB="0" distL="0" distR="0">
                  <wp:extent cx="5753100" cy="772160"/>
                  <wp:effectExtent l="19050" t="0" r="0" b="0"/>
                  <wp:docPr id="21" name="图片 7" descr="F:\微信文件File\WeChat Files\wxid_kgkf81ca4cje21\FileStorage\Temp\1701303894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descr="F:\微信文件File\WeChat Files\wxid_kgkf81ca4cje21\FileStorage\Temp\1701303894953.png"/>
                          <pic:cNvPicPr>
                            <a:picLocks noChangeAspect="1" noChangeArrowheads="1"/>
                          </pic:cNvPicPr>
                        </pic:nvPicPr>
                        <pic:blipFill>
                          <a:blip r:embed="rId55"/>
                          <a:srcRect/>
                          <a:stretch>
                            <a:fillRect/>
                          </a:stretch>
                        </pic:blipFill>
                        <pic:spPr>
                          <a:xfrm>
                            <a:off x="0" y="0"/>
                            <a:ext cx="5781839" cy="776265"/>
                          </a:xfrm>
                          <a:prstGeom prst="rect">
                            <a:avLst/>
                          </a:prstGeom>
                          <a:noFill/>
                          <a:ln w="9525">
                            <a:noFill/>
                            <a:miter lim="800000"/>
                            <a:headEnd/>
                            <a:tailEnd/>
                          </a:ln>
                        </pic:spPr>
                      </pic:pic>
                    </a:graphicData>
                  </a:graphic>
                </wp:inline>
              </w:drawing>
            </w:r>
          </w:p>
          <w:p>
            <w:pPr>
              <w:jc w:val="center"/>
              <w:rPr>
                <w:color w:val="auto"/>
                <w:sz w:val="24"/>
                <w:szCs w:val="24"/>
                <w:highlight w:val="none"/>
              </w:rPr>
            </w:pPr>
            <w:r>
              <w:rPr>
                <w:rFonts w:hint="eastAsia"/>
                <w:color w:val="auto"/>
                <w:sz w:val="24"/>
                <w:szCs w:val="24"/>
                <w:highlight w:val="none"/>
              </w:rPr>
              <w:t>表2.3</w:t>
            </w:r>
            <w:r>
              <w:rPr>
                <w:rFonts w:ascii="Times New Roman"/>
                <w:color w:val="auto"/>
                <w:sz w:val="24"/>
                <w:szCs w:val="24"/>
                <w:highlight w:val="none"/>
              </w:rPr>
              <w:t>-72022</w:t>
            </w:r>
            <w:r>
              <w:rPr>
                <w:rFonts w:hint="eastAsia"/>
                <w:color w:val="auto"/>
                <w:sz w:val="24"/>
                <w:szCs w:val="24"/>
                <w:highlight w:val="none"/>
              </w:rPr>
              <w:t>年秋季海水水质逐级评价结果（二类）</w:t>
            </w:r>
          </w:p>
          <w:p>
            <w:pPr>
              <w:pStyle w:val="3"/>
              <w:rPr>
                <w:color w:val="auto"/>
                <w:sz w:val="24"/>
                <w:szCs w:val="24"/>
                <w:highlight w:val="none"/>
              </w:rPr>
            </w:pPr>
            <w:r>
              <w:rPr>
                <w:color w:val="auto"/>
                <w:sz w:val="24"/>
                <w:szCs w:val="24"/>
                <w:highlight w:val="none"/>
              </w:rPr>
              <w:drawing>
                <wp:inline distT="0" distB="0" distL="0" distR="0">
                  <wp:extent cx="5156200" cy="692150"/>
                  <wp:effectExtent l="19050" t="0" r="6350" b="0"/>
                  <wp:docPr id="32" name="图片 8" descr="F:\微信文件File\WeChat Files\wxid_kgkf81ca4cje21\FileStorage\Temp\1701303929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descr="F:\微信文件File\WeChat Files\wxid_kgkf81ca4cje21\FileStorage\Temp\1701303929968.png"/>
                          <pic:cNvPicPr>
                            <a:picLocks noChangeAspect="1" noChangeArrowheads="1"/>
                          </pic:cNvPicPr>
                        </pic:nvPicPr>
                        <pic:blipFill>
                          <a:blip r:embed="rId56"/>
                          <a:srcRect/>
                          <a:stretch>
                            <a:fillRect/>
                          </a:stretch>
                        </pic:blipFill>
                        <pic:spPr>
                          <a:xfrm>
                            <a:off x="0" y="0"/>
                            <a:ext cx="5156200" cy="692268"/>
                          </a:xfrm>
                          <a:prstGeom prst="rect">
                            <a:avLst/>
                          </a:prstGeom>
                          <a:noFill/>
                          <a:ln w="9525">
                            <a:noFill/>
                            <a:miter lim="800000"/>
                            <a:headEnd/>
                            <a:tailEnd/>
                          </a:ln>
                        </pic:spPr>
                      </pic:pic>
                    </a:graphicData>
                  </a:graphic>
                </wp:inline>
              </w:drawing>
            </w:r>
          </w:p>
          <w:p>
            <w:pPr>
              <w:pStyle w:val="40"/>
              <w:snapToGrid w:val="0"/>
              <w:spacing w:beforeLines="50"/>
              <w:jc w:val="center"/>
              <w:rPr>
                <w:color w:val="auto"/>
                <w:szCs w:val="24"/>
                <w:highlight w:val="none"/>
              </w:rPr>
            </w:pPr>
            <w:r>
              <w:rPr>
                <w:rFonts w:hint="eastAsia"/>
                <w:color w:val="auto"/>
                <w:szCs w:val="24"/>
                <w:highlight w:val="none"/>
              </w:rPr>
              <w:t>表2.3</w:t>
            </w:r>
            <w:r>
              <w:rPr>
                <w:b w:val="0"/>
                <w:bCs/>
                <w:color w:val="auto"/>
                <w:szCs w:val="24"/>
                <w:highlight w:val="none"/>
              </w:rPr>
              <w:t>-82022</w:t>
            </w:r>
            <w:r>
              <w:rPr>
                <w:rFonts w:hint="eastAsia"/>
                <w:color w:val="auto"/>
                <w:szCs w:val="24"/>
                <w:highlight w:val="none"/>
              </w:rPr>
              <w:t>年秋季海水水质逐级评价结果（三类）</w:t>
            </w:r>
          </w:p>
          <w:p>
            <w:pPr>
              <w:pStyle w:val="40"/>
              <w:snapToGrid w:val="0"/>
              <w:spacing w:beforeLines="50"/>
              <w:rPr>
                <w:color w:val="auto"/>
                <w:szCs w:val="24"/>
                <w:highlight w:val="none"/>
              </w:rPr>
            </w:pPr>
            <w:r>
              <w:rPr>
                <w:color w:val="auto"/>
                <w:szCs w:val="24"/>
                <w:highlight w:val="none"/>
              </w:rPr>
              <w:drawing>
                <wp:inline distT="0" distB="0" distL="0" distR="0">
                  <wp:extent cx="5537200" cy="729615"/>
                  <wp:effectExtent l="19050" t="0" r="6350" b="0"/>
                  <wp:docPr id="33" name="图片 9" descr="F:\微信文件File\WeChat Files\wxid_kgkf81ca4cje21\FileStorage\Temp\1701303979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descr="F:\微信文件File\WeChat Files\wxid_kgkf81ca4cje21\FileStorage\Temp\1701303979837.png"/>
                          <pic:cNvPicPr>
                            <a:picLocks noChangeAspect="1" noChangeArrowheads="1"/>
                          </pic:cNvPicPr>
                        </pic:nvPicPr>
                        <pic:blipFill>
                          <a:blip r:embed="rId57"/>
                          <a:srcRect/>
                          <a:stretch>
                            <a:fillRect/>
                          </a:stretch>
                        </pic:blipFill>
                        <pic:spPr>
                          <a:xfrm>
                            <a:off x="0" y="0"/>
                            <a:ext cx="5537200" cy="730221"/>
                          </a:xfrm>
                          <a:prstGeom prst="rect">
                            <a:avLst/>
                          </a:prstGeom>
                          <a:noFill/>
                          <a:ln w="9525">
                            <a:noFill/>
                            <a:miter lim="800000"/>
                            <a:headEnd/>
                            <a:tailEnd/>
                          </a:ln>
                        </pic:spPr>
                      </pic:pic>
                    </a:graphicData>
                  </a:graphic>
                </wp:inline>
              </w:drawing>
            </w:r>
          </w:p>
          <w:p>
            <w:pPr>
              <w:pStyle w:val="40"/>
              <w:snapToGrid w:val="0"/>
              <w:spacing w:beforeLines="50"/>
              <w:jc w:val="center"/>
              <w:rPr>
                <w:rFonts w:hint="eastAsia"/>
                <w:color w:val="auto"/>
                <w:szCs w:val="24"/>
                <w:highlight w:val="none"/>
              </w:rPr>
            </w:pPr>
          </w:p>
          <w:p>
            <w:pPr>
              <w:pStyle w:val="40"/>
              <w:snapToGrid w:val="0"/>
              <w:spacing w:beforeLines="50"/>
              <w:jc w:val="center"/>
              <w:rPr>
                <w:color w:val="auto"/>
                <w:szCs w:val="24"/>
                <w:highlight w:val="none"/>
              </w:rPr>
            </w:pPr>
            <w:r>
              <w:rPr>
                <w:rFonts w:hint="eastAsia"/>
                <w:color w:val="auto"/>
                <w:szCs w:val="24"/>
                <w:highlight w:val="none"/>
              </w:rPr>
              <w:t>表2.3</w:t>
            </w:r>
            <w:r>
              <w:rPr>
                <w:b w:val="0"/>
                <w:bCs/>
                <w:color w:val="auto"/>
                <w:szCs w:val="24"/>
                <w:highlight w:val="none"/>
              </w:rPr>
              <w:t>-92022</w:t>
            </w:r>
            <w:r>
              <w:rPr>
                <w:rFonts w:hint="eastAsia"/>
                <w:color w:val="auto"/>
                <w:szCs w:val="24"/>
                <w:highlight w:val="none"/>
              </w:rPr>
              <w:t>年秋季海水水质逐级评价结果（四类）</w:t>
            </w:r>
          </w:p>
          <w:p>
            <w:pPr>
              <w:pStyle w:val="40"/>
              <w:snapToGrid w:val="0"/>
              <w:spacing w:beforeLines="50"/>
              <w:rPr>
                <w:color w:val="auto"/>
                <w:highlight w:val="none"/>
              </w:rPr>
            </w:pPr>
            <w:r>
              <w:rPr>
                <w:color w:val="auto"/>
                <w:highlight w:val="none"/>
              </w:rPr>
              <w:drawing>
                <wp:inline distT="0" distB="0" distL="0" distR="0">
                  <wp:extent cx="5734050" cy="754380"/>
                  <wp:effectExtent l="19050" t="0" r="0" b="0"/>
                  <wp:docPr id="35" name="图片 10" descr="F:\微信文件File\WeChat Files\wxid_kgkf81ca4cje21\FileStorage\Temp\1701304008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descr="F:\微信文件File\WeChat Files\wxid_kgkf81ca4cje21\FileStorage\Temp\1701304008378.png"/>
                          <pic:cNvPicPr>
                            <a:picLocks noChangeAspect="1" noChangeArrowheads="1"/>
                          </pic:cNvPicPr>
                        </pic:nvPicPr>
                        <pic:blipFill>
                          <a:blip r:embed="rId58"/>
                          <a:srcRect/>
                          <a:stretch>
                            <a:fillRect/>
                          </a:stretch>
                        </pic:blipFill>
                        <pic:spPr>
                          <a:xfrm>
                            <a:off x="0" y="0"/>
                            <a:ext cx="5734050" cy="754680"/>
                          </a:xfrm>
                          <a:prstGeom prst="rect">
                            <a:avLst/>
                          </a:prstGeom>
                          <a:noFill/>
                          <a:ln w="9525">
                            <a:noFill/>
                            <a:miter lim="800000"/>
                            <a:headEnd/>
                            <a:tailEnd/>
                          </a:ln>
                        </pic:spPr>
                      </pic:pic>
                    </a:graphicData>
                  </a:graphic>
                </wp:inline>
              </w:drawing>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asciiTheme="minorEastAsia" w:hAnsiTheme="minorEastAsia" w:eastAsiaTheme="minorEastAsia"/>
                <w:bCs/>
                <w:color w:val="auto"/>
                <w:kern w:val="0"/>
                <w:sz w:val="24"/>
                <w:szCs w:val="24"/>
                <w:highlight w:val="none"/>
              </w:rPr>
              <w:t>2.4</w:t>
            </w:r>
            <w:r>
              <w:rPr>
                <w:rFonts w:hint="eastAsia" w:cs="宋体" w:asciiTheme="minorEastAsia" w:hAnsiTheme="minorEastAsia" w:eastAsiaTheme="minorEastAsia"/>
                <w:color w:val="auto"/>
                <w:kern w:val="0"/>
                <w:sz w:val="24"/>
                <w:szCs w:val="24"/>
                <w:highlight w:val="none"/>
              </w:rPr>
              <w:t>海洋沉积物现状调查与评价</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2.4.1</w:t>
            </w:r>
            <w:r>
              <w:rPr>
                <w:rFonts w:hint="eastAsia" w:cs="宋体" w:asciiTheme="minorEastAsia" w:hAnsiTheme="minorEastAsia" w:eastAsiaTheme="minorEastAsia"/>
                <w:color w:val="auto"/>
                <w:kern w:val="0"/>
                <w:sz w:val="24"/>
                <w:szCs w:val="24"/>
                <w:highlight w:val="none"/>
              </w:rPr>
              <w:t>调查概况</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海洋沉积物现状调查资料引自国家海洋局北海海洋环境监测中心站</w:t>
            </w:r>
            <w:r>
              <w:rPr>
                <w:rFonts w:hint="eastAsia" w:asciiTheme="minorEastAsia" w:hAnsiTheme="minorEastAsia" w:eastAsiaTheme="minorEastAsia"/>
                <w:bCs/>
                <w:color w:val="auto"/>
                <w:sz w:val="24"/>
                <w:szCs w:val="24"/>
                <w:highlight w:val="none"/>
              </w:rPr>
              <w:t>《</w:t>
            </w:r>
            <w:r>
              <w:rPr>
                <w:rFonts w:asciiTheme="minorEastAsia" w:hAnsiTheme="minorEastAsia" w:eastAsiaTheme="minorEastAsia"/>
                <w:bCs/>
                <w:color w:val="auto"/>
                <w:sz w:val="24"/>
                <w:szCs w:val="24"/>
                <w:highlight w:val="none"/>
              </w:rPr>
              <w:t>2022</w:t>
            </w:r>
            <w:r>
              <w:rPr>
                <w:rFonts w:hint="eastAsia" w:asciiTheme="minorEastAsia" w:hAnsiTheme="minorEastAsia" w:eastAsiaTheme="minorEastAsia"/>
                <w:bCs/>
                <w:color w:val="auto"/>
                <w:sz w:val="24"/>
                <w:szCs w:val="24"/>
                <w:highlight w:val="none"/>
              </w:rPr>
              <w:t>年广西钦州市海洋生态保护修复项目海洋生态环境状况调查报告（秋季）》</w:t>
            </w:r>
            <w:r>
              <w:rPr>
                <w:rFonts w:hint="eastAsia" w:cs="宋体" w:asciiTheme="minorEastAsia" w:hAnsiTheme="minorEastAsia" w:eastAsiaTheme="minorEastAsia"/>
                <w:color w:val="auto"/>
                <w:kern w:val="0"/>
                <w:sz w:val="24"/>
                <w:szCs w:val="24"/>
                <w:highlight w:val="none"/>
              </w:rPr>
              <w:t>。依据《海洋监测规范》（</w:t>
            </w:r>
            <w:r>
              <w:rPr>
                <w:rFonts w:asciiTheme="minorEastAsia" w:hAnsiTheme="minorEastAsia" w:eastAsiaTheme="minorEastAsia"/>
                <w:color w:val="auto"/>
                <w:kern w:val="0"/>
                <w:sz w:val="24"/>
                <w:szCs w:val="24"/>
                <w:highlight w:val="none"/>
              </w:rPr>
              <w:t>GB17378-2007</w:t>
            </w:r>
            <w:r>
              <w:rPr>
                <w:rFonts w:hint="eastAsia" w:cs="宋体" w:asciiTheme="minorEastAsia" w:hAnsiTheme="minorEastAsia" w:eastAsiaTheme="minorEastAsia"/>
                <w:color w:val="auto"/>
                <w:kern w:val="0"/>
                <w:sz w:val="24"/>
                <w:szCs w:val="24"/>
                <w:highlight w:val="none"/>
              </w:rPr>
              <w:t>）站位布设原则及《海域使用论证技术导则》（</w:t>
            </w:r>
            <w:r>
              <w:rPr>
                <w:rFonts w:asciiTheme="minorEastAsia" w:hAnsiTheme="minorEastAsia" w:eastAsiaTheme="minorEastAsia"/>
                <w:color w:val="auto"/>
                <w:kern w:val="0"/>
                <w:sz w:val="24"/>
                <w:szCs w:val="24"/>
                <w:highlight w:val="none"/>
              </w:rPr>
              <w:t>GB/T42361-2023</w:t>
            </w:r>
            <w:r>
              <w:rPr>
                <w:rFonts w:hint="eastAsia" w:cs="宋体" w:asciiTheme="minorEastAsia" w:hAnsiTheme="minorEastAsia" w:eastAsiaTheme="minorEastAsia"/>
                <w:color w:val="auto"/>
                <w:kern w:val="0"/>
                <w:sz w:val="24"/>
                <w:szCs w:val="24"/>
                <w:highlight w:val="none"/>
              </w:rPr>
              <w:t>）的相关技术要求，在项目近岸海域共布设</w:t>
            </w:r>
            <w:r>
              <w:rPr>
                <w:rFonts w:asciiTheme="minorEastAsia" w:hAnsiTheme="minorEastAsia" w:eastAsiaTheme="minorEastAsia"/>
                <w:color w:val="auto"/>
                <w:kern w:val="0"/>
                <w:sz w:val="24"/>
                <w:szCs w:val="24"/>
                <w:highlight w:val="none"/>
              </w:rPr>
              <w:t>17</w:t>
            </w:r>
            <w:r>
              <w:rPr>
                <w:rFonts w:hint="eastAsia" w:cs="宋体" w:asciiTheme="minorEastAsia" w:hAnsiTheme="minorEastAsia" w:eastAsiaTheme="minorEastAsia"/>
                <w:color w:val="auto"/>
                <w:kern w:val="0"/>
                <w:sz w:val="24"/>
                <w:szCs w:val="24"/>
                <w:highlight w:val="none"/>
              </w:rPr>
              <w:t>个海洋沉积物站位。</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调查站位如表2.2</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，调查站位图见图</w:t>
            </w:r>
            <w:r>
              <w:rPr>
                <w:rFonts w:asciiTheme="minorEastAsia" w:hAnsiTheme="minorEastAsia" w:eastAsiaTheme="minorEastAsia"/>
                <w:color w:val="auto"/>
                <w:kern w:val="0"/>
                <w:sz w:val="24"/>
                <w:szCs w:val="24"/>
                <w:highlight w:val="none"/>
              </w:rPr>
              <w:t>2.2-1</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2.4.2</w:t>
            </w:r>
            <w:r>
              <w:rPr>
                <w:rFonts w:hint="eastAsia" w:cs="宋体" w:asciiTheme="minorEastAsia" w:hAnsiTheme="minorEastAsia" w:eastAsiaTheme="minorEastAsia"/>
                <w:color w:val="auto"/>
                <w:kern w:val="0"/>
                <w:sz w:val="24"/>
                <w:szCs w:val="24"/>
                <w:highlight w:val="none"/>
              </w:rPr>
              <w:t>调查内容</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海洋沉积物调查内容包括：硫化物、有机碳、总汞、铜、铅、锌、镉、铬、砷、石油类。</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Cs/>
                <w:color w:val="auto"/>
                <w:kern w:val="0"/>
                <w:sz w:val="24"/>
                <w:szCs w:val="24"/>
                <w:highlight w:val="none"/>
              </w:rPr>
              <w:t>2.4.3</w:t>
            </w:r>
            <w:r>
              <w:rPr>
                <w:rFonts w:hint="eastAsia" w:cs="宋体" w:asciiTheme="minorEastAsia" w:hAnsiTheme="minorEastAsia" w:eastAsiaTheme="minorEastAsia"/>
                <w:color w:val="auto"/>
                <w:kern w:val="0"/>
                <w:sz w:val="24"/>
                <w:szCs w:val="24"/>
                <w:highlight w:val="none"/>
              </w:rPr>
              <w:t>调查分析方法</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）采样方法</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沉积物采样依据《海洋调查规范》（</w:t>
            </w:r>
            <w:r>
              <w:rPr>
                <w:rFonts w:asciiTheme="minorEastAsia" w:hAnsiTheme="minorEastAsia" w:eastAsiaTheme="minorEastAsia"/>
                <w:color w:val="auto"/>
                <w:kern w:val="0"/>
                <w:sz w:val="24"/>
                <w:szCs w:val="24"/>
                <w:highlight w:val="none"/>
              </w:rPr>
              <w:t>GB/T12763-2007</w:t>
            </w:r>
            <w:r>
              <w:rPr>
                <w:rFonts w:hint="eastAsia" w:cs="宋体" w:asciiTheme="minorEastAsia" w:hAnsiTheme="minorEastAsia" w:eastAsiaTheme="minorEastAsia"/>
                <w:color w:val="auto"/>
                <w:kern w:val="0"/>
                <w:sz w:val="24"/>
                <w:szCs w:val="24"/>
                <w:highlight w:val="none"/>
              </w:rPr>
              <w:t>）、《海洋监测规范》（</w:t>
            </w:r>
            <w:r>
              <w:rPr>
                <w:rFonts w:asciiTheme="minorEastAsia" w:hAnsiTheme="minorEastAsia" w:eastAsiaTheme="minorEastAsia"/>
                <w:color w:val="auto"/>
                <w:kern w:val="0"/>
                <w:sz w:val="24"/>
                <w:szCs w:val="24"/>
                <w:highlight w:val="none"/>
              </w:rPr>
              <w:t>GB17378-2007</w:t>
            </w:r>
            <w:r>
              <w:rPr>
                <w:rFonts w:hint="eastAsia" w:cs="宋体" w:asciiTheme="minorEastAsia" w:hAnsiTheme="minorEastAsia" w:eastAsiaTheme="minorEastAsia"/>
                <w:color w:val="auto"/>
                <w:kern w:val="0"/>
                <w:sz w:val="24"/>
                <w:szCs w:val="24"/>
                <w:highlight w:val="none"/>
              </w:rPr>
              <w:t>）相关技术</w:t>
            </w:r>
            <w:r>
              <w:rPr>
                <w:rFonts w:hint="eastAsia" w:asciiTheme="minorEastAsia" w:hAnsiTheme="minorEastAsia" w:eastAsiaTheme="minorEastAsia"/>
                <w:bCs/>
                <w:color w:val="auto"/>
                <w:sz w:val="24"/>
                <w:szCs w:val="24"/>
                <w:highlight w:val="none"/>
              </w:rPr>
              <w:t>要求</w:t>
            </w:r>
            <w:r>
              <w:rPr>
                <w:rFonts w:hint="eastAsia" w:cs="宋体" w:asciiTheme="minorEastAsia" w:hAnsiTheme="minorEastAsia" w:eastAsiaTheme="minorEastAsia"/>
                <w:color w:val="auto"/>
                <w:kern w:val="0"/>
                <w:sz w:val="24"/>
                <w:szCs w:val="24"/>
                <w:highlight w:val="none"/>
              </w:rPr>
              <w:t>执行，采用抓斗式采泥器采集上部</w:t>
            </w:r>
            <w:r>
              <w:rPr>
                <w:rFonts w:asciiTheme="minorEastAsia" w:hAnsiTheme="minorEastAsia" w:eastAsiaTheme="minorEastAsia"/>
                <w:color w:val="auto"/>
                <w:kern w:val="0"/>
                <w:sz w:val="24"/>
                <w:szCs w:val="24"/>
                <w:highlight w:val="none"/>
              </w:rPr>
              <w:t>0</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5cm</w:t>
            </w:r>
            <w:r>
              <w:rPr>
                <w:rFonts w:hint="eastAsia" w:cs="宋体" w:asciiTheme="minorEastAsia" w:hAnsiTheme="minorEastAsia" w:eastAsiaTheme="minorEastAsia"/>
                <w:color w:val="auto"/>
                <w:kern w:val="0"/>
                <w:sz w:val="24"/>
                <w:szCs w:val="24"/>
                <w:highlight w:val="none"/>
              </w:rPr>
              <w:t>的表层沉积物。</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）分析方法</w:t>
            </w:r>
          </w:p>
          <w:p>
            <w:pPr>
              <w:spacing w:line="360" w:lineRule="auto"/>
              <w:ind w:firstLine="480" w:firstLineChars="200"/>
              <w:rPr>
                <w:rFonts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沉积物各监测</w:t>
            </w:r>
            <w:r>
              <w:rPr>
                <w:rFonts w:hint="eastAsia" w:cs="宋体" w:asciiTheme="minorEastAsia" w:hAnsiTheme="minorEastAsia" w:eastAsiaTheme="minorEastAsia"/>
                <w:color w:val="auto"/>
                <w:kern w:val="0"/>
                <w:sz w:val="24"/>
                <w:szCs w:val="24"/>
                <w:highlight w:val="none"/>
              </w:rPr>
              <w:t>项目分析</w:t>
            </w:r>
            <w:r>
              <w:rPr>
                <w:rFonts w:hint="eastAsia" w:cs="宋体" w:asciiTheme="minorEastAsia" w:hAnsiTheme="minorEastAsia" w:eastAsiaTheme="minorEastAsia"/>
                <w:color w:val="auto"/>
                <w:sz w:val="24"/>
                <w:szCs w:val="24"/>
                <w:highlight w:val="none"/>
              </w:rPr>
              <w:t>方法、仪器及检出限见表2.4</w:t>
            </w:r>
            <w:r>
              <w:rPr>
                <w:rFonts w:asciiTheme="minorEastAsia" w:hAnsiTheme="minorEastAsia" w:eastAsiaTheme="minorEastAsia"/>
                <w:color w:val="auto"/>
                <w:sz w:val="24"/>
                <w:szCs w:val="24"/>
                <w:highlight w:val="none"/>
              </w:rPr>
              <w:t>-1。</w:t>
            </w: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rFonts w:hint="eastAsia" w:cs="宋体" w:asciiTheme="minorEastAsia" w:hAnsiTheme="minorEastAsia" w:eastAsiaTheme="minorEastAsia"/>
                <w:color w:val="auto"/>
                <w:sz w:val="24"/>
                <w:szCs w:val="24"/>
                <w:highlight w:val="none"/>
              </w:rPr>
            </w:pPr>
          </w:p>
          <w:p>
            <w:pPr>
              <w:spacing w:line="360" w:lineRule="auto"/>
              <w:ind w:firstLine="480" w:firstLineChars="200"/>
              <w:jc w:val="center"/>
              <w:rPr>
                <w:color w:val="auto"/>
                <w:highlight w:val="none"/>
              </w:rPr>
            </w:pPr>
            <w:r>
              <w:rPr>
                <w:rFonts w:hint="eastAsia" w:cs="宋体" w:asciiTheme="minorEastAsia" w:hAnsiTheme="minorEastAsia" w:eastAsiaTheme="minorEastAsia"/>
                <w:color w:val="auto"/>
                <w:sz w:val="24"/>
                <w:szCs w:val="24"/>
                <w:highlight w:val="none"/>
              </w:rPr>
              <w:t>表2.4</w:t>
            </w:r>
            <w:r>
              <w:rPr>
                <w:rFonts w:asciiTheme="minorEastAsia" w:hAnsiTheme="minorEastAsia" w:eastAsiaTheme="minorEastAsia"/>
                <w:color w:val="auto"/>
                <w:sz w:val="24"/>
                <w:szCs w:val="24"/>
                <w:highlight w:val="none"/>
              </w:rPr>
              <w:t>-1</w:t>
            </w:r>
            <w:r>
              <w:rPr>
                <w:rFonts w:hint="eastAsia" w:cs="宋体" w:asciiTheme="minorEastAsia" w:hAnsiTheme="minorEastAsia" w:eastAsiaTheme="minorEastAsia"/>
                <w:color w:val="auto"/>
                <w:sz w:val="24"/>
                <w:szCs w:val="24"/>
                <w:highlight w:val="none"/>
              </w:rPr>
              <w:t>沉积物各监测</w:t>
            </w:r>
            <w:r>
              <w:rPr>
                <w:rFonts w:hint="eastAsia" w:cs="宋体" w:asciiTheme="minorEastAsia" w:hAnsiTheme="minorEastAsia" w:eastAsiaTheme="minorEastAsia"/>
                <w:color w:val="auto"/>
                <w:kern w:val="0"/>
                <w:sz w:val="24"/>
                <w:szCs w:val="24"/>
                <w:highlight w:val="none"/>
              </w:rPr>
              <w:t>项目分析</w:t>
            </w:r>
            <w:r>
              <w:rPr>
                <w:rFonts w:hint="eastAsia" w:cs="宋体" w:asciiTheme="minorEastAsia" w:hAnsiTheme="minorEastAsia" w:eastAsiaTheme="minorEastAsia"/>
                <w:color w:val="auto"/>
                <w:sz w:val="24"/>
                <w:szCs w:val="24"/>
                <w:highlight w:val="none"/>
              </w:rPr>
              <w:t>方法、仪器及检出限</w:t>
            </w:r>
          </w:p>
          <w:p>
            <w:pPr>
              <w:pStyle w:val="40"/>
              <w:snapToGrid w:val="0"/>
              <w:spacing w:beforeLines="50"/>
              <w:rPr>
                <w:color w:val="auto"/>
                <w:highlight w:val="none"/>
              </w:rPr>
            </w:pPr>
            <w:r>
              <w:rPr>
                <w:rFonts w:hint="eastAsia"/>
                <w:b w:val="0"/>
                <w:color w:val="auto"/>
                <w:highlight w:val="none"/>
              </w:rPr>
              <w:drawing>
                <wp:inline distT="0" distB="0" distL="0" distR="0">
                  <wp:extent cx="5753100" cy="4787900"/>
                  <wp:effectExtent l="1905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noChangeArrowheads="1"/>
                          </pic:cNvPicPr>
                        </pic:nvPicPr>
                        <pic:blipFill>
                          <a:blip r:embed="rId59"/>
                          <a:srcRect/>
                          <a:stretch>
                            <a:fillRect/>
                          </a:stretch>
                        </pic:blipFill>
                        <pic:spPr>
                          <a:xfrm>
                            <a:off x="0" y="0"/>
                            <a:ext cx="5753100" cy="4787900"/>
                          </a:xfrm>
                          <a:prstGeom prst="rect">
                            <a:avLst/>
                          </a:prstGeom>
                          <a:noFill/>
                          <a:ln w="9525">
                            <a:noFill/>
                            <a:miter lim="800000"/>
                            <a:headEnd/>
                            <a:tailEnd/>
                          </a:ln>
                        </pic:spPr>
                      </pic:pic>
                    </a:graphicData>
                  </a:graphic>
                </wp:inline>
              </w:drawing>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w:t>
            </w:r>
            <w:r>
              <w:rPr>
                <w:rFonts w:hint="eastAsia" w:asciiTheme="minorEastAsia" w:hAnsiTheme="minorEastAsia" w:eastAsiaTheme="minorEastAsia"/>
                <w:bCs/>
                <w:color w:val="auto"/>
                <w:sz w:val="24"/>
                <w:szCs w:val="24"/>
                <w:highlight w:val="none"/>
              </w:rPr>
              <w:t>评价</w:t>
            </w:r>
            <w:r>
              <w:rPr>
                <w:rFonts w:hint="eastAsia" w:cs="宋体" w:asciiTheme="minorEastAsia" w:hAnsiTheme="minorEastAsia" w:eastAsiaTheme="minorEastAsia"/>
                <w:color w:val="auto"/>
                <w:kern w:val="0"/>
                <w:sz w:val="24"/>
                <w:szCs w:val="24"/>
                <w:highlight w:val="none"/>
              </w:rPr>
              <w:t>方法</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监测海域沉积物</w:t>
            </w:r>
            <w:r>
              <w:rPr>
                <w:rFonts w:hint="eastAsia" w:asciiTheme="minorEastAsia" w:hAnsiTheme="minorEastAsia" w:eastAsiaTheme="minorEastAsia"/>
                <w:bCs/>
                <w:color w:val="auto"/>
                <w:sz w:val="24"/>
                <w:szCs w:val="24"/>
                <w:highlight w:val="none"/>
              </w:rPr>
              <w:t>评价</w:t>
            </w:r>
            <w:r>
              <w:rPr>
                <w:rFonts w:hint="eastAsia" w:cs="宋体" w:asciiTheme="minorEastAsia" w:hAnsiTheme="minorEastAsia" w:eastAsiaTheme="minorEastAsia"/>
                <w:color w:val="auto"/>
                <w:kern w:val="0"/>
                <w:sz w:val="24"/>
                <w:szCs w:val="24"/>
                <w:highlight w:val="none"/>
              </w:rPr>
              <w:t>采用《海洋沉积物质量》（</w:t>
            </w:r>
            <w:r>
              <w:rPr>
                <w:rFonts w:asciiTheme="minorEastAsia" w:hAnsiTheme="minorEastAsia" w:eastAsiaTheme="minorEastAsia"/>
                <w:color w:val="auto"/>
                <w:kern w:val="0"/>
                <w:sz w:val="24"/>
                <w:szCs w:val="24"/>
                <w:highlight w:val="none"/>
              </w:rPr>
              <w:t>GB18668-2002</w:t>
            </w:r>
            <w:r>
              <w:rPr>
                <w:rFonts w:hint="eastAsia" w:cs="宋体" w:asciiTheme="minorEastAsia" w:hAnsiTheme="minorEastAsia" w:eastAsiaTheme="minorEastAsia"/>
                <w:color w:val="auto"/>
                <w:kern w:val="0"/>
                <w:sz w:val="24"/>
                <w:szCs w:val="24"/>
                <w:highlight w:val="none"/>
              </w:rPr>
              <w:t>），沉积物各评价因子的评价标准值见表2.4</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。海洋沉积物质量采用单项标准指数法进行评价，其污染程度随实测浓度增加而增大，计算方法同海洋水质评价。</w:t>
            </w:r>
          </w:p>
          <w:p>
            <w:pPr>
              <w:spacing w:line="360" w:lineRule="auto"/>
              <w:ind w:firstLine="480" w:firstLineChars="200"/>
              <w:jc w:val="left"/>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依据</w:t>
            </w:r>
            <w:r>
              <w:rPr>
                <w:rFonts w:hint="eastAsia" w:asciiTheme="minorEastAsia" w:hAnsiTheme="minorEastAsia" w:eastAsiaTheme="minorEastAsia"/>
                <w:bCs/>
                <w:color w:val="auto"/>
                <w:sz w:val="24"/>
                <w:szCs w:val="24"/>
                <w:highlight w:val="none"/>
              </w:rPr>
              <w:t>《广西壮族自治区海洋功能区划（</w:t>
            </w:r>
            <w:r>
              <w:rPr>
                <w:rFonts w:asciiTheme="minorEastAsia" w:hAnsiTheme="minorEastAsia" w:eastAsiaTheme="minorEastAsia"/>
                <w:bCs/>
                <w:color w:val="auto"/>
                <w:sz w:val="24"/>
                <w:szCs w:val="24"/>
                <w:highlight w:val="none"/>
              </w:rPr>
              <w:t>2011-2020</w:t>
            </w:r>
            <w:r>
              <w:rPr>
                <w:rFonts w:hint="eastAsia" w:asciiTheme="minorEastAsia" w:hAnsiTheme="minorEastAsia" w:eastAsiaTheme="minorEastAsia"/>
                <w:bCs/>
                <w:color w:val="auto"/>
                <w:sz w:val="24"/>
                <w:szCs w:val="24"/>
                <w:highlight w:val="none"/>
              </w:rPr>
              <w:t>年）》</w:t>
            </w:r>
            <w:r>
              <w:rPr>
                <w:rFonts w:hint="eastAsia" w:cs="宋体" w:asciiTheme="minorEastAsia" w:hAnsiTheme="minorEastAsia" w:eastAsiaTheme="minorEastAsia"/>
                <w:color w:val="auto"/>
                <w:kern w:val="0"/>
                <w:sz w:val="24"/>
                <w:szCs w:val="24"/>
                <w:highlight w:val="none"/>
              </w:rPr>
              <w:t>的要求，本次监测海域海洋沉积物主要执行《海洋沉积物质量》（</w:t>
            </w:r>
            <w:r>
              <w:rPr>
                <w:rFonts w:asciiTheme="minorEastAsia" w:hAnsiTheme="minorEastAsia" w:eastAsiaTheme="minorEastAsia"/>
                <w:color w:val="auto"/>
                <w:kern w:val="0"/>
                <w:sz w:val="24"/>
                <w:szCs w:val="24"/>
                <w:highlight w:val="none"/>
              </w:rPr>
              <w:t>GB18668-2002</w:t>
            </w:r>
            <w:r>
              <w:rPr>
                <w:rFonts w:hint="eastAsia" w:cs="宋体" w:asciiTheme="minorEastAsia" w:hAnsiTheme="minorEastAsia" w:eastAsiaTheme="minorEastAsia"/>
                <w:color w:val="auto"/>
                <w:kern w:val="0"/>
                <w:sz w:val="24"/>
                <w:szCs w:val="24"/>
                <w:highlight w:val="none"/>
              </w:rPr>
              <w:t>）中的第一、三类海洋沉积物标准进行现状评价，各站位执行水质标准见表2.4</w:t>
            </w:r>
            <w:r>
              <w:rPr>
                <w:rFonts w:asciiTheme="minorEastAsia" w:hAnsiTheme="minorEastAsia" w:eastAsiaTheme="minorEastAsia"/>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w:t>
            </w:r>
          </w:p>
          <w:p>
            <w:pPr>
              <w:pStyle w:val="40"/>
              <w:snapToGrid w:val="0"/>
              <w:spacing w:beforeLines="50"/>
              <w:jc w:val="center"/>
              <w:rPr>
                <w:rFonts w:hint="eastAsia" w:cs="宋体" w:asciiTheme="minorEastAsia" w:hAnsiTheme="minorEastAsia" w:eastAsiaTheme="minorEastAsia"/>
                <w:b w:val="0"/>
                <w:color w:val="auto"/>
                <w:szCs w:val="24"/>
                <w:highlight w:val="none"/>
              </w:rPr>
            </w:pPr>
          </w:p>
          <w:p>
            <w:pPr>
              <w:pStyle w:val="40"/>
              <w:snapToGrid w:val="0"/>
              <w:spacing w:beforeLines="50"/>
              <w:jc w:val="center"/>
              <w:rPr>
                <w:rFonts w:hint="eastAsia" w:cs="宋体" w:asciiTheme="minorEastAsia" w:hAnsiTheme="minorEastAsia" w:eastAsiaTheme="minorEastAsia"/>
                <w:b w:val="0"/>
                <w:color w:val="auto"/>
                <w:szCs w:val="24"/>
                <w:highlight w:val="none"/>
              </w:rPr>
            </w:pPr>
          </w:p>
          <w:p>
            <w:pPr>
              <w:pStyle w:val="40"/>
              <w:snapToGrid w:val="0"/>
              <w:spacing w:beforeLines="50"/>
              <w:jc w:val="center"/>
              <w:rPr>
                <w:rFonts w:hint="eastAsia" w:cs="宋体" w:asciiTheme="minorEastAsia" w:hAnsiTheme="minorEastAsia" w:eastAsiaTheme="minorEastAsia"/>
                <w:b w:val="0"/>
                <w:color w:val="auto"/>
                <w:szCs w:val="24"/>
                <w:highlight w:val="none"/>
              </w:rPr>
            </w:pPr>
          </w:p>
          <w:p>
            <w:pPr>
              <w:pStyle w:val="40"/>
              <w:snapToGrid w:val="0"/>
              <w:spacing w:beforeLines="50"/>
              <w:jc w:val="center"/>
              <w:rPr>
                <w:rFonts w:cs="宋体" w:asciiTheme="minorEastAsia" w:hAnsiTheme="minorEastAsia" w:eastAsiaTheme="minorEastAsia"/>
                <w:b w:val="0"/>
                <w:color w:val="auto"/>
                <w:szCs w:val="24"/>
                <w:highlight w:val="none"/>
              </w:rPr>
            </w:pPr>
            <w:r>
              <w:rPr>
                <w:rFonts w:hint="eastAsia" w:cs="宋体"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-2</w:t>
            </w:r>
            <w:r>
              <w:rPr>
                <w:rFonts w:hint="eastAsia" w:cs="宋体" w:asciiTheme="minorEastAsia" w:hAnsiTheme="minorEastAsia" w:eastAsiaTheme="minorEastAsia"/>
                <w:b w:val="0"/>
                <w:color w:val="auto"/>
                <w:szCs w:val="24"/>
                <w:highlight w:val="none"/>
              </w:rPr>
              <w:t>海洋沉积物质量标准（×</w:t>
            </w:r>
            <w:r>
              <w:rPr>
                <w:rFonts w:asciiTheme="minorEastAsia" w:hAnsiTheme="minorEastAsia" w:eastAsiaTheme="minorEastAsia"/>
                <w:b w:val="0"/>
                <w:bCs/>
                <w:color w:val="auto"/>
                <w:szCs w:val="24"/>
                <w:highlight w:val="none"/>
              </w:rPr>
              <w:t>10</w:t>
            </w:r>
            <w:r>
              <w:rPr>
                <w:rFonts w:asciiTheme="minorEastAsia" w:hAnsiTheme="minorEastAsia" w:eastAsiaTheme="minorEastAsia"/>
                <w:b w:val="0"/>
                <w:bCs/>
                <w:color w:val="auto"/>
                <w:szCs w:val="24"/>
                <w:highlight w:val="none"/>
                <w:vertAlign w:val="superscript"/>
              </w:rPr>
              <w:t>-6</w:t>
            </w:r>
            <w:r>
              <w:rPr>
                <w:rFonts w:hint="eastAsia" w:cs="宋体" w:asciiTheme="minorEastAsia" w:hAnsiTheme="minorEastAsia" w:eastAsiaTheme="minorEastAsia"/>
                <w:b w:val="0"/>
                <w:color w:val="auto"/>
                <w:szCs w:val="24"/>
                <w:highlight w:val="none"/>
              </w:rPr>
              <w:t>）</w:t>
            </w:r>
          </w:p>
          <w:p>
            <w:pPr>
              <w:pStyle w:val="40"/>
              <w:snapToGrid w:val="0"/>
              <w:spacing w:beforeLines="50"/>
              <w:rPr>
                <w:rFonts w:ascii="宋体" w:cs="宋体"/>
                <w:b w:val="0"/>
                <w:color w:val="auto"/>
                <w:sz w:val="21"/>
                <w:szCs w:val="21"/>
                <w:highlight w:val="none"/>
              </w:rPr>
            </w:pPr>
            <w:r>
              <w:rPr>
                <w:rFonts w:ascii="宋体" w:cs="宋体"/>
                <w:b w:val="0"/>
                <w:color w:val="auto"/>
                <w:sz w:val="21"/>
                <w:szCs w:val="21"/>
                <w:highlight w:val="none"/>
              </w:rPr>
              <w:drawing>
                <wp:inline distT="0" distB="0" distL="0" distR="0">
                  <wp:extent cx="5594350" cy="2707005"/>
                  <wp:effectExtent l="19050" t="0" r="6350" b="0"/>
                  <wp:docPr id="40" name="图片 14" descr="F:\微信文件File\WeChat Files\wxid_kgkf81ca4cje21\FileStorage\Temp\1701304251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F:\微信文件File\WeChat Files\wxid_kgkf81ca4cje21\FileStorage\Temp\1701304251778.png"/>
                          <pic:cNvPicPr>
                            <a:picLocks noChangeAspect="1" noChangeArrowheads="1"/>
                          </pic:cNvPicPr>
                        </pic:nvPicPr>
                        <pic:blipFill>
                          <a:blip r:embed="rId60"/>
                          <a:srcRect/>
                          <a:stretch>
                            <a:fillRect/>
                          </a:stretch>
                        </pic:blipFill>
                        <pic:spPr>
                          <a:xfrm>
                            <a:off x="0" y="0"/>
                            <a:ext cx="5594350" cy="2707295"/>
                          </a:xfrm>
                          <a:prstGeom prst="rect">
                            <a:avLst/>
                          </a:prstGeom>
                          <a:noFill/>
                          <a:ln w="9525">
                            <a:noFill/>
                            <a:miter lim="800000"/>
                            <a:headEnd/>
                            <a:tailEnd/>
                          </a:ln>
                        </pic:spPr>
                      </pic:pic>
                    </a:graphicData>
                  </a:graphic>
                </wp:inline>
              </w:drawing>
            </w:r>
          </w:p>
          <w:p>
            <w:pPr>
              <w:pStyle w:val="40"/>
              <w:snapToGrid w:val="0"/>
              <w:spacing w:beforeLines="50"/>
              <w:jc w:val="center"/>
              <w:rPr>
                <w:rFonts w:cs="宋体" w:asciiTheme="minorEastAsia" w:hAnsiTheme="minorEastAsia" w:eastAsiaTheme="minorEastAsia"/>
                <w:b w:val="0"/>
                <w:color w:val="auto"/>
                <w:szCs w:val="24"/>
                <w:highlight w:val="none"/>
              </w:rPr>
            </w:pPr>
            <w:r>
              <w:rPr>
                <w:rFonts w:hint="eastAsia"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-3</w:t>
            </w:r>
            <w:r>
              <w:rPr>
                <w:rFonts w:hint="eastAsia" w:asciiTheme="minorEastAsia" w:hAnsiTheme="minorEastAsia" w:eastAsiaTheme="minorEastAsia"/>
                <w:b w:val="0"/>
                <w:color w:val="auto"/>
                <w:szCs w:val="24"/>
                <w:highlight w:val="none"/>
              </w:rPr>
              <w:t>各调查站位海洋沉积物执行标准</w:t>
            </w:r>
          </w:p>
          <w:p>
            <w:pPr>
              <w:pStyle w:val="40"/>
              <w:snapToGrid w:val="0"/>
              <w:spacing w:beforeLines="50"/>
              <w:rPr>
                <w:rFonts w:ascii="宋体" w:cs="宋体"/>
                <w:b w:val="0"/>
                <w:color w:val="auto"/>
                <w:sz w:val="21"/>
                <w:szCs w:val="21"/>
                <w:highlight w:val="none"/>
              </w:rPr>
            </w:pPr>
            <w:r>
              <w:rPr>
                <w:rFonts w:hint="eastAsia" w:ascii="宋体" w:cs="宋体"/>
                <w:color w:val="auto"/>
                <w:szCs w:val="21"/>
                <w:highlight w:val="none"/>
              </w:rPr>
              <w:drawing>
                <wp:inline distT="0" distB="0" distL="0" distR="0">
                  <wp:extent cx="5759450" cy="2641600"/>
                  <wp:effectExtent l="19050" t="0" r="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noChangeArrowheads="1"/>
                          </pic:cNvPicPr>
                        </pic:nvPicPr>
                        <pic:blipFill>
                          <a:blip r:embed="rId61"/>
                          <a:srcRect/>
                          <a:stretch>
                            <a:fillRect/>
                          </a:stretch>
                        </pic:blipFill>
                        <pic:spPr>
                          <a:xfrm>
                            <a:off x="0" y="0"/>
                            <a:ext cx="5759450" cy="2641600"/>
                          </a:xfrm>
                          <a:prstGeom prst="rect">
                            <a:avLst/>
                          </a:prstGeom>
                          <a:noFill/>
                          <a:ln w="9525">
                            <a:noFill/>
                            <a:miter lim="800000"/>
                            <a:headEnd/>
                            <a:tailEnd/>
                          </a:ln>
                        </pic:spPr>
                      </pic:pic>
                    </a:graphicData>
                  </a:graphic>
                </wp:inline>
              </w:drawing>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asciiTheme="minorEastAsia" w:hAnsiTheme="minorEastAsia" w:eastAsiaTheme="minorEastAsia"/>
                <w:bCs/>
                <w:color w:val="auto"/>
                <w:kern w:val="0"/>
                <w:sz w:val="24"/>
                <w:szCs w:val="24"/>
                <w:highlight w:val="none"/>
              </w:rPr>
              <w:t>2.4</w:t>
            </w:r>
            <w:r>
              <w:rPr>
                <w:rFonts w:asciiTheme="minorEastAsia" w:hAnsiTheme="minorEastAsia" w:eastAsiaTheme="minorEastAsia"/>
                <w:bCs/>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调查</w:t>
            </w:r>
            <w:r>
              <w:rPr>
                <w:rFonts w:hint="eastAsia" w:asciiTheme="minorEastAsia" w:hAnsiTheme="minorEastAsia" w:eastAsiaTheme="minorEastAsia"/>
                <w:bCs/>
                <w:color w:val="auto"/>
                <w:sz w:val="24"/>
                <w:szCs w:val="24"/>
                <w:highlight w:val="none"/>
              </w:rPr>
              <w:t>结果</w:t>
            </w:r>
            <w:r>
              <w:rPr>
                <w:rFonts w:hint="eastAsia" w:cs="宋体" w:asciiTheme="minorEastAsia" w:hAnsiTheme="minorEastAsia" w:eastAsiaTheme="minorEastAsia"/>
                <w:color w:val="auto"/>
                <w:kern w:val="0"/>
                <w:sz w:val="24"/>
                <w:szCs w:val="24"/>
                <w:highlight w:val="none"/>
              </w:rPr>
              <w:t>及评价</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本次监测海域</w:t>
            </w:r>
            <w:r>
              <w:rPr>
                <w:rFonts w:hint="eastAsia" w:asciiTheme="minorEastAsia" w:hAnsiTheme="minorEastAsia" w:eastAsiaTheme="minorEastAsia"/>
                <w:bCs/>
                <w:color w:val="auto"/>
                <w:sz w:val="24"/>
                <w:szCs w:val="24"/>
                <w:highlight w:val="none"/>
              </w:rPr>
              <w:t>沉积物</w:t>
            </w:r>
            <w:r>
              <w:rPr>
                <w:rFonts w:hint="eastAsia" w:cs="宋体" w:asciiTheme="minorEastAsia" w:hAnsiTheme="minorEastAsia" w:eastAsiaTheme="minorEastAsia"/>
                <w:color w:val="auto"/>
                <w:kern w:val="0"/>
                <w:sz w:val="24"/>
                <w:szCs w:val="24"/>
                <w:highlight w:val="none"/>
              </w:rPr>
              <w:t>环境质量现状调查于</w:t>
            </w:r>
            <w:r>
              <w:rPr>
                <w:rFonts w:asciiTheme="minorEastAsia" w:hAnsiTheme="minorEastAsia" w:eastAsiaTheme="minorEastAsia"/>
                <w:color w:val="auto"/>
                <w:kern w:val="0"/>
                <w:sz w:val="24"/>
                <w:szCs w:val="24"/>
                <w:highlight w:val="none"/>
              </w:rPr>
              <w:t>2022</w:t>
            </w:r>
            <w:r>
              <w:rPr>
                <w:rFonts w:hint="eastAsia" w:cs="宋体" w:asciiTheme="minorEastAsia" w:hAnsiTheme="minorEastAsia" w:eastAsiaTheme="minorEastAsia"/>
                <w:color w:val="auto"/>
                <w:kern w:val="0"/>
                <w:sz w:val="24"/>
                <w:szCs w:val="24"/>
                <w:highlight w:val="none"/>
              </w:rPr>
              <w:t>年</w:t>
            </w:r>
            <w:r>
              <w:rPr>
                <w:rFonts w:asciiTheme="minorEastAsia" w:hAnsiTheme="minorEastAsia" w:eastAsiaTheme="minorEastAsia"/>
                <w:color w:val="auto"/>
                <w:kern w:val="0"/>
                <w:sz w:val="24"/>
                <w:szCs w:val="24"/>
                <w:highlight w:val="none"/>
              </w:rPr>
              <w:t>9</w:t>
            </w:r>
            <w:r>
              <w:rPr>
                <w:rFonts w:hint="eastAsia" w:cs="宋体" w:asciiTheme="minorEastAsia" w:hAnsiTheme="minorEastAsia" w:eastAsiaTheme="minorEastAsia"/>
                <w:color w:val="auto"/>
                <w:kern w:val="0"/>
                <w:sz w:val="24"/>
                <w:szCs w:val="24"/>
                <w:highlight w:val="none"/>
              </w:rPr>
              <w:t>月</w:t>
            </w:r>
            <w:r>
              <w:rPr>
                <w:rFonts w:asciiTheme="minorEastAsia" w:hAnsiTheme="minorEastAsia" w:eastAsiaTheme="minorEastAsia"/>
                <w:color w:val="auto"/>
                <w:kern w:val="0"/>
                <w:sz w:val="24"/>
                <w:szCs w:val="24"/>
                <w:highlight w:val="none"/>
              </w:rPr>
              <w:t>19</w:t>
            </w:r>
            <w:r>
              <w:rPr>
                <w:rFonts w:hint="eastAsia" w:cs="宋体" w:asciiTheme="minorEastAsia" w:hAnsiTheme="minorEastAsia" w:eastAsiaTheme="minorEastAsia"/>
                <w:color w:val="auto"/>
                <w:kern w:val="0"/>
                <w:sz w:val="24"/>
                <w:szCs w:val="24"/>
                <w:highlight w:val="none"/>
              </w:rPr>
              <w:t>日至</w:t>
            </w:r>
            <w:r>
              <w:rPr>
                <w:rFonts w:asciiTheme="minorEastAsia" w:hAnsiTheme="minorEastAsia" w:eastAsiaTheme="minorEastAsia"/>
                <w:color w:val="auto"/>
                <w:kern w:val="0"/>
                <w:sz w:val="24"/>
                <w:szCs w:val="24"/>
                <w:highlight w:val="none"/>
              </w:rPr>
              <w:t>23</w:t>
            </w:r>
            <w:r>
              <w:rPr>
                <w:rFonts w:hint="eastAsia" w:cs="宋体" w:asciiTheme="minorEastAsia" w:hAnsiTheme="minorEastAsia" w:eastAsiaTheme="minorEastAsia"/>
                <w:color w:val="auto"/>
                <w:kern w:val="0"/>
                <w:sz w:val="24"/>
                <w:szCs w:val="24"/>
                <w:highlight w:val="none"/>
              </w:rPr>
              <w:t>日与水质监测同步实施，共布设</w:t>
            </w:r>
            <w:r>
              <w:rPr>
                <w:rFonts w:asciiTheme="minorEastAsia" w:hAnsiTheme="minorEastAsia" w:eastAsiaTheme="minorEastAsia"/>
                <w:color w:val="auto"/>
                <w:kern w:val="0"/>
                <w:sz w:val="24"/>
                <w:szCs w:val="24"/>
                <w:highlight w:val="none"/>
              </w:rPr>
              <w:t>17</w:t>
            </w:r>
            <w:r>
              <w:rPr>
                <w:rFonts w:hint="eastAsia" w:cs="宋体" w:asciiTheme="minorEastAsia" w:hAnsiTheme="minorEastAsia" w:eastAsiaTheme="minorEastAsia"/>
                <w:color w:val="auto"/>
                <w:kern w:val="0"/>
                <w:sz w:val="24"/>
                <w:szCs w:val="24"/>
                <w:highlight w:val="none"/>
              </w:rPr>
              <w:t>个调查站位（参见图</w:t>
            </w:r>
            <w:r>
              <w:rPr>
                <w:rFonts w:asciiTheme="minorEastAsia" w:hAnsiTheme="minorEastAsia" w:eastAsiaTheme="minorEastAsia"/>
                <w:color w:val="auto"/>
                <w:kern w:val="0"/>
                <w:sz w:val="24"/>
                <w:szCs w:val="24"/>
                <w:highlight w:val="none"/>
              </w:rPr>
              <w:t>2.1-1</w:t>
            </w:r>
            <w:r>
              <w:rPr>
                <w:rFonts w:hint="eastAsia" w:cs="宋体" w:asciiTheme="minorEastAsia" w:hAnsiTheme="minorEastAsia" w:eastAsiaTheme="minorEastAsia"/>
                <w:color w:val="auto"/>
                <w:kern w:val="0"/>
                <w:sz w:val="24"/>
                <w:szCs w:val="24"/>
                <w:highlight w:val="none"/>
              </w:rPr>
              <w:t>），所有沉积物样品均采集表层样（</w:t>
            </w:r>
            <w:r>
              <w:rPr>
                <w:rFonts w:asciiTheme="minorEastAsia" w:hAnsiTheme="minorEastAsia" w:eastAsiaTheme="minorEastAsia"/>
                <w:color w:val="auto"/>
                <w:kern w:val="0"/>
                <w:sz w:val="24"/>
                <w:szCs w:val="24"/>
                <w:highlight w:val="none"/>
              </w:rPr>
              <w:t>0~5cm</w:t>
            </w:r>
            <w:r>
              <w:rPr>
                <w:rFonts w:hint="eastAsia" w:cs="宋体" w:asciiTheme="minorEastAsia" w:hAnsiTheme="minorEastAsia" w:eastAsiaTheme="minorEastAsia"/>
                <w:color w:val="auto"/>
                <w:kern w:val="0"/>
                <w:sz w:val="24"/>
                <w:szCs w:val="24"/>
                <w:highlight w:val="none"/>
              </w:rPr>
              <w:t>）。监测内容包括有机碳、硫化物、石油类、铜、铅、锌、镉、铬、总汞和砷，共</w:t>
            </w:r>
            <w:r>
              <w:rPr>
                <w:rFonts w:asciiTheme="minorEastAsia" w:hAnsiTheme="minorEastAsia" w:eastAsiaTheme="minorEastAsia"/>
                <w:color w:val="auto"/>
                <w:kern w:val="0"/>
                <w:sz w:val="24"/>
                <w:szCs w:val="24"/>
                <w:highlight w:val="none"/>
              </w:rPr>
              <w:t>10</w:t>
            </w:r>
            <w:r>
              <w:rPr>
                <w:rFonts w:hint="eastAsia" w:cs="宋体" w:asciiTheme="minorEastAsia" w:hAnsiTheme="minorEastAsia" w:eastAsiaTheme="minorEastAsia"/>
                <w:color w:val="auto"/>
                <w:kern w:val="0"/>
                <w:sz w:val="24"/>
                <w:szCs w:val="24"/>
                <w:highlight w:val="none"/>
              </w:rPr>
              <w:t>项。</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）调查结果</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本次监测海域沉积物各调查站位的含量分析结果列于表2.4</w:t>
            </w:r>
            <w:r>
              <w:rPr>
                <w:rFonts w:asciiTheme="minorEastAsia" w:hAnsiTheme="minorEastAsia" w:eastAsiaTheme="minorEastAsia"/>
                <w:color w:val="auto"/>
                <w:kern w:val="0"/>
                <w:sz w:val="24"/>
                <w:szCs w:val="24"/>
                <w:highlight w:val="none"/>
              </w:rPr>
              <w:t>-4</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）评价</w:t>
            </w:r>
            <w:r>
              <w:rPr>
                <w:rFonts w:hint="eastAsia" w:asciiTheme="minorEastAsia" w:hAnsiTheme="minorEastAsia" w:eastAsiaTheme="minorEastAsia"/>
                <w:bCs/>
                <w:color w:val="auto"/>
                <w:sz w:val="24"/>
                <w:szCs w:val="24"/>
                <w:highlight w:val="none"/>
              </w:rPr>
              <w:t>结果</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共采集</w:t>
            </w:r>
            <w:r>
              <w:rPr>
                <w:rFonts w:asciiTheme="minorEastAsia" w:hAnsiTheme="minorEastAsia" w:eastAsiaTheme="minorEastAsia"/>
                <w:color w:val="auto"/>
                <w:kern w:val="0"/>
                <w:sz w:val="24"/>
                <w:szCs w:val="24"/>
                <w:highlight w:val="none"/>
              </w:rPr>
              <w:t>17</w:t>
            </w:r>
            <w:r>
              <w:rPr>
                <w:rFonts w:hint="eastAsia" w:cs="宋体" w:asciiTheme="minorEastAsia" w:hAnsiTheme="minorEastAsia" w:eastAsiaTheme="minorEastAsia"/>
                <w:color w:val="auto"/>
                <w:kern w:val="0"/>
                <w:sz w:val="24"/>
                <w:szCs w:val="24"/>
                <w:highlight w:val="none"/>
              </w:rPr>
              <w:t>个站位</w:t>
            </w:r>
            <w:r>
              <w:rPr>
                <w:rFonts w:hint="eastAsia" w:asciiTheme="minorEastAsia" w:hAnsiTheme="minorEastAsia" w:eastAsiaTheme="minorEastAsia"/>
                <w:bCs/>
                <w:color w:val="auto"/>
                <w:sz w:val="24"/>
                <w:szCs w:val="24"/>
                <w:highlight w:val="none"/>
              </w:rPr>
              <w:t>沉积物</w:t>
            </w:r>
            <w:r>
              <w:rPr>
                <w:rFonts w:hint="eastAsia" w:cs="宋体" w:asciiTheme="minorEastAsia" w:hAnsiTheme="minorEastAsia" w:eastAsiaTheme="minorEastAsia"/>
                <w:color w:val="auto"/>
                <w:kern w:val="0"/>
                <w:sz w:val="24"/>
                <w:szCs w:val="24"/>
                <w:highlight w:val="none"/>
              </w:rPr>
              <w:t>样品，其中</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号站位进行逐级评价，其他站位进行分类评价，沉积物质量评价与海水环境质量评价方法相同，评价因子主要包括有机碳、硫化物、石油类、铜、铅、锌、镉、铬、总汞、砷，共</w:t>
            </w:r>
            <w:r>
              <w:rPr>
                <w:rFonts w:asciiTheme="minorEastAsia" w:hAnsiTheme="minorEastAsia" w:eastAsiaTheme="minorEastAsia"/>
                <w:color w:val="auto"/>
                <w:kern w:val="0"/>
                <w:sz w:val="24"/>
                <w:szCs w:val="24"/>
                <w:highlight w:val="none"/>
              </w:rPr>
              <w:t>10</w:t>
            </w:r>
            <w:r>
              <w:rPr>
                <w:rFonts w:hint="eastAsia" w:cs="宋体" w:asciiTheme="minorEastAsia" w:hAnsiTheme="minorEastAsia" w:eastAsiaTheme="minorEastAsia"/>
                <w:color w:val="auto"/>
                <w:kern w:val="0"/>
                <w:sz w:val="24"/>
                <w:szCs w:val="24"/>
                <w:highlight w:val="none"/>
              </w:rPr>
              <w:t>项。分类评价结果列于表2.4</w:t>
            </w:r>
            <w:r>
              <w:rPr>
                <w:rFonts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，逐级评价结果列于表2.4</w:t>
            </w:r>
            <w:r>
              <w:rPr>
                <w:rFonts w:asciiTheme="minorEastAsia" w:hAnsiTheme="minorEastAsia" w:eastAsiaTheme="minorEastAsia"/>
                <w:color w:val="auto"/>
                <w:kern w:val="0"/>
                <w:sz w:val="24"/>
                <w:szCs w:val="24"/>
                <w:highlight w:val="none"/>
              </w:rPr>
              <w:t>-6</w:t>
            </w:r>
            <w:r>
              <w:rPr>
                <w:rFonts w:hint="eastAsia" w:cs="宋体" w:asciiTheme="minorEastAsia" w:hAnsiTheme="minorEastAsia" w:eastAsiaTheme="minorEastAsia"/>
                <w:color w:val="auto"/>
                <w:kern w:val="0"/>
                <w:sz w:val="24"/>
                <w:szCs w:val="24"/>
                <w:highlight w:val="none"/>
              </w:rPr>
              <w:t>、表2.4</w:t>
            </w:r>
            <w:r>
              <w:rPr>
                <w:rFonts w:asciiTheme="minorEastAsia" w:hAnsiTheme="minorEastAsia" w:eastAsiaTheme="minorEastAsia"/>
                <w:color w:val="auto"/>
                <w:kern w:val="0"/>
                <w:sz w:val="24"/>
                <w:szCs w:val="24"/>
                <w:highlight w:val="none"/>
              </w:rPr>
              <w:t>-7</w:t>
            </w:r>
            <w:r>
              <w:rPr>
                <w:rFonts w:hint="eastAsia" w:cs="宋体" w:asciiTheme="minorEastAsia" w:hAnsiTheme="minorEastAsia" w:eastAsiaTheme="minorEastAsia"/>
                <w:color w:val="auto"/>
                <w:kern w:val="0"/>
                <w:sz w:val="24"/>
                <w:szCs w:val="24"/>
                <w:highlight w:val="none"/>
              </w:rPr>
              <w:t>、表2.4</w:t>
            </w:r>
            <w:r>
              <w:rPr>
                <w:rFonts w:asciiTheme="minorEastAsia" w:hAnsiTheme="minorEastAsia" w:eastAsiaTheme="minorEastAsia"/>
                <w:color w:val="auto"/>
                <w:kern w:val="0"/>
                <w:sz w:val="24"/>
                <w:szCs w:val="24"/>
                <w:highlight w:val="none"/>
              </w:rPr>
              <w:t>-8</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分类评价结果表明：监测海域沉积物中有机碳、硫化物、石油类、铜、铅、锌、镉、铬、总汞、砷，共</w:t>
            </w:r>
            <w:r>
              <w:rPr>
                <w:rFonts w:asciiTheme="minorEastAsia" w:hAnsiTheme="minorEastAsia" w:eastAsiaTheme="minorEastAsia"/>
                <w:color w:val="auto"/>
                <w:kern w:val="0"/>
                <w:sz w:val="24"/>
                <w:szCs w:val="24"/>
                <w:highlight w:val="none"/>
              </w:rPr>
              <w:t>10</w:t>
            </w:r>
            <w:r>
              <w:rPr>
                <w:rFonts w:hint="eastAsia" w:cs="宋体" w:asciiTheme="minorEastAsia" w:hAnsiTheme="minorEastAsia" w:eastAsiaTheme="minorEastAsia"/>
                <w:color w:val="auto"/>
                <w:kern w:val="0"/>
                <w:sz w:val="24"/>
                <w:szCs w:val="24"/>
                <w:highlight w:val="none"/>
              </w:rPr>
              <w:t>项评价指标的单项标准指数均小于</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，满足所属海洋功能区划中沉积物质量的管控要求。</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逐级评价的</w:t>
            </w:r>
            <w:r>
              <w:rPr>
                <w:rFonts w:asciiTheme="minorEastAsia" w:hAnsiTheme="minorEastAsia" w:eastAsiaTheme="minorEastAsia"/>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color w:val="auto"/>
                <w:kern w:val="0"/>
                <w:sz w:val="24"/>
                <w:szCs w:val="24"/>
                <w:highlight w:val="none"/>
              </w:rPr>
              <w:t>5</w:t>
            </w:r>
            <w:r>
              <w:rPr>
                <w:rFonts w:hint="eastAsia" w:cs="宋体" w:asciiTheme="minorEastAsia" w:hAnsiTheme="minorEastAsia" w:eastAsiaTheme="minorEastAsia"/>
                <w:color w:val="auto"/>
                <w:kern w:val="0"/>
                <w:sz w:val="24"/>
                <w:szCs w:val="24"/>
                <w:highlight w:val="none"/>
              </w:rPr>
              <w:t>号站位均达到一类标准。</w:t>
            </w:r>
          </w:p>
          <w:p>
            <w:pPr>
              <w:pStyle w:val="40"/>
              <w:snapToGrid w:val="0"/>
              <w:spacing w:beforeLines="50"/>
              <w:jc w:val="center"/>
              <w:rPr>
                <w:rFonts w:cs="宋体" w:asciiTheme="minorEastAsia" w:hAnsiTheme="minorEastAsia" w:eastAsiaTheme="minorEastAsia"/>
                <w:b w:val="0"/>
                <w:color w:val="auto"/>
                <w:szCs w:val="24"/>
                <w:highlight w:val="none"/>
              </w:rPr>
            </w:pPr>
            <w:r>
              <w:rPr>
                <w:rFonts w:hint="eastAsia" w:cs="宋体"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-42022</w:t>
            </w:r>
            <w:r>
              <w:rPr>
                <w:rFonts w:hint="eastAsia" w:cs="宋体" w:asciiTheme="minorEastAsia" w:hAnsiTheme="minorEastAsia" w:eastAsiaTheme="minorEastAsia"/>
                <w:b w:val="0"/>
                <w:color w:val="auto"/>
                <w:szCs w:val="24"/>
                <w:highlight w:val="none"/>
              </w:rPr>
              <w:t>年</w:t>
            </w:r>
            <w:r>
              <w:rPr>
                <w:rFonts w:asciiTheme="minorEastAsia" w:hAnsiTheme="minorEastAsia" w:eastAsiaTheme="minorEastAsia"/>
                <w:b w:val="0"/>
                <w:bCs/>
                <w:color w:val="auto"/>
                <w:szCs w:val="24"/>
                <w:highlight w:val="none"/>
              </w:rPr>
              <w:t>9</w:t>
            </w:r>
            <w:r>
              <w:rPr>
                <w:rFonts w:hint="eastAsia" w:cs="宋体" w:asciiTheme="minorEastAsia" w:hAnsiTheme="minorEastAsia" w:eastAsiaTheme="minorEastAsia"/>
                <w:b w:val="0"/>
                <w:color w:val="auto"/>
                <w:szCs w:val="24"/>
                <w:highlight w:val="none"/>
              </w:rPr>
              <w:t>月</w:t>
            </w:r>
            <w:r>
              <w:rPr>
                <w:rFonts w:asciiTheme="minorEastAsia" w:hAnsiTheme="minorEastAsia" w:eastAsiaTheme="minorEastAsia"/>
                <w:b w:val="0"/>
                <w:bCs/>
                <w:color w:val="auto"/>
                <w:szCs w:val="24"/>
                <w:highlight w:val="none"/>
              </w:rPr>
              <w:t>19</w:t>
            </w:r>
            <w:r>
              <w:rPr>
                <w:rFonts w:hint="eastAsia" w:cs="宋体" w:asciiTheme="minorEastAsia" w:hAnsiTheme="minorEastAsia" w:eastAsiaTheme="minorEastAsia"/>
                <w:b w:val="0"/>
                <w:color w:val="auto"/>
                <w:szCs w:val="24"/>
                <w:highlight w:val="none"/>
              </w:rPr>
              <w:t>日至</w:t>
            </w:r>
            <w:r>
              <w:rPr>
                <w:rFonts w:asciiTheme="minorEastAsia" w:hAnsiTheme="minorEastAsia" w:eastAsiaTheme="minorEastAsia"/>
                <w:b w:val="0"/>
                <w:bCs/>
                <w:color w:val="auto"/>
                <w:szCs w:val="24"/>
                <w:highlight w:val="none"/>
              </w:rPr>
              <w:t>23</w:t>
            </w:r>
            <w:r>
              <w:rPr>
                <w:rFonts w:hint="eastAsia" w:cs="宋体" w:asciiTheme="minorEastAsia" w:hAnsiTheme="minorEastAsia" w:eastAsiaTheme="minorEastAsia"/>
                <w:b w:val="0"/>
                <w:color w:val="auto"/>
                <w:szCs w:val="24"/>
                <w:highlight w:val="none"/>
              </w:rPr>
              <w:t>日监测海域沉积物质量监测结果</w:t>
            </w:r>
          </w:p>
          <w:p>
            <w:pPr>
              <w:pStyle w:val="40"/>
              <w:snapToGrid w:val="0"/>
              <w:spacing w:beforeLines="50"/>
              <w:rPr>
                <w:color w:val="auto"/>
                <w:highlight w:val="none"/>
              </w:rPr>
            </w:pPr>
            <w:r>
              <w:rPr>
                <w:rFonts w:hint="eastAsia"/>
                <w:b w:val="0"/>
                <w:color w:val="auto"/>
                <w:highlight w:val="none"/>
              </w:rPr>
              <w:drawing>
                <wp:inline distT="0" distB="0" distL="0" distR="0">
                  <wp:extent cx="5753100" cy="4679950"/>
                  <wp:effectExtent l="19050" t="0" r="0" b="0"/>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noChangeArrowheads="1"/>
                          </pic:cNvPicPr>
                        </pic:nvPicPr>
                        <pic:blipFill>
                          <a:blip r:embed="rId62"/>
                          <a:srcRect/>
                          <a:stretch>
                            <a:fillRect/>
                          </a:stretch>
                        </pic:blipFill>
                        <pic:spPr>
                          <a:xfrm>
                            <a:off x="0" y="0"/>
                            <a:ext cx="5753100" cy="4679950"/>
                          </a:xfrm>
                          <a:prstGeom prst="rect">
                            <a:avLst/>
                          </a:prstGeom>
                          <a:noFill/>
                          <a:ln w="9525">
                            <a:noFill/>
                            <a:miter lim="800000"/>
                            <a:headEnd/>
                            <a:tailEnd/>
                          </a:ln>
                        </pic:spPr>
                      </pic:pic>
                    </a:graphicData>
                  </a:graphic>
                </wp:inline>
              </w:drawing>
            </w:r>
          </w:p>
          <w:p>
            <w:pPr>
              <w:pStyle w:val="40"/>
              <w:snapToGrid w:val="0"/>
              <w:spacing w:beforeLines="50"/>
              <w:jc w:val="center"/>
              <w:rPr>
                <w:rFonts w:hint="eastAsia" w:asciiTheme="minorEastAsia" w:hAnsiTheme="minorEastAsia" w:eastAsiaTheme="minorEastAsia"/>
                <w:b w:val="0"/>
                <w:color w:val="auto"/>
                <w:szCs w:val="24"/>
                <w:highlight w:val="none"/>
              </w:rPr>
            </w:pPr>
          </w:p>
          <w:p>
            <w:pPr>
              <w:pStyle w:val="40"/>
              <w:snapToGrid w:val="0"/>
              <w:spacing w:beforeLines="50"/>
              <w:jc w:val="center"/>
              <w:rPr>
                <w:rFonts w:hint="eastAsia" w:asciiTheme="minorEastAsia" w:hAnsiTheme="minorEastAsia" w:eastAsiaTheme="minorEastAsia"/>
                <w:b w:val="0"/>
                <w:color w:val="auto"/>
                <w:szCs w:val="24"/>
                <w:highlight w:val="none"/>
              </w:rPr>
            </w:pPr>
          </w:p>
          <w:p>
            <w:pPr>
              <w:pStyle w:val="40"/>
              <w:snapToGrid w:val="0"/>
              <w:spacing w:beforeLines="50"/>
              <w:jc w:val="center"/>
              <w:rPr>
                <w:rFonts w:hint="eastAsia" w:asciiTheme="minorEastAsia" w:hAnsiTheme="minorEastAsia" w:eastAsiaTheme="minorEastAsia"/>
                <w:b w:val="0"/>
                <w:color w:val="auto"/>
                <w:szCs w:val="24"/>
                <w:highlight w:val="none"/>
              </w:rPr>
            </w:pPr>
          </w:p>
          <w:p>
            <w:pPr>
              <w:pStyle w:val="40"/>
              <w:snapToGrid w:val="0"/>
              <w:spacing w:beforeLines="50"/>
              <w:jc w:val="center"/>
              <w:rPr>
                <w:rFonts w:asciiTheme="minorEastAsia" w:hAnsiTheme="minorEastAsia" w:eastAsiaTheme="minorEastAsia"/>
                <w:b w:val="0"/>
                <w:color w:val="auto"/>
                <w:szCs w:val="24"/>
                <w:highlight w:val="none"/>
              </w:rPr>
            </w:pPr>
            <w:r>
              <w:rPr>
                <w:rFonts w:hint="eastAsia"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-5</w:t>
            </w:r>
            <w:r>
              <w:rPr>
                <w:rFonts w:hint="eastAsia" w:asciiTheme="minorEastAsia" w:hAnsiTheme="minorEastAsia" w:eastAsiaTheme="minorEastAsia"/>
                <w:b w:val="0"/>
                <w:color w:val="auto"/>
                <w:szCs w:val="24"/>
                <w:highlight w:val="none"/>
              </w:rPr>
              <w:t>监测海域沉积物分类评价结果</w:t>
            </w:r>
          </w:p>
          <w:p>
            <w:pPr>
              <w:pStyle w:val="40"/>
              <w:snapToGrid w:val="0"/>
              <w:spacing w:beforeLines="50"/>
              <w:rPr>
                <w:rFonts w:asciiTheme="minorEastAsia" w:hAnsiTheme="minorEastAsia" w:eastAsiaTheme="minorEastAsia"/>
                <w:b w:val="0"/>
                <w:color w:val="auto"/>
                <w:szCs w:val="24"/>
                <w:highlight w:val="none"/>
              </w:rPr>
            </w:pPr>
            <w:r>
              <w:rPr>
                <w:rFonts w:asciiTheme="minorEastAsia" w:hAnsiTheme="minorEastAsia" w:eastAsiaTheme="minorEastAsia"/>
                <w:b w:val="0"/>
                <w:color w:val="auto"/>
                <w:szCs w:val="24"/>
                <w:highlight w:val="none"/>
              </w:rPr>
              <w:drawing>
                <wp:inline distT="0" distB="0" distL="0" distR="0">
                  <wp:extent cx="5485765" cy="3930650"/>
                  <wp:effectExtent l="19050" t="0" r="194" b="0"/>
                  <wp:docPr id="47" name="图片 21" descr="F:\微信文件File\WeChat Files\wxid_kgkf81ca4cje21\FileStorage\Temp\1701304526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descr="F:\微信文件File\WeChat Files\wxid_kgkf81ca4cje21\FileStorage\Temp\1701304526066.png"/>
                          <pic:cNvPicPr>
                            <a:picLocks noChangeAspect="1" noChangeArrowheads="1"/>
                          </pic:cNvPicPr>
                        </pic:nvPicPr>
                        <pic:blipFill>
                          <a:blip r:embed="rId63"/>
                          <a:srcRect/>
                          <a:stretch>
                            <a:fillRect/>
                          </a:stretch>
                        </pic:blipFill>
                        <pic:spPr>
                          <a:xfrm>
                            <a:off x="0" y="0"/>
                            <a:ext cx="5486206" cy="3930650"/>
                          </a:xfrm>
                          <a:prstGeom prst="rect">
                            <a:avLst/>
                          </a:prstGeom>
                          <a:noFill/>
                          <a:ln w="9525">
                            <a:noFill/>
                            <a:miter lim="800000"/>
                            <a:headEnd/>
                            <a:tailEnd/>
                          </a:ln>
                        </pic:spPr>
                      </pic:pic>
                    </a:graphicData>
                  </a:graphic>
                </wp:inline>
              </w:drawing>
            </w:r>
          </w:p>
          <w:p>
            <w:pPr>
              <w:pStyle w:val="40"/>
              <w:snapToGrid w:val="0"/>
              <w:spacing w:beforeLines="50"/>
              <w:jc w:val="center"/>
              <w:rPr>
                <w:rFonts w:asciiTheme="minorEastAsia" w:hAnsiTheme="minorEastAsia" w:eastAsiaTheme="minorEastAsia"/>
                <w:b w:val="0"/>
                <w:color w:val="auto"/>
                <w:szCs w:val="24"/>
                <w:highlight w:val="none"/>
              </w:rPr>
            </w:pPr>
            <w:r>
              <w:rPr>
                <w:rFonts w:hint="eastAsia"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-6</w:t>
            </w:r>
            <w:r>
              <w:rPr>
                <w:rFonts w:hint="eastAsia" w:asciiTheme="minorEastAsia" w:hAnsiTheme="minorEastAsia" w:eastAsiaTheme="minorEastAsia"/>
                <w:b w:val="0"/>
                <w:color w:val="auto"/>
                <w:szCs w:val="24"/>
                <w:highlight w:val="none"/>
              </w:rPr>
              <w:t>监测海域沉积物逐级评价结果（一类）</w:t>
            </w:r>
          </w:p>
          <w:p>
            <w:pPr>
              <w:pStyle w:val="40"/>
              <w:snapToGrid w:val="0"/>
              <w:spacing w:beforeLines="50"/>
              <w:rPr>
                <w:rFonts w:asciiTheme="minorEastAsia" w:hAnsiTheme="minorEastAsia" w:eastAsiaTheme="minorEastAsia"/>
                <w:b w:val="0"/>
                <w:color w:val="auto"/>
                <w:szCs w:val="24"/>
                <w:highlight w:val="none"/>
              </w:rPr>
            </w:pPr>
            <w:r>
              <w:rPr>
                <w:rFonts w:asciiTheme="minorEastAsia" w:hAnsiTheme="minorEastAsia" w:eastAsiaTheme="minorEastAsia"/>
                <w:b w:val="0"/>
                <w:color w:val="auto"/>
                <w:szCs w:val="24"/>
                <w:highlight w:val="none"/>
              </w:rPr>
              <w:drawing>
                <wp:inline distT="0" distB="0" distL="0" distR="0">
                  <wp:extent cx="5664200" cy="1185545"/>
                  <wp:effectExtent l="19050" t="0" r="0" b="0"/>
                  <wp:docPr id="48" name="图片 22" descr="F:\微信文件File\WeChat Files\wxid_kgkf81ca4cje21\FileStorage\Temp\1701304638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2" descr="F:\微信文件File\WeChat Files\wxid_kgkf81ca4cje21\FileStorage\Temp\1701304638727.png"/>
                          <pic:cNvPicPr>
                            <a:picLocks noChangeAspect="1" noChangeArrowheads="1"/>
                          </pic:cNvPicPr>
                        </pic:nvPicPr>
                        <pic:blipFill>
                          <a:blip r:embed="rId64"/>
                          <a:srcRect/>
                          <a:stretch>
                            <a:fillRect/>
                          </a:stretch>
                        </pic:blipFill>
                        <pic:spPr>
                          <a:xfrm>
                            <a:off x="0" y="0"/>
                            <a:ext cx="5664200" cy="1185787"/>
                          </a:xfrm>
                          <a:prstGeom prst="rect">
                            <a:avLst/>
                          </a:prstGeom>
                          <a:noFill/>
                          <a:ln w="9525">
                            <a:noFill/>
                            <a:miter lim="800000"/>
                            <a:headEnd/>
                            <a:tailEnd/>
                          </a:ln>
                        </pic:spPr>
                      </pic:pic>
                    </a:graphicData>
                  </a:graphic>
                </wp:inline>
              </w:drawing>
            </w:r>
          </w:p>
          <w:p>
            <w:pPr>
              <w:pStyle w:val="40"/>
              <w:snapToGrid w:val="0"/>
              <w:spacing w:beforeLines="50"/>
              <w:jc w:val="center"/>
              <w:rPr>
                <w:rFonts w:asciiTheme="minorEastAsia" w:hAnsiTheme="minorEastAsia" w:eastAsiaTheme="minorEastAsia"/>
                <w:b w:val="0"/>
                <w:color w:val="auto"/>
                <w:szCs w:val="24"/>
                <w:highlight w:val="none"/>
              </w:rPr>
            </w:pPr>
            <w:r>
              <w:rPr>
                <w:rFonts w:hint="eastAsia"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-7</w:t>
            </w:r>
            <w:r>
              <w:rPr>
                <w:rFonts w:hint="eastAsia" w:asciiTheme="minorEastAsia" w:hAnsiTheme="minorEastAsia" w:eastAsiaTheme="minorEastAsia"/>
                <w:b w:val="0"/>
                <w:color w:val="auto"/>
                <w:szCs w:val="24"/>
                <w:highlight w:val="none"/>
              </w:rPr>
              <w:t>监测海域沉积物逐级评价结果（二类）</w:t>
            </w:r>
          </w:p>
          <w:p>
            <w:pPr>
              <w:pStyle w:val="40"/>
              <w:snapToGrid w:val="0"/>
              <w:spacing w:beforeLines="50"/>
              <w:rPr>
                <w:rFonts w:asciiTheme="minorEastAsia" w:hAnsiTheme="minorEastAsia" w:eastAsiaTheme="minorEastAsia"/>
                <w:b w:val="0"/>
                <w:color w:val="auto"/>
                <w:szCs w:val="24"/>
                <w:highlight w:val="none"/>
              </w:rPr>
            </w:pPr>
            <w:r>
              <w:rPr>
                <w:rFonts w:asciiTheme="minorEastAsia" w:hAnsiTheme="minorEastAsia" w:eastAsiaTheme="minorEastAsia"/>
                <w:b w:val="0"/>
                <w:color w:val="auto"/>
                <w:szCs w:val="24"/>
                <w:highlight w:val="none"/>
              </w:rPr>
              <w:drawing>
                <wp:inline distT="0" distB="0" distL="0" distR="0">
                  <wp:extent cx="5702300" cy="1193165"/>
                  <wp:effectExtent l="19050" t="0" r="0" b="0"/>
                  <wp:docPr id="49" name="图片 23" descr="F:\微信文件File\WeChat Files\wxid_kgkf81ca4cje21\FileStorage\Temp\1701304682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descr="F:\微信文件File\WeChat Files\wxid_kgkf81ca4cje21\FileStorage\Temp\1701304682523.png"/>
                          <pic:cNvPicPr>
                            <a:picLocks noChangeAspect="1" noChangeArrowheads="1"/>
                          </pic:cNvPicPr>
                        </pic:nvPicPr>
                        <pic:blipFill>
                          <a:blip r:embed="rId65"/>
                          <a:srcRect/>
                          <a:stretch>
                            <a:fillRect/>
                          </a:stretch>
                        </pic:blipFill>
                        <pic:spPr>
                          <a:xfrm>
                            <a:off x="0" y="0"/>
                            <a:ext cx="5707679" cy="1194889"/>
                          </a:xfrm>
                          <a:prstGeom prst="rect">
                            <a:avLst/>
                          </a:prstGeom>
                          <a:noFill/>
                          <a:ln w="9525">
                            <a:noFill/>
                            <a:miter lim="800000"/>
                            <a:headEnd/>
                            <a:tailEnd/>
                          </a:ln>
                        </pic:spPr>
                      </pic:pic>
                    </a:graphicData>
                  </a:graphic>
                </wp:inline>
              </w:drawing>
            </w:r>
          </w:p>
          <w:p>
            <w:pPr>
              <w:pStyle w:val="40"/>
              <w:snapToGrid w:val="0"/>
              <w:spacing w:beforeLines="50"/>
              <w:jc w:val="center"/>
              <w:rPr>
                <w:rFonts w:asciiTheme="minorEastAsia" w:hAnsiTheme="minorEastAsia" w:eastAsiaTheme="minorEastAsia"/>
                <w:b w:val="0"/>
                <w:color w:val="auto"/>
                <w:szCs w:val="24"/>
                <w:highlight w:val="none"/>
              </w:rPr>
            </w:pPr>
            <w:r>
              <w:rPr>
                <w:rFonts w:hint="eastAsia" w:asciiTheme="minorEastAsia" w:hAnsiTheme="minorEastAsia" w:eastAsiaTheme="minorEastAsia"/>
                <w:b w:val="0"/>
                <w:color w:val="auto"/>
                <w:szCs w:val="24"/>
                <w:highlight w:val="none"/>
              </w:rPr>
              <w:t>表2.4</w:t>
            </w:r>
            <w:r>
              <w:rPr>
                <w:rFonts w:asciiTheme="minorEastAsia" w:hAnsiTheme="minorEastAsia" w:eastAsiaTheme="minorEastAsia"/>
                <w:b w:val="0"/>
                <w:bCs/>
                <w:color w:val="auto"/>
                <w:szCs w:val="24"/>
                <w:highlight w:val="none"/>
              </w:rPr>
              <w:t>-8</w:t>
            </w:r>
            <w:r>
              <w:rPr>
                <w:rFonts w:hint="eastAsia" w:asciiTheme="minorEastAsia" w:hAnsiTheme="minorEastAsia" w:eastAsiaTheme="minorEastAsia"/>
                <w:b w:val="0"/>
                <w:color w:val="auto"/>
                <w:szCs w:val="24"/>
                <w:highlight w:val="none"/>
              </w:rPr>
              <w:t>监测海域沉积物逐级评价结果（三类）</w:t>
            </w:r>
          </w:p>
          <w:p>
            <w:pPr>
              <w:pStyle w:val="40"/>
              <w:snapToGrid w:val="0"/>
              <w:spacing w:beforeLines="50"/>
              <w:rPr>
                <w:color w:val="auto"/>
                <w:highlight w:val="none"/>
              </w:rPr>
            </w:pPr>
            <w:r>
              <w:rPr>
                <w:color w:val="auto"/>
                <w:highlight w:val="none"/>
              </w:rPr>
              <w:drawing>
                <wp:inline distT="0" distB="0" distL="0" distR="0">
                  <wp:extent cx="5759450" cy="883920"/>
                  <wp:effectExtent l="19050" t="0" r="0" b="0"/>
                  <wp:docPr id="50" name="图片 24" descr="F:\微信文件File\WeChat Files\wxid_kgkf81ca4cje21\FileStorage\Temp\1701304735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descr="F:\微信文件File\WeChat Files\wxid_kgkf81ca4cje21\FileStorage\Temp\1701304735983.png"/>
                          <pic:cNvPicPr>
                            <a:picLocks noChangeAspect="1" noChangeArrowheads="1"/>
                          </pic:cNvPicPr>
                        </pic:nvPicPr>
                        <pic:blipFill>
                          <a:blip r:embed="rId66"/>
                          <a:srcRect/>
                          <a:stretch>
                            <a:fillRect/>
                          </a:stretch>
                        </pic:blipFill>
                        <pic:spPr>
                          <a:xfrm>
                            <a:off x="0" y="0"/>
                            <a:ext cx="5759450" cy="884347"/>
                          </a:xfrm>
                          <a:prstGeom prst="rect">
                            <a:avLst/>
                          </a:prstGeom>
                          <a:noFill/>
                          <a:ln w="9525">
                            <a:noFill/>
                            <a:miter lim="800000"/>
                            <a:headEnd/>
                            <a:tailEnd/>
                          </a:ln>
                        </pic:spPr>
                      </pic:pic>
                    </a:graphicData>
                  </a:graphic>
                </wp:inline>
              </w:drawing>
            </w:r>
          </w:p>
          <w:p>
            <w:pPr>
              <w:spacing w:line="360" w:lineRule="auto"/>
              <w:ind w:firstLine="482"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
                <w:bCs/>
                <w:color w:val="auto"/>
                <w:kern w:val="0"/>
                <w:sz w:val="24"/>
                <w:szCs w:val="24"/>
                <w:highlight w:val="none"/>
              </w:rPr>
              <w:t>2.5</w:t>
            </w:r>
            <w:r>
              <w:rPr>
                <w:rFonts w:hint="eastAsia" w:cs="宋体" w:asciiTheme="minorEastAsia" w:hAnsiTheme="minorEastAsia" w:eastAsiaTheme="minorEastAsia"/>
                <w:color w:val="auto"/>
                <w:kern w:val="0"/>
                <w:sz w:val="24"/>
                <w:szCs w:val="24"/>
                <w:highlight w:val="none"/>
              </w:rPr>
              <w:t>海洋生物质量现状调查与评价</w:t>
            </w:r>
          </w:p>
          <w:p>
            <w:pPr>
              <w:spacing w:line="360" w:lineRule="auto"/>
              <w:ind w:firstLine="482"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
                <w:bCs/>
                <w:color w:val="auto"/>
                <w:kern w:val="0"/>
                <w:sz w:val="24"/>
                <w:szCs w:val="24"/>
                <w:highlight w:val="none"/>
              </w:rPr>
              <w:t>2.5.1</w:t>
            </w:r>
            <w:r>
              <w:rPr>
                <w:rFonts w:hint="eastAsia" w:cs="宋体" w:asciiTheme="minorEastAsia" w:hAnsiTheme="minorEastAsia" w:eastAsiaTheme="minorEastAsia"/>
                <w:color w:val="auto"/>
                <w:kern w:val="0"/>
                <w:sz w:val="24"/>
                <w:szCs w:val="24"/>
                <w:highlight w:val="none"/>
              </w:rPr>
              <w:t>调查概况</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海洋生物质量现状调查资料引自国家海洋局北海海洋环境监测中心站《</w:t>
            </w:r>
            <w:r>
              <w:rPr>
                <w:rFonts w:asciiTheme="minorEastAsia" w:hAnsiTheme="minorEastAsia" w:eastAsiaTheme="minorEastAsia"/>
                <w:color w:val="auto"/>
                <w:kern w:val="0"/>
                <w:sz w:val="24"/>
                <w:szCs w:val="24"/>
                <w:highlight w:val="none"/>
              </w:rPr>
              <w:t>2022</w:t>
            </w:r>
            <w:r>
              <w:rPr>
                <w:rFonts w:hint="eastAsia" w:cs="宋体" w:asciiTheme="minorEastAsia" w:hAnsiTheme="minorEastAsia" w:eastAsiaTheme="minorEastAsia"/>
                <w:color w:val="auto"/>
                <w:kern w:val="0"/>
                <w:sz w:val="24"/>
                <w:szCs w:val="24"/>
                <w:highlight w:val="none"/>
              </w:rPr>
              <w:t>年广西钦州市海洋生态保护修复项目海洋生态环境状况调查报告（秋季）》。依据《海洋监测规范》（</w:t>
            </w:r>
            <w:r>
              <w:rPr>
                <w:rFonts w:asciiTheme="minorEastAsia" w:hAnsiTheme="minorEastAsia" w:eastAsiaTheme="minorEastAsia"/>
                <w:color w:val="auto"/>
                <w:kern w:val="0"/>
                <w:sz w:val="24"/>
                <w:szCs w:val="24"/>
                <w:highlight w:val="none"/>
              </w:rPr>
              <w:t>GB17378-2007</w:t>
            </w:r>
            <w:r>
              <w:rPr>
                <w:rFonts w:hint="eastAsia" w:cs="宋体" w:asciiTheme="minorEastAsia" w:hAnsiTheme="minorEastAsia" w:eastAsiaTheme="minorEastAsia"/>
                <w:color w:val="auto"/>
                <w:kern w:val="0"/>
                <w:sz w:val="24"/>
                <w:szCs w:val="24"/>
                <w:highlight w:val="none"/>
              </w:rPr>
              <w:t>）站位布设原则及《海域使用论证技术导则》（</w:t>
            </w:r>
            <w:r>
              <w:rPr>
                <w:rFonts w:asciiTheme="minorEastAsia" w:hAnsiTheme="minorEastAsia" w:eastAsiaTheme="minorEastAsia"/>
                <w:color w:val="auto"/>
                <w:kern w:val="0"/>
                <w:sz w:val="24"/>
                <w:szCs w:val="24"/>
                <w:highlight w:val="none"/>
              </w:rPr>
              <w:t>GBT42361-2023</w:t>
            </w:r>
            <w:r>
              <w:rPr>
                <w:rFonts w:hint="eastAsia" w:cs="宋体" w:asciiTheme="minorEastAsia" w:hAnsiTheme="minorEastAsia" w:eastAsiaTheme="minorEastAsia"/>
                <w:color w:val="auto"/>
                <w:kern w:val="0"/>
                <w:sz w:val="24"/>
                <w:szCs w:val="24"/>
                <w:highlight w:val="none"/>
              </w:rPr>
              <w:t>）的相关技术要求，在项目近岸海域共布设</w:t>
            </w:r>
            <w:r>
              <w:rPr>
                <w:rFonts w:asciiTheme="minorEastAsia" w:hAnsiTheme="minorEastAsia" w:eastAsiaTheme="minorEastAsia"/>
                <w:color w:val="auto"/>
                <w:kern w:val="0"/>
                <w:sz w:val="24"/>
                <w:szCs w:val="24"/>
                <w:highlight w:val="none"/>
              </w:rPr>
              <w:t>20</w:t>
            </w:r>
            <w:r>
              <w:rPr>
                <w:rFonts w:hint="eastAsia" w:cs="宋体" w:asciiTheme="minorEastAsia" w:hAnsiTheme="minorEastAsia" w:eastAsiaTheme="minorEastAsia"/>
                <w:color w:val="auto"/>
                <w:kern w:val="0"/>
                <w:sz w:val="24"/>
                <w:szCs w:val="24"/>
                <w:highlight w:val="none"/>
              </w:rPr>
              <w:t>个海洋生物质量站位。</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调查站位如表2.2</w:t>
            </w:r>
            <w:r>
              <w:rPr>
                <w:rFonts w:asciiTheme="minorEastAsia" w:hAnsiTheme="minorEastAsia" w:eastAsiaTheme="minorEastAsia"/>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，站位图见图</w:t>
            </w:r>
            <w:r>
              <w:rPr>
                <w:rFonts w:asciiTheme="minorEastAsia" w:hAnsiTheme="minorEastAsia" w:eastAsiaTheme="minorEastAsia"/>
                <w:color w:val="auto"/>
                <w:kern w:val="0"/>
                <w:sz w:val="24"/>
                <w:szCs w:val="24"/>
                <w:highlight w:val="none"/>
              </w:rPr>
              <w:t>2.2-1</w:t>
            </w:r>
            <w:r>
              <w:rPr>
                <w:rFonts w:hint="eastAsia" w:cs="宋体" w:asciiTheme="minorEastAsia" w:hAnsiTheme="minorEastAsia" w:eastAsiaTheme="minorEastAsia"/>
                <w:color w:val="auto"/>
                <w:kern w:val="0"/>
                <w:sz w:val="24"/>
                <w:szCs w:val="24"/>
                <w:highlight w:val="none"/>
              </w:rPr>
              <w:t>。</w:t>
            </w:r>
          </w:p>
          <w:p>
            <w:pPr>
              <w:spacing w:line="360" w:lineRule="auto"/>
              <w:ind w:firstLine="482"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
                <w:bCs/>
                <w:color w:val="auto"/>
                <w:kern w:val="0"/>
                <w:sz w:val="24"/>
                <w:szCs w:val="24"/>
                <w:highlight w:val="none"/>
              </w:rPr>
              <w:t>2.5.2</w:t>
            </w:r>
            <w:r>
              <w:rPr>
                <w:rFonts w:hint="eastAsia" w:cs="宋体" w:asciiTheme="minorEastAsia" w:hAnsiTheme="minorEastAsia" w:eastAsiaTheme="minorEastAsia"/>
                <w:color w:val="auto"/>
                <w:kern w:val="0"/>
                <w:sz w:val="24"/>
                <w:szCs w:val="24"/>
                <w:highlight w:val="none"/>
              </w:rPr>
              <w:t>调查内容</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生物体质量调查内容</w:t>
            </w:r>
            <w:r>
              <w:rPr>
                <w:rFonts w:hint="eastAsia" w:asciiTheme="minorEastAsia" w:hAnsiTheme="minorEastAsia" w:eastAsiaTheme="minorEastAsia"/>
                <w:b/>
                <w:bCs/>
                <w:color w:val="auto"/>
                <w:sz w:val="24"/>
                <w:szCs w:val="24"/>
                <w:highlight w:val="none"/>
              </w:rPr>
              <w:t>包括</w:t>
            </w:r>
            <w:r>
              <w:rPr>
                <w:rFonts w:hint="eastAsia" w:cs="宋体" w:asciiTheme="minorEastAsia" w:hAnsiTheme="minorEastAsia" w:eastAsiaTheme="minorEastAsia"/>
                <w:color w:val="auto"/>
                <w:kern w:val="0"/>
                <w:sz w:val="24"/>
                <w:szCs w:val="24"/>
                <w:highlight w:val="none"/>
              </w:rPr>
              <w:t>总汞、砷、铜、铅、锌、铬、镉、石油烃。</w:t>
            </w:r>
          </w:p>
          <w:p>
            <w:pPr>
              <w:spacing w:line="360" w:lineRule="auto"/>
              <w:ind w:firstLine="482" w:firstLineChars="200"/>
              <w:rPr>
                <w:rFonts w:cs="宋体" w:asciiTheme="minorEastAsia" w:hAnsiTheme="minorEastAsia" w:eastAsiaTheme="minorEastAsia"/>
                <w:color w:val="auto"/>
                <w:kern w:val="0"/>
                <w:sz w:val="24"/>
                <w:szCs w:val="24"/>
                <w:highlight w:val="none"/>
              </w:rPr>
            </w:pPr>
            <w:r>
              <w:rPr>
                <w:rFonts w:asciiTheme="minorEastAsia" w:hAnsiTheme="minorEastAsia" w:eastAsiaTheme="minorEastAsia"/>
                <w:b/>
                <w:bCs/>
                <w:color w:val="auto"/>
                <w:kern w:val="0"/>
                <w:sz w:val="24"/>
                <w:szCs w:val="24"/>
                <w:highlight w:val="none"/>
              </w:rPr>
              <w:t>2.5.3</w:t>
            </w:r>
            <w:r>
              <w:rPr>
                <w:rFonts w:hint="eastAsia" w:cs="宋体" w:asciiTheme="minorEastAsia" w:hAnsiTheme="minorEastAsia" w:eastAsiaTheme="minorEastAsia"/>
                <w:color w:val="auto"/>
                <w:kern w:val="0"/>
                <w:sz w:val="24"/>
                <w:szCs w:val="24"/>
                <w:highlight w:val="none"/>
              </w:rPr>
              <w:t>调查分析方法</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
                <w:bCs/>
                <w:color w:val="auto"/>
                <w:kern w:val="0"/>
                <w:sz w:val="24"/>
                <w:szCs w:val="24"/>
                <w:highlight w:val="none"/>
              </w:rPr>
              <w:t>1</w:t>
            </w:r>
            <w:r>
              <w:rPr>
                <w:rFonts w:hint="eastAsia" w:cs="宋体" w:asciiTheme="minorEastAsia" w:hAnsiTheme="minorEastAsia" w:eastAsiaTheme="minorEastAsia"/>
                <w:color w:val="auto"/>
                <w:kern w:val="0"/>
                <w:sz w:val="24"/>
                <w:szCs w:val="24"/>
                <w:highlight w:val="none"/>
              </w:rPr>
              <w:t>）采样</w:t>
            </w:r>
            <w:r>
              <w:rPr>
                <w:rFonts w:hint="eastAsia" w:asciiTheme="minorEastAsia" w:hAnsiTheme="minorEastAsia" w:eastAsiaTheme="minorEastAsia"/>
                <w:b/>
                <w:bCs/>
                <w:color w:val="auto"/>
                <w:sz w:val="24"/>
                <w:szCs w:val="24"/>
                <w:highlight w:val="none"/>
              </w:rPr>
              <w:t>方法</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生物体质量采样按照《海洋监测规范》（</w:t>
            </w:r>
            <w:r>
              <w:rPr>
                <w:rFonts w:asciiTheme="minorEastAsia" w:hAnsiTheme="minorEastAsia" w:eastAsiaTheme="minorEastAsia"/>
                <w:color w:val="auto"/>
                <w:kern w:val="0"/>
                <w:sz w:val="24"/>
                <w:szCs w:val="24"/>
                <w:highlight w:val="none"/>
              </w:rPr>
              <w:t>GB17378-2007</w:t>
            </w:r>
            <w:r>
              <w:rPr>
                <w:rFonts w:hint="eastAsia" w:cs="宋体" w:asciiTheme="minorEastAsia" w:hAnsiTheme="minorEastAsia" w:eastAsiaTheme="minorEastAsia"/>
                <w:color w:val="auto"/>
                <w:kern w:val="0"/>
                <w:sz w:val="24"/>
                <w:szCs w:val="24"/>
                <w:highlight w:val="none"/>
              </w:rPr>
              <w:t>）的要求执行，主要调查贝类、鱼类和虾类，以区域范围内底拖网获取为主。贝类一般采集菲律宾蛤仔、文蛤、四角蛤蜊、紫贻贝、翡翠贻贝、毛蚶、牡蛎等。鱼类、虾类采集当地海域代表物种。</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
                <w:bCs/>
                <w:color w:val="auto"/>
                <w:kern w:val="0"/>
                <w:sz w:val="24"/>
                <w:szCs w:val="24"/>
                <w:highlight w:val="none"/>
              </w:rPr>
              <w:t>2</w:t>
            </w:r>
            <w:r>
              <w:rPr>
                <w:rFonts w:hint="eastAsia" w:cs="宋体" w:asciiTheme="minorEastAsia" w:hAnsiTheme="minorEastAsia" w:eastAsiaTheme="minorEastAsia"/>
                <w:color w:val="auto"/>
                <w:kern w:val="0"/>
                <w:sz w:val="24"/>
                <w:szCs w:val="24"/>
                <w:highlight w:val="none"/>
              </w:rPr>
              <w:t>）分析方法</w:t>
            </w:r>
          </w:p>
          <w:p>
            <w:pPr>
              <w:spacing w:line="360" w:lineRule="auto"/>
              <w:ind w:firstLine="480" w:firstLineChars="200"/>
              <w:rPr>
                <w:rFonts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生物体质量各监测项目分析方法、仪器及检出限见表</w:t>
            </w:r>
            <w:r>
              <w:rPr>
                <w:rFonts w:asciiTheme="minorEastAsia" w:hAnsiTheme="minorEastAsia" w:eastAsiaTheme="minorEastAsia"/>
                <w:color w:val="auto"/>
                <w:kern w:val="0"/>
                <w:sz w:val="24"/>
                <w:szCs w:val="24"/>
                <w:highlight w:val="none"/>
              </w:rPr>
              <w:t>2.5-1。</w:t>
            </w: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spacing w:line="360" w:lineRule="auto"/>
              <w:ind w:firstLine="480" w:firstLineChars="200"/>
              <w:rPr>
                <w:rFonts w:asciiTheme="minorEastAsia" w:hAnsiTheme="minorEastAsia" w:eastAsiaTheme="minorEastAsia"/>
                <w:color w:val="auto"/>
                <w:kern w:val="0"/>
                <w:sz w:val="24"/>
                <w:szCs w:val="24"/>
                <w:highlight w:val="none"/>
              </w:rPr>
            </w:pPr>
          </w:p>
          <w:p>
            <w:pPr>
              <w:pStyle w:val="40"/>
              <w:snapToGrid w:val="0"/>
              <w:spacing w:beforeLines="50"/>
              <w:jc w:val="center"/>
              <w:rPr>
                <w:rFonts w:cs="宋体" w:asciiTheme="minorEastAsia" w:hAnsiTheme="minorEastAsia" w:eastAsiaTheme="minorEastAsia"/>
                <w:b w:val="0"/>
                <w:color w:val="auto"/>
                <w:szCs w:val="24"/>
                <w:highlight w:val="none"/>
              </w:rPr>
            </w:pPr>
            <w:r>
              <w:rPr>
                <w:rFonts w:hint="eastAsia" w:cs="宋体" w:asciiTheme="minorEastAsia" w:hAnsiTheme="minorEastAsia" w:eastAsiaTheme="minorEastAsia"/>
                <w:b w:val="0"/>
                <w:color w:val="auto"/>
                <w:szCs w:val="24"/>
                <w:highlight w:val="none"/>
              </w:rPr>
              <w:t>表</w:t>
            </w:r>
            <w:r>
              <w:rPr>
                <w:rFonts w:asciiTheme="minorEastAsia" w:hAnsiTheme="minorEastAsia" w:eastAsiaTheme="minorEastAsia"/>
                <w:bCs/>
                <w:color w:val="auto"/>
                <w:szCs w:val="24"/>
                <w:highlight w:val="none"/>
              </w:rPr>
              <w:t>2.5-1</w:t>
            </w:r>
            <w:r>
              <w:rPr>
                <w:rFonts w:hint="eastAsia" w:cs="宋体" w:asciiTheme="minorEastAsia" w:hAnsiTheme="minorEastAsia" w:eastAsiaTheme="minorEastAsia"/>
                <w:b w:val="0"/>
                <w:color w:val="auto"/>
                <w:szCs w:val="24"/>
                <w:highlight w:val="none"/>
              </w:rPr>
              <w:t>生物体质量各监测项目分析方法、仪器及检出限</w:t>
            </w:r>
          </w:p>
          <w:p>
            <w:pPr>
              <w:pStyle w:val="40"/>
              <w:snapToGrid w:val="0"/>
              <w:spacing w:beforeLines="50"/>
              <w:rPr>
                <w:rFonts w:ascii="宋体" w:cs="宋体"/>
                <w:b w:val="0"/>
                <w:color w:val="auto"/>
                <w:sz w:val="21"/>
                <w:szCs w:val="21"/>
                <w:highlight w:val="none"/>
              </w:rPr>
            </w:pPr>
            <w:r>
              <w:rPr>
                <w:rFonts w:hint="eastAsia" w:ascii="宋体" w:cs="宋体"/>
                <w:color w:val="auto"/>
                <w:szCs w:val="21"/>
                <w:highlight w:val="none"/>
              </w:rPr>
              <w:drawing>
                <wp:inline distT="0" distB="0" distL="0" distR="0">
                  <wp:extent cx="5759450" cy="3073400"/>
                  <wp:effectExtent l="19050" t="0" r="0" b="0"/>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noChangeArrowheads="1"/>
                          </pic:cNvPicPr>
                        </pic:nvPicPr>
                        <pic:blipFill>
                          <a:blip r:embed="rId67"/>
                          <a:srcRect/>
                          <a:stretch>
                            <a:fillRect/>
                          </a:stretch>
                        </pic:blipFill>
                        <pic:spPr>
                          <a:xfrm>
                            <a:off x="0" y="0"/>
                            <a:ext cx="5759450" cy="3073400"/>
                          </a:xfrm>
                          <a:prstGeom prst="rect">
                            <a:avLst/>
                          </a:prstGeom>
                          <a:noFill/>
                          <a:ln w="9525">
                            <a:noFill/>
                            <a:miter lim="800000"/>
                            <a:headEnd/>
                            <a:tailEnd/>
                          </a:ln>
                        </pic:spPr>
                      </pic:pic>
                    </a:graphicData>
                  </a:graphic>
                </wp:inline>
              </w:drawing>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w:t>
            </w:r>
            <w:r>
              <w:rPr>
                <w:rFonts w:asciiTheme="minorEastAsia" w:hAnsiTheme="minorEastAsia" w:eastAsiaTheme="minorEastAsia"/>
                <w:bCs/>
                <w:color w:val="auto"/>
                <w:kern w:val="0"/>
                <w:sz w:val="24"/>
                <w:szCs w:val="24"/>
                <w:highlight w:val="none"/>
              </w:rPr>
              <w:t>3</w:t>
            </w:r>
            <w:r>
              <w:rPr>
                <w:rFonts w:hint="eastAsia" w:cs="宋体" w:asciiTheme="minorEastAsia" w:hAnsiTheme="minorEastAsia" w:eastAsiaTheme="minorEastAsia"/>
                <w:color w:val="auto"/>
                <w:kern w:val="0"/>
                <w:sz w:val="24"/>
                <w:szCs w:val="24"/>
                <w:highlight w:val="none"/>
              </w:rPr>
              <w:t>）评价方法</w:t>
            </w:r>
          </w:p>
          <w:p>
            <w:pPr>
              <w:spacing w:line="360" w:lineRule="auto"/>
              <w:ind w:firstLine="480" w:firstLineChars="200"/>
              <w:rPr>
                <w:rFonts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海洋鱼类、甲壳类、软体类（非双壳贝类）生物质量评价，国家尚未颁布统一的评价标准，本报告铜、锌、铅、镉和汞采用《全国海岸带和海涂资源综合调查简明规程》</w:t>
            </w:r>
            <w:r>
              <w:rPr>
                <w:rFonts w:cs="宋体"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海洋生物质量评价标准</w:t>
            </w:r>
            <w:r>
              <w:rPr>
                <w:rFonts w:cs="宋体" w:asciiTheme="minorEastAsia" w:hAnsiTheme="minorEastAsia" w:eastAsiaTheme="minorEastAsia"/>
                <w:color w:val="auto"/>
                <w:kern w:val="0"/>
                <w:sz w:val="24"/>
                <w:szCs w:val="24"/>
                <w:highlight w:val="none"/>
              </w:rPr>
              <w:t>”</w:t>
            </w:r>
            <w:r>
              <w:rPr>
                <w:rFonts w:hint="eastAsia" w:cs="宋体" w:asciiTheme="minorEastAsia" w:hAnsiTheme="minorEastAsia" w:eastAsiaTheme="minorEastAsia"/>
                <w:color w:val="auto"/>
                <w:kern w:val="0"/>
                <w:sz w:val="24"/>
                <w:szCs w:val="24"/>
                <w:highlight w:val="none"/>
              </w:rPr>
              <w:t>进行评价；砷、铬和石油烃采用《第二次全国海洋污染基线调查技术规程》（第二分册）中规定的生物质量标准进行评价，标准限值见表</w:t>
            </w:r>
            <w:r>
              <w:rPr>
                <w:rFonts w:asciiTheme="minorEastAsia" w:hAnsiTheme="minorEastAsia" w:eastAsiaTheme="minorEastAsia"/>
                <w:color w:val="auto"/>
                <w:kern w:val="0"/>
                <w:sz w:val="24"/>
                <w:szCs w:val="24"/>
                <w:highlight w:val="none"/>
              </w:rPr>
              <w:t>2.5-2</w:t>
            </w:r>
            <w:r>
              <w:rPr>
                <w:rFonts w:hint="eastAsia" w:cs="宋体" w:asciiTheme="minorEastAsia" w:hAnsiTheme="minorEastAsia" w:eastAsiaTheme="minorEastAsia"/>
                <w:color w:val="auto"/>
                <w:kern w:val="0"/>
                <w:sz w:val="24"/>
                <w:szCs w:val="24"/>
                <w:highlight w:val="none"/>
              </w:rPr>
              <w:t>。生物体质量采用单项标准指数法进行评价，其污染程度随实测浓度增加而增大，计算方法同海水水质评价。</w:t>
            </w: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r>
              <w:rPr>
                <w:rFonts w:hint="eastAsia" w:cs="宋体" w:asciiTheme="minorEastAsia" w:hAnsiTheme="minorEastAsia" w:eastAsiaTheme="minorEastAsia"/>
                <w:color w:val="auto"/>
                <w:kern w:val="0"/>
                <w:sz w:val="24"/>
                <w:szCs w:val="24"/>
                <w:highlight w:val="none"/>
              </w:rPr>
              <w:t>依据</w:t>
            </w:r>
            <w:r>
              <w:rPr>
                <w:rFonts w:hint="eastAsia" w:asciiTheme="minorEastAsia" w:hAnsiTheme="minorEastAsia" w:eastAsiaTheme="minorEastAsia"/>
                <w:bCs/>
                <w:color w:val="auto"/>
                <w:sz w:val="24"/>
                <w:szCs w:val="24"/>
                <w:highlight w:val="none"/>
              </w:rPr>
              <w:t>《广西壮族自治区海洋功能区划（</w:t>
            </w:r>
            <w:r>
              <w:rPr>
                <w:rFonts w:asciiTheme="minorEastAsia" w:hAnsiTheme="minorEastAsia" w:eastAsiaTheme="minorEastAsia"/>
                <w:bCs/>
                <w:color w:val="auto"/>
                <w:sz w:val="24"/>
                <w:szCs w:val="24"/>
                <w:highlight w:val="none"/>
              </w:rPr>
              <w:t>2011-2020</w:t>
            </w:r>
            <w:r>
              <w:rPr>
                <w:rFonts w:hint="eastAsia" w:asciiTheme="minorEastAsia" w:hAnsiTheme="minorEastAsia" w:eastAsiaTheme="minorEastAsia"/>
                <w:bCs/>
                <w:color w:val="auto"/>
                <w:sz w:val="24"/>
                <w:szCs w:val="24"/>
                <w:highlight w:val="none"/>
              </w:rPr>
              <w:t>年）》</w:t>
            </w:r>
            <w:r>
              <w:rPr>
                <w:rFonts w:hint="eastAsia" w:cs="宋体" w:asciiTheme="minorEastAsia" w:hAnsiTheme="minorEastAsia" w:eastAsiaTheme="minorEastAsia"/>
                <w:color w:val="auto"/>
                <w:kern w:val="0"/>
                <w:sz w:val="24"/>
                <w:szCs w:val="24"/>
                <w:highlight w:val="none"/>
              </w:rPr>
              <w:t>的要求，本次监测海域生物体质量根据站位所在海域海洋功能区划要求分别执行《海洋生物质量标准》（</w:t>
            </w:r>
            <w:r>
              <w:rPr>
                <w:rFonts w:asciiTheme="minorEastAsia" w:hAnsiTheme="minorEastAsia" w:eastAsiaTheme="minorEastAsia"/>
                <w:color w:val="auto"/>
                <w:kern w:val="0"/>
                <w:sz w:val="24"/>
                <w:szCs w:val="24"/>
                <w:highlight w:val="none"/>
              </w:rPr>
              <w:t>GB18421-2001</w:t>
            </w:r>
            <w:r>
              <w:rPr>
                <w:rFonts w:hint="eastAsia" w:cs="宋体" w:asciiTheme="minorEastAsia" w:hAnsiTheme="minorEastAsia" w:eastAsiaTheme="minorEastAsia"/>
                <w:color w:val="auto"/>
                <w:kern w:val="0"/>
                <w:sz w:val="24"/>
                <w:szCs w:val="24"/>
                <w:highlight w:val="none"/>
              </w:rPr>
              <w:t>）中第一、三类海洋生物体质量标准，各站位执行生物质量标准见表</w:t>
            </w:r>
            <w:r>
              <w:rPr>
                <w:rFonts w:asciiTheme="minorEastAsia" w:hAnsiTheme="minorEastAsia" w:eastAsiaTheme="minorEastAsia"/>
                <w:color w:val="auto"/>
                <w:kern w:val="0"/>
                <w:sz w:val="24"/>
                <w:szCs w:val="24"/>
                <w:highlight w:val="none"/>
              </w:rPr>
              <w:t>2.5-3</w:t>
            </w:r>
            <w:r>
              <w:rPr>
                <w:rFonts w:hint="eastAsia" w:cs="宋体" w:asciiTheme="minorEastAsia" w:hAnsiTheme="minorEastAsia" w:eastAsiaTheme="minorEastAsia"/>
                <w:color w:val="auto"/>
                <w:kern w:val="0"/>
                <w:sz w:val="24"/>
                <w:szCs w:val="24"/>
                <w:highlight w:val="none"/>
              </w:rPr>
              <w:t>。</w:t>
            </w: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spacing w:line="360" w:lineRule="auto"/>
              <w:ind w:firstLine="480" w:firstLineChars="200"/>
              <w:rPr>
                <w:rFonts w:hint="eastAsia" w:cs="宋体" w:asciiTheme="minorEastAsia" w:hAnsiTheme="minorEastAsia" w:eastAsiaTheme="minorEastAsia"/>
                <w:color w:val="auto"/>
                <w:kern w:val="0"/>
                <w:sz w:val="24"/>
                <w:szCs w:val="24"/>
                <w:highlight w:val="none"/>
              </w:rPr>
            </w:pPr>
          </w:p>
          <w:p>
            <w:pPr>
              <w:pStyle w:val="40"/>
              <w:snapToGrid w:val="0"/>
              <w:spacing w:beforeLines="50"/>
              <w:jc w:val="center"/>
              <w:rPr>
                <w:rFonts w:cs="宋体" w:asciiTheme="minorEastAsia" w:hAnsiTheme="minorEastAsia" w:eastAsiaTheme="minorEastAsia"/>
                <w:b w:val="0"/>
                <w:color w:val="auto"/>
                <w:szCs w:val="24"/>
                <w:highlight w:val="none"/>
              </w:rPr>
            </w:pPr>
            <w:r>
              <w:rPr>
                <w:rFonts w:hint="eastAsia" w:cs="宋体" w:asciiTheme="minorEastAsia" w:hAnsiTheme="minorEastAsia" w:eastAsiaTheme="minorEastAsia"/>
                <w:b w:val="0"/>
                <w:color w:val="auto"/>
                <w:szCs w:val="24"/>
                <w:highlight w:val="none"/>
              </w:rPr>
              <w:t>表</w:t>
            </w:r>
            <w:r>
              <w:rPr>
                <w:rFonts w:asciiTheme="minorEastAsia" w:hAnsiTheme="minorEastAsia" w:eastAsiaTheme="minorEastAsia"/>
                <w:b w:val="0"/>
                <w:bCs/>
                <w:color w:val="auto"/>
                <w:szCs w:val="24"/>
                <w:highlight w:val="none"/>
              </w:rPr>
              <w:t>2.5-2</w:t>
            </w:r>
            <w:r>
              <w:rPr>
                <w:rFonts w:hint="eastAsia" w:cs="宋体" w:asciiTheme="minorEastAsia" w:hAnsiTheme="minorEastAsia" w:eastAsiaTheme="minorEastAsia"/>
                <w:b w:val="0"/>
                <w:color w:val="auto"/>
                <w:szCs w:val="24"/>
                <w:highlight w:val="none"/>
              </w:rPr>
              <w:t>海洋生物质量标准值（鲜重，</w:t>
            </w:r>
            <w:r>
              <w:rPr>
                <w:rFonts w:asciiTheme="minorEastAsia" w:hAnsiTheme="minorEastAsia" w:eastAsiaTheme="minorEastAsia"/>
                <w:b w:val="0"/>
                <w:bCs/>
                <w:color w:val="auto"/>
                <w:szCs w:val="24"/>
                <w:highlight w:val="none"/>
              </w:rPr>
              <w:t>mg/kg</w:t>
            </w:r>
            <w:r>
              <w:rPr>
                <w:rFonts w:hint="eastAsia" w:cs="宋体" w:asciiTheme="minorEastAsia" w:hAnsiTheme="minorEastAsia" w:eastAsiaTheme="minorEastAsia"/>
                <w:b w:val="0"/>
                <w:color w:val="auto"/>
                <w:szCs w:val="24"/>
                <w:highlight w:val="none"/>
              </w:rPr>
              <w:t>）</w:t>
            </w:r>
          </w:p>
          <w:p>
            <w:pPr>
              <w:pStyle w:val="40"/>
              <w:snapToGrid w:val="0"/>
              <w:spacing w:beforeLines="50"/>
              <w:rPr>
                <w:rFonts w:ascii="宋体" w:cs="宋体"/>
                <w:b w:val="0"/>
                <w:color w:val="auto"/>
                <w:sz w:val="21"/>
                <w:szCs w:val="21"/>
                <w:highlight w:val="none"/>
              </w:rPr>
            </w:pPr>
            <w:r>
              <w:rPr>
                <w:rFonts w:ascii="宋体" w:cs="宋体"/>
                <w:b w:val="0"/>
                <w:color w:val="auto"/>
                <w:sz w:val="21"/>
                <w:szCs w:val="21"/>
                <w:highlight w:val="none"/>
              </w:rPr>
              <w:drawing>
                <wp:inline distT="0" distB="0" distL="0" distR="0">
                  <wp:extent cx="5749925" cy="2178050"/>
                  <wp:effectExtent l="19050" t="0" r="2824" b="0"/>
                  <wp:docPr id="52" name="图片 28" descr="F:\微信文件File\WeChat Files\wxid_kgkf81ca4cje21\FileStorage\Temp\1701304972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descr="F:\微信文件File\WeChat Files\wxid_kgkf81ca4cje21\FileStorage\Temp\1701304972855.png"/>
                          <pic:cNvPicPr>
                            <a:picLocks noChangeAspect="1" noChangeArrowheads="1"/>
                          </pic:cNvPicPr>
                        </pic:nvPicPr>
                        <pic:blipFill>
                          <a:blip r:embed="rId68"/>
                          <a:srcRect/>
                          <a:stretch>
                            <a:fillRect/>
                          </a:stretch>
                        </pic:blipFill>
                        <pic:spPr>
                          <a:xfrm>
                            <a:off x="0" y="0"/>
                            <a:ext cx="5750276" cy="2178050"/>
                          </a:xfrm>
                          <a:prstGeom prst="rect">
                            <a:avLst/>
                          </a:prstGeom>
                          <a:noFill/>
                          <a:ln w="9525">
                            <a:noFill/>
                            <a:miter lim="800000"/>
                            <a:headEnd/>
                            <a:tailEnd/>
                          </a:ln>
                        </pic:spPr>
                      </pic:pic>
                    </a:graphicData>
                  </a:graphic>
                </wp:inline>
              </w:drawing>
            </w:r>
          </w:p>
          <w:p>
            <w:pPr>
              <w:pStyle w:val="40"/>
              <w:snapToGrid w:val="0"/>
              <w:spacing w:beforeLines="50"/>
              <w:jc w:val="center"/>
              <w:rPr>
                <w:rFonts w:ascii="宋体" w:cs="宋体"/>
                <w:b w:val="0"/>
                <w:color w:val="auto"/>
                <w:szCs w:val="24"/>
                <w:highlight w:val="none"/>
              </w:rPr>
            </w:pPr>
            <w:r>
              <w:rPr>
                <w:rFonts w:hint="eastAsia"/>
                <w:b w:val="0"/>
                <w:color w:val="auto"/>
                <w:szCs w:val="24"/>
                <w:highlight w:val="none"/>
              </w:rPr>
              <w:t>表</w:t>
            </w:r>
            <w:r>
              <w:rPr>
                <w:b w:val="0"/>
                <w:bCs/>
                <w:color w:val="auto"/>
                <w:szCs w:val="24"/>
                <w:highlight w:val="none"/>
              </w:rPr>
              <w:t>2.5-3</w:t>
            </w:r>
            <w:r>
              <w:rPr>
                <w:rFonts w:hint="eastAsia"/>
                <w:b w:val="0"/>
                <w:color w:val="auto"/>
                <w:szCs w:val="24"/>
                <w:highlight w:val="none"/>
              </w:rPr>
              <w:t>各调查站位生物质量执行标准</w:t>
            </w:r>
          </w:p>
          <w:p>
            <w:pPr>
              <w:pStyle w:val="40"/>
              <w:snapToGrid w:val="0"/>
              <w:spacing w:beforeLines="50"/>
              <w:jc w:val="both"/>
              <w:rPr>
                <w:b w:val="0"/>
                <w:color w:val="auto"/>
                <w:szCs w:val="24"/>
                <w:highlight w:val="none"/>
              </w:rPr>
            </w:pPr>
            <w:r>
              <w:rPr>
                <w:rFonts w:hint="eastAsia"/>
                <w:b w:val="0"/>
                <w:color w:val="auto"/>
                <w:szCs w:val="24"/>
                <w:highlight w:val="none"/>
              </w:rPr>
              <w:drawing>
                <wp:inline distT="0" distB="0" distL="0" distR="0">
                  <wp:extent cx="5759450" cy="2660650"/>
                  <wp:effectExtent l="19050" t="0" r="0" b="0"/>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noChangeArrowheads="1"/>
                          </pic:cNvPicPr>
                        </pic:nvPicPr>
                        <pic:blipFill>
                          <a:blip r:embed="rId69"/>
                          <a:srcRect/>
                          <a:stretch>
                            <a:fillRect/>
                          </a:stretch>
                        </pic:blipFill>
                        <pic:spPr>
                          <a:xfrm>
                            <a:off x="0" y="0"/>
                            <a:ext cx="5759450" cy="2660650"/>
                          </a:xfrm>
                          <a:prstGeom prst="rect">
                            <a:avLst/>
                          </a:prstGeom>
                          <a:noFill/>
                          <a:ln w="9525">
                            <a:noFill/>
                            <a:miter lim="800000"/>
                            <a:headEnd/>
                            <a:tailEnd/>
                          </a:ln>
                        </pic:spPr>
                      </pic:pic>
                    </a:graphicData>
                  </a:graphic>
                </wp:inline>
              </w:drawing>
            </w:r>
          </w:p>
          <w:p>
            <w:pPr>
              <w:spacing w:line="360" w:lineRule="auto"/>
              <w:ind w:firstLine="480" w:firstLineChars="200"/>
              <w:rPr>
                <w:rFonts w:ascii="宋体" w:hAnsi="Times New Roman" w:cs="宋体"/>
                <w:color w:val="auto"/>
                <w:kern w:val="0"/>
                <w:sz w:val="24"/>
                <w:szCs w:val="24"/>
                <w:highlight w:val="none"/>
              </w:rPr>
            </w:pPr>
            <w:r>
              <w:rPr>
                <w:rFonts w:ascii="Times New Roman" w:hAnsi="Times New Roman"/>
                <w:bCs/>
                <w:color w:val="auto"/>
                <w:kern w:val="0"/>
                <w:sz w:val="24"/>
                <w:szCs w:val="24"/>
                <w:highlight w:val="none"/>
              </w:rPr>
              <w:t>2.5.4</w:t>
            </w:r>
            <w:r>
              <w:rPr>
                <w:rFonts w:hint="eastAsia"/>
                <w:bCs/>
                <w:color w:val="auto"/>
                <w:sz w:val="24"/>
                <w:szCs w:val="24"/>
                <w:highlight w:val="none"/>
              </w:rPr>
              <w:t>调查</w:t>
            </w:r>
            <w:r>
              <w:rPr>
                <w:rFonts w:hint="eastAsia" w:ascii="宋体" w:hAnsi="Times New Roman" w:cs="宋体"/>
                <w:color w:val="auto"/>
                <w:kern w:val="0"/>
                <w:sz w:val="24"/>
                <w:szCs w:val="24"/>
                <w:highlight w:val="none"/>
              </w:rPr>
              <w:t>结果与评价</w:t>
            </w:r>
          </w:p>
          <w:p>
            <w:pPr>
              <w:spacing w:line="360" w:lineRule="auto"/>
              <w:ind w:firstLine="480" w:firstLineChars="200"/>
              <w:rPr>
                <w:rFonts w:ascii="宋体" w:hAnsi="Times New Roman" w:cs="宋体"/>
                <w:color w:val="auto"/>
                <w:kern w:val="0"/>
                <w:sz w:val="24"/>
                <w:szCs w:val="24"/>
                <w:highlight w:val="none"/>
              </w:rPr>
            </w:pPr>
            <w:r>
              <w:rPr>
                <w:rFonts w:ascii="Times New Roman" w:hAnsi="Times New Roman"/>
                <w:color w:val="auto"/>
                <w:kern w:val="0"/>
                <w:sz w:val="24"/>
                <w:szCs w:val="24"/>
                <w:highlight w:val="none"/>
              </w:rPr>
              <w:t>2022</w:t>
            </w:r>
            <w:r>
              <w:rPr>
                <w:rFonts w:hint="eastAsia" w:ascii="宋体" w:hAnsi="Times New Roman" w:cs="宋体"/>
                <w:color w:val="auto"/>
                <w:kern w:val="0"/>
                <w:sz w:val="24"/>
                <w:szCs w:val="24"/>
                <w:highlight w:val="none"/>
              </w:rPr>
              <w:t>年</w:t>
            </w:r>
            <w:r>
              <w:rPr>
                <w:rFonts w:ascii="Times New Roman" w:hAnsi="Times New Roman"/>
                <w:color w:val="auto"/>
                <w:kern w:val="0"/>
                <w:sz w:val="24"/>
                <w:szCs w:val="24"/>
                <w:highlight w:val="none"/>
              </w:rPr>
              <w:t>9</w:t>
            </w:r>
            <w:r>
              <w:rPr>
                <w:rFonts w:hint="eastAsia" w:ascii="宋体" w:hAnsi="Times New Roman" w:cs="宋体"/>
                <w:color w:val="auto"/>
                <w:kern w:val="0"/>
                <w:sz w:val="24"/>
                <w:szCs w:val="24"/>
                <w:highlight w:val="none"/>
              </w:rPr>
              <w:t>月</w:t>
            </w:r>
            <w:r>
              <w:rPr>
                <w:rFonts w:ascii="Times New Roman" w:hAnsi="Times New Roman"/>
                <w:color w:val="auto"/>
                <w:kern w:val="0"/>
                <w:sz w:val="24"/>
                <w:szCs w:val="24"/>
                <w:highlight w:val="none"/>
              </w:rPr>
              <w:t>26</w:t>
            </w:r>
            <w:r>
              <w:rPr>
                <w:rFonts w:hint="eastAsia" w:ascii="宋体" w:hAnsi="Times New Roman" w:cs="宋体"/>
                <w:color w:val="auto"/>
                <w:kern w:val="0"/>
                <w:sz w:val="24"/>
                <w:szCs w:val="24"/>
                <w:highlight w:val="none"/>
              </w:rPr>
              <w:t>日对广西钦州市海洋生态保护修复项目近岸海域开展了生物体质量监测，共采集</w:t>
            </w:r>
            <w:r>
              <w:rPr>
                <w:rFonts w:ascii="Times New Roman" w:hAnsi="Times New Roman"/>
                <w:color w:val="auto"/>
                <w:kern w:val="0"/>
                <w:sz w:val="24"/>
                <w:szCs w:val="24"/>
                <w:highlight w:val="none"/>
              </w:rPr>
              <w:t>20</w:t>
            </w:r>
            <w:r>
              <w:rPr>
                <w:rFonts w:hint="eastAsia" w:ascii="宋体" w:hAnsi="Times New Roman" w:cs="宋体"/>
                <w:color w:val="auto"/>
                <w:kern w:val="0"/>
                <w:sz w:val="24"/>
                <w:szCs w:val="24"/>
                <w:highlight w:val="none"/>
              </w:rPr>
              <w:t>个站位的生物体质量样品，监测内容包括石油烃、铜、铅、锌、镉、铬、总汞和砷，共</w:t>
            </w:r>
            <w:r>
              <w:rPr>
                <w:rFonts w:ascii="Times New Roman" w:hAnsi="Times New Roman"/>
                <w:color w:val="auto"/>
                <w:kern w:val="0"/>
                <w:sz w:val="24"/>
                <w:szCs w:val="24"/>
                <w:highlight w:val="none"/>
              </w:rPr>
              <w:t>8</w:t>
            </w:r>
            <w:r>
              <w:rPr>
                <w:rFonts w:hint="eastAsia" w:ascii="宋体" w:hAnsi="Times New Roman" w:cs="宋体"/>
                <w:color w:val="auto"/>
                <w:kern w:val="0"/>
                <w:sz w:val="24"/>
                <w:szCs w:val="24"/>
                <w:highlight w:val="none"/>
              </w:rPr>
              <w:t>项。</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w:t>
            </w:r>
            <w:r>
              <w:rPr>
                <w:rFonts w:ascii="Times New Roman" w:hAnsi="Times New Roman"/>
                <w:bCs/>
                <w:color w:val="auto"/>
                <w:kern w:val="0"/>
                <w:sz w:val="24"/>
                <w:szCs w:val="24"/>
                <w:highlight w:val="none"/>
              </w:rPr>
              <w:t>1</w:t>
            </w:r>
            <w:r>
              <w:rPr>
                <w:rFonts w:hint="eastAsia" w:ascii="宋体" w:hAnsi="Times New Roman" w:cs="宋体"/>
                <w:color w:val="auto"/>
                <w:kern w:val="0"/>
                <w:sz w:val="24"/>
                <w:szCs w:val="24"/>
                <w:highlight w:val="none"/>
              </w:rPr>
              <w:t>）调查结果</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本次监测海域生物</w:t>
            </w:r>
            <w:r>
              <w:rPr>
                <w:rFonts w:hint="eastAsia"/>
                <w:bCs/>
                <w:color w:val="auto"/>
                <w:sz w:val="24"/>
                <w:szCs w:val="24"/>
                <w:highlight w:val="none"/>
              </w:rPr>
              <w:t>体质</w:t>
            </w:r>
            <w:r>
              <w:rPr>
                <w:rFonts w:hint="eastAsia" w:ascii="宋体" w:hAnsi="Times New Roman" w:cs="宋体"/>
                <w:color w:val="auto"/>
                <w:kern w:val="0"/>
                <w:sz w:val="24"/>
                <w:szCs w:val="24"/>
                <w:highlight w:val="none"/>
              </w:rPr>
              <w:t>量各站位的含量分析结果列于表</w:t>
            </w:r>
            <w:r>
              <w:rPr>
                <w:rFonts w:ascii="Times New Roman" w:hAnsi="Times New Roman"/>
                <w:color w:val="auto"/>
                <w:kern w:val="0"/>
                <w:sz w:val="24"/>
                <w:szCs w:val="24"/>
                <w:highlight w:val="none"/>
              </w:rPr>
              <w:t>2.5-4</w:t>
            </w:r>
            <w:r>
              <w:rPr>
                <w:rFonts w:hint="eastAsia" w:ascii="宋体" w:hAnsi="Times New Roman" w:cs="宋体"/>
                <w:color w:val="auto"/>
                <w:kern w:val="0"/>
                <w:sz w:val="24"/>
                <w:szCs w:val="24"/>
                <w:highlight w:val="none"/>
              </w:rPr>
              <w:t>。</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w:t>
            </w:r>
            <w:r>
              <w:rPr>
                <w:rFonts w:ascii="Times New Roman" w:hAnsi="Times New Roman"/>
                <w:bCs/>
                <w:color w:val="auto"/>
                <w:kern w:val="0"/>
                <w:sz w:val="24"/>
                <w:szCs w:val="24"/>
                <w:highlight w:val="none"/>
              </w:rPr>
              <w:t>2</w:t>
            </w:r>
            <w:r>
              <w:rPr>
                <w:rFonts w:hint="eastAsia" w:ascii="宋体" w:hAnsi="Times New Roman" w:cs="宋体"/>
                <w:color w:val="auto"/>
                <w:kern w:val="0"/>
                <w:sz w:val="24"/>
                <w:szCs w:val="24"/>
                <w:highlight w:val="none"/>
              </w:rPr>
              <w:t>）评价</w:t>
            </w:r>
            <w:r>
              <w:rPr>
                <w:rFonts w:hint="eastAsia"/>
                <w:bCs/>
                <w:color w:val="auto"/>
                <w:sz w:val="24"/>
                <w:szCs w:val="24"/>
                <w:highlight w:val="none"/>
              </w:rPr>
              <w:t>结果</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海洋鱼类、甲壳类生物</w:t>
            </w:r>
            <w:r>
              <w:rPr>
                <w:rFonts w:hint="eastAsia"/>
                <w:bCs/>
                <w:color w:val="auto"/>
                <w:sz w:val="24"/>
                <w:szCs w:val="24"/>
                <w:highlight w:val="none"/>
              </w:rPr>
              <w:t>质量评价</w:t>
            </w:r>
            <w:r>
              <w:rPr>
                <w:rFonts w:hint="eastAsia" w:ascii="宋体" w:hAnsi="Times New Roman" w:cs="宋体"/>
                <w:color w:val="auto"/>
                <w:kern w:val="0"/>
                <w:sz w:val="24"/>
                <w:szCs w:val="24"/>
                <w:highlight w:val="none"/>
              </w:rPr>
              <w:t>，国家尚未颁布统一的评价标准，本报告铜、锌、铅、镉和汞采用《全国海岸带和海涂资源综合调查简明规程》</w:t>
            </w:r>
            <w:r>
              <w:rPr>
                <w:rFonts w:ascii="宋体" w:hAnsi="Times New Roman" w:cs="宋体"/>
                <w:color w:val="auto"/>
                <w:kern w:val="0"/>
                <w:sz w:val="24"/>
                <w:szCs w:val="24"/>
                <w:highlight w:val="none"/>
              </w:rPr>
              <w:t>“</w:t>
            </w:r>
            <w:r>
              <w:rPr>
                <w:rFonts w:hint="eastAsia" w:ascii="宋体" w:hAnsi="Times New Roman" w:cs="宋体"/>
                <w:color w:val="auto"/>
                <w:kern w:val="0"/>
                <w:sz w:val="24"/>
                <w:szCs w:val="24"/>
                <w:highlight w:val="none"/>
              </w:rPr>
              <w:t>海洋生物质量评价标准</w:t>
            </w:r>
            <w:r>
              <w:rPr>
                <w:rFonts w:ascii="宋体" w:hAnsi="Times New Roman" w:cs="宋体"/>
                <w:color w:val="auto"/>
                <w:kern w:val="0"/>
                <w:sz w:val="24"/>
                <w:szCs w:val="24"/>
                <w:highlight w:val="none"/>
              </w:rPr>
              <w:t>”</w:t>
            </w:r>
            <w:r>
              <w:rPr>
                <w:rFonts w:hint="eastAsia" w:ascii="宋体" w:hAnsi="Times New Roman" w:cs="宋体"/>
                <w:color w:val="auto"/>
                <w:kern w:val="0"/>
                <w:sz w:val="24"/>
                <w:szCs w:val="24"/>
                <w:highlight w:val="none"/>
              </w:rPr>
              <w:t>进行评价；砷、铬和石油烃采用《第二次全国海洋污染基线调查技术规程》（第二分册）中规定的生物质量标准进行评价。</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评价结果列于表</w:t>
            </w:r>
            <w:r>
              <w:rPr>
                <w:rFonts w:ascii="Times New Roman" w:hAnsi="Times New Roman"/>
                <w:color w:val="auto"/>
                <w:kern w:val="0"/>
                <w:sz w:val="24"/>
                <w:szCs w:val="24"/>
                <w:highlight w:val="none"/>
              </w:rPr>
              <w:t>2.5-4</w:t>
            </w:r>
            <w:r>
              <w:rPr>
                <w:rFonts w:hint="eastAsia" w:ascii="宋体" w:hAnsi="Times New Roman" w:cs="宋体"/>
                <w:color w:val="auto"/>
                <w:kern w:val="0"/>
                <w:sz w:val="24"/>
                <w:szCs w:val="24"/>
                <w:highlight w:val="none"/>
              </w:rPr>
              <w:t>。</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评价结果表明：除</w:t>
            </w:r>
            <w:r>
              <w:rPr>
                <w:rFonts w:ascii="Times New Roman" w:hAnsi="Times New Roman"/>
                <w:color w:val="auto"/>
                <w:kern w:val="0"/>
                <w:sz w:val="24"/>
                <w:szCs w:val="24"/>
                <w:highlight w:val="none"/>
              </w:rPr>
              <w:t>1</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14</w:t>
            </w:r>
            <w:r>
              <w:rPr>
                <w:rFonts w:hint="eastAsia" w:ascii="宋体" w:hAnsi="Times New Roman" w:cs="宋体"/>
                <w:color w:val="auto"/>
                <w:kern w:val="0"/>
                <w:sz w:val="24"/>
                <w:szCs w:val="24"/>
                <w:highlight w:val="none"/>
              </w:rPr>
              <w:t>、</w:t>
            </w:r>
            <w:r>
              <w:rPr>
                <w:rFonts w:ascii="Times New Roman" w:hAnsi="Times New Roman"/>
                <w:color w:val="auto"/>
                <w:kern w:val="0"/>
                <w:sz w:val="24"/>
                <w:szCs w:val="24"/>
                <w:highlight w:val="none"/>
              </w:rPr>
              <w:t>18</w:t>
            </w:r>
            <w:r>
              <w:rPr>
                <w:rFonts w:hint="eastAsia" w:ascii="宋体" w:hAnsi="Times New Roman" w:cs="宋体"/>
                <w:color w:val="auto"/>
                <w:kern w:val="0"/>
                <w:sz w:val="24"/>
                <w:szCs w:val="24"/>
                <w:highlight w:val="none"/>
              </w:rPr>
              <w:t>号点位的石油烃超标外，其它点位各指标均符合生物质量相关标准。</w:t>
            </w:r>
          </w:p>
          <w:p>
            <w:pPr>
              <w:pStyle w:val="40"/>
              <w:snapToGrid w:val="0"/>
              <w:spacing w:beforeLines="50"/>
              <w:jc w:val="center"/>
              <w:rPr>
                <w:rFonts w:ascii="宋体" w:cs="宋体"/>
                <w:b w:val="0"/>
                <w:color w:val="auto"/>
                <w:szCs w:val="24"/>
                <w:highlight w:val="none"/>
              </w:rPr>
            </w:pPr>
            <w:r>
              <w:rPr>
                <w:rFonts w:hint="eastAsia" w:ascii="宋体" w:cs="宋体"/>
                <w:b w:val="0"/>
                <w:color w:val="auto"/>
                <w:szCs w:val="24"/>
                <w:highlight w:val="none"/>
              </w:rPr>
              <w:t>表</w:t>
            </w:r>
            <w:r>
              <w:rPr>
                <w:b w:val="0"/>
                <w:bCs/>
                <w:color w:val="auto"/>
                <w:szCs w:val="24"/>
                <w:highlight w:val="none"/>
              </w:rPr>
              <w:t>2.5-42022</w:t>
            </w:r>
            <w:r>
              <w:rPr>
                <w:rFonts w:hint="eastAsia" w:ascii="宋体" w:cs="宋体"/>
                <w:b w:val="0"/>
                <w:color w:val="auto"/>
                <w:szCs w:val="24"/>
                <w:highlight w:val="none"/>
              </w:rPr>
              <w:t>年</w:t>
            </w:r>
            <w:r>
              <w:rPr>
                <w:b w:val="0"/>
                <w:bCs/>
                <w:color w:val="auto"/>
                <w:szCs w:val="24"/>
                <w:highlight w:val="none"/>
              </w:rPr>
              <w:t>9</w:t>
            </w:r>
            <w:r>
              <w:rPr>
                <w:rFonts w:hint="eastAsia" w:ascii="宋体" w:cs="宋体"/>
                <w:b w:val="0"/>
                <w:color w:val="auto"/>
                <w:szCs w:val="24"/>
                <w:highlight w:val="none"/>
              </w:rPr>
              <w:t>月</w:t>
            </w:r>
            <w:r>
              <w:rPr>
                <w:b w:val="0"/>
                <w:bCs/>
                <w:color w:val="auto"/>
                <w:szCs w:val="24"/>
                <w:highlight w:val="none"/>
              </w:rPr>
              <w:t>26</w:t>
            </w:r>
            <w:r>
              <w:rPr>
                <w:rFonts w:hint="eastAsia" w:ascii="宋体" w:cs="宋体"/>
                <w:b w:val="0"/>
                <w:color w:val="auto"/>
                <w:szCs w:val="24"/>
                <w:highlight w:val="none"/>
              </w:rPr>
              <w:t>日生物体质量监测结果</w:t>
            </w:r>
          </w:p>
          <w:p>
            <w:pPr>
              <w:pStyle w:val="40"/>
              <w:snapToGrid w:val="0"/>
              <w:spacing w:beforeLines="50"/>
              <w:rPr>
                <w:rFonts w:ascii="宋体" w:cs="宋体"/>
                <w:b w:val="0"/>
                <w:color w:val="auto"/>
                <w:sz w:val="21"/>
                <w:szCs w:val="21"/>
                <w:highlight w:val="none"/>
              </w:rPr>
            </w:pPr>
            <w:r>
              <w:rPr>
                <w:rFonts w:hint="eastAsia" w:ascii="宋体" w:cs="宋体"/>
                <w:color w:val="auto"/>
                <w:szCs w:val="21"/>
                <w:highlight w:val="none"/>
              </w:rPr>
              <w:drawing>
                <wp:inline distT="0" distB="0" distL="0" distR="0">
                  <wp:extent cx="5759450" cy="4591050"/>
                  <wp:effectExtent l="19050" t="0" r="0" b="0"/>
                  <wp:docPr id="5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2"/>
                          <pic:cNvPicPr>
                            <a:picLocks noChangeAspect="1" noChangeArrowheads="1"/>
                          </pic:cNvPicPr>
                        </pic:nvPicPr>
                        <pic:blipFill>
                          <a:blip r:embed="rId70"/>
                          <a:srcRect/>
                          <a:stretch>
                            <a:fillRect/>
                          </a:stretch>
                        </pic:blipFill>
                        <pic:spPr>
                          <a:xfrm>
                            <a:off x="0" y="0"/>
                            <a:ext cx="5759450" cy="4591050"/>
                          </a:xfrm>
                          <a:prstGeom prst="rect">
                            <a:avLst/>
                          </a:prstGeom>
                          <a:noFill/>
                          <a:ln w="9525">
                            <a:noFill/>
                            <a:miter lim="800000"/>
                            <a:headEnd/>
                            <a:tailEnd/>
                          </a:ln>
                        </pic:spPr>
                      </pic:pic>
                    </a:graphicData>
                  </a:graphic>
                </wp:inline>
              </w:drawing>
            </w:r>
          </w:p>
          <w:p>
            <w:pPr>
              <w:pStyle w:val="40"/>
              <w:snapToGrid w:val="0"/>
              <w:spacing w:beforeLines="50"/>
              <w:jc w:val="center"/>
              <w:rPr>
                <w:rFonts w:hint="eastAsia"/>
                <w:b w:val="0"/>
                <w:color w:val="auto"/>
                <w:szCs w:val="24"/>
                <w:highlight w:val="none"/>
              </w:rPr>
            </w:pPr>
          </w:p>
          <w:p>
            <w:pPr>
              <w:pStyle w:val="40"/>
              <w:snapToGrid w:val="0"/>
              <w:spacing w:beforeLines="50"/>
              <w:jc w:val="center"/>
              <w:rPr>
                <w:rFonts w:hint="eastAsia"/>
                <w:b w:val="0"/>
                <w:color w:val="auto"/>
                <w:szCs w:val="24"/>
                <w:highlight w:val="none"/>
              </w:rPr>
            </w:pPr>
          </w:p>
          <w:p>
            <w:pPr>
              <w:pStyle w:val="40"/>
              <w:snapToGrid w:val="0"/>
              <w:spacing w:beforeLines="50"/>
              <w:jc w:val="center"/>
              <w:rPr>
                <w:rFonts w:hint="eastAsia"/>
                <w:b w:val="0"/>
                <w:color w:val="auto"/>
                <w:szCs w:val="24"/>
                <w:highlight w:val="none"/>
              </w:rPr>
            </w:pPr>
          </w:p>
          <w:p>
            <w:pPr>
              <w:pStyle w:val="40"/>
              <w:snapToGrid w:val="0"/>
              <w:spacing w:beforeLines="50"/>
              <w:jc w:val="center"/>
              <w:rPr>
                <w:rFonts w:hint="eastAsia"/>
                <w:b w:val="0"/>
                <w:color w:val="auto"/>
                <w:szCs w:val="24"/>
                <w:highlight w:val="none"/>
              </w:rPr>
            </w:pPr>
          </w:p>
          <w:p>
            <w:pPr>
              <w:pStyle w:val="40"/>
              <w:snapToGrid w:val="0"/>
              <w:spacing w:beforeLines="50"/>
              <w:jc w:val="center"/>
              <w:rPr>
                <w:rFonts w:hint="eastAsia"/>
                <w:b w:val="0"/>
                <w:color w:val="auto"/>
                <w:szCs w:val="24"/>
                <w:highlight w:val="none"/>
              </w:rPr>
            </w:pPr>
          </w:p>
          <w:p>
            <w:pPr>
              <w:pStyle w:val="40"/>
              <w:snapToGrid w:val="0"/>
              <w:spacing w:beforeLines="50"/>
              <w:jc w:val="center"/>
              <w:rPr>
                <w:rFonts w:ascii="宋体" w:cs="宋体"/>
                <w:b w:val="0"/>
                <w:color w:val="auto"/>
                <w:szCs w:val="24"/>
                <w:highlight w:val="none"/>
              </w:rPr>
            </w:pPr>
            <w:r>
              <w:rPr>
                <w:rFonts w:hint="eastAsia"/>
                <w:b w:val="0"/>
                <w:color w:val="auto"/>
                <w:szCs w:val="24"/>
                <w:highlight w:val="none"/>
              </w:rPr>
              <w:t>表</w:t>
            </w:r>
            <w:r>
              <w:rPr>
                <w:b w:val="0"/>
                <w:bCs/>
                <w:color w:val="auto"/>
                <w:szCs w:val="24"/>
                <w:highlight w:val="none"/>
              </w:rPr>
              <w:t>2.5-5</w:t>
            </w:r>
            <w:r>
              <w:rPr>
                <w:rFonts w:hint="eastAsia"/>
                <w:b w:val="0"/>
                <w:color w:val="auto"/>
                <w:szCs w:val="24"/>
                <w:highlight w:val="none"/>
              </w:rPr>
              <w:t>生物体质量各指标评价结果</w:t>
            </w:r>
          </w:p>
          <w:p>
            <w:pPr>
              <w:pStyle w:val="40"/>
              <w:snapToGrid w:val="0"/>
              <w:spacing w:beforeLines="50"/>
              <w:jc w:val="both"/>
              <w:rPr>
                <w:rFonts w:ascii="宋体" w:cs="宋体"/>
                <w:b w:val="0"/>
                <w:color w:val="auto"/>
                <w:szCs w:val="24"/>
                <w:highlight w:val="none"/>
              </w:rPr>
            </w:pPr>
            <w:r>
              <w:rPr>
                <w:rFonts w:ascii="宋体" w:cs="宋体"/>
                <w:b w:val="0"/>
                <w:color w:val="auto"/>
                <w:szCs w:val="24"/>
                <w:highlight w:val="none"/>
              </w:rPr>
              <w:drawing>
                <wp:inline distT="0" distB="0" distL="0" distR="0">
                  <wp:extent cx="5734050" cy="5031105"/>
                  <wp:effectExtent l="19050" t="0" r="0" b="0"/>
                  <wp:docPr id="55" name="图片 35" descr="F:\微信文件File\WeChat Files\wxid_kgkf81ca4cje21\FileStorage\Temp\1701305281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5" descr="F:\微信文件File\WeChat Files\wxid_kgkf81ca4cje21\FileStorage\Temp\1701305281060.png"/>
                          <pic:cNvPicPr>
                            <a:picLocks noChangeAspect="1" noChangeArrowheads="1"/>
                          </pic:cNvPicPr>
                        </pic:nvPicPr>
                        <pic:blipFill>
                          <a:blip r:embed="rId71"/>
                          <a:srcRect/>
                          <a:stretch>
                            <a:fillRect/>
                          </a:stretch>
                        </pic:blipFill>
                        <pic:spPr>
                          <a:xfrm>
                            <a:off x="0" y="0"/>
                            <a:ext cx="5734050" cy="5031480"/>
                          </a:xfrm>
                          <a:prstGeom prst="rect">
                            <a:avLst/>
                          </a:prstGeom>
                          <a:noFill/>
                          <a:ln w="9525">
                            <a:noFill/>
                            <a:miter lim="800000"/>
                            <a:headEnd/>
                            <a:tailEnd/>
                          </a:ln>
                        </pic:spPr>
                      </pic:pic>
                    </a:graphicData>
                  </a:graphic>
                </wp:inline>
              </w:drawing>
            </w:r>
          </w:p>
          <w:p>
            <w:pPr>
              <w:spacing w:line="360" w:lineRule="auto"/>
              <w:ind w:firstLine="480" w:firstLineChars="200"/>
              <w:rPr>
                <w:rFonts w:ascii="宋体" w:hAnsi="Times New Roman" w:cs="宋体"/>
                <w:color w:val="auto"/>
                <w:kern w:val="0"/>
                <w:sz w:val="24"/>
                <w:szCs w:val="24"/>
                <w:highlight w:val="none"/>
              </w:rPr>
            </w:pPr>
            <w:r>
              <w:rPr>
                <w:rFonts w:hint="eastAsia" w:ascii="Times New Roman" w:hAnsi="Times New Roman"/>
                <w:bCs/>
                <w:color w:val="auto"/>
                <w:kern w:val="0"/>
                <w:sz w:val="24"/>
                <w:szCs w:val="24"/>
                <w:highlight w:val="none"/>
              </w:rPr>
              <w:t>2.6</w:t>
            </w:r>
            <w:r>
              <w:rPr>
                <w:rFonts w:hint="eastAsia"/>
                <w:bCs/>
                <w:color w:val="auto"/>
                <w:sz w:val="24"/>
                <w:szCs w:val="24"/>
                <w:highlight w:val="none"/>
              </w:rPr>
              <w:t>红树林</w:t>
            </w:r>
            <w:r>
              <w:rPr>
                <w:rFonts w:hint="eastAsia" w:ascii="宋体" w:hAnsi="Times New Roman" w:cs="宋体"/>
                <w:color w:val="auto"/>
                <w:kern w:val="0"/>
                <w:sz w:val="24"/>
                <w:szCs w:val="24"/>
                <w:highlight w:val="none"/>
              </w:rPr>
              <w:t>概况</w:t>
            </w:r>
          </w:p>
          <w:p>
            <w:pPr>
              <w:spacing w:line="360" w:lineRule="auto"/>
              <w:ind w:firstLine="480" w:firstLineChars="200"/>
              <w:rPr>
                <w:rFonts w:ascii="宋体" w:hAnsi="Times New Roman" w:cs="宋体"/>
                <w:color w:val="auto"/>
                <w:kern w:val="0"/>
                <w:sz w:val="24"/>
                <w:szCs w:val="24"/>
                <w:highlight w:val="none"/>
              </w:rPr>
            </w:pPr>
            <w:r>
              <w:rPr>
                <w:rFonts w:hint="eastAsia" w:ascii="宋体" w:hAnsi="Times New Roman" w:cs="宋体"/>
                <w:color w:val="auto"/>
                <w:kern w:val="0"/>
                <w:sz w:val="24"/>
                <w:szCs w:val="24"/>
                <w:highlight w:val="none"/>
              </w:rPr>
              <w:t>钦州是广西</w:t>
            </w:r>
            <w:r>
              <w:rPr>
                <w:rFonts w:hint="eastAsia"/>
                <w:bCs/>
                <w:color w:val="auto"/>
                <w:sz w:val="24"/>
                <w:szCs w:val="24"/>
                <w:highlight w:val="none"/>
              </w:rPr>
              <w:t>红树林</w:t>
            </w:r>
            <w:r>
              <w:rPr>
                <w:rFonts w:hint="eastAsia" w:ascii="宋体" w:hAnsi="Times New Roman" w:cs="宋体"/>
                <w:color w:val="auto"/>
                <w:kern w:val="0"/>
                <w:sz w:val="24"/>
                <w:szCs w:val="24"/>
                <w:highlight w:val="none"/>
              </w:rPr>
              <w:t>重要分布区。钦州市现有红树林</w:t>
            </w:r>
            <w:r>
              <w:rPr>
                <w:rFonts w:ascii="Times New Roman" w:hAnsi="Times New Roman"/>
                <w:color w:val="auto"/>
                <w:kern w:val="0"/>
                <w:sz w:val="24"/>
                <w:szCs w:val="24"/>
                <w:highlight w:val="none"/>
              </w:rPr>
              <w:t>3078ha</w:t>
            </w:r>
            <w:r>
              <w:rPr>
                <w:rFonts w:hint="eastAsia" w:ascii="宋体" w:hAnsi="Times New Roman" w:cs="宋体"/>
                <w:color w:val="auto"/>
                <w:kern w:val="0"/>
                <w:sz w:val="24"/>
                <w:szCs w:val="24"/>
                <w:highlight w:val="none"/>
              </w:rPr>
              <w:t>，主要分布于茅尾海、七十二泾、大风江，其中：茅尾海红树林面积</w:t>
            </w:r>
            <w:r>
              <w:rPr>
                <w:rFonts w:ascii="Times New Roman" w:hAnsi="Times New Roman"/>
                <w:color w:val="auto"/>
                <w:kern w:val="0"/>
                <w:sz w:val="24"/>
                <w:szCs w:val="24"/>
                <w:highlight w:val="none"/>
              </w:rPr>
              <w:t>1887ha</w:t>
            </w:r>
            <w:r>
              <w:rPr>
                <w:rFonts w:hint="eastAsia" w:ascii="宋体" w:hAnsi="Times New Roman" w:cs="宋体"/>
                <w:color w:val="auto"/>
                <w:kern w:val="0"/>
                <w:sz w:val="24"/>
                <w:szCs w:val="24"/>
                <w:highlight w:val="none"/>
              </w:rPr>
              <w:t>，七十二泾红树林面积</w:t>
            </w:r>
            <w:r>
              <w:rPr>
                <w:rFonts w:ascii="Times New Roman" w:hAnsi="Times New Roman"/>
                <w:color w:val="auto"/>
                <w:kern w:val="0"/>
                <w:sz w:val="24"/>
                <w:szCs w:val="24"/>
                <w:highlight w:val="none"/>
              </w:rPr>
              <w:t>484ha</w:t>
            </w:r>
            <w:r>
              <w:rPr>
                <w:rFonts w:hint="eastAsia" w:ascii="宋体" w:hAnsi="Times New Roman" w:cs="宋体"/>
                <w:color w:val="auto"/>
                <w:kern w:val="0"/>
                <w:sz w:val="24"/>
                <w:szCs w:val="24"/>
                <w:highlight w:val="none"/>
              </w:rPr>
              <w:t>，大风江红树林面积</w:t>
            </w:r>
            <w:r>
              <w:rPr>
                <w:rFonts w:ascii="Times New Roman" w:hAnsi="Times New Roman"/>
                <w:color w:val="auto"/>
                <w:kern w:val="0"/>
                <w:sz w:val="24"/>
                <w:szCs w:val="24"/>
                <w:highlight w:val="none"/>
              </w:rPr>
              <w:t>707ha</w:t>
            </w:r>
            <w:r>
              <w:rPr>
                <w:rFonts w:hint="eastAsia" w:ascii="宋体" w:hAnsi="Times New Roman" w:cs="宋体"/>
                <w:color w:val="auto"/>
                <w:kern w:val="0"/>
                <w:sz w:val="24"/>
                <w:szCs w:val="24"/>
                <w:highlight w:val="none"/>
              </w:rPr>
              <w:t>。主要由桐花树、白骨壤、秋茄、木榄、红海榄、海漆等树种组成，一般为</w:t>
            </w:r>
            <w:r>
              <w:rPr>
                <w:rFonts w:ascii="Times New Roman" w:hAnsi="Times New Roman"/>
                <w:color w:val="auto"/>
                <w:kern w:val="0"/>
                <w:sz w:val="24"/>
                <w:szCs w:val="24"/>
                <w:highlight w:val="none"/>
              </w:rPr>
              <w:t>2</w:t>
            </w:r>
            <w:r>
              <w:rPr>
                <w:rFonts w:hint="eastAsia" w:ascii="宋体" w:hAnsi="Times New Roman" w:cs="宋体"/>
                <w:color w:val="auto"/>
                <w:kern w:val="0"/>
                <w:sz w:val="24"/>
                <w:szCs w:val="24"/>
                <w:highlight w:val="none"/>
              </w:rPr>
              <w:t>米高的灌丛，个别单株高达</w:t>
            </w:r>
            <w:r>
              <w:rPr>
                <w:rFonts w:ascii="Times New Roman" w:hAnsi="Times New Roman"/>
                <w:color w:val="auto"/>
                <w:kern w:val="0"/>
                <w:sz w:val="24"/>
                <w:szCs w:val="24"/>
                <w:highlight w:val="none"/>
              </w:rPr>
              <w:t>8</w:t>
            </w:r>
            <w:r>
              <w:rPr>
                <w:rFonts w:hint="eastAsia" w:ascii="宋体" w:hAnsi="Times New Roman" w:cs="宋体"/>
                <w:color w:val="auto"/>
                <w:kern w:val="0"/>
                <w:sz w:val="24"/>
                <w:szCs w:val="24"/>
                <w:highlight w:val="none"/>
              </w:rPr>
              <w:t>米。钦州红树林物种丰富，分布有红树植物近</w:t>
            </w:r>
            <w:r>
              <w:rPr>
                <w:rFonts w:ascii="Times New Roman" w:hAnsi="Times New Roman"/>
                <w:color w:val="auto"/>
                <w:kern w:val="0"/>
                <w:sz w:val="24"/>
                <w:szCs w:val="24"/>
                <w:highlight w:val="none"/>
              </w:rPr>
              <w:t>20</w:t>
            </w:r>
            <w:r>
              <w:rPr>
                <w:rFonts w:hint="eastAsia" w:ascii="宋体" w:hAnsi="Times New Roman" w:cs="宋体"/>
                <w:color w:val="auto"/>
                <w:kern w:val="0"/>
                <w:sz w:val="24"/>
                <w:szCs w:val="24"/>
                <w:highlight w:val="none"/>
              </w:rPr>
              <w:t>种。优势树种是白骨壤、秋茄和桐花树。</w:t>
            </w:r>
          </w:p>
          <w:p>
            <w:pPr>
              <w:spacing w:line="360" w:lineRule="auto"/>
              <w:ind w:firstLine="460" w:firstLineChars="200"/>
              <w:rPr>
                <w:rFonts w:ascii="宋体" w:hAnsi="Times New Roman" w:cs="宋体"/>
                <w:color w:val="auto"/>
                <w:kern w:val="0"/>
                <w:sz w:val="23"/>
                <w:szCs w:val="23"/>
                <w:highlight w:val="none"/>
              </w:rPr>
            </w:pPr>
            <w:r>
              <w:rPr>
                <w:rFonts w:hint="eastAsia" w:ascii="Times New Roman" w:hAnsi="Times New Roman"/>
                <w:bCs/>
                <w:color w:val="auto"/>
                <w:kern w:val="0"/>
                <w:sz w:val="23"/>
                <w:szCs w:val="23"/>
                <w:highlight w:val="none"/>
              </w:rPr>
              <w:t>2.7</w:t>
            </w:r>
            <w:r>
              <w:rPr>
                <w:rFonts w:hint="eastAsia" w:ascii="宋体" w:hAnsi="Times New Roman" w:cs="宋体"/>
                <w:color w:val="auto"/>
                <w:kern w:val="0"/>
                <w:sz w:val="23"/>
                <w:szCs w:val="23"/>
                <w:highlight w:val="none"/>
              </w:rPr>
              <w:t>中华白</w:t>
            </w:r>
            <w:r>
              <w:rPr>
                <w:rFonts w:hint="eastAsia"/>
                <w:bCs/>
                <w:color w:val="auto"/>
                <w:sz w:val="23"/>
                <w:szCs w:val="23"/>
                <w:highlight w:val="none"/>
              </w:rPr>
              <w:t>海豚</w:t>
            </w:r>
            <w:r>
              <w:rPr>
                <w:rFonts w:hint="eastAsia" w:ascii="宋体" w:hAnsi="Times New Roman" w:cs="宋体"/>
                <w:color w:val="auto"/>
                <w:kern w:val="0"/>
                <w:sz w:val="23"/>
                <w:szCs w:val="23"/>
                <w:highlight w:val="none"/>
              </w:rPr>
              <w:t>概况</w:t>
            </w:r>
          </w:p>
          <w:p>
            <w:pPr>
              <w:spacing w:line="360" w:lineRule="auto"/>
              <w:ind w:firstLine="460" w:firstLineChars="200"/>
              <w:rPr>
                <w:rFonts w:ascii="宋体" w:cs="宋体"/>
                <w:color w:val="auto"/>
                <w:szCs w:val="21"/>
                <w:highlight w:val="none"/>
              </w:rPr>
            </w:pPr>
            <w:r>
              <w:rPr>
                <w:rFonts w:hint="eastAsia" w:ascii="宋体" w:cs="宋体"/>
                <w:color w:val="auto"/>
                <w:sz w:val="23"/>
                <w:szCs w:val="23"/>
                <w:highlight w:val="none"/>
              </w:rPr>
              <w:t>中华白海豚是我国</w:t>
            </w:r>
            <w:r>
              <w:rPr>
                <w:rFonts w:hint="eastAsia"/>
                <w:bCs/>
                <w:color w:val="auto"/>
                <w:sz w:val="23"/>
                <w:szCs w:val="23"/>
                <w:highlight w:val="none"/>
              </w:rPr>
              <w:t>国家</w:t>
            </w:r>
            <w:r>
              <w:rPr>
                <w:rFonts w:hint="eastAsia" w:ascii="宋体" w:cs="宋体"/>
                <w:color w:val="auto"/>
                <w:sz w:val="23"/>
                <w:szCs w:val="23"/>
                <w:highlight w:val="none"/>
              </w:rPr>
              <w:t>一级重点保护野生动物，在</w:t>
            </w:r>
            <w:r>
              <w:rPr>
                <w:color w:val="auto"/>
                <w:sz w:val="23"/>
                <w:szCs w:val="23"/>
                <w:highlight w:val="none"/>
              </w:rPr>
              <w:t>IUCN</w:t>
            </w:r>
            <w:r>
              <w:rPr>
                <w:rFonts w:hint="eastAsia" w:ascii="宋体" w:cs="宋体"/>
                <w:color w:val="auto"/>
                <w:sz w:val="23"/>
                <w:szCs w:val="23"/>
                <w:highlight w:val="none"/>
              </w:rPr>
              <w:t>红色名录上列为</w:t>
            </w:r>
            <w:r>
              <w:rPr>
                <w:rFonts w:ascii="宋体" w:cs="宋体"/>
                <w:color w:val="auto"/>
                <w:sz w:val="23"/>
                <w:szCs w:val="23"/>
                <w:highlight w:val="none"/>
              </w:rPr>
              <w:t>“</w:t>
            </w:r>
            <w:r>
              <w:rPr>
                <w:rFonts w:hint="eastAsia" w:ascii="宋体" w:cs="宋体"/>
                <w:color w:val="auto"/>
                <w:sz w:val="23"/>
                <w:szCs w:val="23"/>
                <w:highlight w:val="none"/>
              </w:rPr>
              <w:t>易危物种</w:t>
            </w:r>
            <w:r>
              <w:rPr>
                <w:rFonts w:ascii="宋体" w:cs="宋体"/>
                <w:color w:val="auto"/>
                <w:sz w:val="23"/>
                <w:szCs w:val="23"/>
                <w:highlight w:val="none"/>
              </w:rPr>
              <w:t>”</w:t>
            </w:r>
            <w:r>
              <w:rPr>
                <w:rFonts w:hint="eastAsia" w:ascii="宋体" w:cs="宋体"/>
                <w:color w:val="auto"/>
                <w:sz w:val="23"/>
                <w:szCs w:val="23"/>
                <w:highlight w:val="none"/>
              </w:rPr>
              <w:t>，被</w:t>
            </w:r>
            <w:r>
              <w:rPr>
                <w:color w:val="auto"/>
                <w:sz w:val="23"/>
                <w:szCs w:val="23"/>
                <w:highlight w:val="none"/>
              </w:rPr>
              <w:t>CITES</w:t>
            </w:r>
            <w:r>
              <w:rPr>
                <w:rFonts w:hint="eastAsia" w:ascii="宋体" w:cs="宋体"/>
                <w:color w:val="auto"/>
                <w:sz w:val="23"/>
                <w:szCs w:val="23"/>
                <w:highlight w:val="none"/>
              </w:rPr>
              <w:t>列入附录一。据调研，广西的北部湾区域约有</w:t>
            </w:r>
            <w:r>
              <w:rPr>
                <w:color w:val="auto"/>
                <w:sz w:val="23"/>
                <w:szCs w:val="23"/>
                <w:highlight w:val="none"/>
              </w:rPr>
              <w:t>400-500</w:t>
            </w:r>
            <w:r>
              <w:rPr>
                <w:rFonts w:hint="eastAsia" w:ascii="宋体" w:cs="宋体"/>
                <w:color w:val="auto"/>
                <w:sz w:val="23"/>
                <w:szCs w:val="23"/>
                <w:highlight w:val="none"/>
              </w:rPr>
              <w:t>多头。其中三娘湾到大风江的区域，是中华白海豚重要的栖息地。</w:t>
            </w:r>
          </w:p>
          <w:p>
            <w:pPr>
              <w:pStyle w:val="51"/>
              <w:spacing w:line="343" w:lineRule="auto"/>
              <w:ind w:firstLine="506" w:firstLineChars="210"/>
              <w:rPr>
                <w:rFonts w:eastAsia="宋体"/>
                <w:color w:val="auto"/>
                <w:sz w:val="24"/>
                <w:szCs w:val="24"/>
                <w:highlight w:val="none"/>
              </w:rPr>
            </w:pPr>
            <w:r>
              <w:rPr>
                <w:rFonts w:hint="eastAsia" w:eastAsia="宋体"/>
                <w:color w:val="auto"/>
                <w:sz w:val="24"/>
                <w:szCs w:val="24"/>
                <w:highlight w:val="none"/>
              </w:rPr>
              <w:t>2.8</w:t>
            </w:r>
            <w:r>
              <w:rPr>
                <w:rFonts w:eastAsia="宋体"/>
                <w:color w:val="auto"/>
                <w:sz w:val="24"/>
                <w:szCs w:val="24"/>
                <w:highlight w:val="none"/>
              </w:rPr>
              <w:t>自然资源概况</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钦州市海岸线长562.64km，20米等深线以内海域面积1649k㎡，有大小岛屿294个，其中有居民海岛6个。宜建港岸线长86.1km，其中深水岸线54.5km。钦州湾自亚公山至青菜头潮汐通道两侧沿岸和果子山至犀牛脚和三墩沿岸一带，潮流流速大，泥沙回淤少，天然屏障良好，水深条件优良，具有建设深水良港的自然条件。</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2.8.1滩涂资源</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钦州市有大小连片滩涂50多个（其中面积1平方公里以上的滩涂10多个），总面积171.82k㎡。其中以泥滩最多，面积107.52k㎡，占全市滩涂面积的62.6%，其次为沙滩（含沙泥滩），面积为58.51k㎡，占滩涂面积的34%。</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2.8.2岛礁资源</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钦州市沿海地区，现有5m等深线内可养殖面积4.53×10</w:t>
            </w:r>
            <w:r>
              <w:rPr>
                <w:rFonts w:hint="eastAsia" w:asciiTheme="minorEastAsia" w:hAnsiTheme="minorEastAsia" w:eastAsiaTheme="minorEastAsia"/>
                <w:bCs/>
                <w:color w:val="auto"/>
                <w:sz w:val="24"/>
                <w:szCs w:val="24"/>
                <w:highlight w:val="none"/>
                <w:vertAlign w:val="superscript"/>
              </w:rPr>
              <w:t>4</w:t>
            </w:r>
            <w:r>
              <w:rPr>
                <w:rFonts w:hint="eastAsia" w:asciiTheme="minorEastAsia" w:hAnsiTheme="minorEastAsia" w:eastAsiaTheme="minorEastAsia"/>
                <w:bCs/>
                <w:color w:val="auto"/>
                <w:sz w:val="24"/>
                <w:szCs w:val="24"/>
                <w:highlight w:val="none"/>
              </w:rPr>
              <w:t>k㎡；10m等深线内可养殖面积8.8×10</w:t>
            </w:r>
            <w:r>
              <w:rPr>
                <w:rFonts w:hint="eastAsia" w:asciiTheme="minorEastAsia" w:hAnsiTheme="minorEastAsia" w:eastAsiaTheme="minorEastAsia"/>
                <w:bCs/>
                <w:color w:val="auto"/>
                <w:sz w:val="24"/>
                <w:szCs w:val="24"/>
                <w:highlight w:val="none"/>
                <w:vertAlign w:val="superscript"/>
              </w:rPr>
              <w:t>4</w:t>
            </w:r>
            <w:r>
              <w:rPr>
                <w:rFonts w:hint="eastAsia" w:asciiTheme="minorEastAsia" w:hAnsiTheme="minorEastAsia" w:eastAsiaTheme="minorEastAsia"/>
                <w:bCs/>
                <w:color w:val="auto"/>
                <w:sz w:val="24"/>
                <w:szCs w:val="24"/>
                <w:highlight w:val="none"/>
              </w:rPr>
              <w:t>k㎡；20m等深线内可供养殖面积19.07×10</w:t>
            </w:r>
            <w:r>
              <w:rPr>
                <w:rFonts w:hint="eastAsia" w:asciiTheme="minorEastAsia" w:hAnsiTheme="minorEastAsia" w:eastAsiaTheme="minorEastAsia"/>
                <w:bCs/>
                <w:color w:val="auto"/>
                <w:sz w:val="24"/>
                <w:szCs w:val="24"/>
                <w:highlight w:val="none"/>
                <w:vertAlign w:val="superscript"/>
              </w:rPr>
              <w:t>4</w:t>
            </w:r>
            <w:r>
              <w:rPr>
                <w:rFonts w:hint="eastAsia" w:asciiTheme="minorEastAsia" w:hAnsiTheme="minorEastAsia" w:eastAsiaTheme="minorEastAsia"/>
                <w:bCs/>
                <w:color w:val="auto"/>
                <w:sz w:val="24"/>
                <w:szCs w:val="24"/>
                <w:highlight w:val="none"/>
              </w:rPr>
              <w:t>k㎡。浅海鱼类资源估量4200t/年。面积135k㎡的茅尾海，是中国南方最大的天然蚝苗采苗和人工养殖基地，盛产大蚝、对虾、青蟹、石斑鱼等。</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2.8.3港口资源</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钦州港位于广西南部、北部湾湾顶的钦州湾内，三面环陆，南面向海，长期作为军港而未能大规模开发建设，早年建有龙门、茅岭、沙井等港点，码头泊位均在500吨级以下，年通过能力约40～50万吨，直至20世纪90年代初，钦州港才启动大规模开发建设，1994年建成2个1万吨级泊位，1997年正式对外开放。进入21世纪尤其是设立钦州保税港区以来，钦州港的建设步伐明显加快，港口基础设施初具规模，集约化程度不断提高，港口吞吐量保持平稳增长，形成公用码头和企业专用码头共同发展的格局，成为钦州市和广西经济发展的重要依托和西南地区联系国内外市场的重要出海口。</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2.8.4渔业资源</w:t>
            </w:r>
          </w:p>
          <w:p>
            <w:pPr>
              <w:spacing w:line="360" w:lineRule="auto"/>
              <w:ind w:firstLine="480" w:firstLineChars="200"/>
              <w:jc w:val="left"/>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钦州市海洋生物资源丰富。钦州湾天然饵料丰富，适合鱼、虾、贝、藻类的繁殖生长，境内近海有海鱼虾贝类500多种，其中经济价值高的有50多种，对虾、大蚝、青蟹、石斑鱼被称为钦州湾四大名产。钦州湾海域浮游植物80多种，以硅藻类为最多，有79种；浮游动物83种；潮间带生物有122种；底栖生物有250种；游泳生物共有54种，其中鱼类27种，甲壳类22种，头足类4种。</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2.8.5</w:t>
            </w:r>
            <w:r>
              <w:rPr>
                <w:rFonts w:hint="eastAsia" w:asciiTheme="minorEastAsia" w:hAnsiTheme="minorEastAsia" w:eastAsiaTheme="minorEastAsia"/>
                <w:bCs/>
                <w:color w:val="auto"/>
                <w:sz w:val="24"/>
                <w:szCs w:val="24"/>
                <w:highlight w:val="none"/>
              </w:rPr>
              <w:t>矿产资源</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钦州市沿岸及其海域的矿产资源主要包括：犀牛脚三娘湾大型钛铁矿，面积107.5k</w:t>
            </w:r>
            <w:r>
              <w:rPr>
                <w:rFonts w:hint="eastAsia" w:asciiTheme="minorEastAsia" w:hAnsiTheme="minorEastAsia" w:eastAsiaTheme="minorEastAsia"/>
                <w:b/>
                <w:color w:val="auto"/>
                <w:sz w:val="24"/>
                <w:szCs w:val="24"/>
                <w:highlight w:val="none"/>
              </w:rPr>
              <w:t>㎡</w:t>
            </w:r>
            <w:r>
              <w:rPr>
                <w:rFonts w:hint="eastAsia" w:asciiTheme="minorEastAsia" w:hAnsiTheme="minorEastAsia" w:eastAsiaTheme="minorEastAsia"/>
                <w:color w:val="auto"/>
                <w:sz w:val="24"/>
                <w:szCs w:val="24"/>
                <w:highlight w:val="none"/>
              </w:rPr>
              <w:t>，钛铁储量约</w:t>
            </w:r>
            <w:r>
              <w:rPr>
                <w:rFonts w:hint="eastAsia" w:asciiTheme="minorEastAsia" w:hAnsiTheme="minorEastAsia" w:eastAsiaTheme="minorEastAsia"/>
                <w:bCs/>
                <w:color w:val="auto"/>
                <w:sz w:val="24"/>
                <w:szCs w:val="24"/>
                <w:highlight w:val="none"/>
              </w:rPr>
              <w:t>600</w:t>
            </w:r>
            <w:r>
              <w:rPr>
                <w:rFonts w:hint="eastAsia" w:asciiTheme="minorEastAsia" w:hAnsiTheme="minorEastAsia" w:eastAsiaTheme="minorEastAsia"/>
                <w:color w:val="auto"/>
                <w:sz w:val="24"/>
                <w:szCs w:val="24"/>
                <w:highlight w:val="none"/>
              </w:rPr>
              <w:t>×10</w:t>
            </w:r>
            <w:r>
              <w:rPr>
                <w:rFonts w:hint="eastAsia" w:asciiTheme="minorEastAsia" w:hAnsiTheme="minorEastAsia" w:eastAsiaTheme="minorEastAsia"/>
                <w:color w:val="auto"/>
                <w:sz w:val="24"/>
                <w:szCs w:val="24"/>
                <w:highlight w:val="none"/>
                <w:vertAlign w:val="superscript"/>
              </w:rPr>
              <w:t>4</w:t>
            </w:r>
            <w:r>
              <w:rPr>
                <w:rFonts w:hint="eastAsia" w:asciiTheme="minorEastAsia" w:hAnsiTheme="minorEastAsia" w:eastAsiaTheme="minorEastAsia"/>
                <w:color w:val="auto"/>
                <w:sz w:val="24"/>
                <w:szCs w:val="24"/>
                <w:highlight w:val="none"/>
              </w:rPr>
              <w:t>t，以及伴生的锆英石、金红石、独居石等近100万t；犀牛脚乌雷和龙港（炮台）的黑云母花岗岩大型矿床，面积20.75k</w:t>
            </w:r>
            <w:r>
              <w:rPr>
                <w:rFonts w:hint="eastAsia" w:asciiTheme="minorEastAsia" w:hAnsiTheme="minorEastAsia" w:eastAsiaTheme="minorEastAsia"/>
                <w:b/>
                <w:color w:val="auto"/>
                <w:sz w:val="24"/>
                <w:szCs w:val="24"/>
                <w:highlight w:val="none"/>
              </w:rPr>
              <w:t>㎡</w:t>
            </w:r>
            <w:r>
              <w:rPr>
                <w:rFonts w:hint="eastAsia" w:asciiTheme="minorEastAsia" w:hAnsiTheme="minorEastAsia" w:eastAsiaTheme="minorEastAsia"/>
                <w:color w:val="auto"/>
                <w:sz w:val="24"/>
                <w:szCs w:val="24"/>
                <w:highlight w:val="none"/>
              </w:rPr>
              <w:t>，总储量约2400万</w:t>
            </w:r>
            <w:r>
              <w:rPr>
                <w:rFonts w:hint="eastAsia" w:asciiTheme="minorEastAsia" w:hAnsiTheme="minorEastAsia" w:eastAsiaTheme="minorEastAsia"/>
                <w:b/>
                <w:color w:val="auto"/>
                <w:sz w:val="24"/>
                <w:szCs w:val="24"/>
                <w:highlight w:val="none"/>
              </w:rPr>
              <w:t>m³</w:t>
            </w:r>
            <w:r>
              <w:rPr>
                <w:rFonts w:hint="eastAsia" w:asciiTheme="minorEastAsia" w:hAnsiTheme="minorEastAsia" w:eastAsiaTheme="minorEastAsia"/>
                <w:color w:val="auto"/>
                <w:sz w:val="24"/>
                <w:szCs w:val="24"/>
                <w:highlight w:val="none"/>
              </w:rPr>
              <w:t>；其余还有犀牛脚吉子根、乌雷的褐铁矿、龙门西村的赤铁矿、大番坡鸡窝的金沙矿、大番坡石口江和犀牛脚西坑的黄铁矿等。</w:t>
            </w:r>
          </w:p>
          <w:p>
            <w:pPr>
              <w:spacing w:line="360" w:lineRule="auto"/>
              <w:ind w:firstLine="480" w:firstLineChars="200"/>
              <w:jc w:val="left"/>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2.8.6</w:t>
            </w:r>
            <w:r>
              <w:rPr>
                <w:rFonts w:hint="eastAsia" w:asciiTheme="minorEastAsia" w:hAnsiTheme="minorEastAsia" w:eastAsiaTheme="minorEastAsia"/>
                <w:bCs/>
                <w:color w:val="auto"/>
                <w:sz w:val="24"/>
                <w:szCs w:val="24"/>
                <w:highlight w:val="none"/>
              </w:rPr>
              <w:t>旅游资源</w:t>
            </w:r>
          </w:p>
          <w:p>
            <w:pPr>
              <w:spacing w:line="360" w:lineRule="auto"/>
              <w:ind w:firstLine="480" w:firstLineChars="200"/>
              <w:jc w:val="left"/>
              <w:rPr>
                <w:color w:val="auto"/>
                <w:highlight w:val="none"/>
              </w:rPr>
            </w:pPr>
            <w:r>
              <w:rPr>
                <w:rFonts w:hint="eastAsia" w:asciiTheme="minorEastAsia" w:hAnsiTheme="minorEastAsia" w:eastAsiaTheme="minorEastAsia"/>
                <w:color w:val="auto"/>
                <w:sz w:val="24"/>
                <w:szCs w:val="24"/>
                <w:highlight w:val="none"/>
              </w:rPr>
              <w:t>随着旅游资源开发利用程度的不断提高，钦州市景点（景区）建设日臻完备，以三娘湾、犀丽湾、沙督岛、麻蓝头岛、龙门群岛、茅尾海为代表，主要集中在钦南区、自贸区钦州港片区沿海一带，岸线浪平潮缓，海域辽阔，景观优美，主要由沙滩、奇石、岛屿、礁石、红树林、防风林、湿地等资源构成。其中，钦南区地理位置优越，水陆交通便捷，水产资源丰富，以碧海、沙滩、奇石、绿林、渔村、海潮、椰林、中华白海豚而著称，而且还有青蟹、大蚝、对虾、石斑鱼等四大名产。目前主要的景点（景区）有：三娘湾景区、七十二泾景区、麻蓝头岛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34"/>
              <w:rPr>
                <w:rFonts w:hAnsi="Times New Roman"/>
                <w:b/>
                <w:color w:val="auto"/>
                <w:sz w:val="30"/>
                <w:szCs w:val="30"/>
                <w:highlight w:val="none"/>
              </w:rPr>
            </w:pPr>
            <w:r>
              <w:rPr>
                <w:rFonts w:hint="eastAsia" w:hAnsi="Times New Roman"/>
                <w:b/>
                <w:color w:val="auto"/>
                <w:sz w:val="30"/>
                <w:szCs w:val="30"/>
                <w:highlight w:val="none"/>
              </w:rPr>
              <w:t>3 资源生态影响分析</w:t>
            </w:r>
          </w:p>
          <w:p>
            <w:pPr>
              <w:autoSpaceDE w:val="0"/>
              <w:autoSpaceDN w:val="0"/>
              <w:adjustRightInd w:val="0"/>
              <w:jc w:val="left"/>
              <w:rPr>
                <w:rFonts w:ascii="Times New Roman"/>
                <w:b/>
                <w:color w:val="auto"/>
                <w:sz w:val="24"/>
                <w:szCs w:val="24"/>
                <w:highlight w:val="none"/>
              </w:rPr>
            </w:pPr>
            <w:r>
              <w:rPr>
                <w:rFonts w:hint="eastAsia" w:ascii="Times New Roman"/>
                <w:b/>
                <w:color w:val="auto"/>
                <w:sz w:val="24"/>
                <w:szCs w:val="24"/>
                <w:highlight w:val="none"/>
              </w:rPr>
              <w:t>3</w:t>
            </w:r>
            <w:r>
              <w:rPr>
                <w:rFonts w:ascii="Times New Roman"/>
                <w:b/>
                <w:color w:val="auto"/>
                <w:sz w:val="24"/>
                <w:szCs w:val="24"/>
                <w:highlight w:val="none"/>
              </w:rPr>
              <w:t>.1</w:t>
            </w:r>
            <w:r>
              <w:rPr>
                <w:rFonts w:hint="eastAsia" w:ascii="Times New Roman"/>
                <w:b/>
                <w:color w:val="auto"/>
                <w:sz w:val="24"/>
                <w:szCs w:val="24"/>
                <w:highlight w:val="none"/>
              </w:rPr>
              <w:t>生态评估</w:t>
            </w:r>
          </w:p>
          <w:p>
            <w:pPr>
              <w:pStyle w:val="55"/>
              <w:rPr>
                <w:rFonts w:ascii="宋体" w:hAnsi="Times New Roman" w:cs="宋体"/>
                <w:color w:val="auto"/>
                <w:kern w:val="0"/>
                <w:sz w:val="23"/>
                <w:szCs w:val="23"/>
                <w:highlight w:val="none"/>
              </w:rPr>
            </w:pPr>
            <w:r>
              <w:rPr>
                <w:rFonts w:hint="eastAsia" w:ascii="宋体" w:hAnsi="Times New Roman" w:cs="宋体"/>
                <w:color w:val="auto"/>
                <w:kern w:val="0"/>
                <w:sz w:val="23"/>
                <w:szCs w:val="23"/>
                <w:highlight w:val="none"/>
              </w:rPr>
              <w:t>本项目位于广西钦州港南部海域，项目建设内容包括临时拖轮应急通道等工程。依据《海域使用论证技术导则》等相关导则和规范，结合项目周边海域开发利用现状，分析评估本项目建设对水动力环境、海洋地形地貌与冲淤环境、海洋生态环境等因素的影响，客观地评价海洋生态影响，识别存在的主要生态环境问题。</w:t>
            </w:r>
          </w:p>
          <w:p>
            <w:pPr>
              <w:autoSpaceDE w:val="0"/>
              <w:autoSpaceDN w:val="0"/>
              <w:adjustRightInd w:val="0"/>
              <w:jc w:val="left"/>
              <w:rPr>
                <w:rFonts w:ascii="宋体" w:hAnsi="Times New Roman" w:cs="宋体"/>
                <w:color w:val="auto"/>
                <w:kern w:val="0"/>
                <w:sz w:val="28"/>
                <w:szCs w:val="28"/>
                <w:highlight w:val="none"/>
              </w:rPr>
            </w:pPr>
            <w:r>
              <w:rPr>
                <w:rFonts w:hint="eastAsia" w:ascii="Times New Roman" w:hAnsi="Times New Roman"/>
                <w:b/>
                <w:bCs/>
                <w:color w:val="auto"/>
                <w:kern w:val="0"/>
                <w:sz w:val="28"/>
                <w:szCs w:val="28"/>
                <w:highlight w:val="none"/>
              </w:rPr>
              <w:t>3</w:t>
            </w:r>
            <w:r>
              <w:rPr>
                <w:rFonts w:ascii="Times New Roman" w:hAnsi="Times New Roman"/>
                <w:b/>
                <w:bCs/>
                <w:color w:val="auto"/>
                <w:kern w:val="0"/>
                <w:sz w:val="28"/>
                <w:szCs w:val="28"/>
                <w:highlight w:val="none"/>
              </w:rPr>
              <w:t>.</w:t>
            </w:r>
            <w:r>
              <w:rPr>
                <w:rFonts w:hint="eastAsia" w:ascii="Times New Roman" w:hAnsi="Times New Roman"/>
                <w:b/>
                <w:bCs/>
                <w:color w:val="auto"/>
                <w:kern w:val="0"/>
                <w:sz w:val="28"/>
                <w:szCs w:val="28"/>
                <w:highlight w:val="none"/>
              </w:rPr>
              <w:t>2</w:t>
            </w:r>
            <w:r>
              <w:rPr>
                <w:rFonts w:hint="eastAsia" w:ascii="宋体" w:hAnsi="Times New Roman" w:cs="宋体"/>
                <w:color w:val="auto"/>
                <w:kern w:val="0"/>
                <w:sz w:val="28"/>
                <w:szCs w:val="28"/>
                <w:highlight w:val="none"/>
              </w:rPr>
              <w:t>水动力环境影响评估</w:t>
            </w:r>
          </w:p>
          <w:p>
            <w:pPr>
              <w:pStyle w:val="55"/>
              <w:rPr>
                <w:rFonts w:ascii="宋体" w:hAnsi="Times New Roman" w:cs="宋体"/>
                <w:color w:val="auto"/>
                <w:kern w:val="0"/>
                <w:sz w:val="23"/>
                <w:szCs w:val="23"/>
                <w:highlight w:val="none"/>
              </w:rPr>
            </w:pPr>
            <w:r>
              <w:rPr>
                <w:rFonts w:hint="eastAsia" w:ascii="宋体" w:hAnsi="Times New Roman" w:cs="宋体"/>
                <w:color w:val="auto"/>
                <w:kern w:val="0"/>
                <w:sz w:val="23"/>
                <w:szCs w:val="23"/>
                <w:highlight w:val="none"/>
              </w:rPr>
              <w:t>本项目将对临时拖轮应急通道疏浚2.7</w:t>
            </w:r>
            <w:r>
              <w:rPr>
                <w:rFonts w:hAnsi="Times New Roman"/>
                <w:color w:val="auto"/>
                <w:kern w:val="0"/>
                <w:sz w:val="23"/>
                <w:szCs w:val="23"/>
                <w:highlight w:val="none"/>
              </w:rPr>
              <w:t>km</w:t>
            </w:r>
            <w:r>
              <w:rPr>
                <w:rFonts w:hint="eastAsia" w:ascii="宋体" w:hAnsi="Times New Roman" w:cs="宋体"/>
                <w:color w:val="auto"/>
                <w:kern w:val="0"/>
                <w:sz w:val="23"/>
                <w:szCs w:val="23"/>
                <w:highlight w:val="none"/>
              </w:rPr>
              <w:t>，浚深在</w:t>
            </w:r>
            <w:r>
              <w:rPr>
                <w:rFonts w:hAnsi="Times New Roman"/>
                <w:color w:val="auto"/>
                <w:kern w:val="0"/>
                <w:sz w:val="23"/>
                <w:szCs w:val="23"/>
                <w:highlight w:val="none"/>
              </w:rPr>
              <w:t>-</w:t>
            </w:r>
            <w:r>
              <w:rPr>
                <w:rFonts w:hint="eastAsia" w:hAnsi="Times New Roman"/>
                <w:color w:val="auto"/>
                <w:kern w:val="0"/>
                <w:sz w:val="23"/>
                <w:szCs w:val="23"/>
                <w:highlight w:val="none"/>
              </w:rPr>
              <w:t>3</w:t>
            </w:r>
            <w:r>
              <w:rPr>
                <w:rFonts w:hAnsi="Times New Roman"/>
                <w:color w:val="auto"/>
                <w:kern w:val="0"/>
                <w:sz w:val="23"/>
                <w:szCs w:val="23"/>
                <w:highlight w:val="none"/>
              </w:rPr>
              <w:t>.0~-5.0m</w:t>
            </w:r>
            <w:r>
              <w:rPr>
                <w:rFonts w:hint="eastAsia" w:ascii="宋体" w:hAnsi="Times New Roman" w:cs="宋体"/>
                <w:color w:val="auto"/>
                <w:kern w:val="0"/>
                <w:sz w:val="23"/>
                <w:szCs w:val="23"/>
                <w:highlight w:val="none"/>
              </w:rPr>
              <w:t>之间，项目疏浚后，可有效改善所在区域的</w:t>
            </w:r>
            <w:r>
              <w:rPr>
                <w:rFonts w:hint="eastAsia"/>
                <w:color w:val="auto"/>
                <w:highlight w:val="none"/>
              </w:rPr>
              <w:t>水动力</w:t>
            </w:r>
            <w:r>
              <w:rPr>
                <w:rFonts w:hint="eastAsia" w:ascii="宋体" w:hAnsi="Times New Roman" w:cs="宋体"/>
                <w:color w:val="auto"/>
                <w:kern w:val="0"/>
                <w:sz w:val="23"/>
                <w:szCs w:val="23"/>
                <w:highlight w:val="none"/>
              </w:rPr>
              <w:t>条件，主要表现在水动力条件优化、纳潮量增加、水交换率提升、回淤量不明显。</w:t>
            </w:r>
          </w:p>
          <w:p>
            <w:pPr>
              <w:pStyle w:val="55"/>
              <w:rPr>
                <w:color w:val="auto"/>
                <w:highlight w:val="none"/>
              </w:rPr>
            </w:pPr>
            <w:r>
              <w:rPr>
                <w:rFonts w:hint="eastAsia" w:ascii="宋体" w:hAnsi="Times New Roman" w:cs="宋体"/>
                <w:color w:val="auto"/>
                <w:kern w:val="0"/>
                <w:sz w:val="23"/>
                <w:szCs w:val="23"/>
                <w:highlight w:val="none"/>
              </w:rPr>
              <w:t>项目还将设置必要的航标等设施</w:t>
            </w:r>
            <w:r>
              <w:rPr>
                <w:rFonts w:hint="eastAsia"/>
                <w:color w:val="auto"/>
                <w:highlight w:val="none"/>
              </w:rPr>
              <w:t>，航标分布稀疏，对水流的阻隔作用很小。</w:t>
            </w:r>
          </w:p>
          <w:p>
            <w:pPr>
              <w:pStyle w:val="55"/>
              <w:rPr>
                <w:color w:val="auto"/>
                <w:highlight w:val="none"/>
              </w:rPr>
            </w:pPr>
            <w:r>
              <w:rPr>
                <w:rFonts w:hint="eastAsia"/>
                <w:color w:val="auto"/>
                <w:highlight w:val="none"/>
              </w:rPr>
              <w:t>因此项目建设</w:t>
            </w:r>
            <w:r>
              <w:rPr>
                <w:color w:val="auto"/>
                <w:highlight w:val="none"/>
              </w:rPr>
              <w:t>对附近潮流场影响很小。</w:t>
            </w:r>
          </w:p>
          <w:p>
            <w:pPr>
              <w:pStyle w:val="55"/>
              <w:ind w:firstLine="0"/>
              <w:jc w:val="both"/>
              <w:rPr>
                <w:b/>
                <w:color w:val="auto"/>
                <w:highlight w:val="none"/>
              </w:rPr>
            </w:pPr>
            <w:r>
              <w:rPr>
                <w:rFonts w:hint="eastAsia" w:hAnsi="Times New Roman"/>
                <w:b/>
                <w:color w:val="auto"/>
                <w:highlight w:val="none"/>
              </w:rPr>
              <w:t>3.3</w:t>
            </w:r>
            <w:r>
              <w:rPr>
                <w:rFonts w:hint="eastAsia"/>
                <w:b/>
                <w:color w:val="auto"/>
                <w:highlight w:val="none"/>
              </w:rPr>
              <w:t>海洋环境影响分析</w:t>
            </w:r>
          </w:p>
          <w:p>
            <w:pPr>
              <w:pStyle w:val="55"/>
              <w:rPr>
                <w:rFonts w:hint="eastAsia"/>
                <w:color w:val="auto"/>
                <w:sz w:val="23"/>
                <w:szCs w:val="23"/>
                <w:highlight w:val="none"/>
              </w:rPr>
            </w:pPr>
            <w:r>
              <w:rPr>
                <w:rFonts w:hint="eastAsia"/>
                <w:color w:val="auto"/>
                <w:sz w:val="23"/>
                <w:szCs w:val="23"/>
                <w:highlight w:val="none"/>
              </w:rPr>
              <w:t>3.3.1施工期悬浮物影响分析</w:t>
            </w:r>
          </w:p>
          <w:p>
            <w:pPr>
              <w:pStyle w:val="55"/>
              <w:rPr>
                <w:color w:val="auto"/>
                <w:highlight w:val="none"/>
              </w:rPr>
            </w:pPr>
            <w:r>
              <w:rPr>
                <w:rFonts w:hint="eastAsia"/>
                <w:color w:val="auto"/>
                <w:highlight w:val="none"/>
              </w:rPr>
              <w:t>本项目排放污染物主要是疏浚作业搅起的泥沙进入水体，施工过程搅动水体产生的悬浮泥沙量与挖泥船类型、大小、挖掘头种类、水力吸入能力的大小、作业现场的波浪、水流、现场水盐度、底质粒径分布等有关。</w:t>
            </w:r>
          </w:p>
          <w:p>
            <w:pPr>
              <w:pStyle w:val="55"/>
              <w:rPr>
                <w:color w:val="auto"/>
                <w:highlight w:val="none"/>
              </w:rPr>
            </w:pPr>
            <w:r>
              <w:rPr>
                <w:rFonts w:hint="eastAsia"/>
                <w:color w:val="auto"/>
                <w:highlight w:val="none"/>
              </w:rPr>
              <w:t>根据施工工艺的分析，工程水域采用8m3抓斗式挖泥船进行疏浚，疏浚物外抛至钦州湾外海临时性海洋倾倒区B 区。</w:t>
            </w:r>
          </w:p>
          <w:p>
            <w:pPr>
              <w:pStyle w:val="55"/>
              <w:jc w:val="both"/>
              <w:rPr>
                <w:rFonts w:hint="eastAsia"/>
                <w:color w:val="auto"/>
                <w:sz w:val="23"/>
                <w:szCs w:val="23"/>
                <w:highlight w:val="none"/>
              </w:rPr>
            </w:pPr>
            <w:r>
              <w:rPr>
                <w:rFonts w:hint="eastAsia"/>
                <w:color w:val="auto"/>
                <w:sz w:val="23"/>
                <w:szCs w:val="23"/>
                <w:highlight w:val="none"/>
              </w:rPr>
              <w:t>抓斗船的作业方式是：抓斗投放到海底挖泥、吊起转运到泥驳，其产生的污染物为悬浮物，主要在抓斗挖泥扰动底层和抓斗上升过程中的泥水溢流引起。根据</w:t>
            </w:r>
            <w:r>
              <w:rPr>
                <w:color w:val="auto"/>
                <w:sz w:val="23"/>
                <w:szCs w:val="23"/>
                <w:highlight w:val="none"/>
              </w:rPr>
              <w:t>Mott MacDonald 1990</w:t>
            </w:r>
            <w:r>
              <w:rPr>
                <w:rFonts w:hint="eastAsia"/>
                <w:color w:val="auto"/>
                <w:sz w:val="23"/>
                <w:szCs w:val="23"/>
                <w:highlight w:val="none"/>
              </w:rPr>
              <w:t>年的抓斗船挖泥产生的泥沙再悬浮系数试验结果，抓斗船施工产生的悬浮泥沙为</w:t>
            </w:r>
            <w:r>
              <w:rPr>
                <w:color w:val="auto"/>
                <w:sz w:val="23"/>
                <w:szCs w:val="23"/>
                <w:highlight w:val="none"/>
              </w:rPr>
              <w:t>20.8kg/m</w:t>
            </w:r>
            <w:r>
              <w:rPr>
                <w:color w:val="auto"/>
                <w:sz w:val="12"/>
                <w:szCs w:val="12"/>
                <w:highlight w:val="none"/>
              </w:rPr>
              <w:t>3</w:t>
            </w:r>
            <w:r>
              <w:rPr>
                <w:rFonts w:hint="eastAsia"/>
                <w:color w:val="auto"/>
                <w:sz w:val="23"/>
                <w:szCs w:val="23"/>
                <w:highlight w:val="none"/>
              </w:rPr>
              <w:t>，假设抓斗船挖淤泥每斗开挖时间为</w:t>
            </w:r>
            <w:r>
              <w:rPr>
                <w:color w:val="auto"/>
                <w:sz w:val="23"/>
                <w:szCs w:val="23"/>
                <w:highlight w:val="none"/>
              </w:rPr>
              <w:t>80</w:t>
            </w:r>
            <w:r>
              <w:rPr>
                <w:rFonts w:hint="eastAsia"/>
                <w:color w:val="auto"/>
                <w:sz w:val="23"/>
                <w:szCs w:val="23"/>
                <w:highlight w:val="none"/>
              </w:rPr>
              <w:t>秒，实际斗容量约6</w:t>
            </w:r>
            <w:r>
              <w:rPr>
                <w:color w:val="auto"/>
                <w:sz w:val="23"/>
                <w:szCs w:val="23"/>
                <w:highlight w:val="none"/>
              </w:rPr>
              <w:t>m</w:t>
            </w:r>
            <w:r>
              <w:rPr>
                <w:color w:val="auto"/>
                <w:sz w:val="12"/>
                <w:szCs w:val="12"/>
                <w:highlight w:val="none"/>
              </w:rPr>
              <w:t>3</w:t>
            </w:r>
            <w:r>
              <w:rPr>
                <w:rFonts w:hint="eastAsia"/>
                <w:color w:val="auto"/>
                <w:sz w:val="23"/>
                <w:szCs w:val="23"/>
                <w:highlight w:val="none"/>
              </w:rPr>
              <w:t>，除去避让时间每日实际作业时间约</w:t>
            </w:r>
            <w:r>
              <w:rPr>
                <w:color w:val="auto"/>
                <w:sz w:val="23"/>
                <w:szCs w:val="23"/>
                <w:highlight w:val="none"/>
              </w:rPr>
              <w:t>18</w:t>
            </w:r>
            <w:r>
              <w:rPr>
                <w:rFonts w:hint="eastAsia"/>
                <w:color w:val="auto"/>
                <w:sz w:val="23"/>
                <w:szCs w:val="23"/>
                <w:highlight w:val="none"/>
              </w:rPr>
              <w:t>小时，每日施工量约为486</w:t>
            </w:r>
            <w:r>
              <w:rPr>
                <w:color w:val="auto"/>
                <w:sz w:val="23"/>
                <w:szCs w:val="23"/>
                <w:highlight w:val="none"/>
              </w:rPr>
              <w:t>0m</w:t>
            </w:r>
            <w:r>
              <w:rPr>
                <w:color w:val="auto"/>
                <w:sz w:val="12"/>
                <w:szCs w:val="12"/>
                <w:highlight w:val="none"/>
              </w:rPr>
              <w:t>3</w:t>
            </w:r>
            <w:r>
              <w:rPr>
                <w:rFonts w:hint="eastAsia"/>
                <w:color w:val="auto"/>
                <w:sz w:val="23"/>
                <w:szCs w:val="23"/>
                <w:highlight w:val="none"/>
              </w:rPr>
              <w:t>。将该日施工量近似为</w:t>
            </w:r>
            <w:r>
              <w:rPr>
                <w:color w:val="auto"/>
                <w:sz w:val="23"/>
                <w:szCs w:val="23"/>
                <w:highlight w:val="none"/>
              </w:rPr>
              <w:t>24</w:t>
            </w:r>
            <w:r>
              <w:rPr>
                <w:rFonts w:hint="eastAsia"/>
                <w:color w:val="auto"/>
                <w:sz w:val="23"/>
                <w:szCs w:val="23"/>
                <w:highlight w:val="none"/>
              </w:rPr>
              <w:t>小时的连续释放，则每艘抓斗式挖泥船产生的悬浮泥沙源强为1.17</w:t>
            </w:r>
            <w:r>
              <w:rPr>
                <w:color w:val="auto"/>
                <w:sz w:val="23"/>
                <w:szCs w:val="23"/>
                <w:highlight w:val="none"/>
              </w:rPr>
              <w:t>kg/s</w:t>
            </w:r>
            <w:r>
              <w:rPr>
                <w:rFonts w:hint="eastAsia"/>
                <w:color w:val="auto"/>
                <w:sz w:val="23"/>
                <w:szCs w:val="23"/>
                <w:highlight w:val="none"/>
              </w:rPr>
              <w:t>。</w:t>
            </w:r>
          </w:p>
          <w:p>
            <w:pPr>
              <w:pStyle w:val="55"/>
              <w:jc w:val="both"/>
              <w:rPr>
                <w:color w:val="auto"/>
                <w:sz w:val="23"/>
                <w:szCs w:val="23"/>
                <w:highlight w:val="none"/>
              </w:rPr>
            </w:pPr>
            <w:r>
              <w:rPr>
                <w:rFonts w:hint="eastAsia"/>
                <w:color w:val="auto"/>
                <w:sz w:val="23"/>
                <w:szCs w:val="23"/>
                <w:highlight w:val="none"/>
              </w:rPr>
              <w:t>参考《钦州市三娘湾海防执勤码头航道港池清淤工程海洋环境影响报告书》，该工程采用用</w:t>
            </w:r>
            <w:r>
              <w:rPr>
                <w:color w:val="auto"/>
                <w:sz w:val="23"/>
                <w:szCs w:val="23"/>
                <w:highlight w:val="none"/>
              </w:rPr>
              <w:t xml:space="preserve">13m3 </w:t>
            </w:r>
            <w:r>
              <w:rPr>
                <w:rFonts w:hint="eastAsia"/>
                <w:color w:val="auto"/>
                <w:sz w:val="23"/>
                <w:szCs w:val="23"/>
                <w:highlight w:val="none"/>
              </w:rPr>
              <w:t>抓斗式挖泥船进行疏浚，每艘抓斗式挖泥船产生的悬浮泥沙源强为</w:t>
            </w:r>
            <w:r>
              <w:rPr>
                <w:color w:val="auto"/>
                <w:sz w:val="23"/>
                <w:szCs w:val="23"/>
                <w:highlight w:val="none"/>
              </w:rPr>
              <w:t>2.5kg/s</w:t>
            </w:r>
            <w:r>
              <w:rPr>
                <w:rFonts w:hint="eastAsia"/>
                <w:color w:val="auto"/>
                <w:sz w:val="23"/>
                <w:szCs w:val="23"/>
                <w:highlight w:val="none"/>
              </w:rPr>
              <w:t>。计算结果表明，悬浮物浓度增量大于</w:t>
            </w:r>
            <w:r>
              <w:rPr>
                <w:color w:val="auto"/>
                <w:sz w:val="23"/>
                <w:szCs w:val="23"/>
                <w:highlight w:val="none"/>
              </w:rPr>
              <w:t>20mg/L</w:t>
            </w:r>
            <w:r>
              <w:rPr>
                <w:rFonts w:hint="eastAsia"/>
                <w:color w:val="auto"/>
                <w:sz w:val="23"/>
                <w:szCs w:val="23"/>
                <w:highlight w:val="none"/>
              </w:rPr>
              <w:t>、</w:t>
            </w:r>
            <w:r>
              <w:rPr>
                <w:color w:val="auto"/>
                <w:sz w:val="23"/>
                <w:szCs w:val="23"/>
                <w:highlight w:val="none"/>
              </w:rPr>
              <w:t>10mg/L</w:t>
            </w:r>
            <w:r>
              <w:rPr>
                <w:rFonts w:hint="eastAsia"/>
                <w:color w:val="auto"/>
                <w:sz w:val="23"/>
                <w:szCs w:val="23"/>
                <w:highlight w:val="none"/>
              </w:rPr>
              <w:t>向东北扩散的最远距离分别约为</w:t>
            </w:r>
            <w:r>
              <w:rPr>
                <w:color w:val="auto"/>
                <w:sz w:val="23"/>
                <w:szCs w:val="23"/>
                <w:highlight w:val="none"/>
              </w:rPr>
              <w:t>0.468 km</w:t>
            </w:r>
            <w:r>
              <w:rPr>
                <w:rFonts w:hint="eastAsia"/>
                <w:color w:val="auto"/>
                <w:sz w:val="23"/>
                <w:szCs w:val="23"/>
                <w:highlight w:val="none"/>
              </w:rPr>
              <w:t>、</w:t>
            </w:r>
            <w:r>
              <w:rPr>
                <w:color w:val="auto"/>
                <w:sz w:val="23"/>
                <w:szCs w:val="23"/>
                <w:highlight w:val="none"/>
              </w:rPr>
              <w:t>0.781 km</w:t>
            </w:r>
            <w:r>
              <w:rPr>
                <w:rFonts w:hint="eastAsia"/>
                <w:color w:val="auto"/>
                <w:sz w:val="23"/>
                <w:szCs w:val="23"/>
                <w:highlight w:val="none"/>
              </w:rPr>
              <w:t>，向西南扩散的最远距离分别约为</w:t>
            </w:r>
            <w:r>
              <w:rPr>
                <w:color w:val="auto"/>
                <w:sz w:val="23"/>
                <w:szCs w:val="23"/>
                <w:highlight w:val="none"/>
              </w:rPr>
              <w:t>0.818km</w:t>
            </w:r>
            <w:r>
              <w:rPr>
                <w:rFonts w:hint="eastAsia"/>
                <w:color w:val="auto"/>
                <w:sz w:val="23"/>
                <w:szCs w:val="23"/>
                <w:highlight w:val="none"/>
              </w:rPr>
              <w:t>、</w:t>
            </w:r>
            <w:r>
              <w:rPr>
                <w:color w:val="auto"/>
                <w:sz w:val="23"/>
                <w:szCs w:val="23"/>
                <w:highlight w:val="none"/>
              </w:rPr>
              <w:t>1.128 km</w:t>
            </w:r>
            <w:r>
              <w:rPr>
                <w:rFonts w:hint="eastAsia"/>
                <w:color w:val="auto"/>
                <w:sz w:val="23"/>
                <w:szCs w:val="23"/>
                <w:highlight w:val="none"/>
              </w:rPr>
              <w:t>，施工期悬浮物浓度增量大于</w:t>
            </w:r>
            <w:r>
              <w:rPr>
                <w:color w:val="auto"/>
                <w:sz w:val="23"/>
                <w:szCs w:val="23"/>
                <w:highlight w:val="none"/>
              </w:rPr>
              <w:t>10mg/L</w:t>
            </w:r>
            <w:r>
              <w:rPr>
                <w:rFonts w:hint="eastAsia"/>
                <w:color w:val="auto"/>
                <w:sz w:val="23"/>
                <w:szCs w:val="23"/>
                <w:highlight w:val="none"/>
              </w:rPr>
              <w:t>的叠加累积面积约为</w:t>
            </w:r>
            <w:r>
              <w:rPr>
                <w:color w:val="auto"/>
                <w:sz w:val="23"/>
                <w:szCs w:val="23"/>
                <w:highlight w:val="none"/>
              </w:rPr>
              <w:t>1.426km2，</w:t>
            </w:r>
            <w:r>
              <w:rPr>
                <w:rFonts w:hint="eastAsia"/>
                <w:color w:val="auto"/>
                <w:sz w:val="23"/>
                <w:szCs w:val="23"/>
                <w:highlight w:val="none"/>
              </w:rPr>
              <w:t>悬沙增量浓度超过</w:t>
            </w:r>
            <w:r>
              <w:rPr>
                <w:color w:val="auto"/>
                <w:sz w:val="23"/>
                <w:szCs w:val="23"/>
                <w:highlight w:val="none"/>
              </w:rPr>
              <w:t>50mg/L</w:t>
            </w:r>
            <w:r>
              <w:rPr>
                <w:rFonts w:hint="eastAsia"/>
                <w:color w:val="auto"/>
                <w:sz w:val="23"/>
                <w:szCs w:val="23"/>
                <w:highlight w:val="none"/>
              </w:rPr>
              <w:t>的范围为</w:t>
            </w:r>
            <w:r>
              <w:rPr>
                <w:color w:val="auto"/>
                <w:sz w:val="23"/>
                <w:szCs w:val="23"/>
                <w:highlight w:val="none"/>
              </w:rPr>
              <w:t>0.360km</w:t>
            </w:r>
            <w:r>
              <w:rPr>
                <w:color w:val="auto"/>
                <w:sz w:val="12"/>
                <w:szCs w:val="12"/>
                <w:highlight w:val="none"/>
              </w:rPr>
              <w:t>2</w:t>
            </w:r>
            <w:r>
              <w:rPr>
                <w:color w:val="auto"/>
                <w:sz w:val="23"/>
                <w:szCs w:val="23"/>
                <w:highlight w:val="none"/>
              </w:rPr>
              <w:t>。本项目的挖沙船为</w:t>
            </w:r>
            <w:r>
              <w:rPr>
                <w:rFonts w:hint="eastAsia"/>
                <w:color w:val="auto"/>
                <w:sz w:val="23"/>
                <w:szCs w:val="23"/>
                <w:highlight w:val="none"/>
              </w:rPr>
              <w:t>8</w:t>
            </w:r>
            <w:r>
              <w:rPr>
                <w:color w:val="auto"/>
                <w:sz w:val="23"/>
                <w:szCs w:val="23"/>
                <w:highlight w:val="none"/>
              </w:rPr>
              <w:t xml:space="preserve">m3 </w:t>
            </w:r>
            <w:r>
              <w:rPr>
                <w:rFonts w:hint="eastAsia"/>
                <w:color w:val="auto"/>
                <w:sz w:val="23"/>
                <w:szCs w:val="23"/>
                <w:highlight w:val="none"/>
              </w:rPr>
              <w:t>抓斗式挖泥船，悬浮泥沙源强为1.17</w:t>
            </w:r>
            <w:r>
              <w:rPr>
                <w:color w:val="auto"/>
                <w:sz w:val="23"/>
                <w:szCs w:val="23"/>
                <w:highlight w:val="none"/>
              </w:rPr>
              <w:t>kg/s，预计悬浮物浓度及影响范围均小于</w:t>
            </w:r>
            <w:r>
              <w:rPr>
                <w:rFonts w:hint="eastAsia"/>
                <w:color w:val="auto"/>
                <w:sz w:val="23"/>
                <w:szCs w:val="23"/>
                <w:highlight w:val="none"/>
              </w:rPr>
              <w:t>钦州市三娘湾海防执勤码头航道港池清淤工程。疏浚施工会对工程区附近海域的水质造成一定影响，但其影响主要发生在施工期间，随着施工结束其影响也逐渐消失。</w:t>
            </w:r>
          </w:p>
          <w:p>
            <w:pPr>
              <w:pStyle w:val="55"/>
              <w:rPr>
                <w:rFonts w:hint="eastAsia"/>
                <w:color w:val="auto"/>
                <w:sz w:val="23"/>
                <w:szCs w:val="23"/>
                <w:highlight w:val="none"/>
              </w:rPr>
            </w:pPr>
            <w:r>
              <w:rPr>
                <w:rFonts w:hint="eastAsia"/>
                <w:color w:val="auto"/>
                <w:sz w:val="23"/>
                <w:szCs w:val="23"/>
                <w:highlight w:val="none"/>
              </w:rPr>
              <w:t>3.3.2施工期油污水影响分析</w:t>
            </w:r>
          </w:p>
          <w:p>
            <w:pPr>
              <w:pStyle w:val="55"/>
              <w:jc w:val="both"/>
              <w:rPr>
                <w:color w:val="auto"/>
                <w:sz w:val="23"/>
                <w:szCs w:val="23"/>
                <w:highlight w:val="none"/>
              </w:rPr>
            </w:pPr>
            <w:r>
              <w:rPr>
                <w:rFonts w:hint="eastAsia"/>
                <w:color w:val="auto"/>
                <w:sz w:val="23"/>
                <w:szCs w:val="23"/>
                <w:highlight w:val="none"/>
              </w:rPr>
              <w:t>根据统计资料，不同载重量的船舶舱底油污水的生产量不同，详见表</w:t>
            </w:r>
            <w:r>
              <w:rPr>
                <w:color w:val="auto"/>
                <w:sz w:val="23"/>
                <w:szCs w:val="23"/>
                <w:highlight w:val="none"/>
              </w:rPr>
              <w:t>3.2-1</w:t>
            </w:r>
            <w:r>
              <w:rPr>
                <w:rFonts w:hint="eastAsia"/>
                <w:color w:val="auto"/>
                <w:sz w:val="23"/>
                <w:szCs w:val="23"/>
                <w:highlight w:val="none"/>
              </w:rPr>
              <w:t>。</w:t>
            </w:r>
          </w:p>
          <w:p>
            <w:pPr>
              <w:pStyle w:val="55"/>
              <w:jc w:val="both"/>
              <w:rPr>
                <w:color w:val="auto"/>
                <w:sz w:val="23"/>
                <w:szCs w:val="23"/>
                <w:highlight w:val="none"/>
              </w:rPr>
            </w:pPr>
            <w:r>
              <w:rPr>
                <w:rFonts w:hint="eastAsia"/>
                <w:color w:val="auto"/>
                <w:sz w:val="23"/>
                <w:szCs w:val="23"/>
                <w:highlight w:val="none"/>
              </w:rPr>
              <w:t>根据《港口工程环境保护设计规范》（</w:t>
            </w:r>
            <w:r>
              <w:rPr>
                <w:color w:val="auto"/>
                <w:sz w:val="23"/>
                <w:szCs w:val="23"/>
                <w:highlight w:val="none"/>
              </w:rPr>
              <w:t>JTS149-1-2007</w:t>
            </w:r>
            <w:r>
              <w:rPr>
                <w:rFonts w:hint="eastAsia"/>
                <w:color w:val="auto"/>
                <w:sz w:val="23"/>
                <w:szCs w:val="23"/>
                <w:highlight w:val="none"/>
              </w:rPr>
              <w:t>），本项目施工船主要包括8</w:t>
            </w:r>
            <w:r>
              <w:rPr>
                <w:color w:val="auto"/>
                <w:sz w:val="23"/>
                <w:szCs w:val="23"/>
                <w:highlight w:val="none"/>
              </w:rPr>
              <w:t>m</w:t>
            </w:r>
            <w:r>
              <w:rPr>
                <w:color w:val="auto"/>
                <w:sz w:val="12"/>
                <w:szCs w:val="12"/>
                <w:highlight w:val="none"/>
              </w:rPr>
              <w:t>3</w:t>
            </w:r>
            <w:r>
              <w:rPr>
                <w:rFonts w:hint="eastAsia"/>
                <w:color w:val="auto"/>
                <w:sz w:val="23"/>
                <w:szCs w:val="23"/>
                <w:highlight w:val="none"/>
              </w:rPr>
              <w:t>抓斗船</w:t>
            </w:r>
            <w:r>
              <w:rPr>
                <w:color w:val="auto"/>
                <w:sz w:val="23"/>
                <w:szCs w:val="23"/>
                <w:highlight w:val="none"/>
              </w:rPr>
              <w:t>1</w:t>
            </w:r>
            <w:r>
              <w:rPr>
                <w:rFonts w:hint="eastAsia"/>
                <w:color w:val="auto"/>
                <w:sz w:val="23"/>
                <w:szCs w:val="23"/>
                <w:highlight w:val="none"/>
              </w:rPr>
              <w:t>艘，船舶载重吨位约为</w:t>
            </w:r>
            <w:r>
              <w:rPr>
                <w:color w:val="auto"/>
                <w:sz w:val="23"/>
                <w:szCs w:val="23"/>
                <w:highlight w:val="none"/>
              </w:rPr>
              <w:t>500t</w:t>
            </w:r>
            <w:r>
              <w:rPr>
                <w:rFonts w:hint="eastAsia"/>
                <w:color w:val="auto"/>
                <w:sz w:val="23"/>
                <w:szCs w:val="23"/>
                <w:highlight w:val="none"/>
              </w:rPr>
              <w:t>，运输船</w:t>
            </w:r>
            <w:r>
              <w:rPr>
                <w:color w:val="auto"/>
                <w:sz w:val="23"/>
                <w:szCs w:val="23"/>
                <w:highlight w:val="none"/>
              </w:rPr>
              <w:t>2</w:t>
            </w:r>
            <w:r>
              <w:rPr>
                <w:rFonts w:hint="eastAsia"/>
                <w:color w:val="auto"/>
                <w:sz w:val="23"/>
                <w:szCs w:val="23"/>
                <w:highlight w:val="none"/>
              </w:rPr>
              <w:t>艘，船舶载重吨位20</w:t>
            </w:r>
            <w:r>
              <w:rPr>
                <w:color w:val="auto"/>
                <w:sz w:val="23"/>
                <w:szCs w:val="23"/>
                <w:highlight w:val="none"/>
              </w:rPr>
              <w:t>00t</w:t>
            </w:r>
            <w:r>
              <w:rPr>
                <w:rFonts w:hint="eastAsia"/>
                <w:color w:val="auto"/>
                <w:sz w:val="23"/>
                <w:szCs w:val="23"/>
                <w:highlight w:val="none"/>
              </w:rPr>
              <w:t>，舱底污水排放量取</w:t>
            </w:r>
            <w:r>
              <w:rPr>
                <w:color w:val="auto"/>
                <w:sz w:val="23"/>
                <w:szCs w:val="23"/>
                <w:highlight w:val="none"/>
              </w:rPr>
              <w:t>0.14t/d</w:t>
            </w:r>
            <w:r>
              <w:rPr>
                <w:rFonts w:hint="eastAsia"/>
                <w:color w:val="auto"/>
                <w:sz w:val="23"/>
                <w:szCs w:val="23"/>
                <w:highlight w:val="none"/>
              </w:rPr>
              <w:t>·艘，污水含油量取</w:t>
            </w:r>
            <w:r>
              <w:rPr>
                <w:color w:val="auto"/>
                <w:sz w:val="23"/>
                <w:szCs w:val="23"/>
                <w:highlight w:val="none"/>
              </w:rPr>
              <w:t>5000mg/L</w:t>
            </w:r>
            <w:r>
              <w:rPr>
                <w:rFonts w:hint="eastAsia"/>
                <w:color w:val="auto"/>
                <w:sz w:val="23"/>
                <w:szCs w:val="23"/>
                <w:highlight w:val="none"/>
              </w:rPr>
              <w:t>，则污水排放量为</w:t>
            </w:r>
          </w:p>
          <w:p>
            <w:pPr>
              <w:pStyle w:val="55"/>
              <w:rPr>
                <w:color w:val="auto"/>
                <w:sz w:val="23"/>
                <w:szCs w:val="23"/>
                <w:highlight w:val="none"/>
              </w:rPr>
            </w:pPr>
            <w:r>
              <w:rPr>
                <w:color w:val="auto"/>
                <w:sz w:val="23"/>
                <w:szCs w:val="23"/>
                <w:highlight w:val="none"/>
              </w:rPr>
              <w:t>0.14t/d ×3 = 0.42t/d</w:t>
            </w:r>
          </w:p>
          <w:p>
            <w:pPr>
              <w:pStyle w:val="55"/>
              <w:rPr>
                <w:color w:val="auto"/>
                <w:sz w:val="23"/>
                <w:szCs w:val="23"/>
                <w:highlight w:val="none"/>
              </w:rPr>
            </w:pPr>
            <w:r>
              <w:rPr>
                <w:rFonts w:hint="eastAsia"/>
                <w:color w:val="auto"/>
                <w:sz w:val="23"/>
                <w:szCs w:val="23"/>
                <w:highlight w:val="none"/>
              </w:rPr>
              <w:t>废油产生量为：0.42×0.005 ≈ 0.002t/d</w:t>
            </w:r>
          </w:p>
          <w:p>
            <w:pPr>
              <w:pStyle w:val="55"/>
              <w:jc w:val="both"/>
              <w:rPr>
                <w:color w:val="auto"/>
                <w:sz w:val="23"/>
                <w:szCs w:val="23"/>
                <w:highlight w:val="none"/>
              </w:rPr>
            </w:pPr>
            <w:r>
              <w:rPr>
                <w:rFonts w:hint="eastAsia"/>
                <w:color w:val="auto"/>
                <w:sz w:val="23"/>
                <w:szCs w:val="23"/>
                <w:highlight w:val="none"/>
              </w:rPr>
              <w:t>施工期间施工作业船舶机舱产生的船舶含油污水（包括机舱废油）必须严格按照交通部《沿海船舶排污设备铅封管理规定》的要求采取铅封管理措施，收集上岸交由有资质的专业清污单位统一接收处理，不得向海域排放，对评价区域的海洋生态环境不会产生明显的影响。</w:t>
            </w:r>
          </w:p>
          <w:p>
            <w:pPr>
              <w:pStyle w:val="55"/>
              <w:rPr>
                <w:color w:val="auto"/>
                <w:sz w:val="23"/>
                <w:szCs w:val="23"/>
                <w:highlight w:val="none"/>
              </w:rPr>
            </w:pPr>
            <w:r>
              <w:rPr>
                <w:rFonts w:hint="eastAsia"/>
                <w:color w:val="auto"/>
                <w:sz w:val="23"/>
                <w:szCs w:val="23"/>
                <w:highlight w:val="none"/>
              </w:rPr>
              <w:t>3.3.3施工人员生活污水</w:t>
            </w:r>
          </w:p>
          <w:p>
            <w:pPr>
              <w:pStyle w:val="55"/>
              <w:jc w:val="both"/>
              <w:rPr>
                <w:color w:val="auto"/>
                <w:sz w:val="23"/>
                <w:szCs w:val="23"/>
                <w:highlight w:val="none"/>
              </w:rPr>
            </w:pPr>
            <w:r>
              <w:rPr>
                <w:rFonts w:hint="eastAsia"/>
                <w:color w:val="auto"/>
                <w:sz w:val="23"/>
                <w:szCs w:val="23"/>
                <w:highlight w:val="none"/>
              </w:rPr>
              <w:t>预计本项目施工作业高峰期施工人数为10人，按用水量80L/人•d，排污系数取0.85计，则施工人员生活污水产生量0.68t/d，主要污染物为COD、BOD5、SS、NH3-N等，浓度分别为300mg/L、200mg/L、200mg/L、30mg/L，则主要污染物产生量为CODcr 0.20kg/d、BOD5 0.14kg/d、SS 0.14kg/d、NH3-N 0.02kg/d。船舶上的生活污水必须定期收集上岸交由有资质的专业清污单位统一接收处理，不得在码头区海域直接排放，对评价区域的海洋生态环境不会产生明显的影响。</w:t>
            </w:r>
          </w:p>
          <w:p>
            <w:pPr>
              <w:pStyle w:val="55"/>
              <w:rPr>
                <w:color w:val="auto"/>
                <w:sz w:val="23"/>
                <w:szCs w:val="23"/>
                <w:highlight w:val="none"/>
              </w:rPr>
            </w:pPr>
            <w:r>
              <w:rPr>
                <w:rFonts w:hint="eastAsia"/>
                <w:color w:val="auto"/>
                <w:sz w:val="23"/>
                <w:szCs w:val="23"/>
                <w:highlight w:val="none"/>
              </w:rPr>
              <w:t>3.3.4营运期海洋环境影响分析</w:t>
            </w:r>
          </w:p>
          <w:p>
            <w:pPr>
              <w:pStyle w:val="55"/>
              <w:jc w:val="both"/>
              <w:rPr>
                <w:color w:val="auto"/>
                <w:sz w:val="23"/>
                <w:szCs w:val="23"/>
                <w:highlight w:val="none"/>
              </w:rPr>
            </w:pPr>
            <w:r>
              <w:rPr>
                <w:rFonts w:hint="eastAsia"/>
                <w:color w:val="auto"/>
                <w:sz w:val="23"/>
                <w:szCs w:val="23"/>
                <w:highlight w:val="none"/>
              </w:rPr>
              <w:t>本项目运营期通过的船舶为</w:t>
            </w:r>
            <w:r>
              <w:rPr>
                <w:color w:val="auto"/>
                <w:sz w:val="23"/>
                <w:szCs w:val="23"/>
                <w:highlight w:val="none"/>
              </w:rPr>
              <w:t>3</w:t>
            </w:r>
            <w:r>
              <w:rPr>
                <w:rFonts w:hint="eastAsia"/>
                <w:color w:val="auto"/>
                <w:sz w:val="23"/>
                <w:szCs w:val="23"/>
                <w:highlight w:val="none"/>
              </w:rPr>
              <w:t>艘</w:t>
            </w:r>
            <w:r>
              <w:rPr>
                <w:color w:val="auto"/>
                <w:sz w:val="23"/>
                <w:szCs w:val="23"/>
                <w:highlight w:val="none"/>
              </w:rPr>
              <w:t>20</w:t>
            </w:r>
            <w:r>
              <w:rPr>
                <w:rFonts w:hint="eastAsia"/>
                <w:color w:val="auto"/>
                <w:sz w:val="23"/>
                <w:szCs w:val="23"/>
                <w:highlight w:val="none"/>
              </w:rPr>
              <w:t>～</w:t>
            </w:r>
            <w:r>
              <w:rPr>
                <w:color w:val="auto"/>
                <w:sz w:val="23"/>
                <w:szCs w:val="23"/>
                <w:highlight w:val="none"/>
              </w:rPr>
              <w:t>30</w:t>
            </w:r>
            <w:r>
              <w:rPr>
                <w:rFonts w:hint="eastAsia"/>
                <w:color w:val="auto"/>
                <w:sz w:val="23"/>
                <w:szCs w:val="23"/>
                <w:highlight w:val="none"/>
              </w:rPr>
              <w:t>吨级的小型执法快艇，每艘工作人员约</w:t>
            </w:r>
            <w:r>
              <w:rPr>
                <w:color w:val="auto"/>
                <w:sz w:val="23"/>
                <w:szCs w:val="23"/>
                <w:highlight w:val="none"/>
              </w:rPr>
              <w:t>10</w:t>
            </w:r>
            <w:r>
              <w:rPr>
                <w:rFonts w:hint="eastAsia"/>
                <w:color w:val="auto"/>
                <w:sz w:val="23"/>
                <w:szCs w:val="23"/>
                <w:highlight w:val="none"/>
              </w:rPr>
              <w:t>人。船舶上人员仅工作时间在船舶上，因此，生活污水、固体废物的排放量很小，但必须定期收集上岸交由有资质的专业清污单位统一接收处理，不得在码头区海域直接排放。由于船舶为小型快艇船舶油污水产生量很小，但也必须按要求采取铅封管理措施，收集上岸交由有资质的专业清污单位统一接收处理。对海洋环境的影响很小。</w:t>
            </w:r>
          </w:p>
          <w:p>
            <w:pPr>
              <w:pStyle w:val="55"/>
              <w:rPr>
                <w:color w:val="auto"/>
                <w:highlight w:val="none"/>
              </w:rPr>
            </w:pPr>
            <w:r>
              <w:rPr>
                <w:rFonts w:hint="eastAsia"/>
                <w:color w:val="auto"/>
                <w:highlight w:val="none"/>
              </w:rPr>
              <w:t>3.4纳潮量影响分析</w:t>
            </w:r>
          </w:p>
          <w:p>
            <w:pPr>
              <w:pStyle w:val="55"/>
              <w:rPr>
                <w:color w:val="auto"/>
                <w:highlight w:val="none"/>
              </w:rPr>
            </w:pPr>
            <w:r>
              <w:rPr>
                <w:rFonts w:hint="eastAsia"/>
                <w:color w:val="auto"/>
                <w:highlight w:val="none"/>
              </w:rPr>
              <w:t>本项目应急通道开挖疏浚，增加了局部海域的纳潮量，但疏浚物在抛泥区倾倒，因此，对于整个钦州湾的纳潮量而言没有发生变化。</w:t>
            </w:r>
          </w:p>
          <w:p>
            <w:pPr>
              <w:pStyle w:val="55"/>
              <w:rPr>
                <w:color w:val="auto"/>
                <w:highlight w:val="none"/>
              </w:rPr>
            </w:pPr>
            <w:r>
              <w:rPr>
                <w:rFonts w:hint="eastAsia"/>
                <w:color w:val="auto"/>
                <w:highlight w:val="none"/>
              </w:rPr>
              <w:t>3.5疏浚物分析</w:t>
            </w:r>
          </w:p>
          <w:p>
            <w:pPr>
              <w:pStyle w:val="55"/>
              <w:jc w:val="both"/>
              <w:rPr>
                <w:color w:val="auto"/>
                <w:highlight w:val="none"/>
              </w:rPr>
            </w:pPr>
            <w:r>
              <w:rPr>
                <w:rFonts w:hint="eastAsia"/>
                <w:color w:val="auto"/>
                <w:highlight w:val="none"/>
              </w:rPr>
              <w:t>根据本项目所在海域的沉积物质量调查状况，应急通道区调查站位中表层沉积物质量中的有机碳、铜、铅、锌、、汞、砷、油类等因子含量均为一类海洋沉积物，参照《围填海工程填充物质成分限值》(GB30736-2014)标准，本工程应急通道疏浚物可以作为第一类海洋沉积物回填土填料，也符合《海洋倾倒物质评价规范 疏浚物》（</w:t>
            </w:r>
            <w:r>
              <w:rPr>
                <w:color w:val="auto"/>
                <w:highlight w:val="none"/>
              </w:rPr>
              <w:t>GB 30980-2014）</w:t>
            </w:r>
            <w:r>
              <w:rPr>
                <w:rFonts w:hint="eastAsia"/>
                <w:color w:val="auto"/>
                <w:highlight w:val="none"/>
              </w:rPr>
              <w:t>的有关要求。</w:t>
            </w:r>
          </w:p>
          <w:p>
            <w:pPr>
              <w:pStyle w:val="55"/>
              <w:rPr>
                <w:color w:val="auto"/>
                <w:highlight w:val="none"/>
              </w:rPr>
            </w:pPr>
            <w:r>
              <w:rPr>
                <w:rFonts w:hint="eastAsia"/>
                <w:color w:val="auto"/>
                <w:highlight w:val="none"/>
              </w:rPr>
              <w:t>3.6海洋生态影响分析</w:t>
            </w:r>
          </w:p>
          <w:p>
            <w:pPr>
              <w:pStyle w:val="55"/>
              <w:rPr>
                <w:color w:val="auto"/>
                <w:highlight w:val="none"/>
              </w:rPr>
            </w:pPr>
            <w:r>
              <w:rPr>
                <w:rFonts w:hint="eastAsia"/>
                <w:color w:val="auto"/>
                <w:highlight w:val="none"/>
              </w:rPr>
              <w:t>3.6.1悬浮泥沙对海洋生态环境的影响</w:t>
            </w:r>
          </w:p>
          <w:p>
            <w:pPr>
              <w:pStyle w:val="55"/>
              <w:rPr>
                <w:color w:val="auto"/>
                <w:highlight w:val="none"/>
              </w:rPr>
            </w:pPr>
            <w:r>
              <w:rPr>
                <w:rFonts w:hint="eastAsia"/>
                <w:color w:val="auto"/>
                <w:highlight w:val="none"/>
              </w:rPr>
              <w:t>(1)悬浮泥沙对浮游生物的影响</w:t>
            </w:r>
          </w:p>
          <w:p>
            <w:pPr>
              <w:pStyle w:val="55"/>
              <w:rPr>
                <w:color w:val="auto"/>
                <w:highlight w:val="none"/>
              </w:rPr>
            </w:pPr>
            <w:r>
              <w:rPr>
                <w:rFonts w:hint="eastAsia"/>
                <w:color w:val="auto"/>
                <w:highlight w:val="none"/>
              </w:rPr>
              <w:t>悬浮泥沙对浮游生物的影响主要为施工过程中产生的悬浮泥沙将导致水体的混浊度增大，透明度降低，不利于浮游植物的繁殖生长。此外还表现在对浮游动物的生长率、摄食率的影响等。长江口航道疏浚悬浮泥沙对水生生物毒性效应的试验结果表明：当悬浮泥沙浓度达到9mg/L时，将影响浮游动物的存活率和浮游植物光合作用。东海水产所曾做过疏浚泥沙对海洋生态系统的影响实验，实验结果表明虽然疏浚泥沙对海洋生态系统无显著影响，但却会引起浮游动植物生物量有所下降。东海水产所对长江口疏浚泥沙所做的不同暴露时间动态悬沙对微绿球藻(N.oculata)和牟氏角毛藻(CMuellen)的生长影响试验结果表明，海水中的悬沙浓度的增加对浮游植物的生长有明显的抑制作用。施工期间对浮游动物的相对损失率1~3月约5%，在4月份浮游动物旺发期可达20%以上，其它月份大约在8-13%之间，各月平均损失率为12%。悬浮泥沙同时会降低水体的透明度，影响浮游植物的光合作用继而导致初级生产力下降，大量的悬浮物出现在局部水域可能会堵寨仔幼鱼的鳃部造成室息死亡，在自然环境中，悬沙量的增加会影响以浮游植物为食的浮游动物的丰度，间接影响蚤状幼体和大眼幼体的摄食率，最终影响其正常发育。</w:t>
            </w:r>
          </w:p>
          <w:p>
            <w:pPr>
              <w:pStyle w:val="55"/>
              <w:rPr>
                <w:color w:val="auto"/>
                <w:highlight w:val="none"/>
              </w:rPr>
            </w:pPr>
            <w:r>
              <w:rPr>
                <w:rFonts w:hint="eastAsia"/>
                <w:color w:val="auto"/>
                <w:highlight w:val="none"/>
              </w:rPr>
              <w:t>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直至消失。</w:t>
            </w:r>
          </w:p>
          <w:p>
            <w:pPr>
              <w:pStyle w:val="55"/>
              <w:rPr>
                <w:color w:val="auto"/>
                <w:highlight w:val="none"/>
              </w:rPr>
            </w:pPr>
            <w:r>
              <w:rPr>
                <w:rFonts w:hint="eastAsia"/>
                <w:color w:val="auto"/>
                <w:highlight w:val="none"/>
              </w:rPr>
              <w:t>(2)对游泳生物的影响</w:t>
            </w:r>
          </w:p>
          <w:p>
            <w:pPr>
              <w:pStyle w:val="55"/>
              <w:rPr>
                <w:color w:val="auto"/>
                <w:highlight w:val="none"/>
              </w:rPr>
            </w:pPr>
            <w:r>
              <w:rPr>
                <w:rFonts w:hint="eastAsia"/>
                <w:color w:val="auto"/>
                <w:highlight w:val="none"/>
              </w:rP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长时间产生悬浮物含量高浓度区，因而不会造成成体鱼类死亡，且鱼、虾、蟹等游泳能力较强的海洋生物将主动逃避，游泳生物的回避效应使得该海域的生物量有所下降，从而影响该区域内的生物群落的种类组成和数量分布。至于经济鱼类等，由于移动性较强，更不至于造成明显影响。随着施工的结束，游泳生物的种类和数量会逐渐得到恢复。因此，施工期间产生的悬浮物不会对游泳生物造成较大的影响。</w:t>
            </w:r>
          </w:p>
          <w:p>
            <w:pPr>
              <w:pStyle w:val="55"/>
              <w:rPr>
                <w:color w:val="auto"/>
                <w:highlight w:val="none"/>
              </w:rPr>
            </w:pPr>
            <w:r>
              <w:rPr>
                <w:rFonts w:hint="eastAsia"/>
                <w:color w:val="auto"/>
                <w:highlight w:val="none"/>
              </w:rPr>
              <w:t>(3)对底栖生物的影响</w:t>
            </w:r>
          </w:p>
          <w:p>
            <w:pPr>
              <w:pStyle w:val="55"/>
              <w:rPr>
                <w:color w:val="auto"/>
                <w:highlight w:val="none"/>
              </w:rPr>
            </w:pPr>
            <w:r>
              <w:rPr>
                <w:rFonts w:hint="eastAsia"/>
                <w:color w:val="auto"/>
                <w:highlight w:val="none"/>
              </w:rPr>
              <w:t>由于项目疏浚等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w:t>
            </w:r>
          </w:p>
          <w:p>
            <w:pPr>
              <w:pStyle w:val="55"/>
              <w:jc w:val="both"/>
              <w:rPr>
                <w:color w:val="auto"/>
                <w:highlight w:val="none"/>
              </w:rPr>
            </w:pPr>
            <w:r>
              <w:rPr>
                <w:rFonts w:hint="eastAsia"/>
                <w:color w:val="auto"/>
                <w:highlight w:val="none"/>
              </w:rPr>
              <w:t>航道疏浚将改变项目区域内海洋生物原有的栖息环境，尤其对底栖生物的影响是最大的。本项目占用海域内的底质环境完全破坏。除少量活动能力较强的底栖生物种类能够逃往他处存活外，大部分底栖生物将被掩埋、覆盖而死亡。</w:t>
            </w:r>
          </w:p>
          <w:p>
            <w:pPr>
              <w:pStyle w:val="55"/>
              <w:rPr>
                <w:color w:val="auto"/>
                <w:highlight w:val="none"/>
              </w:rPr>
            </w:pPr>
            <w:r>
              <w:rPr>
                <w:rFonts w:hint="eastAsia"/>
                <w:color w:val="auto"/>
                <w:highlight w:val="none"/>
              </w:rPr>
              <w:t>3.6.2施工船舶含油污水对海域生态环境的影响</w:t>
            </w:r>
          </w:p>
          <w:p>
            <w:pPr>
              <w:pStyle w:val="55"/>
              <w:rPr>
                <w:color w:val="auto"/>
                <w:highlight w:val="none"/>
              </w:rPr>
            </w:pPr>
            <w:r>
              <w:rPr>
                <w:rFonts w:hint="eastAsia"/>
                <w:color w:val="auto"/>
                <w:highlight w:val="none"/>
              </w:rPr>
              <w:t>本工程施工船舶所产生的含油污水不排入海域，均集中收集上岸处理，对海域生态环境影响较小。</w:t>
            </w:r>
          </w:p>
          <w:p>
            <w:pPr>
              <w:pStyle w:val="55"/>
              <w:rPr>
                <w:color w:val="auto"/>
                <w:highlight w:val="none"/>
              </w:rPr>
            </w:pPr>
            <w:r>
              <w:rPr>
                <w:rFonts w:hint="eastAsia"/>
                <w:color w:val="auto"/>
                <w:highlight w:val="none"/>
              </w:rPr>
              <w:t>3.6.3对海洋生态系统服务功能的影响分析</w:t>
            </w:r>
          </w:p>
          <w:p>
            <w:pPr>
              <w:pStyle w:val="55"/>
              <w:rPr>
                <w:color w:val="auto"/>
                <w:highlight w:val="none"/>
              </w:rPr>
            </w:pPr>
            <w:r>
              <w:rPr>
                <w:rFonts w:hint="eastAsia"/>
                <w:color w:val="auto"/>
                <w:highlight w:val="none"/>
              </w:rPr>
              <w:t>我国近海生态系统服务功能划分为供给功能、调节功能、文化功能和支持功能四大类。</w:t>
            </w:r>
          </w:p>
          <w:p>
            <w:pPr>
              <w:pStyle w:val="55"/>
              <w:rPr>
                <w:color w:val="auto"/>
                <w:highlight w:val="none"/>
              </w:rPr>
            </w:pPr>
            <w:r>
              <w:rPr>
                <w:rFonts w:hint="eastAsia"/>
                <w:color w:val="auto"/>
                <w:highlight w:val="none"/>
              </w:rPr>
              <w:t>根据工程分析，本工程建设对海洋生态系统服务功能的影响主要表现为对供给功能的食品生产和支持功能中初级生产力、物种多样性造成影响。</w:t>
            </w:r>
          </w:p>
          <w:p>
            <w:pPr>
              <w:pStyle w:val="55"/>
              <w:rPr>
                <w:color w:val="auto"/>
                <w:highlight w:val="none"/>
              </w:rPr>
            </w:pPr>
            <w:r>
              <w:rPr>
                <w:rFonts w:hint="eastAsia"/>
                <w:color w:val="auto"/>
                <w:highlight w:val="none"/>
              </w:rPr>
              <w:t>(1)工程建设对食品生产功能的影响</w:t>
            </w:r>
          </w:p>
          <w:p>
            <w:pPr>
              <w:pStyle w:val="55"/>
              <w:rPr>
                <w:color w:val="auto"/>
                <w:highlight w:val="none"/>
              </w:rPr>
            </w:pPr>
            <w:r>
              <w:rPr>
                <w:rFonts w:hint="eastAsia"/>
                <w:color w:val="auto"/>
                <w:highlight w:val="none"/>
              </w:rPr>
              <w:t>食品生产功能是指海洋生态系统提供给人类的贝类、鱼类、虾蟹、海藻等海产品的功能。海洋是一个巨大的食物库，从藻类到鱼虾贝类数十万种生物在其中繁衍生息。海洋是全球蛋白质的重要来源。工程建设产生的悬浮泥沙会对贝类鱼类、虾蟹、海藻造成影响，从而对海洋的食品生产功能产生影响，但随着施工结束，悬浮泥沙对海域影响将随之消失。</w:t>
            </w:r>
          </w:p>
          <w:p>
            <w:pPr>
              <w:pStyle w:val="55"/>
              <w:rPr>
                <w:color w:val="auto"/>
                <w:highlight w:val="none"/>
              </w:rPr>
            </w:pPr>
            <w:r>
              <w:rPr>
                <w:rFonts w:hint="eastAsia"/>
                <w:color w:val="auto"/>
                <w:highlight w:val="none"/>
              </w:rPr>
              <w:t>(2)工程建设对初级生产力的影响</w:t>
            </w:r>
          </w:p>
          <w:p>
            <w:pPr>
              <w:pStyle w:val="55"/>
              <w:rPr>
                <w:color w:val="auto"/>
                <w:highlight w:val="none"/>
              </w:rPr>
            </w:pPr>
            <w:r>
              <w:rPr>
                <w:rFonts w:hint="eastAsia"/>
                <w:color w:val="auto"/>
                <w:highlight w:val="none"/>
              </w:rPr>
              <w:t>初级生产通过浮游植物、其它海洋植物和细菌生产固定有机碳，为海洋生态系统提供物质和能量来源。本项目施工期间工程会造成浮游植物和其它海洋生物造成影响，从而影响海洋服务系统的支持功能。</w:t>
            </w:r>
          </w:p>
          <w:p>
            <w:pPr>
              <w:pStyle w:val="55"/>
              <w:rPr>
                <w:color w:val="auto"/>
                <w:highlight w:val="none"/>
              </w:rPr>
            </w:pPr>
            <w:r>
              <w:rPr>
                <w:rFonts w:hint="eastAsia"/>
                <w:color w:val="auto"/>
                <w:highlight w:val="none"/>
              </w:rPr>
              <w:t>(3)工程建设对物种多样性的影响</w:t>
            </w:r>
          </w:p>
          <w:p>
            <w:pPr>
              <w:pStyle w:val="55"/>
              <w:jc w:val="both"/>
              <w:rPr>
                <w:color w:val="auto"/>
                <w:highlight w:val="none"/>
              </w:rPr>
            </w:pPr>
            <w:r>
              <w:rPr>
                <w:rFonts w:hint="eastAsia"/>
                <w:color w:val="auto"/>
                <w:highlight w:val="none"/>
              </w:rPr>
              <w:t>物种多样性维持：海洋不仅生活着丰富的生物种群，还为其提供重要的产卵场、越冬场和避难所等庇护场所。本工程所在海域不是重要的产卵场、越冬场：由工程建设引起丧失的各种底栖生物种类，在当地的广阔海域均有大量分布。因此工程建设不会造成物种多样性降低的生态问题。</w:t>
            </w:r>
          </w:p>
          <w:p>
            <w:pPr>
              <w:pStyle w:val="55"/>
              <w:rPr>
                <w:color w:val="auto"/>
                <w:highlight w:val="none"/>
              </w:rPr>
            </w:pPr>
            <w:r>
              <w:rPr>
                <w:rFonts w:hint="eastAsia"/>
                <w:color w:val="auto"/>
                <w:highlight w:val="none"/>
              </w:rPr>
              <w:t>3.6.4对渔业生产和渔业资源的影响分析</w:t>
            </w:r>
          </w:p>
          <w:p>
            <w:pPr>
              <w:pStyle w:val="55"/>
              <w:rPr>
                <w:color w:val="auto"/>
                <w:highlight w:val="none"/>
              </w:rPr>
            </w:pPr>
            <w:r>
              <w:rPr>
                <w:rFonts w:hint="eastAsia"/>
                <w:color w:val="auto"/>
                <w:highlight w:val="none"/>
              </w:rPr>
              <w:t>（1）施工期间产生悬浮泥沙对渔业生产和渔业资源的影响</w:t>
            </w:r>
          </w:p>
          <w:p>
            <w:pPr>
              <w:pStyle w:val="55"/>
              <w:rPr>
                <w:color w:val="auto"/>
                <w:highlight w:val="none"/>
              </w:rPr>
            </w:pPr>
            <w:r>
              <w:rPr>
                <w:rFonts w:hint="eastAsia"/>
                <w:color w:val="auto"/>
                <w:highlight w:val="none"/>
              </w:rPr>
              <w:t>悬浮物对鱼类和其它水生生物的影响可分为两大类：一类是悬浮固体在水中的影响，一类是悬浮固体沉降到水底后产生的影响。</w:t>
            </w:r>
          </w:p>
          <w:p>
            <w:pPr>
              <w:pStyle w:val="55"/>
              <w:rPr>
                <w:color w:val="auto"/>
                <w:highlight w:val="none"/>
              </w:rPr>
            </w:pPr>
            <w:r>
              <w:rPr>
                <w:rFonts w:hint="eastAsia"/>
                <w:color w:val="auto"/>
                <w:highlight w:val="none"/>
              </w:rPr>
              <w:t>欧洲大陆渔业咨询委员会(EIFAC，1965)评价了悬浮固体对鱼类的影响。把悬浮固体对鱼类和鱼类饵料生物种群所产生的不良影响分成四种方式：直接影响鱼类在有悬浮固体的水体中游泳，造成鱼类死亡或者是降低鱼类的生长速率，对疾病的抵抗力降低等等；妨碍鱼卵和幼体的良好发育；限制鱼类的正常运动和洄游使鱼类得不到充分的食物。</w:t>
            </w:r>
          </w:p>
          <w:p>
            <w:pPr>
              <w:pStyle w:val="55"/>
              <w:rPr>
                <w:color w:val="auto"/>
                <w:highlight w:val="none"/>
              </w:rPr>
            </w:pPr>
            <w:r>
              <w:rPr>
                <w:rFonts w:hint="eastAsia"/>
                <w:color w:val="auto"/>
                <w:highlight w:val="none"/>
              </w:rPr>
              <w:t>覆盖在水底的沉淀物会损害无脊椎生物种群，堵塞产卵的砾石层，而且如果有有机物的话，还会消耗其上面水体的溶解氧。当沉淀固体堵塞了鱼类产卵的砾石层时，鱼卵就会大量死亡。无机悬浮物的增加还会妨碍光线向水体的投射，结果减少了透光层深度，从而减少了初级生产量并减少了鱼类的饵料。美国科学院和美国工程科学院联合委员会建议，光透射深度不得减少10%(美国科学院，NAS，1974)。同时，由于颗粒物吸收了较多的热量，从而使水体趋于稳定，阻止了上下水混合，致使近表层水被加热，上下水混合程度的减少，也减少了溶解氧和营养物向水体下部的扩散。长期生活在高浑浊水中的海洋生物，其鳃部会被悬浮物质充满而影响呼吸和发育，甚至引起窒息死亡。此外，水中悬浮物质长期过量会妨碍海洋生物的卵及幼体的正常发育，破坏其栖息环境，并抑制水生生物的光合作用，减少海洋动物的饵料。</w:t>
            </w:r>
          </w:p>
          <w:p>
            <w:pPr>
              <w:pStyle w:val="55"/>
              <w:rPr>
                <w:color w:val="auto"/>
                <w:highlight w:val="none"/>
              </w:rPr>
            </w:pPr>
            <w:r>
              <w:rPr>
                <w:rFonts w:hint="eastAsia"/>
                <w:color w:val="auto"/>
                <w:highlight w:val="none"/>
              </w:rPr>
              <w:t>水域悬浮物含量超标，对渔业资源的影响是多方面的，它不仅影响鱼类的存活和生长，而且会对鱼卵和仔稚鱼造成损害。由于悬浮性泥沙颗粒粘附在鱼卵的表面，会妨碍鱼卵的呼吸，阻碍与水体之间氧与二氧化碳的充分交换，可能导致鱼卵大量死亡；影响幼体的发育，发育不健康的仔稚鱼生存能力大大降低；悬浮物含量超标能使浮游生物繁殖受阻，导致水域基础生产力下降，减少鱼类的饵料生物，从而影响到鱼类的正常索饵：另外，悬浮物超标还会改变鱼类的润游和摄食行为。</w:t>
            </w:r>
          </w:p>
          <w:p>
            <w:pPr>
              <w:pStyle w:val="55"/>
              <w:rPr>
                <w:color w:val="auto"/>
                <w:highlight w:val="none"/>
              </w:rPr>
            </w:pPr>
            <w:r>
              <w:rPr>
                <w:rFonts w:hint="eastAsia"/>
                <w:color w:val="auto"/>
                <w:highlight w:val="none"/>
              </w:rPr>
              <w:t>总而言之，悬浮泥沙对鱼类和水生生物的影响主要包括：</w:t>
            </w:r>
          </w:p>
          <w:p>
            <w:pPr>
              <w:pStyle w:val="55"/>
              <w:rPr>
                <w:color w:val="auto"/>
                <w:highlight w:val="none"/>
              </w:rPr>
            </w:pPr>
            <w:r>
              <w:rPr>
                <w:rFonts w:hint="eastAsia"/>
                <w:color w:val="auto"/>
                <w:highlight w:val="none"/>
              </w:rPr>
              <w:t>A造成生物栖息环境的改变或破坏，引起食物链(网)和生态结构的逐步变化，导致生物多样性和生物丰度下降。</w:t>
            </w:r>
          </w:p>
          <w:p>
            <w:pPr>
              <w:pStyle w:val="55"/>
              <w:rPr>
                <w:color w:val="auto"/>
                <w:highlight w:val="none"/>
              </w:rPr>
            </w:pPr>
            <w:r>
              <w:rPr>
                <w:rFonts w:hint="eastAsia"/>
                <w:color w:val="auto"/>
                <w:highlight w:val="none"/>
              </w:rPr>
              <w:t>B造成水体溶解氧、透光率和可视性下降，使光合作用强度和初级生产力发生变化，影响某些种类的生长发育(如鱼卵和幼体)。</w:t>
            </w:r>
          </w:p>
          <w:p>
            <w:pPr>
              <w:pStyle w:val="55"/>
              <w:rPr>
                <w:color w:val="auto"/>
                <w:highlight w:val="none"/>
              </w:rPr>
            </w:pPr>
            <w:r>
              <w:rPr>
                <w:rFonts w:hint="eastAsia"/>
                <w:color w:val="auto"/>
                <w:highlight w:val="none"/>
              </w:rPr>
              <w:t>C混浊的水体使某些生物种类的游动、觅食、躲避敌害、抵抗疾病和繁殖的能力下降，降低生物群体的更新能力。</w:t>
            </w:r>
          </w:p>
          <w:p>
            <w:pPr>
              <w:pStyle w:val="55"/>
              <w:rPr>
                <w:color w:val="auto"/>
                <w:highlight w:val="none"/>
              </w:rPr>
            </w:pPr>
            <w:r>
              <w:rPr>
                <w:rFonts w:hint="eastAsia"/>
                <w:color w:val="auto"/>
                <w:highlight w:val="none"/>
              </w:rPr>
              <w:t>D影响基础饵料生物生长，使鱼类得不到充足的食物。</w:t>
            </w:r>
          </w:p>
          <w:p>
            <w:pPr>
              <w:pStyle w:val="55"/>
              <w:rPr>
                <w:color w:val="auto"/>
                <w:highlight w:val="none"/>
              </w:rPr>
            </w:pPr>
            <w:r>
              <w:rPr>
                <w:rFonts w:hint="eastAsia"/>
                <w:color w:val="auto"/>
                <w:highlight w:val="none"/>
              </w:rPr>
              <w:t>E影响鱼类的正常活动和涧游。</w:t>
            </w:r>
          </w:p>
          <w:p>
            <w:pPr>
              <w:pStyle w:val="55"/>
              <w:rPr>
                <w:color w:val="auto"/>
                <w:highlight w:val="none"/>
              </w:rPr>
            </w:pPr>
            <w:r>
              <w:rPr>
                <w:rFonts w:hint="eastAsia"/>
                <w:color w:val="auto"/>
                <w:highlight w:val="none"/>
              </w:rPr>
              <w:t>（2）施工噪声对渔业资源的影响分析</w:t>
            </w:r>
          </w:p>
          <w:p>
            <w:pPr>
              <w:pStyle w:val="55"/>
              <w:rPr>
                <w:color w:val="auto"/>
                <w:highlight w:val="none"/>
              </w:rPr>
            </w:pPr>
            <w:r>
              <w:rPr>
                <w:rFonts w:hint="eastAsia"/>
                <w:color w:val="auto"/>
                <w:highlight w:val="none"/>
              </w:rPr>
              <w:t>施工过程中由于施工现场的作业船舶过于频繁，会惊扰或影响部分仔幼鱼索饵、栖息活动，但绝大部分可能受到影响的鱼类可以回避。由于春夏季节是鱼虾类产卵、仔幼鱼索饵季节，建议工程水上作业尽量避开这一季节。</w:t>
            </w:r>
          </w:p>
          <w:p>
            <w:pPr>
              <w:pStyle w:val="55"/>
              <w:rPr>
                <w:color w:val="auto"/>
                <w:highlight w:val="none"/>
              </w:rPr>
            </w:pPr>
            <w:r>
              <w:rPr>
                <w:rFonts w:hint="eastAsia"/>
                <w:color w:val="auto"/>
                <w:highlight w:val="none"/>
              </w:rPr>
              <w:t>3.7项用海资源影响分析</w:t>
            </w:r>
          </w:p>
          <w:p>
            <w:pPr>
              <w:pStyle w:val="55"/>
              <w:rPr>
                <w:color w:val="auto"/>
                <w:highlight w:val="none"/>
              </w:rPr>
            </w:pPr>
            <w:r>
              <w:rPr>
                <w:rFonts w:hint="eastAsia"/>
                <w:color w:val="auto"/>
                <w:highlight w:val="none"/>
              </w:rPr>
              <w:t>3.7.1海岸线资源占用情况</w:t>
            </w:r>
          </w:p>
          <w:p>
            <w:pPr>
              <w:pStyle w:val="55"/>
              <w:rPr>
                <w:color w:val="auto"/>
                <w:highlight w:val="none"/>
              </w:rPr>
            </w:pPr>
            <w:r>
              <w:rPr>
                <w:rFonts w:hint="eastAsia"/>
                <w:color w:val="auto"/>
                <w:highlight w:val="none"/>
              </w:rPr>
              <w:t>本项目为航道项目，不占用自然岸线。</w:t>
            </w:r>
          </w:p>
          <w:p>
            <w:pPr>
              <w:pStyle w:val="55"/>
              <w:rPr>
                <w:color w:val="auto"/>
                <w:highlight w:val="none"/>
              </w:rPr>
            </w:pPr>
            <w:r>
              <w:rPr>
                <w:rFonts w:hint="eastAsia"/>
                <w:color w:val="auto"/>
                <w:highlight w:val="none"/>
              </w:rPr>
              <w:t>3.7.2对港口资源的影响</w:t>
            </w:r>
          </w:p>
          <w:p>
            <w:pPr>
              <w:pStyle w:val="55"/>
              <w:rPr>
                <w:color w:val="auto"/>
                <w:highlight w:val="none"/>
              </w:rPr>
            </w:pPr>
            <w:r>
              <w:rPr>
                <w:rFonts w:hint="eastAsia"/>
                <w:color w:val="auto"/>
                <w:highlight w:val="none"/>
              </w:rPr>
              <w:t>本项目建设有利于适应港口吞吐量和到港船舶数量的快速增长，可为港口运营生产提供有力的保障，加快钦州港港口的建设步伐，提高港口货物吞吐量，为钦州临海工业的持续快速发展奠定坚实的基础。</w:t>
            </w:r>
          </w:p>
          <w:p>
            <w:pPr>
              <w:pStyle w:val="55"/>
              <w:rPr>
                <w:color w:val="auto"/>
                <w:highlight w:val="none"/>
              </w:rPr>
            </w:pPr>
            <w:r>
              <w:rPr>
                <w:rFonts w:hint="eastAsia"/>
                <w:color w:val="auto"/>
                <w:highlight w:val="none"/>
              </w:rPr>
              <w:t>3.7.3对渔业资源的影响</w:t>
            </w:r>
          </w:p>
          <w:p>
            <w:pPr>
              <w:pStyle w:val="55"/>
              <w:rPr>
                <w:color w:val="auto"/>
                <w:highlight w:val="none"/>
              </w:rPr>
            </w:pPr>
            <w:r>
              <w:rPr>
                <w:rFonts w:hint="eastAsia"/>
                <w:color w:val="auto"/>
                <w:highlight w:val="none"/>
              </w:rPr>
              <w:t>施工过程中由于施工作业，会惊扰或影响部分仔幼鱼的索饵、栖息活动，但绝大部分可能受到影响的鱼类可以回避，不至于造成明显影响。随着施工的结束，渔业资源的种类和数量会逐渐得到恢复。项目疏浚对底栖生物造成一定的损失。</w:t>
            </w:r>
          </w:p>
          <w:p>
            <w:pPr>
              <w:pStyle w:val="55"/>
              <w:rPr>
                <w:color w:val="auto"/>
                <w:highlight w:val="none"/>
              </w:rPr>
            </w:pPr>
            <w:r>
              <w:rPr>
                <w:rFonts w:hint="eastAsia"/>
                <w:color w:val="auto"/>
                <w:highlight w:val="none"/>
              </w:rPr>
              <w:t>3.7.4生物损失量估算</w:t>
            </w:r>
          </w:p>
          <w:p>
            <w:pPr>
              <w:pStyle w:val="55"/>
              <w:rPr>
                <w:color w:val="auto"/>
                <w:highlight w:val="none"/>
              </w:rPr>
            </w:pPr>
            <w:r>
              <w:rPr>
                <w:rFonts w:hint="eastAsia"/>
                <w:color w:val="auto"/>
                <w:highlight w:val="none"/>
              </w:rPr>
              <w:t>施工过程中由于施工现场的作业船舶来往过于频繁惊扰或影响部分仔幼鱼索饵、栖息活动，绝大部分鱼类可以回避，不至于造成明显影响。施工结束后游泳生物的种类和数量将逐渐得到恢复。</w:t>
            </w:r>
          </w:p>
          <w:p>
            <w:pPr>
              <w:pStyle w:val="55"/>
              <w:rPr>
                <w:color w:val="auto"/>
                <w:highlight w:val="none"/>
              </w:rPr>
            </w:pPr>
            <w:r>
              <w:rPr>
                <w:rFonts w:hint="eastAsia"/>
                <w:color w:val="auto"/>
                <w:highlight w:val="none"/>
              </w:rPr>
              <w:t>航道浚深将直接破坏生物的生存环境，造成部分海洋生物的死亡。浚深产生的悬浮泥沙会对工程附近海域生态环境产生一定影响，并造成部分生物的死亡。</w:t>
            </w:r>
          </w:p>
          <w:p>
            <w:pPr>
              <w:pStyle w:val="55"/>
              <w:rPr>
                <w:rFonts w:hint="eastAsia"/>
                <w:color w:val="auto"/>
                <w:sz w:val="23"/>
                <w:szCs w:val="23"/>
                <w:highlight w:val="none"/>
              </w:rPr>
            </w:pPr>
            <w:r>
              <w:rPr>
                <w:rFonts w:hint="eastAsia"/>
                <w:color w:val="auto"/>
                <w:highlight w:val="none"/>
              </w:rPr>
              <w:t>根据前文测算，</w:t>
            </w:r>
            <w:r>
              <w:rPr>
                <w:rFonts w:hint="eastAsia"/>
                <w:color w:val="auto"/>
                <w:sz w:val="23"/>
                <w:szCs w:val="23"/>
                <w:highlight w:val="none"/>
              </w:rPr>
              <w:t>本项目施工期悬沙增量浓度超过</w:t>
            </w:r>
            <w:r>
              <w:rPr>
                <w:color w:val="auto"/>
                <w:sz w:val="23"/>
                <w:szCs w:val="23"/>
                <w:highlight w:val="none"/>
              </w:rPr>
              <w:t>10mg/L</w:t>
            </w:r>
            <w:r>
              <w:rPr>
                <w:rFonts w:hint="eastAsia"/>
                <w:color w:val="auto"/>
                <w:sz w:val="23"/>
                <w:szCs w:val="23"/>
                <w:highlight w:val="none"/>
              </w:rPr>
              <w:t>的影响海域范围面积为</w:t>
            </w:r>
            <w:r>
              <w:rPr>
                <w:color w:val="auto"/>
                <w:sz w:val="23"/>
                <w:szCs w:val="23"/>
                <w:highlight w:val="none"/>
              </w:rPr>
              <w:t>1.426km</w:t>
            </w:r>
            <w:r>
              <w:rPr>
                <w:color w:val="auto"/>
                <w:sz w:val="12"/>
                <w:szCs w:val="12"/>
                <w:highlight w:val="none"/>
              </w:rPr>
              <w:t>2</w:t>
            </w:r>
            <w:r>
              <w:rPr>
                <w:rFonts w:hint="eastAsia"/>
                <w:color w:val="auto"/>
                <w:sz w:val="23"/>
                <w:szCs w:val="23"/>
                <w:highlight w:val="none"/>
              </w:rPr>
              <w:t>，悬沙增量浓度超过</w:t>
            </w:r>
            <w:r>
              <w:rPr>
                <w:color w:val="auto"/>
                <w:sz w:val="23"/>
                <w:szCs w:val="23"/>
                <w:highlight w:val="none"/>
              </w:rPr>
              <w:t>50mg/L</w:t>
            </w:r>
            <w:r>
              <w:rPr>
                <w:rFonts w:hint="eastAsia"/>
                <w:color w:val="auto"/>
                <w:sz w:val="23"/>
                <w:szCs w:val="23"/>
                <w:highlight w:val="none"/>
              </w:rPr>
              <w:t>的范围为</w:t>
            </w:r>
            <w:r>
              <w:rPr>
                <w:color w:val="auto"/>
                <w:sz w:val="23"/>
                <w:szCs w:val="23"/>
                <w:highlight w:val="none"/>
              </w:rPr>
              <w:t>0.360km</w:t>
            </w:r>
            <w:r>
              <w:rPr>
                <w:color w:val="auto"/>
                <w:sz w:val="12"/>
                <w:szCs w:val="12"/>
                <w:highlight w:val="none"/>
              </w:rPr>
              <w:t>2</w:t>
            </w:r>
            <w:r>
              <w:rPr>
                <w:rFonts w:hint="eastAsia"/>
                <w:color w:val="auto"/>
                <w:sz w:val="23"/>
                <w:szCs w:val="23"/>
                <w:highlight w:val="none"/>
              </w:rPr>
              <w:t>，溢流产生的悬浮物增量对周围水体中浮游植物、浮游动物、游泳生物产生的影响很小。因此，悬浮泥沙造成的生物损失量很小，本文忽略不计。</w:t>
            </w:r>
          </w:p>
          <w:p>
            <w:pPr>
              <w:pStyle w:val="55"/>
              <w:rPr>
                <w:color w:val="auto"/>
                <w:highlight w:val="none"/>
              </w:rPr>
            </w:pPr>
            <w:r>
              <w:rPr>
                <w:rFonts w:hint="eastAsia"/>
                <w:color w:val="auto"/>
                <w:highlight w:val="none"/>
              </w:rPr>
              <w:t>疏浚工程主要对底栖生物造成损失。本项目疏浚范围面积，预计疏浚将造成疏浚范围内全部底栖生物丧失，</w:t>
            </w:r>
            <w:bookmarkStart w:id="10" w:name="z29"/>
            <w:bookmarkEnd w:id="10"/>
            <w:r>
              <w:rPr>
                <w:rFonts w:hint="eastAsia"/>
                <w:color w:val="auto"/>
                <w:highlight w:val="none"/>
              </w:rPr>
              <w:t>根据《建设项目对海洋生物资源影响评价技术规程》(SC/T9110-2007)(以下简称“规程”)中的计算方法，对生物资源损失量进行估算。</w:t>
            </w:r>
          </w:p>
          <w:p>
            <w:pPr>
              <w:pStyle w:val="55"/>
              <w:rPr>
                <w:color w:val="auto"/>
                <w:highlight w:val="none"/>
              </w:rPr>
            </w:pPr>
            <w:r>
              <w:rPr>
                <w:rFonts w:hint="eastAsia"/>
                <w:color w:val="auto"/>
                <w:highlight w:val="none"/>
              </w:rPr>
              <w:t>本项目悬沙扩散造成的原因为航道，航道疏浚产生悬浮泥沙最大影响包络线范围见表3.7-1。</w:t>
            </w:r>
          </w:p>
          <w:p>
            <w:pPr>
              <w:pStyle w:val="55"/>
              <w:jc w:val="center"/>
              <w:rPr>
                <w:color w:val="auto"/>
                <w:highlight w:val="none"/>
              </w:rPr>
            </w:pPr>
            <w:r>
              <w:rPr>
                <w:rFonts w:hint="eastAsia"/>
                <w:color w:val="auto"/>
                <w:highlight w:val="none"/>
              </w:rPr>
              <w:t>表3.7-1 悬浮泥沙造成损失影响范围</w:t>
            </w:r>
          </w:p>
          <w:p>
            <w:pPr>
              <w:pStyle w:val="55"/>
              <w:jc w:val="both"/>
              <w:rPr>
                <w:color w:val="auto"/>
                <w:highlight w:val="none"/>
              </w:rPr>
            </w:pPr>
            <w:r>
              <w:rPr>
                <w:rFonts w:hint="eastAsia"/>
                <w:color w:val="auto"/>
                <w:highlight w:val="none"/>
              </w:rPr>
              <w:drawing>
                <wp:inline distT="0" distB="0" distL="0" distR="0">
                  <wp:extent cx="5353050" cy="1039495"/>
                  <wp:effectExtent l="19050" t="0" r="0" b="0"/>
                  <wp:docPr id="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0"/>
                          <pic:cNvPicPr>
                            <a:picLocks noChangeAspect="1" noChangeArrowheads="1"/>
                          </pic:cNvPicPr>
                        </pic:nvPicPr>
                        <pic:blipFill>
                          <a:blip r:embed="rId72"/>
                          <a:srcRect/>
                          <a:stretch>
                            <a:fillRect/>
                          </a:stretch>
                        </pic:blipFill>
                        <pic:spPr>
                          <a:xfrm>
                            <a:off x="0" y="0"/>
                            <a:ext cx="5353050" cy="1039886"/>
                          </a:xfrm>
                          <a:prstGeom prst="rect">
                            <a:avLst/>
                          </a:prstGeom>
                          <a:noFill/>
                          <a:ln w="9525">
                            <a:noFill/>
                            <a:miter lim="800000"/>
                            <a:headEnd/>
                            <a:tailEnd/>
                          </a:ln>
                        </pic:spPr>
                      </pic:pic>
                    </a:graphicData>
                  </a:graphic>
                </wp:inline>
              </w:drawing>
            </w:r>
          </w:p>
          <w:p>
            <w:pPr>
              <w:pStyle w:val="55"/>
              <w:rPr>
                <w:color w:val="auto"/>
                <w:highlight w:val="none"/>
              </w:rPr>
            </w:pPr>
            <w:r>
              <w:rPr>
                <w:rFonts w:hint="eastAsia"/>
                <w:color w:val="auto"/>
                <w:highlight w:val="none"/>
              </w:rPr>
              <w:t>3.7.4.1生物损失量评估方法</w:t>
            </w:r>
          </w:p>
          <w:p>
            <w:pPr>
              <w:pStyle w:val="55"/>
              <w:rPr>
                <w:color w:val="auto"/>
                <w:highlight w:val="none"/>
              </w:rPr>
            </w:pPr>
            <w:r>
              <w:rPr>
                <w:rFonts w:hint="eastAsia"/>
                <w:color w:val="auto"/>
                <w:highlight w:val="none"/>
              </w:rPr>
              <w:t>本工程生态损耗评估采用的具体方法如下：</w:t>
            </w:r>
          </w:p>
          <w:p>
            <w:pPr>
              <w:pStyle w:val="55"/>
              <w:rPr>
                <w:color w:val="auto"/>
                <w:highlight w:val="none"/>
              </w:rPr>
            </w:pPr>
            <w:r>
              <w:rPr>
                <w:rFonts w:hint="eastAsia"/>
                <w:color w:val="auto"/>
                <w:highlight w:val="none"/>
              </w:rPr>
              <w:t>(1)悬沙造成的生物资源损失</w:t>
            </w:r>
          </w:p>
          <w:p>
            <w:pPr>
              <w:pStyle w:val="55"/>
              <w:rPr>
                <w:color w:val="auto"/>
                <w:highlight w:val="none"/>
              </w:rPr>
            </w:pPr>
            <w:r>
              <w:rPr>
                <w:rFonts w:hint="eastAsia"/>
                <w:color w:val="auto"/>
                <w:highlight w:val="none"/>
              </w:rPr>
              <w:t>本工程的污染物为施工过程中产生的悬浮泥沙，由于其浓度增量区域存在时间少于15d，故界定为一次性损害。生物资源损害量按以下公式计算：</w:t>
            </w:r>
          </w:p>
          <w:p>
            <w:pPr>
              <w:pStyle w:val="55"/>
              <w:rPr>
                <w:color w:val="auto"/>
                <w:highlight w:val="none"/>
              </w:rPr>
            </w:pPr>
            <w:r>
              <w:rPr>
                <w:color w:val="auto"/>
                <w:highlight w:val="none"/>
              </w:rPr>
              <w:t>........................-.....(..3-</w:t>
            </w:r>
          </w:p>
          <w:p>
            <w:pPr>
              <w:pStyle w:val="55"/>
              <w:rPr>
                <w:color w:val="auto"/>
                <w:highlight w:val="none"/>
              </w:rPr>
            </w:pPr>
            <w:r>
              <w:rPr>
                <w:rFonts w:hint="eastAsia"/>
                <w:color w:val="auto"/>
                <w:highlight w:val="none"/>
              </w:rPr>
              <w:t>式中：Dij一某一污染物第j类浓度增量区第种类生物资源密度，单位为尾/km'、个/km’、kg/km；</w:t>
            </w:r>
          </w:p>
          <w:p>
            <w:pPr>
              <w:pStyle w:val="55"/>
              <w:rPr>
                <w:color w:val="auto"/>
                <w:highlight w:val="none"/>
              </w:rPr>
            </w:pPr>
            <w:r>
              <w:rPr>
                <w:rFonts w:hint="eastAsia"/>
                <w:color w:val="auto"/>
                <w:highlight w:val="none"/>
              </w:rPr>
              <w:t>Sj一某一污染物第j类浓度增量区面积，单位为km：</w:t>
            </w:r>
          </w:p>
          <w:p>
            <w:pPr>
              <w:pStyle w:val="55"/>
              <w:rPr>
                <w:color w:val="auto"/>
                <w:highlight w:val="none"/>
              </w:rPr>
            </w:pPr>
            <w:r>
              <w:rPr>
                <w:rFonts w:hint="eastAsia"/>
                <w:color w:val="auto"/>
                <w:highlight w:val="none"/>
              </w:rPr>
              <w:t>Kij一某一污染物第j类浓度增量区第i种类生物资源损失率(%)，生物资源损失率取值参见附录B：</w:t>
            </w:r>
          </w:p>
          <w:p>
            <w:pPr>
              <w:pStyle w:val="55"/>
              <w:rPr>
                <w:color w:val="auto"/>
                <w:highlight w:val="none"/>
              </w:rPr>
            </w:pPr>
            <w:r>
              <w:rPr>
                <w:rFonts w:hint="eastAsia"/>
                <w:color w:val="auto"/>
                <w:highlight w:val="none"/>
              </w:rPr>
              <w:t>n一某一污染物浓度增量分区总数。</w:t>
            </w:r>
          </w:p>
          <w:p>
            <w:pPr>
              <w:pStyle w:val="55"/>
              <w:jc w:val="center"/>
              <w:rPr>
                <w:color w:val="auto"/>
                <w:highlight w:val="none"/>
              </w:rPr>
            </w:pPr>
            <w:r>
              <w:rPr>
                <w:rFonts w:hint="eastAsia"/>
                <w:color w:val="auto"/>
                <w:highlight w:val="none"/>
              </w:rPr>
              <w:t>表4.3-2污染物造成各类生物损失率</w:t>
            </w:r>
          </w:p>
          <w:p>
            <w:pPr>
              <w:pStyle w:val="55"/>
              <w:jc w:val="both"/>
              <w:rPr>
                <w:color w:val="auto"/>
                <w:highlight w:val="none"/>
              </w:rPr>
            </w:pPr>
            <w:r>
              <w:rPr>
                <w:color w:val="auto"/>
                <w:highlight w:val="none"/>
              </w:rPr>
              <w:drawing>
                <wp:inline distT="0" distB="0" distL="0" distR="0">
                  <wp:extent cx="5353050" cy="2167255"/>
                  <wp:effectExtent l="19050" t="0" r="0" b="0"/>
                  <wp:docPr id="58" name="图片 43" descr="F:\微信文件File\WeChat Files\wxid_kgkf81ca4cje21\FileStorage\Temp\1701310208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3" descr="F:\微信文件File\WeChat Files\wxid_kgkf81ca4cje21\FileStorage\Temp\1701310208012.png"/>
                          <pic:cNvPicPr>
                            <a:picLocks noChangeAspect="1" noChangeArrowheads="1"/>
                          </pic:cNvPicPr>
                        </pic:nvPicPr>
                        <pic:blipFill>
                          <a:blip r:embed="rId73"/>
                          <a:srcRect/>
                          <a:stretch>
                            <a:fillRect/>
                          </a:stretch>
                        </pic:blipFill>
                        <pic:spPr>
                          <a:xfrm>
                            <a:off x="0" y="0"/>
                            <a:ext cx="5353050" cy="2167566"/>
                          </a:xfrm>
                          <a:prstGeom prst="rect">
                            <a:avLst/>
                          </a:prstGeom>
                          <a:noFill/>
                          <a:ln w="9525">
                            <a:noFill/>
                            <a:miter lim="800000"/>
                            <a:headEnd/>
                            <a:tailEnd/>
                          </a:ln>
                        </pic:spPr>
                      </pic:pic>
                    </a:graphicData>
                  </a:graphic>
                </wp:inline>
              </w:drawing>
            </w:r>
          </w:p>
          <w:p>
            <w:pPr>
              <w:pStyle w:val="55"/>
              <w:rPr>
                <w:color w:val="auto"/>
                <w:highlight w:val="none"/>
              </w:rPr>
            </w:pPr>
            <w:r>
              <w:rPr>
                <w:rFonts w:hint="eastAsia"/>
                <w:color w:val="auto"/>
                <w:highlight w:val="none"/>
              </w:rPr>
              <w:t>(2)持续性损害</w:t>
            </w:r>
          </w:p>
          <w:p>
            <w:pPr>
              <w:pStyle w:val="55"/>
              <w:rPr>
                <w:color w:val="auto"/>
                <w:highlight w:val="none"/>
              </w:rPr>
            </w:pPr>
            <w:r>
              <w:rPr>
                <w:rFonts w:hint="eastAsia"/>
                <w:color w:val="auto"/>
                <w:highlight w:val="none"/>
              </w:rPr>
              <w:t>本工程的污染物为施工过程中产生的悬浮泥沙，由于项目产生的悬沙其浓度增量区域存在时间超过15天，应计算生物资源的累计损害量。计算以年为单位的生物资源的累计损害量按公式(4.3-2)计算：</w:t>
            </w:r>
          </w:p>
          <w:p>
            <w:pPr>
              <w:pStyle w:val="55"/>
              <w:rPr>
                <w:color w:val="auto"/>
                <w:highlight w:val="none"/>
              </w:rPr>
            </w:pPr>
            <w:r>
              <w:rPr>
                <w:color w:val="auto"/>
                <w:highlight w:val="none"/>
              </w:rPr>
              <w:t>yi-yiXy....................................</w:t>
            </w:r>
          </w:p>
          <w:p>
            <w:pPr>
              <w:pStyle w:val="55"/>
              <w:rPr>
                <w:color w:val="auto"/>
                <w:highlight w:val="none"/>
              </w:rPr>
            </w:pPr>
            <w:r>
              <w:rPr>
                <w:color w:val="auto"/>
                <w:highlight w:val="none"/>
              </w:rPr>
              <w:t>.-+-.-..+.....-(4.3-1</w:t>
            </w:r>
          </w:p>
          <w:p>
            <w:pPr>
              <w:pStyle w:val="55"/>
              <w:rPr>
                <w:color w:val="auto"/>
                <w:highlight w:val="none"/>
              </w:rPr>
            </w:pPr>
            <w:r>
              <w:rPr>
                <w:rFonts w:hint="eastAsia"/>
                <w:color w:val="auto"/>
                <w:highlight w:val="none"/>
              </w:rPr>
              <w:t>式中：</w:t>
            </w:r>
          </w:p>
          <w:p>
            <w:pPr>
              <w:pStyle w:val="55"/>
              <w:rPr>
                <w:color w:val="auto"/>
                <w:highlight w:val="none"/>
              </w:rPr>
            </w:pPr>
            <w:r>
              <w:rPr>
                <w:rFonts w:hint="eastAsia"/>
                <w:color w:val="auto"/>
                <w:highlight w:val="none"/>
              </w:rPr>
              <w:t>Mi一-第i种类生物资源累计损害量，单位为尾(尾)个(个)千克(kg)；wi一一第i种类生物资源一次平均损害量，单位为尾(尾)、个(个)、千</w:t>
            </w:r>
          </w:p>
          <w:p>
            <w:pPr>
              <w:pStyle w:val="55"/>
              <w:rPr>
                <w:color w:val="auto"/>
                <w:highlight w:val="none"/>
              </w:rPr>
            </w:pPr>
            <w:r>
              <w:rPr>
                <w:rFonts w:hint="eastAsia"/>
                <w:color w:val="auto"/>
                <w:highlight w:val="none"/>
              </w:rPr>
              <w:t>克(kg)；</w:t>
            </w:r>
          </w:p>
          <w:p>
            <w:pPr>
              <w:pStyle w:val="55"/>
              <w:rPr>
                <w:color w:val="auto"/>
                <w:highlight w:val="none"/>
              </w:rPr>
            </w:pPr>
            <w:r>
              <w:rPr>
                <w:rFonts w:hint="eastAsia"/>
                <w:color w:val="auto"/>
                <w:highlight w:val="none"/>
              </w:rPr>
              <w:t>T一一污染物浓度增量影响的持续周期数(以实际影响天数除以15)，单位为个(个)，本项目悬沙影响周期为25(个)</w:t>
            </w:r>
          </w:p>
          <w:p>
            <w:pPr>
              <w:pStyle w:val="55"/>
              <w:rPr>
                <w:color w:val="auto"/>
                <w:highlight w:val="none"/>
              </w:rPr>
            </w:pPr>
            <w:r>
              <w:rPr>
                <w:rFonts w:hint="eastAsia"/>
                <w:color w:val="auto"/>
                <w:highlight w:val="none"/>
              </w:rPr>
              <w:t>(3)占用水域造成的生物资源损失</w:t>
            </w:r>
          </w:p>
          <w:p>
            <w:pPr>
              <w:pStyle w:val="55"/>
              <w:rPr>
                <w:color w:val="auto"/>
                <w:highlight w:val="none"/>
              </w:rPr>
            </w:pPr>
            <w:r>
              <w:rPr>
                <w:rFonts w:hint="eastAsia"/>
                <w:color w:val="auto"/>
                <w:highlight w:val="none"/>
              </w:rPr>
              <w:t>工程建设需要，占用一定的渔业水域，使渔业水域功能破坏或海洋生物资源栖息地丧失。各种类生物资源损害量评估按以下公式计算：</w:t>
            </w:r>
          </w:p>
          <w:p>
            <w:pPr>
              <w:pStyle w:val="55"/>
              <w:rPr>
                <w:color w:val="auto"/>
                <w:highlight w:val="none"/>
              </w:rPr>
            </w:pPr>
            <w:r>
              <w:rPr>
                <w:color w:val="auto"/>
                <w:highlight w:val="none"/>
              </w:rPr>
              <w:t>W；Di</w:t>
            </w:r>
          </w:p>
          <w:p>
            <w:pPr>
              <w:pStyle w:val="55"/>
              <w:rPr>
                <w:color w:val="auto"/>
                <w:highlight w:val="none"/>
              </w:rPr>
            </w:pPr>
            <w:r>
              <w:rPr>
                <w:rFonts w:hint="eastAsia"/>
                <w:color w:val="auto"/>
                <w:highlight w:val="none"/>
              </w:rPr>
              <w:t>jm00##0#500#4100044-4400-0+在4444-0++.+0+###0##0000.#00.0..00.</w:t>
            </w:r>
          </w:p>
          <w:p>
            <w:pPr>
              <w:pStyle w:val="55"/>
              <w:rPr>
                <w:color w:val="auto"/>
                <w:highlight w:val="none"/>
              </w:rPr>
            </w:pPr>
            <w:r>
              <w:rPr>
                <w:rFonts w:hint="eastAsia"/>
                <w:color w:val="auto"/>
                <w:highlight w:val="none"/>
              </w:rPr>
              <w:t>式中：Wi一第i种类生物资源受损量，单位为尾、个、kg；Di一第i种类生物资源密度，单位为尾(个)/km、尾(个)/km、kg/km”Si一第i种类生物占用的渔业水域面积或体积，单位为km或km。4.3.42工程海域生物资源概况</w:t>
            </w:r>
          </w:p>
          <w:p>
            <w:pPr>
              <w:pStyle w:val="55"/>
              <w:rPr>
                <w:color w:val="auto"/>
                <w:highlight w:val="none"/>
              </w:rPr>
            </w:pPr>
            <w:r>
              <w:rPr>
                <w:rFonts w:hint="eastAsia"/>
                <w:color w:val="auto"/>
                <w:highlight w:val="none"/>
              </w:rPr>
              <w:t>根据2017年4月和2017年10月钦州港三墩岛附近海域站位的浮游植物浮游动物、底栖生物调查结果，取其平均值，对工程建设造成的生物损失进行计算；根据2017年4月和2017年10月调查海域鱼卵、仔鱼分析结果，取其平均值，对工程占用海域造成的生物损失进行计算。工程海域生物资源数量如表4.3-3所示。</w:t>
            </w:r>
          </w:p>
          <w:p>
            <w:pPr>
              <w:pStyle w:val="55"/>
              <w:jc w:val="center"/>
              <w:rPr>
                <w:color w:val="auto"/>
                <w:highlight w:val="none"/>
              </w:rPr>
            </w:pPr>
            <w:r>
              <w:rPr>
                <w:rFonts w:hint="eastAsia"/>
                <w:color w:val="auto"/>
                <w:highlight w:val="none"/>
              </w:rPr>
              <w:t>表4.3-3项目海域资源密度概况</w:t>
            </w:r>
          </w:p>
          <w:p>
            <w:pPr>
              <w:pStyle w:val="55"/>
              <w:ind w:firstLine="0"/>
              <w:jc w:val="both"/>
              <w:rPr>
                <w:color w:val="auto"/>
                <w:highlight w:val="none"/>
              </w:rPr>
            </w:pPr>
            <w:r>
              <w:rPr>
                <w:color w:val="auto"/>
                <w:highlight w:val="none"/>
              </w:rPr>
              <w:drawing>
                <wp:inline distT="0" distB="0" distL="0" distR="0">
                  <wp:extent cx="5753100" cy="1396365"/>
                  <wp:effectExtent l="19050" t="0" r="0" b="0"/>
                  <wp:docPr id="59" name="图片 44" descr="F:\微信文件File\WeChat Files\wxid_kgkf81ca4cje21\FileStorage\Temp\1701310351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4" descr="F:\微信文件File\WeChat Files\wxid_kgkf81ca4cje21\FileStorage\Temp\1701310351956.png"/>
                          <pic:cNvPicPr>
                            <a:picLocks noChangeAspect="1" noChangeArrowheads="1"/>
                          </pic:cNvPicPr>
                        </pic:nvPicPr>
                        <pic:blipFill>
                          <a:blip r:embed="rId74"/>
                          <a:srcRect/>
                          <a:stretch>
                            <a:fillRect/>
                          </a:stretch>
                        </pic:blipFill>
                        <pic:spPr>
                          <a:xfrm>
                            <a:off x="0" y="0"/>
                            <a:ext cx="5753100" cy="1396440"/>
                          </a:xfrm>
                          <a:prstGeom prst="rect">
                            <a:avLst/>
                          </a:prstGeom>
                          <a:noFill/>
                          <a:ln w="9525">
                            <a:noFill/>
                            <a:miter lim="800000"/>
                            <a:headEnd/>
                            <a:tailEnd/>
                          </a:ln>
                        </pic:spPr>
                      </pic:pic>
                    </a:graphicData>
                  </a:graphic>
                </wp:inline>
              </w:drawing>
            </w:r>
          </w:p>
          <w:p>
            <w:pPr>
              <w:pStyle w:val="55"/>
              <w:jc w:val="both"/>
              <w:rPr>
                <w:color w:val="auto"/>
                <w:highlight w:val="none"/>
              </w:rPr>
            </w:pPr>
          </w:p>
          <w:p>
            <w:pPr>
              <w:pStyle w:val="55"/>
              <w:rPr>
                <w:color w:val="auto"/>
                <w:highlight w:val="none"/>
              </w:rPr>
            </w:pPr>
            <w:r>
              <w:rPr>
                <w:rFonts w:hint="eastAsia"/>
                <w:color w:val="auto"/>
                <w:highlight w:val="none"/>
              </w:rPr>
              <w:t>4.3.43生物损失量</w:t>
            </w:r>
          </w:p>
          <w:p>
            <w:pPr>
              <w:pStyle w:val="55"/>
              <w:rPr>
                <w:color w:val="auto"/>
                <w:highlight w:val="none"/>
              </w:rPr>
            </w:pPr>
            <w:r>
              <w:rPr>
                <w:rFonts w:hint="eastAsia"/>
                <w:color w:val="auto"/>
                <w:highlight w:val="none"/>
              </w:rPr>
              <w:t>(1)航道疏浚造成的底栖生物资源量损害评估疏浚过程造成底栖生物损失。本工程疏浚面积420.8723hm，疏浚过程中该海域底栖生物几乎100%死亡，底栖生物的生物量平均值为357.54g/m，疏浚造成的底栖生物平均损失量为1504.79t。根据广西水产畜牧局的统计数据，2017年广西海洋渔业总产值与总产量的比约为1.72万元/t，航道疏浚造成底栖生物价值损失2588.24万元。</w:t>
            </w:r>
          </w:p>
          <w:p>
            <w:pPr>
              <w:pStyle w:val="55"/>
              <w:rPr>
                <w:color w:val="auto"/>
                <w:highlight w:val="none"/>
              </w:rPr>
            </w:pPr>
            <w:r>
              <w:rPr>
                <w:rFonts w:hint="eastAsia"/>
                <w:color w:val="auto"/>
                <w:highlight w:val="none"/>
              </w:rPr>
              <w:t>(2)航道疏浚的悬浮泥沙造成的海洋生物资源量损害评估</w:t>
            </w:r>
          </w:p>
          <w:p>
            <w:pPr>
              <w:pStyle w:val="55"/>
              <w:rPr>
                <w:color w:val="auto"/>
                <w:highlight w:val="none"/>
              </w:rPr>
            </w:pPr>
            <w:r>
              <w:rPr>
                <w:rFonts w:hint="eastAsia"/>
                <w:color w:val="auto"/>
                <w:highlight w:val="none"/>
              </w:rPr>
              <w:t>D浮游植物损失量：</w:t>
            </w:r>
          </w:p>
          <w:p>
            <w:pPr>
              <w:pStyle w:val="55"/>
              <w:jc w:val="both"/>
              <w:rPr>
                <w:color w:val="auto"/>
                <w:highlight w:val="none"/>
              </w:rPr>
            </w:pPr>
            <w:r>
              <w:rPr>
                <w:rFonts w:hint="eastAsia"/>
                <w:color w:val="auto"/>
                <w:highlight w:val="none"/>
              </w:rPr>
              <w:t>根据表4.3-3，工程周边海域浮游植物平均细胞数为1.48X10个/m，平均水深按10m考虑，浮游植物的单个细胞鲜重根据孙军等(1999)的研究结果，确定约为1.39X10pg/个。航道疏浚的悬浮泥沙扩散造成的浮游植物总损失量为87134.51kg。(见表4.3-4)。航道疏浚的悬浮泥沙扩散造成的浮游植物价值损失4.62万元。</w:t>
            </w:r>
          </w:p>
          <w:p>
            <w:pPr>
              <w:pStyle w:val="55"/>
              <w:jc w:val="both"/>
              <w:rPr>
                <w:color w:val="auto"/>
                <w:highlight w:val="none"/>
              </w:rPr>
            </w:pPr>
          </w:p>
          <w:p>
            <w:pPr>
              <w:pStyle w:val="55"/>
              <w:jc w:val="both"/>
              <w:rPr>
                <w:color w:val="auto"/>
                <w:highlight w:val="none"/>
              </w:rPr>
            </w:pPr>
          </w:p>
          <w:p>
            <w:pPr>
              <w:pStyle w:val="55"/>
              <w:jc w:val="both"/>
              <w:rPr>
                <w:color w:val="auto"/>
                <w:highlight w:val="none"/>
              </w:rPr>
            </w:pPr>
          </w:p>
          <w:p>
            <w:pPr>
              <w:pStyle w:val="55"/>
              <w:jc w:val="both"/>
              <w:rPr>
                <w:color w:val="auto"/>
                <w:highlight w:val="none"/>
              </w:rPr>
            </w:pPr>
          </w:p>
          <w:p>
            <w:pPr>
              <w:pStyle w:val="55"/>
              <w:ind w:firstLine="0"/>
              <w:jc w:val="both"/>
              <w:rPr>
                <w:b/>
                <w:color w:val="auto"/>
                <w:highlight w:val="none"/>
              </w:rPr>
            </w:pPr>
            <w:r>
              <w:rPr>
                <w:rFonts w:hint="eastAsia" w:hAnsi="Times New Roman"/>
                <w:b/>
                <w:color w:val="auto"/>
                <w:highlight w:val="none"/>
              </w:rPr>
              <w:t xml:space="preserve">3.3 </w:t>
            </w:r>
            <w:r>
              <w:rPr>
                <w:rFonts w:hint="eastAsia"/>
                <w:b/>
                <w:color w:val="auto"/>
                <w:highlight w:val="none"/>
              </w:rPr>
              <w:t>海洋生态影响分析</w:t>
            </w:r>
          </w:p>
          <w:p>
            <w:pPr>
              <w:pStyle w:val="55"/>
              <w:jc w:val="both"/>
              <w:rPr>
                <w:color w:val="auto"/>
                <w:highlight w:val="none"/>
              </w:rPr>
            </w:pPr>
            <w:r>
              <w:rPr>
                <w:rFonts w:hint="eastAsia" w:ascii="宋体" w:hAnsi="宋体"/>
                <w:bCs/>
                <w:color w:val="auto"/>
                <w:highlight w:val="none"/>
              </w:rPr>
              <w:t>本项目施工期在疏浚过程中会搅动底质产生悬浮泥沙，在短期内造成局部区域的悬浮泥沙浓度增加，将对浮游生物产生一定的影响，但悬浮泥沙影响程度较轻，影响范围小，影响时间短，在施工结束后悬浮泥沙的影响会很快消失，因此项目对工程海区的浮游生物数量不会产生长期不利影响。</w:t>
            </w:r>
          </w:p>
          <w:p>
            <w:pPr>
              <w:pStyle w:val="55"/>
              <w:jc w:val="both"/>
              <w:rPr>
                <w:color w:val="auto"/>
                <w:highlight w:val="none"/>
              </w:rPr>
            </w:pPr>
            <w:r>
              <w:rPr>
                <w:rFonts w:hint="eastAsia" w:ascii="宋体" w:hAnsi="宋体"/>
                <w:bCs/>
                <w:color w:val="auto"/>
                <w:highlight w:val="none"/>
              </w:rPr>
              <w:t>本项目不引进外来物种或外来入侵物种，不会给项目海域带来天敌的现象，海洋生态环境保持平衡</w:t>
            </w:r>
            <w:r>
              <w:rPr>
                <w:rFonts w:hint="eastAsia"/>
                <w:color w:val="auto"/>
                <w:highlight w:val="none"/>
              </w:rPr>
              <w:t>。</w:t>
            </w:r>
          </w:p>
          <w:p>
            <w:pPr>
              <w:pStyle w:val="55"/>
              <w:ind w:firstLine="0"/>
              <w:jc w:val="both"/>
              <w:rPr>
                <w:b/>
                <w:color w:val="auto"/>
                <w:highlight w:val="none"/>
              </w:rPr>
            </w:pPr>
            <w:r>
              <w:rPr>
                <w:rFonts w:hint="eastAsia"/>
                <w:b/>
                <w:color w:val="auto"/>
                <w:highlight w:val="none"/>
              </w:rPr>
              <w:t>3.4 海洋资源影响分析</w:t>
            </w:r>
          </w:p>
          <w:p>
            <w:pPr>
              <w:pStyle w:val="55"/>
              <w:ind w:firstLine="480" w:firstLineChars="200"/>
              <w:jc w:val="both"/>
              <w:rPr>
                <w:rFonts w:hAnsi="宋体"/>
                <w:color w:val="auto"/>
                <w:highlight w:val="none"/>
              </w:rPr>
            </w:pPr>
            <w:r>
              <w:rPr>
                <w:rFonts w:hint="eastAsia" w:ascii="宋体" w:hAnsi="宋体"/>
                <w:color w:val="auto"/>
                <w:highlight w:val="none"/>
              </w:rPr>
              <w:t>本项目使用钦州湾南部海域进行</w:t>
            </w:r>
            <w:r>
              <w:rPr>
                <w:rFonts w:hint="eastAsia" w:hAnsi="宋体"/>
                <w:color w:val="auto"/>
                <w:highlight w:val="none"/>
              </w:rPr>
              <w:t>临时拖轮应急通道建设</w:t>
            </w:r>
            <w:r>
              <w:rPr>
                <w:rFonts w:hAnsi="宋体"/>
                <w:color w:val="auto"/>
                <w:highlight w:val="none"/>
              </w:rPr>
              <w:t>，</w:t>
            </w:r>
            <w:r>
              <w:rPr>
                <w:rFonts w:hint="eastAsia" w:hAnsi="宋体"/>
                <w:color w:val="auto"/>
                <w:highlight w:val="none"/>
              </w:rPr>
              <w:t>不占用原有航道，不影响原有港口码头区的营运，不影响周边旅游资源开发利用</w:t>
            </w:r>
            <w:r>
              <w:rPr>
                <w:rFonts w:hAnsi="宋体"/>
                <w:color w:val="auto"/>
                <w:highlight w:val="none"/>
              </w:rPr>
              <w:t>。</w:t>
            </w:r>
            <w:r>
              <w:rPr>
                <w:rFonts w:hint="eastAsia" w:hAnsi="宋体"/>
                <w:color w:val="auto"/>
                <w:highlight w:val="none"/>
              </w:rPr>
              <w:t>项目对海域渔业资源、生态资源影响不大。</w:t>
            </w:r>
          </w:p>
          <w:p>
            <w:pPr>
              <w:pStyle w:val="55"/>
              <w:ind w:firstLine="480" w:firstLineChars="200"/>
              <w:jc w:val="both"/>
              <w:rPr>
                <w:rFonts w:hAnsi="宋体"/>
                <w:color w:val="auto"/>
                <w:highlight w:val="none"/>
              </w:rPr>
            </w:pPr>
            <w:r>
              <w:rPr>
                <w:rFonts w:hint="eastAsia" w:ascii="宋体" w:hAnsi="宋体"/>
                <w:color w:val="auto"/>
                <w:highlight w:val="none"/>
              </w:rPr>
              <w:t>本项目未占用岸线，项目建成后也未形成新的岸线</w:t>
            </w:r>
            <w:r>
              <w:rPr>
                <w:rFonts w:hint="eastAsia" w:hAnsi="宋体"/>
                <w:color w:val="auto"/>
                <w:highlight w:val="none"/>
              </w:rPr>
              <w:t>。</w:t>
            </w:r>
          </w:p>
          <w:p>
            <w:pPr>
              <w:pStyle w:val="55"/>
              <w:ind w:firstLine="0"/>
              <w:jc w:val="both"/>
              <w:rPr>
                <w:rFonts w:hAnsi="Times New Roman"/>
                <w:b/>
                <w:color w:val="auto"/>
                <w:highlight w:val="none"/>
              </w:rPr>
            </w:pPr>
            <w:r>
              <w:rPr>
                <w:rFonts w:hint="eastAsia" w:hAnsi="Times New Roman"/>
                <w:b/>
                <w:color w:val="auto"/>
                <w:highlight w:val="none"/>
              </w:rPr>
              <w:t>3.5 项目用海风险分析</w:t>
            </w:r>
          </w:p>
          <w:p>
            <w:pPr>
              <w:pStyle w:val="55"/>
              <w:rPr>
                <w:rFonts w:hAnsi="宋体"/>
                <w:color w:val="auto"/>
                <w:highlight w:val="none"/>
              </w:rPr>
            </w:pPr>
            <w:r>
              <w:rPr>
                <w:rFonts w:hint="eastAsia" w:hAnsi="宋体"/>
                <w:color w:val="auto"/>
                <w:highlight w:val="none"/>
              </w:rPr>
              <w:t>风险是指由于人为或自然因素引起的、对海域资源环境或海域使用项目造成定损害、破坏乃至毁灭性事件的发生概率及其损害的程度。</w:t>
            </w:r>
          </w:p>
          <w:p>
            <w:pPr>
              <w:pStyle w:val="55"/>
              <w:rPr>
                <w:rFonts w:hAnsi="宋体"/>
                <w:color w:val="auto"/>
                <w:highlight w:val="none"/>
              </w:rPr>
            </w:pPr>
            <w:r>
              <w:rPr>
                <w:rFonts w:hint="eastAsia" w:hAnsi="宋体"/>
                <w:color w:val="auto"/>
                <w:highlight w:val="none"/>
              </w:rPr>
              <w:t>项目用海风险一般来自两个方面。一方面是用海项目自身引起的突发或缓发事件(如溢油事故等)对海域资源、环境造成的危害；另一方面是由于海洋灾害(如风暴潮、台风等)导致用海项目发生意外事故，对海域资源、环境造成的危害。</w:t>
            </w:r>
          </w:p>
          <w:p>
            <w:pPr>
              <w:pStyle w:val="55"/>
              <w:rPr>
                <w:rFonts w:hAnsi="宋体"/>
                <w:color w:val="auto"/>
                <w:highlight w:val="none"/>
              </w:rPr>
            </w:pPr>
            <w:r>
              <w:rPr>
                <w:rFonts w:hint="eastAsia" w:hAnsi="宋体"/>
                <w:color w:val="auto"/>
                <w:highlight w:val="none"/>
              </w:rPr>
              <w:t>3.5.1风险分析</w:t>
            </w:r>
          </w:p>
          <w:p>
            <w:pPr>
              <w:pStyle w:val="55"/>
              <w:rPr>
                <w:rFonts w:hAnsi="宋体"/>
                <w:color w:val="auto"/>
                <w:highlight w:val="none"/>
              </w:rPr>
            </w:pPr>
            <w:r>
              <w:rPr>
                <w:rFonts w:hint="eastAsia" w:hAnsi="宋体"/>
                <w:color w:val="auto"/>
                <w:highlight w:val="none"/>
              </w:rPr>
              <w:t>(1)溢油事故</w:t>
            </w:r>
          </w:p>
          <w:p>
            <w:pPr>
              <w:pStyle w:val="55"/>
              <w:rPr>
                <w:rFonts w:hAnsi="宋体"/>
                <w:color w:val="auto"/>
                <w:highlight w:val="none"/>
              </w:rPr>
            </w:pPr>
            <w:r>
              <w:rPr>
                <w:rFonts w:hint="eastAsia" w:hAnsi="宋体"/>
                <w:color w:val="auto"/>
                <w:highlight w:val="none"/>
              </w:rPr>
              <w:t>施工期溢油风险：施工期风险事故主要是施工船舶与进出港区船舶可能发生碰撞事故，造成船体损坏，燃油及船舱内油污水泄漏。一旦事故发生，就会造成船舶燃料油泄漏的事故风险，影响海域环境质量。</w:t>
            </w:r>
          </w:p>
          <w:p>
            <w:pPr>
              <w:pStyle w:val="55"/>
              <w:rPr>
                <w:rFonts w:hAnsi="宋体"/>
                <w:color w:val="auto"/>
                <w:highlight w:val="none"/>
              </w:rPr>
            </w:pPr>
            <w:r>
              <w:rPr>
                <w:rFonts w:hint="eastAsia" w:hAnsi="宋体"/>
                <w:color w:val="auto"/>
                <w:highlight w:val="none"/>
              </w:rPr>
              <w:t>营运期溢油风险：本项目为临时拖轮应急通道工程，服务于钦州港30万吨级油码头，营运期风险事故主要是临时拖轮与进出港船舶可能发生碰撞事故，造成船体损坏，其泄漏油种为燃料油</w:t>
            </w:r>
          </w:p>
          <w:p>
            <w:pPr>
              <w:pStyle w:val="55"/>
              <w:rPr>
                <w:rFonts w:hAnsi="宋体"/>
                <w:color w:val="auto"/>
                <w:highlight w:val="none"/>
              </w:rPr>
            </w:pPr>
            <w:r>
              <w:rPr>
                <w:rFonts w:hint="eastAsia" w:hAnsi="宋体"/>
                <w:color w:val="auto"/>
                <w:highlight w:val="none"/>
              </w:rPr>
              <w:t>(2)台风和风暴潮</w:t>
            </w:r>
          </w:p>
          <w:p>
            <w:pPr>
              <w:pStyle w:val="55"/>
              <w:rPr>
                <w:rFonts w:hAnsi="宋体"/>
                <w:color w:val="auto"/>
                <w:highlight w:val="none"/>
              </w:rPr>
            </w:pPr>
            <w:r>
              <w:rPr>
                <w:rFonts w:hint="eastAsia" w:hAnsi="宋体"/>
                <w:color w:val="auto"/>
                <w:highlight w:val="none"/>
              </w:rPr>
              <w:t>根据项目项目所处位置的气候特征、地质状况等资料分析，对本项目可能造成影响的自然因素还有热带气旋(台风)、风暴潮等。台风、大风等引起的风暴潮主要表现为：海水异常升高，漫溢于陆地，冲垮建筑物，淹没农田和人畜等。如果风暴潮恰好与影响海区的天文大潮的高潮相重叠，就会使水位暴涨，以至海水涌进内陆，造成巨大破坏。</w:t>
            </w:r>
          </w:p>
          <w:p>
            <w:pPr>
              <w:pStyle w:val="55"/>
              <w:rPr>
                <w:rFonts w:hAnsi="宋体"/>
                <w:color w:val="auto"/>
                <w:highlight w:val="none"/>
              </w:rPr>
            </w:pPr>
            <w:r>
              <w:rPr>
                <w:rFonts w:hint="eastAsia" w:hAnsi="宋体"/>
                <w:color w:val="auto"/>
                <w:highlight w:val="none"/>
              </w:rPr>
              <w:t>3.5.2溢油风险事故预测与分析</w:t>
            </w:r>
          </w:p>
          <w:p>
            <w:pPr>
              <w:pStyle w:val="55"/>
              <w:rPr>
                <w:rFonts w:hAnsi="宋体"/>
                <w:color w:val="auto"/>
                <w:highlight w:val="none"/>
              </w:rPr>
            </w:pPr>
            <w:r>
              <w:rPr>
                <w:rFonts w:hint="eastAsia" w:hAnsi="宋体"/>
                <w:color w:val="auto"/>
                <w:highlight w:val="none"/>
              </w:rPr>
              <w:t>3.5.2.1统计分析</w:t>
            </w:r>
          </w:p>
          <w:p>
            <w:pPr>
              <w:pStyle w:val="55"/>
              <w:rPr>
                <w:rFonts w:hAnsi="宋体"/>
                <w:color w:val="auto"/>
                <w:highlight w:val="none"/>
              </w:rPr>
            </w:pPr>
            <w:r>
              <w:rPr>
                <w:rFonts w:hint="eastAsia" w:hAnsi="宋体"/>
                <w:color w:val="auto"/>
                <w:highlight w:val="none"/>
              </w:rPr>
              <w:t>随着钦州市港口经济以及航运事业发展，进出钦州港的船舶数量日益增加，船舶大型化趋势明显，船舶事故风险增加，由此导致的溢油风险随之增加。</w:t>
            </w:r>
          </w:p>
          <w:p>
            <w:pPr>
              <w:pStyle w:val="55"/>
              <w:rPr>
                <w:rFonts w:hAnsi="宋体"/>
                <w:color w:val="auto"/>
                <w:highlight w:val="none"/>
              </w:rPr>
            </w:pPr>
            <w:r>
              <w:rPr>
                <w:rFonts w:hint="eastAsia" w:hAnsi="宋体"/>
                <w:color w:val="auto"/>
                <w:highlight w:val="none"/>
              </w:rPr>
              <w:t>根据有关统计资料，钦州港从2011年到2018年共发生事故63件，其中碰撞事故22件，搁浅事故13件，触损事故10件，自沉10件，风灾事故1件，火灾事故3件，交通事故统计情况如表3.5-1所示。发生事故的船种有大中型散货船、杂货船、中小型集装箱船、渔船、运输船等，其中以中小型散货船、渔船为主。船舶交通事故多发生在锚地、航道附近，3成以上为船舶碰撞。</w:t>
            </w:r>
          </w:p>
          <w:p>
            <w:pPr>
              <w:pStyle w:val="55"/>
              <w:jc w:val="center"/>
              <w:rPr>
                <w:rFonts w:hAnsi="宋体"/>
                <w:color w:val="auto"/>
                <w:highlight w:val="none"/>
              </w:rPr>
            </w:pPr>
            <w:r>
              <w:rPr>
                <w:rFonts w:hint="eastAsia" w:hAnsi="宋体"/>
                <w:color w:val="auto"/>
                <w:highlight w:val="none"/>
              </w:rPr>
              <w:t>表3.5-1辖区事故种类统计表</w:t>
            </w:r>
          </w:p>
          <w:p>
            <w:pPr>
              <w:pStyle w:val="55"/>
              <w:ind w:firstLine="0"/>
              <w:jc w:val="both"/>
              <w:rPr>
                <w:rFonts w:hAnsi="宋体"/>
                <w:color w:val="auto"/>
                <w:highlight w:val="none"/>
              </w:rPr>
            </w:pPr>
            <w:r>
              <w:rPr>
                <w:rFonts w:hAnsi="宋体"/>
                <w:color w:val="auto"/>
                <w:highlight w:val="none"/>
              </w:rPr>
              <w:drawing>
                <wp:inline distT="0" distB="0" distL="0" distR="0">
                  <wp:extent cx="5731510" cy="2026920"/>
                  <wp:effectExtent l="19050" t="0" r="2079" b="0"/>
                  <wp:docPr id="60" name="图片 45" descr="F:\微信文件File\WeChat Files\wxid_kgkf81ca4cje21\FileStorage\Temp\1701311285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5" descr="F:\微信文件File\WeChat Files\wxid_kgkf81ca4cje21\FileStorage\Temp\1701311285817.png"/>
                          <pic:cNvPicPr>
                            <a:picLocks noChangeAspect="1" noChangeArrowheads="1"/>
                          </pic:cNvPicPr>
                        </pic:nvPicPr>
                        <pic:blipFill>
                          <a:blip r:embed="rId75"/>
                          <a:srcRect/>
                          <a:stretch>
                            <a:fillRect/>
                          </a:stretch>
                        </pic:blipFill>
                        <pic:spPr>
                          <a:xfrm>
                            <a:off x="0" y="0"/>
                            <a:ext cx="5734605" cy="2027851"/>
                          </a:xfrm>
                          <a:prstGeom prst="rect">
                            <a:avLst/>
                          </a:prstGeom>
                          <a:noFill/>
                          <a:ln w="9525">
                            <a:noFill/>
                            <a:miter lim="800000"/>
                            <a:headEnd/>
                            <a:tailEnd/>
                          </a:ln>
                        </pic:spPr>
                      </pic:pic>
                    </a:graphicData>
                  </a:graphic>
                </wp:inline>
              </w:drawing>
            </w:r>
          </w:p>
          <w:p>
            <w:pPr>
              <w:pStyle w:val="55"/>
              <w:jc w:val="both"/>
              <w:rPr>
                <w:rFonts w:hAnsi="宋体"/>
                <w:color w:val="auto"/>
                <w:highlight w:val="none"/>
              </w:rPr>
            </w:pPr>
          </w:p>
          <w:p>
            <w:pPr>
              <w:pStyle w:val="55"/>
              <w:jc w:val="both"/>
              <w:rPr>
                <w:rFonts w:hAnsi="宋体"/>
                <w:color w:val="auto"/>
                <w:highlight w:val="none"/>
              </w:rPr>
            </w:pPr>
            <w:r>
              <w:rPr>
                <w:rFonts w:hint="eastAsia" w:hAnsi="宋体"/>
                <w:color w:val="auto"/>
                <w:highlight w:val="none"/>
              </w:rPr>
              <w:t>由于溢油事故将对海洋生态造成巨大破环，必须采取有效的应对措施防控溢油事故。</w:t>
            </w:r>
          </w:p>
          <w:p>
            <w:pPr>
              <w:pStyle w:val="55"/>
              <w:jc w:val="both"/>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0"/>
              <w:rPr>
                <w:rFonts w:ascii="仿宋_GB2312" w:hAnsi="仿宋_GB2312"/>
                <w:b/>
                <w:color w:val="auto"/>
                <w:sz w:val="30"/>
                <w:szCs w:val="30"/>
                <w:highlight w:val="none"/>
              </w:rPr>
            </w:pPr>
            <w:r>
              <w:rPr>
                <w:rFonts w:hint="eastAsia" w:ascii="仿宋_GB2312" w:hAnsi="仿宋_GB2312"/>
                <w:b/>
                <w:color w:val="auto"/>
                <w:sz w:val="30"/>
                <w:szCs w:val="30"/>
                <w:highlight w:val="none"/>
              </w:rPr>
              <w:t>4 海域开发利用协调分析</w:t>
            </w:r>
          </w:p>
          <w:p>
            <w:pPr>
              <w:spacing w:line="360" w:lineRule="auto"/>
              <w:rPr>
                <w:rFonts w:ascii="Times New Roman" w:hAnsi="Times New Roman"/>
                <w:b/>
                <w:color w:val="auto"/>
                <w:sz w:val="24"/>
                <w:szCs w:val="24"/>
                <w:highlight w:val="none"/>
              </w:rPr>
            </w:pPr>
            <w:r>
              <w:rPr>
                <w:rFonts w:hint="eastAsia" w:ascii="Times New Roman" w:hAnsi="Times New Roman"/>
                <w:b/>
                <w:color w:val="auto"/>
                <w:sz w:val="24"/>
                <w:szCs w:val="24"/>
                <w:highlight w:val="none"/>
              </w:rPr>
              <w:t>4.</w:t>
            </w:r>
            <w:r>
              <w:rPr>
                <w:rFonts w:hint="eastAsia" w:ascii="Times New Roman" w:hAnsi="Times New Roman"/>
                <w:b/>
                <w:color w:val="auto"/>
                <w:sz w:val="24"/>
                <w:szCs w:val="24"/>
                <w:highlight w:val="none"/>
                <w:lang w:val="en-US" w:eastAsia="zh-CN"/>
              </w:rPr>
              <w:t>1</w:t>
            </w:r>
            <w:r>
              <w:rPr>
                <w:rFonts w:hint="eastAsia" w:ascii="Times New Roman" w:hAnsi="Times New Roman"/>
                <w:b/>
                <w:color w:val="auto"/>
                <w:sz w:val="24"/>
                <w:szCs w:val="24"/>
                <w:highlight w:val="none"/>
              </w:rPr>
              <w:t>项目用海对周边海域开发利用活动的影响</w:t>
            </w:r>
          </w:p>
          <w:p>
            <w:pPr>
              <w:pStyle w:val="55"/>
              <w:ind w:firstLine="360"/>
              <w:rPr>
                <w:rFonts w:hAnsi="宋体"/>
                <w:color w:val="auto"/>
                <w:kern w:val="0"/>
                <w:highlight w:val="none"/>
              </w:rPr>
            </w:pPr>
            <w:r>
              <w:rPr>
                <w:rFonts w:hint="eastAsia" w:hAnsi="宋体"/>
                <w:color w:val="auto"/>
                <w:kern w:val="0"/>
                <w:highlight w:val="none"/>
              </w:rPr>
              <w:t>(1)对周边养殖区的影响</w:t>
            </w:r>
          </w:p>
          <w:p>
            <w:pPr>
              <w:pStyle w:val="55"/>
              <w:ind w:firstLine="360"/>
              <w:rPr>
                <w:rFonts w:hAnsi="宋体"/>
                <w:color w:val="auto"/>
                <w:kern w:val="0"/>
                <w:highlight w:val="none"/>
              </w:rPr>
            </w:pPr>
            <w:r>
              <w:rPr>
                <w:rFonts w:hint="eastAsia" w:hAnsi="宋体"/>
                <w:color w:val="auto"/>
                <w:kern w:val="0"/>
                <w:highlight w:val="none"/>
              </w:rPr>
              <w:t>1)施工期间对周边养殖的影响分析</w:t>
            </w:r>
          </w:p>
          <w:p>
            <w:pPr>
              <w:pStyle w:val="55"/>
              <w:ind w:firstLine="360"/>
              <w:rPr>
                <w:rFonts w:hAnsi="宋体"/>
                <w:color w:val="auto"/>
                <w:kern w:val="0"/>
                <w:highlight w:val="none"/>
              </w:rPr>
            </w:pPr>
            <w:r>
              <w:rPr>
                <w:rFonts w:hint="eastAsia" w:hAnsi="宋体"/>
                <w:color w:val="auto"/>
                <w:kern w:val="0"/>
                <w:highlight w:val="none"/>
              </w:rPr>
              <w:t>项目施工期对养殖区的影响主要为施工悬沙对养殖区的影响。项目施工悬沙主要向东北、南方向扩散，根据悬浮泥沙扩散数值模拟结果，施工产生的10mg/L浓度悬浮泥沙最大扩散距离为东北偏北向3.564km，工程施工期间10mg/L悬浮泥沙扩散范围未到达邻近养殖区，但由于距离较近，不利情况下可能会有少量悬沙进入邻近养殖区。</w:t>
            </w:r>
          </w:p>
          <w:p>
            <w:pPr>
              <w:pStyle w:val="55"/>
              <w:ind w:firstLine="360"/>
              <w:rPr>
                <w:rFonts w:hAnsi="宋体"/>
                <w:color w:val="auto"/>
                <w:kern w:val="0"/>
                <w:highlight w:val="none"/>
              </w:rPr>
            </w:pPr>
            <w:r>
              <w:rPr>
                <w:rFonts w:hint="eastAsia" w:hAnsi="宋体"/>
                <w:color w:val="auto"/>
                <w:kern w:val="0"/>
                <w:highlight w:val="none"/>
              </w:rPr>
              <w:t>因此，项目施工期间须严格落实悬浮沙污染防治措施：切实落实施工期监测计划；严格监督疏浚和炸礁过程，严禁运输过程洒冒滴漏，落实各项水污染管控措施；施工期间安排专船对悬沙扩散范围及方向进行巡视监控，一旦发现悬沙可能扩散影响到邻近养殖区时，及时停止施工，避免悬沙对邻近养殖区水质的影响；靠近养殖区的疏浚段施工作业时间需尽量避开涨潮期，避免悬浮物大规模扩散进入养殖区域。</w:t>
            </w:r>
          </w:p>
          <w:p>
            <w:pPr>
              <w:pStyle w:val="55"/>
              <w:ind w:firstLine="360"/>
              <w:rPr>
                <w:rFonts w:hAnsi="宋体"/>
                <w:color w:val="auto"/>
                <w:kern w:val="0"/>
                <w:highlight w:val="none"/>
              </w:rPr>
            </w:pPr>
            <w:r>
              <w:rPr>
                <w:rFonts w:hint="eastAsia" w:hAnsi="宋体"/>
                <w:color w:val="auto"/>
                <w:kern w:val="0"/>
                <w:highlight w:val="none"/>
              </w:rPr>
              <w:t>通过以上悬沙防控措施，项目施工期悬沙对邻近养殖区的影响较小。另外，施工期间施工单位必须切实做好施工船舶的管理工作，严禁施工船舶向海域内违规倾倒污水，乱扔垃圾，杜绝此类人为因素对海洋环境的影响，从而避免对周边养殖业带来的潜在危害。另外，须在施工船舶作业范围边缘处设置水上警示标志物，提醒养殖渔船绕行施工作业区，避免相互干扰。</w:t>
            </w:r>
          </w:p>
          <w:p>
            <w:pPr>
              <w:pStyle w:val="55"/>
              <w:ind w:firstLine="360"/>
              <w:rPr>
                <w:rFonts w:hAnsi="宋体"/>
                <w:color w:val="auto"/>
                <w:kern w:val="0"/>
                <w:highlight w:val="none"/>
              </w:rPr>
            </w:pPr>
            <w:r>
              <w:rPr>
                <w:rFonts w:hint="eastAsia" w:hAnsi="宋体"/>
                <w:color w:val="auto"/>
                <w:kern w:val="0"/>
                <w:highlight w:val="none"/>
              </w:rPr>
              <w:t>2)运营期间对养殖业的影响分析</w:t>
            </w:r>
          </w:p>
          <w:p>
            <w:pPr>
              <w:pStyle w:val="55"/>
              <w:ind w:firstLine="360"/>
              <w:rPr>
                <w:rFonts w:hAnsi="宋体"/>
                <w:color w:val="auto"/>
                <w:kern w:val="0"/>
                <w:highlight w:val="none"/>
              </w:rPr>
            </w:pPr>
            <w:r>
              <w:rPr>
                <w:rFonts w:hint="eastAsia" w:hAnsi="宋体"/>
                <w:color w:val="auto"/>
                <w:kern w:val="0"/>
                <w:highlight w:val="none"/>
              </w:rPr>
              <w:t>项目建成营运后主要用于钦州港30万吨级油码头临时拖轮应急通行，在航道内航行船只必须切实做好船舶的环保管理工作，严禁通行船舶向海域内违规倾倒污水，乱扔垃圾，杜绝此类人为因素对海洋环境的影响。此外，航行过程中必须严格听从调度指挥，按照航标设置航道行驶，以避免船舶碰撞造成的溢油事故发生，从而避免对周边养殖业带来的潜在危害。</w:t>
            </w:r>
          </w:p>
          <w:p>
            <w:pPr>
              <w:pStyle w:val="55"/>
              <w:ind w:firstLine="360"/>
              <w:rPr>
                <w:rFonts w:hAnsi="宋体"/>
                <w:color w:val="auto"/>
                <w:kern w:val="0"/>
                <w:highlight w:val="none"/>
              </w:rPr>
            </w:pPr>
            <w:r>
              <w:rPr>
                <w:rFonts w:hint="eastAsia" w:hAnsi="宋体"/>
                <w:color w:val="auto"/>
                <w:kern w:val="0"/>
                <w:highlight w:val="none"/>
              </w:rPr>
              <w:t>综上，在严格落实施工悬沙防控措施的前提下，项目施工悬沙对邻近养殖区影响较小；另外，营运期航道船舶通行对养殖区影响很小。因此，项目施工及运营对周边邻近养殖区影响较小，养殖区业主不界定为本项目的利益相关者。</w:t>
            </w:r>
          </w:p>
          <w:p>
            <w:pPr>
              <w:pStyle w:val="55"/>
              <w:ind w:firstLine="360"/>
              <w:rPr>
                <w:rFonts w:hAnsi="宋体"/>
                <w:color w:val="auto"/>
                <w:kern w:val="0"/>
                <w:highlight w:val="none"/>
              </w:rPr>
            </w:pPr>
            <w:r>
              <w:rPr>
                <w:rFonts w:hint="eastAsia" w:hAnsi="宋体"/>
                <w:color w:val="auto"/>
                <w:kern w:val="0"/>
                <w:highlight w:val="none"/>
              </w:rPr>
              <w:t>(2)对旅游区的影响</w:t>
            </w:r>
          </w:p>
          <w:p>
            <w:pPr>
              <w:pStyle w:val="55"/>
              <w:ind w:firstLine="360"/>
              <w:rPr>
                <w:rFonts w:hAnsi="宋体"/>
                <w:color w:val="auto"/>
                <w:kern w:val="0"/>
                <w:highlight w:val="none"/>
              </w:rPr>
            </w:pPr>
            <w:r>
              <w:rPr>
                <w:rFonts w:hint="eastAsia" w:hAnsi="宋体"/>
                <w:color w:val="auto"/>
                <w:kern w:val="0"/>
                <w:highlight w:val="none"/>
              </w:rPr>
              <w:t>距离项目最近的旅游休闲娱乐区为东侧4.8km的鹿耳环至三娘湾旅游休闲娱乐区，由于休闲区距离本项目较远，项目船舶均不进入旅游区，不会对旅游区的视觉景观的协调性造成明显影响。施工期航道疏浚产生的悬浮物扩散基本不影响到旅游区的范围，施工期的污水污物都不在区域排放，也不会对旅游区产生影响。项目营运期的污水污物都得到有效处理，不会对旅游区产生影响。因此，项目施工和运营期间对鹿耳环至三娘湾旅游休闲娱乐区的影响较小，对其他距离较远的七十二径旅游区、茅尾海东部旅游区无影响。</w:t>
            </w:r>
          </w:p>
          <w:p>
            <w:pPr>
              <w:pStyle w:val="55"/>
              <w:ind w:firstLine="360"/>
              <w:rPr>
                <w:rFonts w:hAnsi="宋体"/>
                <w:color w:val="auto"/>
                <w:kern w:val="0"/>
                <w:highlight w:val="none"/>
              </w:rPr>
            </w:pPr>
            <w:r>
              <w:rPr>
                <w:rFonts w:hint="eastAsia" w:hAnsi="宋体"/>
                <w:color w:val="auto"/>
                <w:kern w:val="0"/>
                <w:highlight w:val="none"/>
              </w:rPr>
              <w:t>(3)对保护区的影响</w:t>
            </w:r>
          </w:p>
          <w:p>
            <w:pPr>
              <w:pStyle w:val="55"/>
              <w:ind w:firstLine="360"/>
              <w:rPr>
                <w:rFonts w:hAnsi="宋体"/>
                <w:color w:val="auto"/>
                <w:kern w:val="0"/>
                <w:highlight w:val="none"/>
              </w:rPr>
            </w:pPr>
            <w:r>
              <w:rPr>
                <w:rFonts w:hint="eastAsia" w:hAnsi="宋体"/>
                <w:color w:val="auto"/>
                <w:kern w:val="0"/>
                <w:highlight w:val="none"/>
              </w:rPr>
              <w:t>距离项目最近的保护区为项目东侧8.8km为三娘湾海洋保护区，其生态保护重点目标为加强对中华白海豚及其海洋环境的保护，环境保护要求海水水质不低于二类标准，海洋沉积物和海洋生物执行一类标准。由于三娘湾海洋保护区距离本项目较远，项目区附近施工环节产生的10mg/L浓度悬浮泥沙最大扩散范围不会到达保护区，不会对保护区的水质环境带来明显影响。根据数值模拟结果项目的建设对周边海域潮流场的影响主要集中在项目周边较近范围内，对地形地貌冲淤环境的影响主要集中在项目周边海域范围内，对保护区所处海域水动力环境、水质环境影响不大。施工期与运营期产生的污水与固废均送至附近单位处理，不向海域内排放，不会明显影响保护区的生态环境。因此，项目建设及运营对周边保护区影响很小。</w:t>
            </w:r>
          </w:p>
          <w:p>
            <w:pPr>
              <w:pStyle w:val="55"/>
              <w:ind w:firstLine="360"/>
              <w:rPr>
                <w:rFonts w:hAnsi="宋体"/>
                <w:color w:val="auto"/>
                <w:kern w:val="0"/>
                <w:highlight w:val="none"/>
              </w:rPr>
            </w:pPr>
            <w:r>
              <w:rPr>
                <w:rFonts w:hint="eastAsia" w:hAnsi="宋体"/>
                <w:color w:val="auto"/>
                <w:kern w:val="0"/>
                <w:highlight w:val="none"/>
              </w:rPr>
              <w:t>(4)对白海豚分布区的影响</w:t>
            </w:r>
          </w:p>
          <w:p>
            <w:pPr>
              <w:pStyle w:val="55"/>
              <w:ind w:firstLine="360"/>
              <w:rPr>
                <w:rFonts w:hAnsi="宋体"/>
                <w:color w:val="auto"/>
                <w:kern w:val="0"/>
                <w:highlight w:val="none"/>
              </w:rPr>
            </w:pPr>
            <w:r>
              <w:rPr>
                <w:rFonts w:hint="eastAsia" w:hAnsi="宋体"/>
                <w:color w:val="auto"/>
                <w:kern w:val="0"/>
                <w:highlight w:val="none"/>
              </w:rPr>
              <w:t>北部湾白海豚是我国第三大种群，其分成大风江水域和沙田水域两个群体。</w:t>
            </w:r>
          </w:p>
          <w:p>
            <w:pPr>
              <w:pStyle w:val="55"/>
              <w:ind w:firstLine="360"/>
              <w:rPr>
                <w:rFonts w:hAnsi="宋体"/>
                <w:color w:val="auto"/>
                <w:kern w:val="0"/>
                <w:highlight w:val="none"/>
              </w:rPr>
            </w:pPr>
            <w:r>
              <w:rPr>
                <w:rFonts w:hint="eastAsia" w:hAnsi="宋体"/>
                <w:color w:val="auto"/>
                <w:kern w:val="0"/>
                <w:highlight w:val="none"/>
              </w:rPr>
              <w:t>本项目距离北部湾白海豚出现位点较远，施工范围不在当前中华白海豚的活动范围内，对中华白海豚分布的影响很小。</w:t>
            </w:r>
          </w:p>
          <w:p>
            <w:pPr>
              <w:pStyle w:val="55"/>
              <w:ind w:firstLine="360"/>
              <w:rPr>
                <w:rFonts w:hAnsi="宋体"/>
                <w:color w:val="auto"/>
                <w:kern w:val="0"/>
                <w:highlight w:val="none"/>
              </w:rPr>
            </w:pPr>
            <w:r>
              <w:rPr>
                <w:rFonts w:hint="eastAsia" w:hAnsi="宋体"/>
                <w:color w:val="auto"/>
                <w:kern w:val="0"/>
                <w:highlight w:val="none"/>
              </w:rPr>
              <w:t>1)施工悬沙对白海豚的影响</w:t>
            </w:r>
          </w:p>
          <w:p>
            <w:pPr>
              <w:pStyle w:val="55"/>
              <w:ind w:firstLine="360"/>
              <w:rPr>
                <w:rFonts w:hAnsi="宋体"/>
                <w:color w:val="auto"/>
                <w:kern w:val="0"/>
                <w:highlight w:val="none"/>
              </w:rPr>
            </w:pPr>
            <w:r>
              <w:rPr>
                <w:rFonts w:hint="eastAsia" w:hAnsi="宋体"/>
                <w:color w:val="auto"/>
                <w:kern w:val="0"/>
                <w:highlight w:val="none"/>
              </w:rPr>
              <w:t>本项目为应急通道疏浚项目，项目施工对海洋环境的影响因子主要为悬浮物。从生理结构上来说，中华白海豚是用肺呼吸的水生哺乳动物，这有别于用鳃呼吸的鱼类，它呼吸时头部露出水面直接呼吸空气，浑浊的水体对其呼吸影响不大。从生态习性来说，中华白海豚长期生活在河口海域，而通常河口海域的水体通常较浑浊，说明中华白海豚对浑浊水体具有一定的适应性，一般来说，海水中的悬浮泥沙增量不超过11mg/L时，中华白海豚是可以自由活动的，而本项目施工产生的悬浮物大于10mg/L增量的影响面积为51152km，东北仙偏北向最远扩散距离为3.564km，不会抵达三娘湾海洋保护区，项目施工产生的悬浮物对中华白海豚的直接影响较小，并且中华白海豚长期的进化也使其对外界环境变化具有一定的趋避能力，假设海水中的悬浮泥沙明显影响了白海豚的正常活动，白海豚会选择逃避来减少受到的伤害，因此项目施工产生的悬浮物泥沙对白海豚的直接影响很小。</w:t>
            </w:r>
          </w:p>
          <w:p>
            <w:pPr>
              <w:pStyle w:val="55"/>
              <w:ind w:firstLine="360"/>
              <w:rPr>
                <w:rFonts w:hAnsi="宋体"/>
                <w:color w:val="auto"/>
                <w:kern w:val="0"/>
                <w:highlight w:val="none"/>
              </w:rPr>
            </w:pPr>
            <w:r>
              <w:rPr>
                <w:rFonts w:hint="eastAsia" w:hAnsi="宋体"/>
                <w:color w:val="auto"/>
                <w:kern w:val="0"/>
                <w:highlight w:val="none"/>
              </w:rPr>
              <w:t>中华白海豚主食鱼类，虽在不同地区食性会有所变化，但都以河口鱼类为主项目施工后局部水体浑浊会使水体透光率下降，影响浮游植物的光合作用，长时间的水体浑浊会降低海域初级生产力，继而影响到鱼类资源，使海豚的食物来源间接受到影响。</w:t>
            </w:r>
          </w:p>
          <w:p>
            <w:pPr>
              <w:pStyle w:val="55"/>
              <w:ind w:firstLine="360"/>
              <w:rPr>
                <w:rFonts w:hAnsi="宋体"/>
                <w:color w:val="auto"/>
                <w:kern w:val="0"/>
                <w:highlight w:val="none"/>
              </w:rPr>
            </w:pPr>
            <w:r>
              <w:rPr>
                <w:rFonts w:hint="eastAsia" w:hAnsi="宋体"/>
                <w:color w:val="auto"/>
                <w:kern w:val="0"/>
                <w:highlight w:val="none"/>
              </w:rPr>
              <w:t>2)施工及运营船舶活动对白海豚的影响</w:t>
            </w:r>
          </w:p>
          <w:p>
            <w:pPr>
              <w:pStyle w:val="55"/>
              <w:ind w:firstLine="360"/>
              <w:rPr>
                <w:rFonts w:hAnsi="宋体"/>
                <w:color w:val="auto"/>
                <w:kern w:val="0"/>
                <w:highlight w:val="none"/>
              </w:rPr>
            </w:pPr>
            <w:r>
              <w:rPr>
                <w:rFonts w:hint="eastAsia" w:hAnsi="宋体"/>
                <w:color w:val="auto"/>
                <w:kern w:val="0"/>
                <w:highlight w:val="none"/>
              </w:rPr>
              <w:t>从观察到白海豚的位置来看，白海豚主要分布在大风江口以东的海湾和北海东南侧海湾，而钦州湾内则没有观察到中华白海豚活动，说明由大风江口至钦州湾口的路线目前已经不是中华白海豚迁移路线之一。经研究，中华白海豚智力较高，有较为明显的逃避船只的行为，一旦船接近豚群，海豚立刻掉头快速游走或者是潜水躲避。因此，项目施工过程不会对白海豚造成明显的影响。在施工过程中若发现白海豚的存在，应注意避让，采取积极措施降低对白海豚的影响。</w:t>
            </w:r>
          </w:p>
          <w:p>
            <w:pPr>
              <w:pStyle w:val="55"/>
              <w:ind w:firstLine="360"/>
              <w:rPr>
                <w:rFonts w:hAnsi="宋体"/>
                <w:color w:val="auto"/>
                <w:kern w:val="0"/>
                <w:highlight w:val="none"/>
              </w:rPr>
            </w:pPr>
            <w:r>
              <w:rPr>
                <w:rFonts w:hint="eastAsia" w:hAnsi="宋体"/>
                <w:color w:val="auto"/>
                <w:kern w:val="0"/>
                <w:highlight w:val="none"/>
              </w:rPr>
              <w:t>项目运营期船舶产生的污水与固废均不向海域内排放，对白海豚分布区海水水质不会带来明显影响。</w:t>
            </w:r>
          </w:p>
          <w:p>
            <w:pPr>
              <w:pStyle w:val="55"/>
              <w:ind w:firstLine="360"/>
              <w:rPr>
                <w:rFonts w:hAnsi="宋体"/>
                <w:color w:val="auto"/>
                <w:kern w:val="0"/>
                <w:highlight w:val="none"/>
              </w:rPr>
            </w:pPr>
            <w:r>
              <w:rPr>
                <w:rFonts w:hint="eastAsia" w:hAnsi="宋体"/>
                <w:color w:val="auto"/>
                <w:kern w:val="0"/>
                <w:highlight w:val="none"/>
              </w:rPr>
              <w:t>4)水质污染对白海豚的影响</w:t>
            </w:r>
          </w:p>
          <w:p>
            <w:pPr>
              <w:pStyle w:val="55"/>
              <w:ind w:firstLine="360"/>
              <w:rPr>
                <w:rFonts w:hAnsi="宋体"/>
                <w:color w:val="auto"/>
                <w:kern w:val="0"/>
                <w:highlight w:val="none"/>
              </w:rPr>
            </w:pPr>
            <w:r>
              <w:rPr>
                <w:rFonts w:hint="eastAsia" w:hAnsi="宋体"/>
                <w:color w:val="auto"/>
                <w:kern w:val="0"/>
                <w:highlight w:val="none"/>
              </w:rPr>
              <w:t>本工程在施工和营运期间的污水都得到有效处理，不会明显提高项目附近海水的污染水平，对白海豚的影响比较小。目前证实的，能对中华白海豚构成威胁的固体废弃物为塑料和渔网，虽然工程在施工和营运期间产生了一定量的固体废弃物，但均由环卫收集处理，不存在乱扔现象，不会对中华白海豚产生影响。</w:t>
            </w:r>
          </w:p>
          <w:p>
            <w:pPr>
              <w:pStyle w:val="55"/>
              <w:ind w:firstLine="360"/>
              <w:rPr>
                <w:rFonts w:hAnsi="宋体"/>
                <w:color w:val="auto"/>
                <w:kern w:val="0"/>
                <w:highlight w:val="none"/>
              </w:rPr>
            </w:pPr>
            <w:r>
              <w:rPr>
                <w:rFonts w:hint="eastAsia" w:hAnsi="宋体"/>
                <w:color w:val="auto"/>
                <w:kern w:val="0"/>
                <w:highlight w:val="none"/>
              </w:rPr>
              <w:t>5)溢油对白海豚的影响</w:t>
            </w:r>
          </w:p>
          <w:p>
            <w:pPr>
              <w:pStyle w:val="55"/>
              <w:ind w:firstLine="360"/>
              <w:rPr>
                <w:rFonts w:hAnsi="宋体"/>
                <w:color w:val="auto"/>
                <w:kern w:val="0"/>
                <w:highlight w:val="none"/>
              </w:rPr>
            </w:pPr>
            <w:r>
              <w:rPr>
                <w:rFonts w:hint="eastAsia" w:hAnsi="宋体"/>
                <w:color w:val="auto"/>
                <w:kern w:val="0"/>
                <w:highlight w:val="none"/>
              </w:rPr>
              <w:t>海洋环境中发生溢油碰撞事故后，油污对白海豚产生较严重影响。溢油事故发生后，白海豚上浮呼吸过程中接触到油污后，呼吸时存在把油污吸入肺部的可能，从而危害生存健康。根据项目溢油事故预测结果，发生船舶碰撞溢油事故后，没有油污扩散到白海豚分布区内，并且由于中华白海豚智力较高，有较为明显的逃避行为，因此船舶碰撞事故对白海豚的影响较小。</w:t>
            </w:r>
          </w:p>
          <w:p>
            <w:pPr>
              <w:pStyle w:val="55"/>
              <w:ind w:firstLine="360"/>
              <w:rPr>
                <w:rFonts w:hAnsi="宋体"/>
                <w:color w:val="auto"/>
                <w:kern w:val="0"/>
                <w:highlight w:val="none"/>
              </w:rPr>
            </w:pPr>
            <w:r>
              <w:rPr>
                <w:rFonts w:hint="eastAsia" w:hAnsi="宋体"/>
                <w:color w:val="auto"/>
                <w:kern w:val="0"/>
                <w:highlight w:val="none"/>
              </w:rPr>
              <w:t>6)应急通道船舶通行对白海豚的影响</w:t>
            </w:r>
          </w:p>
          <w:p>
            <w:pPr>
              <w:pStyle w:val="55"/>
              <w:ind w:firstLine="360"/>
              <w:rPr>
                <w:rFonts w:hAnsi="宋体"/>
                <w:color w:val="auto"/>
                <w:kern w:val="0"/>
                <w:highlight w:val="none"/>
              </w:rPr>
            </w:pPr>
            <w:r>
              <w:rPr>
                <w:rFonts w:hint="eastAsia" w:hAnsi="宋体"/>
                <w:color w:val="auto"/>
                <w:kern w:val="0"/>
                <w:highlight w:val="none"/>
              </w:rPr>
              <w:t>尽管在项目附近范围内没有中华白海豚出现的报道，但不排除有可能出现中华白海豚的踪迹，根据研究，船舶航速在6节以下的速度不会对中华白海豚直接产生撞击。因此项目施工及营运船舶应加强海上观察望，严格遵守《中华人民共和国手生野生动物保护实施条例》，在发现活动的情况下必须采取限速、避让措施。</w:t>
            </w:r>
          </w:p>
          <w:p>
            <w:pPr>
              <w:pStyle w:val="55"/>
              <w:ind w:firstLine="360"/>
              <w:rPr>
                <w:rFonts w:hAnsi="宋体"/>
                <w:color w:val="auto"/>
                <w:kern w:val="0"/>
                <w:highlight w:val="none"/>
              </w:rPr>
            </w:pPr>
            <w:r>
              <w:rPr>
                <w:rFonts w:hint="eastAsia" w:hAnsi="宋体"/>
                <w:color w:val="auto"/>
                <w:kern w:val="0"/>
                <w:highlight w:val="none"/>
              </w:rPr>
              <w:t>综上，项目建设及运营对白海豚影响较小。</w:t>
            </w:r>
          </w:p>
          <w:p>
            <w:pPr>
              <w:pStyle w:val="55"/>
              <w:ind w:firstLine="360"/>
              <w:rPr>
                <w:rFonts w:hAnsi="宋体"/>
                <w:color w:val="auto"/>
                <w:kern w:val="0"/>
                <w:highlight w:val="none"/>
              </w:rPr>
            </w:pPr>
            <w:r>
              <w:rPr>
                <w:rFonts w:hint="eastAsia" w:hAnsi="宋体"/>
                <w:color w:val="auto"/>
                <w:kern w:val="0"/>
                <w:highlight w:val="none"/>
              </w:rPr>
              <w:t>(5)对二长棘翻长毛对虾国家级种质资源保护区的影响</w:t>
            </w:r>
          </w:p>
          <w:p>
            <w:pPr>
              <w:pStyle w:val="55"/>
              <w:ind w:firstLine="360"/>
              <w:jc w:val="both"/>
              <w:rPr>
                <w:rFonts w:hAnsi="宋体"/>
                <w:color w:val="auto"/>
                <w:kern w:val="0"/>
                <w:highlight w:val="none"/>
              </w:rPr>
            </w:pPr>
            <w:r>
              <w:rPr>
                <w:rFonts w:hint="eastAsia" w:hAnsi="宋体"/>
                <w:color w:val="auto"/>
                <w:kern w:val="0"/>
                <w:highlight w:val="none"/>
              </w:rPr>
              <w:t>本项目对周边主要敏感区的影响是施工期悬浮物扩散影响，本项目营运期作为应急通道项目，对周边环境敏感区基本上不产生影响。北部湾二长棘绸长毛对虾国家级种质资源保护区核心区位于项目南侧约24km，距离较远，根据悬浮物扩散分析，悬浮物主要会对工程附近水质产生影响，大于10mg/L的悬浮物浓度增量南向最远距离约为2.052km，因此对该种质资源保护区核心区影响很小。</w:t>
            </w:r>
          </w:p>
          <w:p>
            <w:pPr>
              <w:pStyle w:val="55"/>
              <w:ind w:firstLine="360"/>
              <w:rPr>
                <w:rFonts w:hAnsi="宋体"/>
                <w:color w:val="auto"/>
                <w:kern w:val="0"/>
                <w:highlight w:val="none"/>
              </w:rPr>
            </w:pPr>
            <w:r>
              <w:rPr>
                <w:rFonts w:hint="eastAsia" w:hAnsi="宋体"/>
                <w:color w:val="auto"/>
                <w:kern w:val="0"/>
                <w:highlight w:val="none"/>
              </w:rPr>
              <w:t>(7)对通航环境的影响分析</w:t>
            </w:r>
          </w:p>
          <w:p>
            <w:pPr>
              <w:pStyle w:val="55"/>
              <w:ind w:firstLine="360"/>
              <w:rPr>
                <w:rFonts w:hAnsi="宋体"/>
                <w:color w:val="auto"/>
                <w:kern w:val="0"/>
                <w:highlight w:val="none"/>
              </w:rPr>
            </w:pPr>
            <w:r>
              <w:rPr>
                <w:rFonts w:hint="eastAsia" w:hAnsi="宋体"/>
                <w:color w:val="auto"/>
                <w:kern w:val="0"/>
                <w:highlight w:val="none"/>
              </w:rPr>
              <w:t>1)施工期对通航环境的影响</w:t>
            </w:r>
          </w:p>
          <w:p>
            <w:pPr>
              <w:pStyle w:val="55"/>
              <w:ind w:firstLine="360"/>
              <w:rPr>
                <w:rFonts w:hAnsi="宋体"/>
                <w:color w:val="auto"/>
                <w:kern w:val="0"/>
                <w:highlight w:val="none"/>
              </w:rPr>
            </w:pPr>
            <w:r>
              <w:rPr>
                <w:rFonts w:hint="eastAsia" w:hAnsi="宋体"/>
                <w:color w:val="auto"/>
                <w:kern w:val="0"/>
                <w:highlight w:val="none"/>
              </w:rPr>
              <w:t>本工程中施工设备投入最多的是船机，主要从事耙吸、运泥、爆破、清碴、弃碴接送等任务。本工程的施工船舶对钦州港30万吨级油码头航道产生临时性的影响。钦州港30万吨级油码头航道通航密度较大，本工程的施工船舶会加大了该海区的通航密度，船舶碰撞几率增高，需加强通航安全监管；同时，施工船只应避免占用钦州港30万吨级油码头航道，尽量减免项目施工对现状航道通航环境的影响，同时需加强通航安全监管。</w:t>
            </w:r>
          </w:p>
          <w:p>
            <w:pPr>
              <w:pStyle w:val="55"/>
              <w:ind w:firstLine="360"/>
              <w:rPr>
                <w:rFonts w:hAnsi="宋体"/>
                <w:color w:val="auto"/>
                <w:kern w:val="0"/>
                <w:highlight w:val="none"/>
              </w:rPr>
            </w:pPr>
            <w:r>
              <w:rPr>
                <w:rFonts w:hint="eastAsia" w:hAnsi="宋体"/>
                <w:color w:val="auto"/>
                <w:kern w:val="0"/>
                <w:highlight w:val="none"/>
              </w:rPr>
              <w:t>(2)营运期通航环境影响分析</w:t>
            </w:r>
          </w:p>
          <w:p>
            <w:pPr>
              <w:pStyle w:val="55"/>
              <w:ind w:firstLine="360"/>
              <w:rPr>
                <w:rFonts w:hAnsi="宋体"/>
                <w:color w:val="auto"/>
                <w:kern w:val="0"/>
                <w:highlight w:val="none"/>
              </w:rPr>
            </w:pPr>
            <w:r>
              <w:rPr>
                <w:rFonts w:hint="eastAsia" w:hAnsi="宋体"/>
                <w:color w:val="auto"/>
                <w:kern w:val="0"/>
                <w:highlight w:val="none"/>
              </w:rPr>
              <w:t>航道建成后，客观上增加了附近水域的船舶通航密度，同时增加了在附近航行船舶的交会、避让次数，加大了在附近航行船舶的操纵难度，使交通事故发生的概率增加，需严格听从航道调度部门指挥，避免通航安全事故发生。</w:t>
            </w:r>
          </w:p>
          <w:p>
            <w:pPr>
              <w:pStyle w:val="55"/>
              <w:ind w:firstLine="360"/>
              <w:rPr>
                <w:rFonts w:hAnsi="宋体"/>
                <w:color w:val="auto"/>
                <w:kern w:val="0"/>
                <w:highlight w:val="none"/>
              </w:rPr>
            </w:pPr>
            <w:r>
              <w:rPr>
                <w:rFonts w:hint="eastAsia" w:hAnsi="宋体"/>
                <w:color w:val="auto"/>
                <w:kern w:val="0"/>
                <w:highlight w:val="none"/>
              </w:rPr>
              <w:t>综上，项目为钦州港30万吨级油码头临时拖轮应急通道，施工和营运期间势必会对现状航道的通航环境造成一定影响，需与港口航道管理部门进行协调。此外，项目航道疏浚物将抛至倾倒区。项目建设单位需向主管部门申请办理倾倒区的许可手续。</w:t>
            </w:r>
          </w:p>
          <w:p>
            <w:pPr>
              <w:spacing w:line="360" w:lineRule="auto"/>
              <w:rPr>
                <w:rFonts w:ascii="Times New Roman" w:hAnsi="Times New Roman"/>
                <w:b/>
                <w:color w:val="auto"/>
                <w:sz w:val="24"/>
                <w:szCs w:val="24"/>
                <w:highlight w:val="none"/>
              </w:rPr>
            </w:pPr>
            <w:r>
              <w:rPr>
                <w:rFonts w:hint="eastAsia" w:ascii="Times New Roman" w:hAnsi="Times New Roman"/>
                <w:b/>
                <w:color w:val="auto"/>
                <w:sz w:val="24"/>
                <w:szCs w:val="24"/>
                <w:highlight w:val="none"/>
              </w:rPr>
              <w:t>4.3利益相关者分析和协调方案</w:t>
            </w:r>
          </w:p>
          <w:p>
            <w:pPr>
              <w:pStyle w:val="54"/>
              <w:rPr>
                <w:color w:val="auto"/>
                <w:highlight w:val="none"/>
              </w:rPr>
            </w:pPr>
            <w:r>
              <w:rPr>
                <w:rFonts w:hint="eastAsia" w:ascii="宋体" w:hAnsi="宋体"/>
                <w:color w:val="auto"/>
                <w:highlight w:val="none"/>
              </w:rPr>
              <w:t>（1）</w:t>
            </w:r>
            <w:r>
              <w:rPr>
                <w:rFonts w:hint="eastAsia"/>
                <w:color w:val="auto"/>
                <w:highlight w:val="none"/>
              </w:rPr>
              <w:t>利益相关者分析</w:t>
            </w:r>
          </w:p>
          <w:p>
            <w:pPr>
              <w:pStyle w:val="55"/>
              <w:ind w:firstLine="360"/>
              <w:rPr>
                <w:rFonts w:hAnsi="宋体"/>
                <w:color w:val="auto"/>
                <w:kern w:val="0"/>
                <w:highlight w:val="none"/>
              </w:rPr>
            </w:pPr>
            <w:r>
              <w:rPr>
                <w:rFonts w:hint="eastAsia"/>
                <w:color w:val="auto"/>
                <w:highlight w:val="none"/>
              </w:rPr>
              <w:t>根据上述分析，将当</w:t>
            </w:r>
            <w:r>
              <w:rPr>
                <w:rFonts w:hint="eastAsia" w:hAnsi="宋体"/>
                <w:color w:val="auto"/>
                <w:kern w:val="0"/>
                <w:highlight w:val="none"/>
              </w:rPr>
              <w:t>地渔民</w:t>
            </w:r>
            <w:r>
              <w:rPr>
                <w:rFonts w:hint="eastAsia" w:hAnsi="宋体"/>
                <w:color w:val="auto"/>
                <w:kern w:val="0"/>
                <w:highlight w:val="none"/>
                <w:lang w:val="en-US" w:eastAsia="zh-CN"/>
              </w:rPr>
              <w:t>等</w:t>
            </w:r>
            <w:r>
              <w:rPr>
                <w:rFonts w:hint="eastAsia"/>
                <w:color w:val="auto"/>
                <w:highlight w:val="none"/>
              </w:rPr>
              <w:t>确定为</w:t>
            </w:r>
            <w:r>
              <w:rPr>
                <w:rFonts w:hint="eastAsia" w:hAnsi="宋体"/>
                <w:color w:val="auto"/>
                <w:kern w:val="0"/>
                <w:highlight w:val="none"/>
              </w:rPr>
              <w:t>项目利益相关者</w:t>
            </w:r>
            <w:r>
              <w:rPr>
                <w:rFonts w:hint="eastAsia"/>
                <w:color w:val="auto"/>
                <w:highlight w:val="none"/>
              </w:rPr>
              <w:t>，同时将</w:t>
            </w:r>
            <w:r>
              <w:rPr>
                <w:rFonts w:hint="eastAsia" w:hAnsi="Times New Roman"/>
                <w:color w:val="auto"/>
                <w:szCs w:val="21"/>
                <w:highlight w:val="none"/>
              </w:rPr>
              <w:t>港口管理部门、海事部门管理部门</w:t>
            </w:r>
            <w:r>
              <w:rPr>
                <w:rFonts w:hint="eastAsia" w:hAnsi="宋体"/>
                <w:color w:val="auto"/>
                <w:kern w:val="0"/>
                <w:highlight w:val="none"/>
              </w:rPr>
              <w:t>列为项目协调部门。</w:t>
            </w:r>
          </w:p>
          <w:p>
            <w:pPr>
              <w:pStyle w:val="55"/>
              <w:ind w:firstLine="360"/>
              <w:rPr>
                <w:rFonts w:hAnsi="宋体"/>
                <w:color w:val="auto"/>
                <w:kern w:val="0"/>
                <w:highlight w:val="none"/>
              </w:rPr>
            </w:pPr>
            <w:r>
              <w:rPr>
                <w:rFonts w:hint="eastAsia" w:hAnsi="Times New Roman"/>
                <w:color w:val="auto"/>
                <w:spacing w:val="-4"/>
                <w:highlight w:val="none"/>
              </w:rPr>
              <w:t>项目</w:t>
            </w:r>
            <w:r>
              <w:rPr>
                <w:rFonts w:hAnsi="Times New Roman"/>
                <w:color w:val="auto"/>
                <w:spacing w:val="-4"/>
                <w:highlight w:val="none"/>
              </w:rPr>
              <w:t>邻近海域用海现状及部分利益相关者见表</w:t>
            </w:r>
            <w:r>
              <w:rPr>
                <w:rFonts w:hint="eastAsia" w:hAnsi="Times New Roman"/>
                <w:color w:val="auto"/>
                <w:spacing w:val="-4"/>
                <w:highlight w:val="none"/>
              </w:rPr>
              <w:t>4-2</w:t>
            </w:r>
            <w:r>
              <w:rPr>
                <w:rFonts w:hAnsi="Times New Roman"/>
                <w:color w:val="auto"/>
                <w:spacing w:val="-4"/>
                <w:highlight w:val="none"/>
              </w:rPr>
              <w:t>。</w:t>
            </w:r>
          </w:p>
          <w:p>
            <w:pPr>
              <w:spacing w:line="360" w:lineRule="auto"/>
              <w:jc w:val="center"/>
              <w:rPr>
                <w:rFonts w:ascii="Times New Roman" w:hAnsi="Times New Roman"/>
                <w:b/>
                <w:color w:val="auto"/>
                <w:sz w:val="24"/>
                <w:szCs w:val="24"/>
                <w:highlight w:val="none"/>
              </w:rPr>
            </w:pPr>
            <w:r>
              <w:rPr>
                <w:rFonts w:ascii="Times New Roman" w:hAnsi="Times New Roman"/>
                <w:b/>
                <w:color w:val="auto"/>
                <w:sz w:val="24"/>
                <w:szCs w:val="24"/>
                <w:highlight w:val="none"/>
              </w:rPr>
              <w:t>表</w:t>
            </w:r>
            <w:r>
              <w:rPr>
                <w:rFonts w:hint="eastAsia" w:ascii="Times New Roman" w:hAnsi="Times New Roman"/>
                <w:b/>
                <w:color w:val="auto"/>
                <w:sz w:val="24"/>
                <w:szCs w:val="24"/>
                <w:highlight w:val="none"/>
              </w:rPr>
              <w:t>4-2 项目附近</w:t>
            </w:r>
            <w:r>
              <w:rPr>
                <w:rFonts w:ascii="Times New Roman" w:hAnsi="Times New Roman"/>
                <w:b/>
                <w:color w:val="auto"/>
                <w:sz w:val="24"/>
                <w:szCs w:val="24"/>
                <w:highlight w:val="none"/>
              </w:rPr>
              <w:t>用海</w:t>
            </w:r>
            <w:r>
              <w:rPr>
                <w:rFonts w:hint="eastAsia" w:ascii="Times New Roman" w:hAnsi="Times New Roman"/>
                <w:b/>
                <w:color w:val="auto"/>
                <w:sz w:val="24"/>
                <w:szCs w:val="24"/>
                <w:highlight w:val="none"/>
              </w:rPr>
              <w:t>情况分布表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
              <w:gridCol w:w="2121"/>
              <w:gridCol w:w="2250"/>
              <w:gridCol w:w="1245"/>
              <w:gridCol w:w="1320"/>
              <w:gridCol w:w="1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610"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编号</w:t>
                  </w:r>
                </w:p>
              </w:tc>
              <w:tc>
                <w:tcPr>
                  <w:tcW w:w="2121"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用海现状</w:t>
                  </w:r>
                </w:p>
              </w:tc>
              <w:tc>
                <w:tcPr>
                  <w:tcW w:w="2250"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相关部门或人员</w:t>
                  </w:r>
                </w:p>
              </w:tc>
              <w:tc>
                <w:tcPr>
                  <w:tcW w:w="1245"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与本项目</w:t>
                  </w:r>
                  <w:r>
                    <w:rPr>
                      <w:rFonts w:hint="eastAsia" w:ascii="Times New Roman" w:hAnsi="Times New Roman"/>
                      <w:color w:val="auto"/>
                      <w:szCs w:val="21"/>
                      <w:highlight w:val="none"/>
                    </w:rPr>
                    <w:t>最近</w:t>
                  </w:r>
                  <w:r>
                    <w:rPr>
                      <w:rFonts w:ascii="Times New Roman" w:hAnsi="Times New Roman"/>
                      <w:color w:val="auto"/>
                      <w:szCs w:val="21"/>
                      <w:highlight w:val="none"/>
                    </w:rPr>
                    <w:t>距离</w:t>
                  </w:r>
                </w:p>
              </w:tc>
              <w:tc>
                <w:tcPr>
                  <w:tcW w:w="1320"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影响程度</w:t>
                  </w:r>
                </w:p>
              </w:tc>
              <w:tc>
                <w:tcPr>
                  <w:tcW w:w="1514"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610"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2121" w:type="dxa"/>
                  <w:vAlign w:val="center"/>
                </w:tcPr>
                <w:p>
                  <w:pPr>
                    <w:adjustRightInd w:val="0"/>
                    <w:snapToGrid w:val="0"/>
                    <w:jc w:val="center"/>
                    <w:rPr>
                      <w:color w:val="auto"/>
                      <w:highlight w:val="none"/>
                    </w:rPr>
                  </w:pPr>
                  <w:r>
                    <w:rPr>
                      <w:rFonts w:hint="eastAsia"/>
                      <w:color w:val="auto"/>
                      <w:highlight w:val="none"/>
                    </w:rPr>
                    <w:t>海水养殖</w:t>
                  </w:r>
                </w:p>
              </w:tc>
              <w:tc>
                <w:tcPr>
                  <w:tcW w:w="2250"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养殖公司</w:t>
                  </w:r>
                </w:p>
              </w:tc>
              <w:tc>
                <w:tcPr>
                  <w:tcW w:w="1245" w:type="dxa"/>
                  <w:vAlign w:val="center"/>
                </w:tcPr>
                <w:p>
                  <w:pPr>
                    <w:jc w:val="center"/>
                    <w:rPr>
                      <w:rFonts w:ascii="Times New Roman" w:hAnsi="Times New Roman"/>
                      <w:color w:val="auto"/>
                      <w:szCs w:val="21"/>
                      <w:highlight w:val="none"/>
                    </w:rPr>
                  </w:pPr>
                  <w:r>
                    <w:rPr>
                      <w:rFonts w:hint="eastAsia"/>
                      <w:color w:val="auto"/>
                      <w:highlight w:val="none"/>
                    </w:rPr>
                    <w:t>2</w:t>
                  </w:r>
                  <w:r>
                    <w:rPr>
                      <w:rFonts w:hint="eastAsia" w:hAnsi="宋体"/>
                      <w:color w:val="auto"/>
                      <w:kern w:val="0"/>
                      <w:highlight w:val="none"/>
                    </w:rPr>
                    <w:t>0m</w:t>
                  </w:r>
                </w:p>
              </w:tc>
              <w:tc>
                <w:tcPr>
                  <w:tcW w:w="1320"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影响较小</w:t>
                  </w:r>
                </w:p>
              </w:tc>
              <w:tc>
                <w:tcPr>
                  <w:tcW w:w="151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利益相关者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10"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2121" w:type="dxa"/>
                  <w:vAlign w:val="center"/>
                </w:tcPr>
                <w:p>
                  <w:pPr>
                    <w:adjustRightInd w:val="0"/>
                    <w:snapToGrid w:val="0"/>
                    <w:jc w:val="center"/>
                    <w:rPr>
                      <w:color w:val="auto"/>
                      <w:highlight w:val="none"/>
                    </w:rPr>
                  </w:pPr>
                  <w:r>
                    <w:rPr>
                      <w:rFonts w:hint="eastAsia"/>
                      <w:color w:val="auto"/>
                      <w:highlight w:val="none"/>
                    </w:rPr>
                    <w:t>渔船通航</w:t>
                  </w:r>
                </w:p>
              </w:tc>
              <w:tc>
                <w:tcPr>
                  <w:tcW w:w="2250" w:type="dxa"/>
                  <w:vAlign w:val="center"/>
                </w:tcPr>
                <w:p>
                  <w:pPr>
                    <w:jc w:val="center"/>
                    <w:rPr>
                      <w:rFonts w:ascii="Times New Roman" w:hAnsi="Times New Roman"/>
                      <w:color w:val="auto"/>
                      <w:szCs w:val="21"/>
                      <w:highlight w:val="none"/>
                    </w:rPr>
                  </w:pPr>
                  <w:r>
                    <w:rPr>
                      <w:rFonts w:hint="eastAsia"/>
                      <w:color w:val="auto"/>
                      <w:highlight w:val="none"/>
                    </w:rPr>
                    <w:t>当地渔民</w:t>
                  </w:r>
                </w:p>
              </w:tc>
              <w:tc>
                <w:tcPr>
                  <w:tcW w:w="1245"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w:t>
                  </w:r>
                </w:p>
              </w:tc>
              <w:tc>
                <w:tcPr>
                  <w:tcW w:w="1320"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影响较小</w:t>
                  </w:r>
                </w:p>
              </w:tc>
              <w:tc>
                <w:tcPr>
                  <w:tcW w:w="151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利益相关者</w:t>
                  </w:r>
                </w:p>
              </w:tc>
            </w:tr>
          </w:tbl>
          <w:p>
            <w:pPr>
              <w:pStyle w:val="54"/>
              <w:rPr>
                <w:rFonts w:hAnsi="Times New Roman"/>
                <w:color w:val="auto"/>
                <w:highlight w:val="none"/>
              </w:rPr>
            </w:pPr>
            <w:r>
              <w:rPr>
                <w:rFonts w:hint="eastAsia" w:ascii="宋体" w:hAnsi="宋体"/>
                <w:color w:val="auto"/>
                <w:highlight w:val="none"/>
              </w:rPr>
              <w:t>（2）</w:t>
            </w:r>
            <w:r>
              <w:rPr>
                <w:rFonts w:hint="eastAsia"/>
                <w:color w:val="auto"/>
                <w:highlight w:val="none"/>
              </w:rPr>
              <w:t>协调措施</w:t>
            </w:r>
          </w:p>
          <w:p>
            <w:pPr>
              <w:pStyle w:val="55"/>
              <w:rPr>
                <w:color w:val="auto"/>
                <w:highlight w:val="none"/>
              </w:rPr>
            </w:pPr>
            <w:r>
              <w:rPr>
                <w:rFonts w:hint="eastAsia"/>
                <w:color w:val="auto"/>
                <w:highlight w:val="none"/>
              </w:rPr>
              <w:t>项目占用钦州湾南部部分海域开展临时拖轮应急通道建设，减少了当地渔船通航及作业区域。但当地渔船主要在钦州湾外海域开展渔业生产，渔船在项目海域内从事捕捞作业的规模都不大，产量较低，对当地渔民的影响很小。渔船主要在项目东侧海域内习惯航道通行，本项目已在周边设置警示浮标，养殖区与非养殖区分界明确，钦州港海域宽阔，工作船艇与其他渔船发生碰撞事故的可能性很小。通过加强管理可以协调好与当地渔民关系。</w:t>
            </w:r>
          </w:p>
          <w:p>
            <w:pPr>
              <w:pStyle w:val="55"/>
              <w:rPr>
                <w:color w:val="auto"/>
                <w:highlight w:val="none"/>
              </w:rPr>
            </w:pPr>
            <w:r>
              <w:rPr>
                <w:rFonts w:hint="eastAsia"/>
                <w:color w:val="auto"/>
                <w:highlight w:val="none"/>
              </w:rPr>
              <w:t>项目工作船艇需靠泊钦州湾码头。项目工作船艇为小型船舶，数量较少，对码头区影响较小，并且不能影响其他渔船靠泊作业。</w:t>
            </w:r>
          </w:p>
          <w:p>
            <w:pPr>
              <w:pStyle w:val="55"/>
              <w:rPr>
                <w:color w:val="auto"/>
                <w:highlight w:val="none"/>
              </w:rPr>
            </w:pPr>
            <w:r>
              <w:rPr>
                <w:rFonts w:hint="eastAsia"/>
                <w:color w:val="auto"/>
                <w:highlight w:val="none"/>
              </w:rPr>
              <w:t>项目工作船艇需使用钦州湾习惯航道，需服从钦州海事局的管理，遵守海上交通规则，避免发生船舶碰撞交通事故。</w:t>
            </w:r>
          </w:p>
          <w:p>
            <w:pPr>
              <w:pStyle w:val="55"/>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0"/>
              <w:outlineLvl w:val="0"/>
              <w:rPr>
                <w:b/>
                <w:color w:val="auto"/>
                <w:sz w:val="30"/>
                <w:szCs w:val="30"/>
                <w:highlight w:val="none"/>
              </w:rPr>
            </w:pPr>
            <w:r>
              <w:rPr>
                <w:rFonts w:hint="eastAsia"/>
                <w:b/>
                <w:color w:val="auto"/>
                <w:sz w:val="30"/>
                <w:szCs w:val="30"/>
                <w:highlight w:val="none"/>
              </w:rPr>
              <w:t>5 国土空间规划划符合性分析</w:t>
            </w:r>
          </w:p>
          <w:p>
            <w:pPr>
              <w:pStyle w:val="55"/>
              <w:ind w:firstLine="0"/>
              <w:outlineLvl w:val="0"/>
              <w:rPr>
                <w:rFonts w:hAnsi="Times New Roman"/>
                <w:b/>
                <w:color w:val="auto"/>
                <w:highlight w:val="none"/>
              </w:rPr>
            </w:pPr>
            <w:r>
              <w:rPr>
                <w:rFonts w:hint="eastAsia" w:hAnsi="Times New Roman"/>
                <w:b/>
                <w:color w:val="auto"/>
                <w:highlight w:val="none"/>
              </w:rPr>
              <w:t>5.1 项目用海与海洋功能区划的符合性分析</w:t>
            </w:r>
          </w:p>
          <w:p>
            <w:pPr>
              <w:spacing w:line="360" w:lineRule="auto"/>
              <w:ind w:firstLine="480"/>
              <w:rPr>
                <w:rFonts w:ascii="Times New Roman" w:hAnsi="Times New Roman"/>
                <w:color w:val="auto"/>
                <w:sz w:val="24"/>
                <w:szCs w:val="24"/>
                <w:highlight w:val="none"/>
              </w:rPr>
            </w:pPr>
            <w:r>
              <w:rPr>
                <w:rFonts w:hint="eastAsia" w:ascii="Times New Roman" w:hAnsi="Times New Roman"/>
                <w:color w:val="auto"/>
                <w:sz w:val="24"/>
                <w:szCs w:val="24"/>
                <w:highlight w:val="none"/>
              </w:rPr>
              <w:t>根据《广西海洋功能区划（2011-2020年）》，项目所在海域为钦州湾东南部农渔业区（B1-6），其周边主要分布农渔业区、港口航运区等，见图5-1。海洋功能区划登记表见表5-1所示。</w:t>
            </w:r>
          </w:p>
          <w:p>
            <w:pPr>
              <w:widowControl/>
              <w:jc w:val="center"/>
              <w:rPr>
                <w:rFonts w:ascii="宋体" w:hAnsi="宋体" w:cs="宋体"/>
                <w:color w:val="auto"/>
                <w:kern w:val="0"/>
                <w:highlight w:val="none"/>
              </w:rPr>
            </w:pPr>
            <w:r>
              <w:rPr>
                <w:color w:val="auto"/>
                <w:highlight w:val="none"/>
              </w:rPr>
              <w:drawing>
                <wp:inline distT="0" distB="0" distL="114300" distR="114300">
                  <wp:extent cx="4944745" cy="5314315"/>
                  <wp:effectExtent l="0" t="0" r="8255"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6"/>
                          <a:stretch>
                            <a:fillRect/>
                          </a:stretch>
                        </pic:blipFill>
                        <pic:spPr>
                          <a:xfrm>
                            <a:off x="0" y="0"/>
                            <a:ext cx="4944745" cy="5314315"/>
                          </a:xfrm>
                          <a:prstGeom prst="rect">
                            <a:avLst/>
                          </a:prstGeom>
                          <a:noFill/>
                          <a:ln>
                            <a:noFill/>
                          </a:ln>
                        </pic:spPr>
                      </pic:pic>
                    </a:graphicData>
                  </a:graphic>
                </wp:inline>
              </w:drawing>
            </w:r>
          </w:p>
          <w:p>
            <w:pPr>
              <w:pStyle w:val="55"/>
              <w:jc w:val="center"/>
              <w:rPr>
                <w:b/>
                <w:color w:val="auto"/>
                <w:highlight w:val="none"/>
              </w:rPr>
            </w:pPr>
            <w:r>
              <w:rPr>
                <w:rFonts w:hint="eastAsia"/>
                <w:b/>
                <w:color w:val="auto"/>
                <w:highlight w:val="none"/>
              </w:rPr>
              <w:t>图5-1项目及其周边海洋功能区划</w:t>
            </w:r>
          </w:p>
          <w:p>
            <w:pPr>
              <w:autoSpaceDE w:val="0"/>
              <w:autoSpaceDN w:val="0"/>
              <w:adjustRightInd w:val="0"/>
              <w:spacing w:line="360" w:lineRule="auto"/>
              <w:jc w:val="center"/>
              <w:rPr>
                <w:rFonts w:ascii="Times New Roman"/>
                <w:color w:val="auto"/>
                <w:sz w:val="24"/>
                <w:szCs w:val="24"/>
                <w:highlight w:val="none"/>
              </w:rPr>
            </w:pPr>
            <w:r>
              <w:rPr>
                <w:rFonts w:hint="eastAsia" w:ascii="Times New Roman"/>
                <w:b/>
                <w:color w:val="auto"/>
                <w:sz w:val="24"/>
                <w:szCs w:val="24"/>
                <w:highlight w:val="none"/>
              </w:rPr>
              <w:t>表5-1 海洋功能区划登记表</w:t>
            </w:r>
          </w:p>
          <w:tbl>
            <w:tblPr>
              <w:tblStyle w:val="23"/>
              <w:tblW w:w="0" w:type="auto"/>
              <w:tblInd w:w="4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8"/>
              <w:gridCol w:w="1276"/>
              <w:gridCol w:w="65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1984" w:type="dxa"/>
                  <w:gridSpan w:val="2"/>
                </w:tcPr>
                <w:p>
                  <w:pPr>
                    <w:autoSpaceDE w:val="0"/>
                    <w:autoSpaceDN w:val="0"/>
                    <w:adjustRightInd w:val="0"/>
                    <w:jc w:val="left"/>
                    <w:rPr>
                      <w:rFonts w:ascii="Times New Roman" w:hAnsi="Times New Roman"/>
                      <w:bCs/>
                      <w:color w:val="auto"/>
                      <w:kern w:val="0"/>
                      <w:sz w:val="24"/>
                      <w:szCs w:val="24"/>
                      <w:highlight w:val="none"/>
                    </w:rPr>
                  </w:pPr>
                  <w:r>
                    <w:rPr>
                      <w:rFonts w:ascii="Times New Roman" w:hAnsi="宋体"/>
                      <w:color w:val="auto"/>
                      <w:kern w:val="0"/>
                      <w:sz w:val="24"/>
                      <w:szCs w:val="24"/>
                      <w:highlight w:val="none"/>
                    </w:rPr>
                    <w:t>代码</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B1-6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5" w:hRule="atLeast"/>
              </w:trPr>
              <w:tc>
                <w:tcPr>
                  <w:tcW w:w="1984" w:type="dxa"/>
                  <w:gridSpan w:val="2"/>
                </w:tcPr>
                <w:p>
                  <w:pPr>
                    <w:autoSpaceDE w:val="0"/>
                    <w:autoSpaceDN w:val="0"/>
                    <w:adjustRightInd w:val="0"/>
                    <w:jc w:val="left"/>
                    <w:rPr>
                      <w:rFonts w:ascii="Times New Roman" w:hAnsi="Times New Roman"/>
                      <w:bCs/>
                      <w:color w:val="auto"/>
                      <w:kern w:val="0"/>
                      <w:sz w:val="24"/>
                      <w:szCs w:val="24"/>
                      <w:highlight w:val="none"/>
                    </w:rPr>
                  </w:pPr>
                  <w:r>
                    <w:rPr>
                      <w:rFonts w:ascii="Times New Roman" w:hAnsi="宋体"/>
                      <w:color w:val="auto"/>
                      <w:kern w:val="0"/>
                      <w:sz w:val="24"/>
                      <w:szCs w:val="24"/>
                      <w:highlight w:val="none"/>
                    </w:rPr>
                    <w:t>功能区名称</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钦州湾东南部农渔业区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84" w:type="dxa"/>
                  <w:gridSpan w:val="2"/>
                </w:tcPr>
                <w:p>
                  <w:pPr>
                    <w:autoSpaceDE w:val="0"/>
                    <w:autoSpaceDN w:val="0"/>
                    <w:adjustRightInd w:val="0"/>
                    <w:jc w:val="left"/>
                    <w:rPr>
                      <w:rFonts w:ascii="Times New Roman" w:hAnsi="Times New Roman"/>
                      <w:bCs/>
                      <w:color w:val="auto"/>
                      <w:kern w:val="0"/>
                      <w:sz w:val="24"/>
                      <w:szCs w:val="24"/>
                      <w:highlight w:val="none"/>
                    </w:rPr>
                  </w:pPr>
                  <w:r>
                    <w:rPr>
                      <w:rFonts w:ascii="Times New Roman" w:hAnsi="宋体"/>
                      <w:color w:val="auto"/>
                      <w:kern w:val="0"/>
                      <w:sz w:val="24"/>
                      <w:szCs w:val="24"/>
                      <w:highlight w:val="none"/>
                    </w:rPr>
                    <w:t>地理范围</w:t>
                  </w:r>
                </w:p>
              </w:tc>
              <w:tc>
                <w:tcPr>
                  <w:tcW w:w="6521" w:type="dxa"/>
                </w:tcPr>
                <w:p>
                  <w:pPr>
                    <w:autoSpaceDE w:val="0"/>
                    <w:autoSpaceDN w:val="0"/>
                    <w:adjustRightInd w:val="0"/>
                    <w:ind w:firstLine="210" w:firstLineChars="100"/>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钦州湾东南部海域，东经108</w:t>
                  </w:r>
                  <w:r>
                    <w:rPr>
                      <w:rFonts w:ascii="Times New Roman" w:hAnsi="Times New Roman"/>
                      <w:bCs/>
                      <w:color w:val="auto"/>
                      <w:szCs w:val="21"/>
                      <w:highlight w:val="none"/>
                    </w:rPr>
                    <w:t>°</w:t>
                  </w:r>
                  <w:r>
                    <w:rPr>
                      <w:rFonts w:hint="eastAsia" w:ascii="Times New Roman" w:hAnsi="Times New Roman"/>
                      <w:bCs/>
                      <w:color w:val="auto"/>
                      <w:szCs w:val="21"/>
                      <w:highlight w:val="none"/>
                    </w:rPr>
                    <w:t>38</w:t>
                  </w:r>
                  <w:r>
                    <w:rPr>
                      <w:rFonts w:ascii="Times New Roman" w:hAnsi="Times New Roman"/>
                      <w:bCs/>
                      <w:color w:val="auto"/>
                      <w:szCs w:val="21"/>
                      <w:highlight w:val="none"/>
                    </w:rPr>
                    <w:t>′</w:t>
                  </w:r>
                  <w:r>
                    <w:rPr>
                      <w:rFonts w:hint="eastAsia" w:ascii="Times New Roman" w:hAnsi="Times New Roman"/>
                      <w:bCs/>
                      <w:color w:val="auto"/>
                      <w:szCs w:val="21"/>
                      <w:highlight w:val="none"/>
                    </w:rPr>
                    <w:t>9</w:t>
                  </w:r>
                  <w:r>
                    <w:rPr>
                      <w:rFonts w:ascii="Times New Roman" w:hAnsi="Times New Roman"/>
                      <w:bCs/>
                      <w:color w:val="auto"/>
                      <w:szCs w:val="21"/>
                      <w:highlight w:val="none"/>
                    </w:rPr>
                    <w:t>″</w:t>
                  </w:r>
                  <w:r>
                    <w:rPr>
                      <w:rFonts w:hint="eastAsia" w:ascii="Times New Roman" w:hAnsi="Times New Roman"/>
                      <w:bCs/>
                      <w:color w:val="auto"/>
                      <w:szCs w:val="21"/>
                      <w:highlight w:val="none"/>
                    </w:rPr>
                    <w:t>-108</w:t>
                  </w:r>
                  <w:r>
                    <w:rPr>
                      <w:rFonts w:ascii="Times New Roman" w:hAnsi="Times New Roman"/>
                      <w:bCs/>
                      <w:color w:val="auto"/>
                      <w:szCs w:val="21"/>
                      <w:highlight w:val="none"/>
                    </w:rPr>
                    <w:t>°</w:t>
                  </w:r>
                  <w:r>
                    <w:rPr>
                      <w:rFonts w:hint="eastAsia" w:ascii="Times New Roman" w:hAnsi="Times New Roman"/>
                      <w:bCs/>
                      <w:color w:val="auto"/>
                      <w:szCs w:val="21"/>
                      <w:highlight w:val="none"/>
                    </w:rPr>
                    <w:t>47</w:t>
                  </w:r>
                  <w:r>
                    <w:rPr>
                      <w:rFonts w:ascii="Times New Roman" w:hAnsi="Times New Roman"/>
                      <w:bCs/>
                      <w:color w:val="auto"/>
                      <w:szCs w:val="21"/>
                      <w:highlight w:val="none"/>
                    </w:rPr>
                    <w:t>′</w:t>
                  </w:r>
                  <w:r>
                    <w:rPr>
                      <w:rFonts w:hint="eastAsia" w:ascii="Times New Roman" w:hAnsi="Times New Roman"/>
                      <w:bCs/>
                      <w:color w:val="auto"/>
                      <w:szCs w:val="21"/>
                      <w:highlight w:val="none"/>
                    </w:rPr>
                    <w:t>42</w:t>
                  </w:r>
                  <w:r>
                    <w:rPr>
                      <w:rFonts w:ascii="Times New Roman" w:hAnsi="Times New Roman"/>
                      <w:bCs/>
                      <w:color w:val="auto"/>
                      <w:szCs w:val="21"/>
                      <w:highlight w:val="none"/>
                    </w:rPr>
                    <w:t>″</w:t>
                  </w:r>
                  <w:r>
                    <w:rPr>
                      <w:rFonts w:hint="eastAsia" w:ascii="Times New Roman" w:hAnsi="Times New Roman"/>
                      <w:bCs/>
                      <w:color w:val="auto"/>
                      <w:szCs w:val="21"/>
                      <w:highlight w:val="none"/>
                    </w:rPr>
                    <w:t>，北纬21</w:t>
                  </w:r>
                  <w:r>
                    <w:rPr>
                      <w:rFonts w:ascii="Times New Roman" w:hAnsi="Times New Roman"/>
                      <w:bCs/>
                      <w:color w:val="auto"/>
                      <w:szCs w:val="21"/>
                      <w:highlight w:val="none"/>
                    </w:rPr>
                    <w:t>°</w:t>
                  </w:r>
                  <w:r>
                    <w:rPr>
                      <w:rFonts w:hint="eastAsia" w:ascii="Times New Roman" w:hAnsi="Times New Roman"/>
                      <w:bCs/>
                      <w:color w:val="auto"/>
                      <w:szCs w:val="21"/>
                      <w:highlight w:val="none"/>
                    </w:rPr>
                    <w:t>26</w:t>
                  </w:r>
                  <w:r>
                    <w:rPr>
                      <w:rFonts w:ascii="Times New Roman" w:hAnsi="Times New Roman"/>
                      <w:bCs/>
                      <w:color w:val="auto"/>
                      <w:szCs w:val="21"/>
                      <w:highlight w:val="none"/>
                    </w:rPr>
                    <w:t>′</w:t>
                  </w:r>
                  <w:r>
                    <w:rPr>
                      <w:rFonts w:hint="eastAsia" w:ascii="Times New Roman" w:hAnsi="Times New Roman"/>
                      <w:bCs/>
                      <w:color w:val="auto"/>
                      <w:szCs w:val="21"/>
                      <w:highlight w:val="none"/>
                    </w:rPr>
                    <w:t>51</w:t>
                  </w:r>
                  <w:r>
                    <w:rPr>
                      <w:rFonts w:ascii="Times New Roman" w:hAnsi="Times New Roman"/>
                      <w:bCs/>
                      <w:color w:val="auto"/>
                      <w:szCs w:val="21"/>
                      <w:highlight w:val="none"/>
                    </w:rPr>
                    <w:t>″</w:t>
                  </w:r>
                  <w:r>
                    <w:rPr>
                      <w:rFonts w:hint="eastAsia" w:ascii="Times New Roman" w:hAnsi="Times New Roman"/>
                      <w:bCs/>
                      <w:color w:val="auto"/>
                      <w:szCs w:val="21"/>
                      <w:highlight w:val="none"/>
                    </w:rPr>
                    <w:t>-21</w:t>
                  </w:r>
                  <w:r>
                    <w:rPr>
                      <w:rFonts w:ascii="Times New Roman" w:hAnsi="Times New Roman"/>
                      <w:bCs/>
                      <w:color w:val="auto"/>
                      <w:szCs w:val="21"/>
                      <w:highlight w:val="none"/>
                    </w:rPr>
                    <w:t>°</w:t>
                  </w:r>
                  <w:r>
                    <w:rPr>
                      <w:rFonts w:hint="eastAsia" w:ascii="Times New Roman" w:hAnsi="Times New Roman"/>
                      <w:bCs/>
                      <w:color w:val="auto"/>
                      <w:szCs w:val="21"/>
                      <w:highlight w:val="none"/>
                    </w:rPr>
                    <w:t>36</w:t>
                  </w:r>
                  <w:r>
                    <w:rPr>
                      <w:rFonts w:ascii="Times New Roman" w:hAnsi="Times New Roman"/>
                      <w:bCs/>
                      <w:color w:val="auto"/>
                      <w:szCs w:val="21"/>
                      <w:highlight w:val="none"/>
                    </w:rPr>
                    <w:t>′</w:t>
                  </w:r>
                  <w:r>
                    <w:rPr>
                      <w:rFonts w:hint="eastAsia" w:ascii="Times New Roman" w:hAnsi="Times New Roman"/>
                      <w:bCs/>
                      <w:color w:val="auto"/>
                      <w:szCs w:val="21"/>
                      <w:highlight w:val="none"/>
                    </w:rPr>
                    <w:t>46</w:t>
                  </w:r>
                  <w:r>
                    <w:rPr>
                      <w:rFonts w:ascii="Times New Roman" w:hAnsi="Times New Roman"/>
                      <w:bCs/>
                      <w:color w:val="auto"/>
                      <w:szCs w:val="21"/>
                      <w:highlight w:val="none"/>
                    </w:rPr>
                    <w:t>″</w:t>
                  </w:r>
                  <w:r>
                    <w:rPr>
                      <w:rFonts w:hint="eastAsia" w:ascii="Times New Roman" w:hAnsi="Times New Roman"/>
                      <w:bCs/>
                      <w:color w:val="auto"/>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84" w:type="dxa"/>
                  <w:gridSpan w:val="2"/>
                </w:tcPr>
                <w:p>
                  <w:pPr>
                    <w:autoSpaceDE w:val="0"/>
                    <w:autoSpaceDN w:val="0"/>
                    <w:adjustRightInd w:val="0"/>
                    <w:jc w:val="left"/>
                    <w:rPr>
                      <w:rFonts w:ascii="Times New Roman" w:hAnsi="Times New Roman"/>
                      <w:bCs/>
                      <w:color w:val="auto"/>
                      <w:kern w:val="0"/>
                      <w:sz w:val="24"/>
                      <w:szCs w:val="24"/>
                      <w:highlight w:val="none"/>
                    </w:rPr>
                  </w:pPr>
                  <w:r>
                    <w:rPr>
                      <w:rFonts w:ascii="Times New Roman" w:hAnsi="宋体"/>
                      <w:color w:val="auto"/>
                      <w:kern w:val="0"/>
                      <w:sz w:val="24"/>
                      <w:szCs w:val="24"/>
                      <w:highlight w:val="none"/>
                    </w:rPr>
                    <w:t>功能区类型</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农渔业区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84" w:type="dxa"/>
                  <w:gridSpan w:val="2"/>
                </w:tcPr>
                <w:p>
                  <w:pPr>
                    <w:autoSpaceDE w:val="0"/>
                    <w:autoSpaceDN w:val="0"/>
                    <w:adjustRightInd w:val="0"/>
                    <w:jc w:val="left"/>
                    <w:rPr>
                      <w:rFonts w:ascii="Times New Roman" w:hAnsi="Times New Roman"/>
                      <w:bCs/>
                      <w:color w:val="auto"/>
                      <w:kern w:val="0"/>
                      <w:sz w:val="24"/>
                      <w:szCs w:val="24"/>
                      <w:highlight w:val="none"/>
                    </w:rPr>
                  </w:pPr>
                  <w:r>
                    <w:rPr>
                      <w:rFonts w:ascii="Times New Roman" w:hAnsi="宋体"/>
                      <w:color w:val="auto"/>
                      <w:kern w:val="0"/>
                      <w:sz w:val="24"/>
                      <w:szCs w:val="24"/>
                      <w:highlight w:val="none"/>
                    </w:rPr>
                    <w:t>面积（公顷）</w:t>
                  </w:r>
                </w:p>
              </w:tc>
              <w:tc>
                <w:tcPr>
                  <w:tcW w:w="6521" w:type="dxa"/>
                </w:tcPr>
                <w:p>
                  <w:pPr>
                    <w:autoSpaceDE w:val="0"/>
                    <w:autoSpaceDN w:val="0"/>
                    <w:adjustRightInd w:val="0"/>
                    <w:ind w:firstLine="220" w:firstLineChars="100"/>
                    <w:jc w:val="left"/>
                    <w:rPr>
                      <w:rFonts w:ascii="Times New Roman" w:hAnsi="Times New Roman"/>
                      <w:bCs/>
                      <w:color w:val="auto"/>
                      <w:kern w:val="0"/>
                      <w:sz w:val="24"/>
                      <w:szCs w:val="24"/>
                      <w:highlight w:val="none"/>
                    </w:rPr>
                  </w:pPr>
                  <w:r>
                    <w:rPr>
                      <w:rFonts w:ascii="Times New Roman" w:hAnsi="Times New Roman"/>
                      <w:bCs/>
                      <w:color w:val="auto"/>
                      <w:sz w:val="22"/>
                      <w:highlight w:val="none"/>
                    </w:rPr>
                    <w:t>16684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5" w:hRule="atLeast"/>
              </w:trPr>
              <w:tc>
                <w:tcPr>
                  <w:tcW w:w="708" w:type="dxa"/>
                  <w:vMerge w:val="restart"/>
                  <w:tcBorders>
                    <w:right w:val="single" w:color="auto" w:sz="4" w:space="0"/>
                  </w:tcBorders>
                  <w:vAlign w:val="center"/>
                </w:tcPr>
                <w:p>
                  <w:pPr>
                    <w:autoSpaceDE w:val="0"/>
                    <w:autoSpaceDN w:val="0"/>
                    <w:adjustRightInd w:val="0"/>
                    <w:jc w:val="center"/>
                    <w:rPr>
                      <w:rFonts w:ascii="Times New Roman" w:hAnsi="Times New Roman"/>
                      <w:bCs/>
                      <w:color w:val="auto"/>
                      <w:kern w:val="0"/>
                      <w:sz w:val="24"/>
                      <w:szCs w:val="24"/>
                      <w:highlight w:val="none"/>
                    </w:rPr>
                  </w:pPr>
                  <w:r>
                    <w:rPr>
                      <w:rFonts w:ascii="Times New Roman" w:hAnsi="宋体"/>
                      <w:bCs/>
                      <w:color w:val="auto"/>
                      <w:kern w:val="0"/>
                      <w:sz w:val="24"/>
                      <w:szCs w:val="24"/>
                      <w:highlight w:val="none"/>
                    </w:rPr>
                    <w:t>海域使用管理</w:t>
                  </w:r>
                </w:p>
              </w:tc>
              <w:tc>
                <w:tcPr>
                  <w:tcW w:w="1276" w:type="dxa"/>
                  <w:tcBorders>
                    <w:left w:val="single" w:color="auto" w:sz="4" w:space="0"/>
                  </w:tcBorders>
                </w:tcPr>
                <w:p>
                  <w:pPr>
                    <w:autoSpaceDE w:val="0"/>
                    <w:autoSpaceDN w:val="0"/>
                    <w:adjustRightInd w:val="0"/>
                    <w:jc w:val="left"/>
                    <w:rPr>
                      <w:rFonts w:ascii="Times New Roman" w:hAnsi="Times New Roman"/>
                      <w:b/>
                      <w:bCs/>
                      <w:color w:val="auto"/>
                      <w:kern w:val="0"/>
                      <w:sz w:val="24"/>
                      <w:szCs w:val="24"/>
                      <w:highlight w:val="none"/>
                    </w:rPr>
                  </w:pPr>
                  <w:r>
                    <w:rPr>
                      <w:rFonts w:ascii="Times New Roman" w:hAnsi="宋体"/>
                      <w:color w:val="auto"/>
                      <w:kern w:val="0"/>
                      <w:sz w:val="24"/>
                      <w:szCs w:val="24"/>
                      <w:highlight w:val="none"/>
                    </w:rPr>
                    <w:t>用途管制</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海域基本功能为渔业用海；</w:t>
                  </w:r>
                  <w:r>
                    <w:rPr>
                      <w:rFonts w:ascii="Times New Roman" w:hAnsi="Times New Roman"/>
                      <w:bCs/>
                      <w:color w:val="auto"/>
                      <w:szCs w:val="21"/>
                      <w:highlight w:val="none"/>
                    </w:rPr>
                    <w:t>允许在论证基础上，安排与渔业相兼容的开发活动。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08" w:type="dxa"/>
                  <w:vMerge w:val="continue"/>
                  <w:tcBorders>
                    <w:right w:val="single" w:color="auto" w:sz="4" w:space="0"/>
                  </w:tcBorders>
                  <w:vAlign w:val="center"/>
                </w:tcPr>
                <w:p>
                  <w:pPr>
                    <w:autoSpaceDE w:val="0"/>
                    <w:autoSpaceDN w:val="0"/>
                    <w:adjustRightInd w:val="0"/>
                    <w:jc w:val="center"/>
                    <w:rPr>
                      <w:rFonts w:ascii="Times New Roman" w:hAnsi="Times New Roman"/>
                      <w:bCs/>
                      <w:color w:val="auto"/>
                      <w:kern w:val="0"/>
                      <w:sz w:val="24"/>
                      <w:szCs w:val="24"/>
                      <w:highlight w:val="none"/>
                    </w:rPr>
                  </w:pPr>
                </w:p>
              </w:tc>
              <w:tc>
                <w:tcPr>
                  <w:tcW w:w="1276" w:type="dxa"/>
                  <w:tcBorders>
                    <w:left w:val="single" w:color="auto" w:sz="4" w:space="0"/>
                  </w:tcBorders>
                </w:tcPr>
                <w:p>
                  <w:pPr>
                    <w:autoSpaceDE w:val="0"/>
                    <w:autoSpaceDN w:val="0"/>
                    <w:adjustRightInd w:val="0"/>
                    <w:jc w:val="left"/>
                    <w:rPr>
                      <w:rFonts w:ascii="Times New Roman" w:hAnsi="宋体"/>
                      <w:color w:val="auto"/>
                      <w:kern w:val="0"/>
                      <w:sz w:val="24"/>
                      <w:szCs w:val="24"/>
                      <w:highlight w:val="none"/>
                    </w:rPr>
                  </w:pPr>
                  <w:r>
                    <w:rPr>
                      <w:rFonts w:ascii="Times New Roman" w:hAnsi="宋体"/>
                      <w:color w:val="auto"/>
                      <w:kern w:val="0"/>
                      <w:sz w:val="24"/>
                      <w:szCs w:val="24"/>
                      <w:highlight w:val="none"/>
                    </w:rPr>
                    <w:t>用海方式</w:t>
                  </w:r>
                </w:p>
                <w:p>
                  <w:pPr>
                    <w:autoSpaceDE w:val="0"/>
                    <w:autoSpaceDN w:val="0"/>
                    <w:adjustRightInd w:val="0"/>
                    <w:jc w:val="left"/>
                    <w:rPr>
                      <w:rFonts w:ascii="Times New Roman" w:hAnsi="Times New Roman"/>
                      <w:b/>
                      <w:bCs/>
                      <w:color w:val="auto"/>
                      <w:kern w:val="0"/>
                      <w:sz w:val="24"/>
                      <w:szCs w:val="24"/>
                      <w:highlight w:val="none"/>
                    </w:rPr>
                  </w:pPr>
                  <w:r>
                    <w:rPr>
                      <w:rFonts w:ascii="Times New Roman" w:hAnsi="宋体"/>
                      <w:color w:val="auto"/>
                      <w:kern w:val="0"/>
                      <w:sz w:val="24"/>
                      <w:szCs w:val="24"/>
                      <w:highlight w:val="none"/>
                    </w:rPr>
                    <w:t>控制</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严格限制改变海域自然属性；</w:t>
                  </w:r>
                  <w:r>
                    <w:rPr>
                      <w:rFonts w:ascii="Times New Roman" w:hAnsi="Times New Roman"/>
                      <w:bCs/>
                      <w:color w:val="auto"/>
                      <w:szCs w:val="21"/>
                      <w:highlight w:val="none"/>
                    </w:rPr>
                    <w:t>按照养殖容量控制养殖规模和养殖密度，发展健康、生态养殖方式；</w:t>
                  </w:r>
                  <w:r>
                    <w:rPr>
                      <w:rFonts w:hint="eastAsia" w:ascii="Times New Roman" w:hAnsi="Times New Roman"/>
                      <w:bCs/>
                      <w:color w:val="auto"/>
                      <w:szCs w:val="21"/>
                      <w:highlight w:val="none"/>
                    </w:rPr>
                    <w:t>禁渔期间，禁止底拖网渔船和拖虾渔船及捕捞</w:t>
                  </w:r>
                  <w:r>
                    <w:rPr>
                      <w:rFonts w:ascii="Times New Roman" w:hAnsi="Times New Roman"/>
                      <w:bCs/>
                      <w:color w:val="auto"/>
                      <w:szCs w:val="21"/>
                      <w:highlight w:val="none"/>
                    </w:rPr>
                    <w:t>二长棘鲷</w:t>
                  </w:r>
                  <w:r>
                    <w:rPr>
                      <w:rFonts w:hint="eastAsia" w:ascii="Times New Roman" w:hAnsi="Times New Roman"/>
                      <w:bCs/>
                      <w:color w:val="auto"/>
                      <w:szCs w:val="21"/>
                      <w:highlight w:val="none"/>
                    </w:rPr>
                    <w:t>幼鱼和幼虾为主的其它作业渔船进入生产；禁止影响航道安全的养殖。规划区南侧边界向北7km,西侧边界向东5km范围内要保持自然现状，不得进行鱼排、鱼栅、人工鱼礁等活动。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08" w:type="dxa"/>
                  <w:vMerge w:val="continue"/>
                  <w:tcBorders>
                    <w:right w:val="single" w:color="auto" w:sz="4" w:space="0"/>
                  </w:tcBorders>
                  <w:vAlign w:val="center"/>
                </w:tcPr>
                <w:p>
                  <w:pPr>
                    <w:autoSpaceDE w:val="0"/>
                    <w:autoSpaceDN w:val="0"/>
                    <w:adjustRightInd w:val="0"/>
                    <w:jc w:val="center"/>
                    <w:rPr>
                      <w:rFonts w:ascii="Times New Roman" w:hAnsi="Times New Roman"/>
                      <w:bCs/>
                      <w:color w:val="auto"/>
                      <w:kern w:val="0"/>
                      <w:sz w:val="24"/>
                      <w:szCs w:val="24"/>
                      <w:highlight w:val="none"/>
                    </w:rPr>
                  </w:pPr>
                </w:p>
              </w:tc>
              <w:tc>
                <w:tcPr>
                  <w:tcW w:w="1276" w:type="dxa"/>
                  <w:tcBorders>
                    <w:left w:val="single" w:color="auto" w:sz="4" w:space="0"/>
                  </w:tcBorders>
                </w:tcPr>
                <w:p>
                  <w:pPr>
                    <w:autoSpaceDE w:val="0"/>
                    <w:autoSpaceDN w:val="0"/>
                    <w:adjustRightInd w:val="0"/>
                    <w:jc w:val="left"/>
                    <w:rPr>
                      <w:rFonts w:ascii="Times New Roman" w:hAnsi="Times New Roman"/>
                      <w:b/>
                      <w:bCs/>
                      <w:color w:val="auto"/>
                      <w:kern w:val="0"/>
                      <w:sz w:val="24"/>
                      <w:szCs w:val="24"/>
                      <w:highlight w:val="none"/>
                    </w:rPr>
                  </w:pPr>
                  <w:r>
                    <w:rPr>
                      <w:rFonts w:ascii="Times New Roman" w:hAnsi="宋体"/>
                      <w:color w:val="auto"/>
                      <w:kern w:val="0"/>
                      <w:sz w:val="24"/>
                      <w:szCs w:val="24"/>
                      <w:highlight w:val="none"/>
                    </w:rPr>
                    <w:t>海域整治</w:t>
                  </w:r>
                </w:p>
              </w:tc>
              <w:tc>
                <w:tcPr>
                  <w:tcW w:w="6521" w:type="dxa"/>
                </w:tcPr>
                <w:p>
                  <w:pPr>
                    <w:autoSpaceDE w:val="0"/>
                    <w:autoSpaceDN w:val="0"/>
                    <w:adjustRightInd w:val="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清理影响生态环境和航行安全的养殖活动。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08" w:type="dxa"/>
                  <w:vMerge w:val="restart"/>
                  <w:tcBorders>
                    <w:right w:val="single" w:color="auto" w:sz="4" w:space="0"/>
                  </w:tcBorders>
                  <w:vAlign w:val="center"/>
                </w:tcPr>
                <w:p>
                  <w:pPr>
                    <w:autoSpaceDE w:val="0"/>
                    <w:autoSpaceDN w:val="0"/>
                    <w:adjustRightInd w:val="0"/>
                    <w:jc w:val="center"/>
                    <w:rPr>
                      <w:rFonts w:ascii="Times New Roman" w:hAnsi="Times New Roman"/>
                      <w:bCs/>
                      <w:color w:val="auto"/>
                      <w:kern w:val="0"/>
                      <w:sz w:val="24"/>
                      <w:szCs w:val="24"/>
                      <w:highlight w:val="none"/>
                    </w:rPr>
                  </w:pPr>
                  <w:r>
                    <w:rPr>
                      <w:rFonts w:ascii="Times New Roman" w:hAnsi="宋体"/>
                      <w:bCs/>
                      <w:color w:val="auto"/>
                      <w:kern w:val="0"/>
                      <w:sz w:val="24"/>
                      <w:szCs w:val="24"/>
                      <w:highlight w:val="none"/>
                    </w:rPr>
                    <w:t>海洋环境保护</w:t>
                  </w:r>
                </w:p>
              </w:tc>
              <w:tc>
                <w:tcPr>
                  <w:tcW w:w="1276" w:type="dxa"/>
                  <w:tcBorders>
                    <w:left w:val="single" w:color="auto" w:sz="4" w:space="0"/>
                  </w:tcBorders>
                </w:tcPr>
                <w:p>
                  <w:pPr>
                    <w:autoSpaceDE w:val="0"/>
                    <w:autoSpaceDN w:val="0"/>
                    <w:adjustRightInd w:val="0"/>
                    <w:jc w:val="left"/>
                    <w:rPr>
                      <w:rFonts w:ascii="Times New Roman" w:hAnsi="宋体"/>
                      <w:color w:val="auto"/>
                      <w:kern w:val="0"/>
                      <w:sz w:val="24"/>
                      <w:szCs w:val="24"/>
                      <w:highlight w:val="none"/>
                    </w:rPr>
                  </w:pPr>
                  <w:r>
                    <w:rPr>
                      <w:rFonts w:ascii="Times New Roman" w:hAnsi="宋体"/>
                      <w:color w:val="auto"/>
                      <w:kern w:val="0"/>
                      <w:sz w:val="24"/>
                      <w:szCs w:val="24"/>
                      <w:highlight w:val="none"/>
                    </w:rPr>
                    <w:t>生态保护</w:t>
                  </w:r>
                </w:p>
                <w:p>
                  <w:pPr>
                    <w:autoSpaceDE w:val="0"/>
                    <w:autoSpaceDN w:val="0"/>
                    <w:adjustRightInd w:val="0"/>
                    <w:jc w:val="left"/>
                    <w:rPr>
                      <w:rFonts w:ascii="Times New Roman" w:hAnsi="Times New Roman"/>
                      <w:b/>
                      <w:bCs/>
                      <w:color w:val="auto"/>
                      <w:kern w:val="0"/>
                      <w:sz w:val="24"/>
                      <w:szCs w:val="24"/>
                      <w:highlight w:val="none"/>
                    </w:rPr>
                  </w:pPr>
                  <w:r>
                    <w:rPr>
                      <w:rFonts w:ascii="Times New Roman" w:hAnsi="宋体"/>
                      <w:color w:val="auto"/>
                      <w:kern w:val="0"/>
                      <w:sz w:val="24"/>
                      <w:szCs w:val="24"/>
                      <w:highlight w:val="none"/>
                    </w:rPr>
                    <w:t>重点目标</w:t>
                  </w:r>
                </w:p>
              </w:tc>
              <w:tc>
                <w:tcPr>
                  <w:tcW w:w="6521" w:type="dxa"/>
                </w:tcPr>
                <w:p>
                  <w:pPr>
                    <w:autoSpaceDE w:val="0"/>
                    <w:autoSpaceDN w:val="0"/>
                    <w:adjustRightInd w:val="0"/>
                    <w:jc w:val="left"/>
                    <w:rPr>
                      <w:rFonts w:ascii="Times New Roman" w:hAnsi="Times New Roman"/>
                      <w:bCs/>
                      <w:color w:val="auto"/>
                      <w:kern w:val="0"/>
                      <w:sz w:val="24"/>
                      <w:szCs w:val="24"/>
                      <w:highlight w:val="none"/>
                    </w:rPr>
                  </w:pPr>
                  <w:r>
                    <w:rPr>
                      <w:rFonts w:hint="eastAsia" w:ascii="Times New Roman" w:hAnsi="Times New Roman"/>
                      <w:bCs/>
                      <w:color w:val="auto"/>
                      <w:szCs w:val="21"/>
                      <w:highlight w:val="none"/>
                    </w:rPr>
                    <w:t>1～7月为</w:t>
                  </w:r>
                  <w:r>
                    <w:rPr>
                      <w:rFonts w:ascii="Times New Roman" w:hAnsi="Times New Roman"/>
                      <w:bCs/>
                      <w:color w:val="auto"/>
                      <w:szCs w:val="21"/>
                      <w:highlight w:val="none"/>
                    </w:rPr>
                    <w:t>蓝圆</w:t>
                  </w:r>
                  <w:r>
                    <w:rPr>
                      <w:rFonts w:hint="eastAsia" w:ascii="Times New Roman" w:hAnsi="Times New Roman"/>
                      <w:bCs/>
                      <w:color w:val="auto"/>
                      <w:szCs w:val="21"/>
                      <w:highlight w:val="none"/>
                    </w:rPr>
                    <w:t>鲹或</w:t>
                  </w:r>
                  <w:r>
                    <w:rPr>
                      <w:rFonts w:ascii="Times New Roman" w:hAnsi="Times New Roman"/>
                      <w:bCs/>
                      <w:color w:val="auto"/>
                      <w:szCs w:val="21"/>
                      <w:highlight w:val="none"/>
                    </w:rPr>
                    <w:t>二长棘鲷</w:t>
                  </w:r>
                  <w:r>
                    <w:rPr>
                      <w:rFonts w:hint="eastAsia" w:ascii="Times New Roman" w:hAnsi="Times New Roman"/>
                      <w:bCs/>
                      <w:color w:val="auto"/>
                      <w:szCs w:val="21"/>
                      <w:highlight w:val="none"/>
                    </w:rPr>
                    <w:t>产卵期，加强对</w:t>
                  </w:r>
                  <w:r>
                    <w:rPr>
                      <w:rFonts w:ascii="Times New Roman" w:hAnsi="Times New Roman"/>
                      <w:bCs/>
                      <w:color w:val="auto"/>
                      <w:szCs w:val="21"/>
                      <w:highlight w:val="none"/>
                    </w:rPr>
                    <w:t>蓝圆</w:t>
                  </w:r>
                  <w:r>
                    <w:rPr>
                      <w:rFonts w:hint="eastAsia" w:ascii="Times New Roman" w:hAnsi="Times New Roman"/>
                      <w:bCs/>
                      <w:color w:val="auto"/>
                      <w:szCs w:val="21"/>
                      <w:highlight w:val="none"/>
                    </w:rPr>
                    <w:t>鲹和</w:t>
                  </w:r>
                  <w:r>
                    <w:rPr>
                      <w:rFonts w:ascii="Times New Roman" w:hAnsi="Times New Roman"/>
                      <w:bCs/>
                      <w:color w:val="auto"/>
                      <w:szCs w:val="21"/>
                      <w:highlight w:val="none"/>
                    </w:rPr>
                    <w:t>二长棘鲷</w:t>
                  </w:r>
                  <w:r>
                    <w:rPr>
                      <w:rFonts w:hint="eastAsia" w:ascii="Times New Roman" w:hAnsi="Times New Roman"/>
                      <w:bCs/>
                      <w:color w:val="auto"/>
                      <w:szCs w:val="21"/>
                      <w:highlight w:val="none"/>
                    </w:rPr>
                    <w:t>产卵场的保护；加强对白海豚生境的保护。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3" w:hRule="atLeast"/>
              </w:trPr>
              <w:tc>
                <w:tcPr>
                  <w:tcW w:w="708" w:type="dxa"/>
                  <w:vMerge w:val="continue"/>
                  <w:tcBorders>
                    <w:right w:val="single" w:color="auto" w:sz="4" w:space="0"/>
                  </w:tcBorders>
                </w:tcPr>
                <w:p>
                  <w:pPr>
                    <w:autoSpaceDE w:val="0"/>
                    <w:autoSpaceDN w:val="0"/>
                    <w:adjustRightInd w:val="0"/>
                    <w:jc w:val="left"/>
                    <w:rPr>
                      <w:rFonts w:ascii="Times New Roman" w:hAnsi="Times New Roman"/>
                      <w:b/>
                      <w:bCs/>
                      <w:color w:val="auto"/>
                      <w:kern w:val="0"/>
                      <w:sz w:val="24"/>
                      <w:szCs w:val="24"/>
                      <w:highlight w:val="none"/>
                    </w:rPr>
                  </w:pPr>
                </w:p>
              </w:tc>
              <w:tc>
                <w:tcPr>
                  <w:tcW w:w="1276" w:type="dxa"/>
                  <w:tcBorders>
                    <w:left w:val="single" w:color="auto" w:sz="4" w:space="0"/>
                  </w:tcBorders>
                </w:tcPr>
                <w:p>
                  <w:pPr>
                    <w:autoSpaceDE w:val="0"/>
                    <w:autoSpaceDN w:val="0"/>
                    <w:adjustRightInd w:val="0"/>
                    <w:jc w:val="left"/>
                    <w:rPr>
                      <w:rFonts w:ascii="Times New Roman" w:hAnsi="Times New Roman"/>
                      <w:b/>
                      <w:bCs/>
                      <w:color w:val="auto"/>
                      <w:kern w:val="0"/>
                      <w:sz w:val="24"/>
                      <w:szCs w:val="24"/>
                      <w:highlight w:val="none"/>
                    </w:rPr>
                  </w:pPr>
                  <w:r>
                    <w:rPr>
                      <w:rFonts w:ascii="Times New Roman" w:hAnsi="宋体"/>
                      <w:color w:val="auto"/>
                      <w:kern w:val="0"/>
                      <w:sz w:val="24"/>
                      <w:szCs w:val="24"/>
                      <w:highlight w:val="none"/>
                    </w:rPr>
                    <w:t>环境保护</w:t>
                  </w:r>
                </w:p>
              </w:tc>
              <w:tc>
                <w:tcPr>
                  <w:tcW w:w="6521" w:type="dxa"/>
                </w:tcPr>
                <w:p>
                  <w:pPr>
                    <w:autoSpaceDE w:val="0"/>
                    <w:autoSpaceDN w:val="0"/>
                    <w:adjustRightInd w:val="0"/>
                    <w:ind w:firstLine="210" w:firstLineChars="100"/>
                    <w:jc w:val="left"/>
                    <w:rPr>
                      <w:rFonts w:ascii="Times New Roman" w:hAnsi="Times New Roman"/>
                      <w:bCs/>
                      <w:color w:val="auto"/>
                      <w:kern w:val="0"/>
                      <w:sz w:val="24"/>
                      <w:szCs w:val="24"/>
                      <w:highlight w:val="none"/>
                    </w:rPr>
                  </w:pPr>
                  <w:r>
                    <w:rPr>
                      <w:rFonts w:ascii="Times New Roman" w:hAnsi="Times New Roman"/>
                      <w:bCs/>
                      <w:color w:val="auto"/>
                      <w:szCs w:val="21"/>
                      <w:highlight w:val="none"/>
                    </w:rPr>
                    <w:t>海水水质执行不劣于</w:t>
                  </w:r>
                  <w:r>
                    <w:rPr>
                      <w:rFonts w:hint="eastAsia" w:ascii="Times New Roman" w:hAnsi="Times New Roman"/>
                      <w:bCs/>
                      <w:color w:val="auto"/>
                      <w:szCs w:val="21"/>
                      <w:highlight w:val="none"/>
                    </w:rPr>
                    <w:t>二</w:t>
                  </w:r>
                  <w:r>
                    <w:rPr>
                      <w:rFonts w:ascii="Times New Roman" w:hAnsi="Times New Roman"/>
                      <w:bCs/>
                      <w:color w:val="auto"/>
                      <w:szCs w:val="21"/>
                      <w:highlight w:val="none"/>
                    </w:rPr>
                    <w:t>类标准</w:t>
                  </w:r>
                  <w:r>
                    <w:rPr>
                      <w:rFonts w:hint="eastAsia" w:ascii="Times New Roman" w:hAnsi="Times New Roman"/>
                      <w:bCs/>
                      <w:color w:val="auto"/>
                      <w:szCs w:val="21"/>
                      <w:highlight w:val="none"/>
                    </w:rPr>
                    <w:t>，海洋沉积物和海洋生物</w:t>
                  </w:r>
                  <w:r>
                    <w:rPr>
                      <w:rFonts w:ascii="Times New Roman" w:hAnsi="Times New Roman"/>
                      <w:bCs/>
                      <w:color w:val="auto"/>
                      <w:szCs w:val="21"/>
                      <w:highlight w:val="none"/>
                    </w:rPr>
                    <w:t>执行</w:t>
                  </w:r>
                  <w:r>
                    <w:rPr>
                      <w:rFonts w:hint="eastAsia" w:ascii="Times New Roman" w:hAnsi="Times New Roman"/>
                      <w:bCs/>
                      <w:color w:val="auto"/>
                      <w:szCs w:val="21"/>
                      <w:highlight w:val="none"/>
                    </w:rPr>
                    <w:t>一类标准。</w:t>
                  </w:r>
                </w:p>
              </w:tc>
            </w:tr>
          </w:tbl>
          <w:p>
            <w:pPr>
              <w:pStyle w:val="55"/>
              <w:jc w:val="both"/>
              <w:rPr>
                <w:color w:val="auto"/>
                <w:highlight w:val="none"/>
              </w:rPr>
            </w:pPr>
            <w:r>
              <w:rPr>
                <w:rFonts w:hint="eastAsia"/>
                <w:color w:val="auto"/>
                <w:highlight w:val="none"/>
              </w:rPr>
              <w:t>项目所在海域的基本功能为渔业用海。本项目位于两条航道之间，不适宜设置影响航道安全的养殖设施，不适宜开展拖网作业和底播养殖活动。项目开放式用海不影响附近农渔业区基本功能的发挥，项目建设有利于附近港口航运区的功能发挥，有利于钦州港开发建设，有利于拓展和充分利用该海域海洋功能，因此项目用海与钦州湾东南部农渔业区的主体功能相协调、相兼容。</w:t>
            </w:r>
          </w:p>
          <w:p>
            <w:pPr>
              <w:pStyle w:val="55"/>
              <w:jc w:val="both"/>
              <w:rPr>
                <w:color w:val="auto"/>
                <w:highlight w:val="none"/>
              </w:rPr>
            </w:pPr>
            <w:r>
              <w:rPr>
                <w:rFonts w:hint="eastAsia"/>
                <w:color w:val="auto"/>
                <w:highlight w:val="none"/>
              </w:rPr>
              <w:t>项目不填海和围海，不改变海域自然属性；项目无工业污水排放，不产生新的污染源。因此，本项目其他开放式用海符合用海方式的控制要求。</w:t>
            </w:r>
          </w:p>
          <w:p>
            <w:pPr>
              <w:pStyle w:val="55"/>
              <w:jc w:val="both"/>
              <w:rPr>
                <w:color w:val="auto"/>
                <w:highlight w:val="none"/>
              </w:rPr>
            </w:pPr>
            <w:r>
              <w:rPr>
                <w:rFonts w:hint="eastAsia"/>
                <w:color w:val="auto"/>
                <w:highlight w:val="none"/>
              </w:rPr>
              <w:t>项目所在钦州港海域水质管理要求为不劣于二类标准，沉积物不劣于一类标准。本项目采用科学合理的开放式用海模式，不存在围填海施工，施工期短，营运期无污染物排放，项目对水质、沉积物环境以及生态环境影响很小。因此，项目用海可以满足所在海域环境质量保护要求。</w:t>
            </w:r>
          </w:p>
          <w:p>
            <w:pPr>
              <w:pStyle w:val="55"/>
              <w:jc w:val="both"/>
              <w:rPr>
                <w:color w:val="auto"/>
                <w:highlight w:val="none"/>
              </w:rPr>
            </w:pPr>
            <w:r>
              <w:rPr>
                <w:rFonts w:hint="eastAsia"/>
                <w:color w:val="auto"/>
                <w:highlight w:val="none"/>
              </w:rPr>
              <w:t>综上所述，本项目与钦州市的海域主体功能要求相协调、相兼容，符合用海方式的控制要求，符合海域环境质量保护要求。</w:t>
            </w:r>
          </w:p>
          <w:p>
            <w:pPr>
              <w:pStyle w:val="55"/>
              <w:ind w:firstLine="0"/>
              <w:outlineLvl w:val="0"/>
              <w:rPr>
                <w:b/>
                <w:color w:val="auto"/>
                <w:highlight w:val="none"/>
              </w:rPr>
            </w:pPr>
            <w:r>
              <w:rPr>
                <w:rFonts w:hint="eastAsia"/>
                <w:b/>
                <w:color w:val="auto"/>
                <w:highlight w:val="none"/>
              </w:rPr>
              <w:t>5.2 项目用海与国土空间规划的符合性分析</w:t>
            </w:r>
          </w:p>
          <w:p>
            <w:pPr>
              <w:pStyle w:val="55"/>
              <w:jc w:val="both"/>
              <w:rPr>
                <w:rFonts w:hAnsi="宋体"/>
                <w:color w:val="auto"/>
                <w:kern w:val="0"/>
                <w:highlight w:val="none"/>
              </w:rPr>
            </w:pPr>
            <w:r>
              <w:rPr>
                <w:rFonts w:hAnsi="Times New Roman"/>
                <w:color w:val="auto"/>
                <w:highlight w:val="none"/>
              </w:rPr>
              <w:t>根据《自然资源部关于进一步做好用地用海要素保障的通知（自然资发〔2023〕89号）》，在各级国土空间规划正式批准之前的过渡期，对省级国土空间规划已呈报国务院的省份，有批准权的人民政府自然资源主管部门已经组织审查通过的国土空间总体规划，可作为项目用地用海组卷报批报批依据。</w:t>
            </w:r>
          </w:p>
          <w:p>
            <w:pPr>
              <w:pStyle w:val="55"/>
              <w:jc w:val="both"/>
              <w:rPr>
                <w:rFonts w:hAnsi="宋体"/>
                <w:color w:val="auto"/>
                <w:kern w:val="0"/>
                <w:highlight w:val="none"/>
              </w:rPr>
            </w:pPr>
            <w:r>
              <w:rPr>
                <w:rFonts w:hint="eastAsia" w:hAnsi="宋体"/>
                <w:color w:val="auto"/>
                <w:kern w:val="0"/>
                <w:highlight w:val="none"/>
              </w:rPr>
              <w:t>根据钦州市国土空间规划，本项目所在的钦州港海域不属于生态红线区或生态控制区。项目符合分区管控要求。项目符合钦州市国土空间规划（海洋）报批稿。</w:t>
            </w:r>
          </w:p>
          <w:p>
            <w:pPr>
              <w:pStyle w:val="55"/>
              <w:ind w:firstLine="0"/>
              <w:outlineLvl w:val="0"/>
              <w:rPr>
                <w:rFonts w:hAnsi="Times New Roman"/>
                <w:b/>
                <w:color w:val="auto"/>
                <w:highlight w:val="none"/>
              </w:rPr>
            </w:pPr>
            <w:r>
              <w:rPr>
                <w:rFonts w:hint="eastAsia"/>
                <w:b/>
                <w:color w:val="auto"/>
                <w:highlight w:val="none"/>
              </w:rPr>
              <w:t>5.</w:t>
            </w:r>
            <w:r>
              <w:rPr>
                <w:rFonts w:hint="eastAsia"/>
                <w:b/>
                <w:color w:val="auto"/>
                <w:highlight w:val="none"/>
                <w:lang w:val="en-US" w:eastAsia="zh-CN"/>
              </w:rPr>
              <w:t>3</w:t>
            </w:r>
            <w:r>
              <w:rPr>
                <w:rFonts w:hint="eastAsia"/>
                <w:b/>
                <w:color w:val="auto"/>
                <w:highlight w:val="none"/>
              </w:rPr>
              <w:t>项目用海与</w:t>
            </w:r>
            <w:r>
              <w:rPr>
                <w:rFonts w:hint="eastAsia" w:hAnsi="Times New Roman"/>
                <w:b/>
                <w:color w:val="auto"/>
                <w:highlight w:val="none"/>
              </w:rPr>
              <w:t>广西海洋主体功能区规划的符合性分析</w:t>
            </w:r>
          </w:p>
          <w:p>
            <w:pPr>
              <w:pStyle w:val="30"/>
              <w:rPr>
                <w:rFonts w:hAnsi="Calibri" w:eastAsia="宋体"/>
                <w:color w:val="auto"/>
                <w:szCs w:val="24"/>
                <w:highlight w:val="none"/>
              </w:rPr>
            </w:pPr>
            <w:r>
              <w:rPr>
                <w:rFonts w:hAnsi="Calibri" w:eastAsia="宋体"/>
                <w:color w:val="auto"/>
                <w:szCs w:val="24"/>
                <w:highlight w:val="none"/>
              </w:rPr>
              <w:t>根据201</w:t>
            </w:r>
            <w:r>
              <w:rPr>
                <w:rFonts w:hint="eastAsia" w:hAnsi="Calibri" w:eastAsia="宋体"/>
                <w:color w:val="auto"/>
                <w:szCs w:val="24"/>
                <w:highlight w:val="none"/>
              </w:rPr>
              <w:t>8</w:t>
            </w:r>
            <w:r>
              <w:rPr>
                <w:rFonts w:hAnsi="Calibri" w:eastAsia="宋体"/>
                <w:color w:val="auto"/>
                <w:szCs w:val="24"/>
                <w:highlight w:val="none"/>
              </w:rPr>
              <w:t>年</w:t>
            </w:r>
            <w:r>
              <w:rPr>
                <w:rFonts w:hint="eastAsia" w:hAnsi="Calibri" w:eastAsia="宋体"/>
                <w:color w:val="auto"/>
                <w:szCs w:val="24"/>
                <w:highlight w:val="none"/>
              </w:rPr>
              <w:t>4</w:t>
            </w:r>
            <w:r>
              <w:rPr>
                <w:rFonts w:hAnsi="Calibri" w:eastAsia="宋体"/>
                <w:color w:val="auto"/>
                <w:szCs w:val="24"/>
                <w:highlight w:val="none"/>
              </w:rPr>
              <w:t>月</w:t>
            </w:r>
            <w:r>
              <w:rPr>
                <w:rFonts w:hint="eastAsia" w:hAnsi="Calibri" w:eastAsia="宋体"/>
                <w:color w:val="auto"/>
                <w:szCs w:val="24"/>
                <w:highlight w:val="none"/>
              </w:rPr>
              <w:t>27日</w:t>
            </w:r>
            <w:r>
              <w:rPr>
                <w:rFonts w:hAnsi="Calibri" w:eastAsia="宋体"/>
                <w:color w:val="auto"/>
                <w:szCs w:val="24"/>
                <w:highlight w:val="none"/>
              </w:rPr>
              <w:t>发布的《</w:t>
            </w:r>
            <w:r>
              <w:rPr>
                <w:rFonts w:hint="eastAsia" w:hAnsi="Calibri" w:eastAsia="宋体"/>
                <w:color w:val="auto"/>
                <w:szCs w:val="24"/>
                <w:highlight w:val="none"/>
              </w:rPr>
              <w:t>广西壮族自治区海洋主体功能区规划</w:t>
            </w:r>
            <w:r>
              <w:rPr>
                <w:rFonts w:hAnsi="Calibri" w:eastAsia="宋体"/>
                <w:color w:val="auto"/>
                <w:szCs w:val="24"/>
                <w:highlight w:val="none"/>
              </w:rPr>
              <w:t>》，</w:t>
            </w:r>
            <w:r>
              <w:rPr>
                <w:rFonts w:hint="eastAsia" w:hAnsi="Calibri" w:eastAsia="宋体"/>
                <w:color w:val="auto"/>
                <w:szCs w:val="24"/>
                <w:highlight w:val="none"/>
              </w:rPr>
              <w:t>规划范围为依法管理的近岸海域和周边海域，以及629个无居民海岛，规划海域面积约7000平方千米。其中，优化开发区域海域面积2824.2平方千米，占40.3%；重点开发区域海域面积1236.5平方千米，占17.7%；限制开发区域海域面积2451.2平方千米，占35%；禁止开发区域海域面积488.1平方千米，占7%。</w:t>
            </w:r>
          </w:p>
          <w:p>
            <w:pPr>
              <w:pStyle w:val="30"/>
              <w:rPr>
                <w:rFonts w:hAnsi="Calibri" w:eastAsia="宋体"/>
                <w:color w:val="auto"/>
                <w:szCs w:val="24"/>
                <w:highlight w:val="none"/>
              </w:rPr>
            </w:pPr>
            <w:r>
              <w:rPr>
                <w:rFonts w:hint="eastAsia" w:hAnsi="Calibri" w:eastAsia="宋体"/>
                <w:color w:val="auto"/>
                <w:szCs w:val="24"/>
                <w:highlight w:val="none"/>
              </w:rPr>
              <w:t>本项目所在地位于</w:t>
            </w:r>
            <w:r>
              <w:rPr>
                <w:rFonts w:hAnsi="Calibri" w:eastAsia="宋体"/>
                <w:color w:val="auto"/>
                <w:szCs w:val="24"/>
                <w:highlight w:val="none"/>
              </w:rPr>
              <w:t>规划的钦南区区域，属钦州港经济技术开发区重点开发区域（450702-A-06），见</w:t>
            </w:r>
            <w:r>
              <w:rPr>
                <w:rFonts w:hint="eastAsia" w:hAnsi="Calibri" w:eastAsia="宋体"/>
                <w:color w:val="auto"/>
                <w:szCs w:val="24"/>
                <w:highlight w:val="none"/>
              </w:rPr>
              <w:t>附图4</w:t>
            </w:r>
            <w:r>
              <w:rPr>
                <w:rFonts w:hAnsi="Calibri" w:eastAsia="宋体"/>
                <w:color w:val="auto"/>
                <w:szCs w:val="24"/>
                <w:highlight w:val="none"/>
              </w:rPr>
              <w:t>。区域面积224.3平方千米，功能定位为：合理布局码头作业区、保税物流区、出口加工区和综合服务区。推进钦州港能源、原材料等大宗物资和集装箱为主的规模化、集约化港区建设</w:t>
            </w:r>
            <w:r>
              <w:rPr>
                <w:rFonts w:hint="eastAsia" w:hAnsi="Calibri" w:eastAsia="宋体"/>
                <w:color w:val="auto"/>
                <w:szCs w:val="24"/>
                <w:highlight w:val="none"/>
              </w:rPr>
              <w:t>。</w:t>
            </w:r>
          </w:p>
          <w:p>
            <w:pPr>
              <w:pStyle w:val="30"/>
              <w:rPr>
                <w:rFonts w:eastAsia="宋体"/>
                <w:color w:val="auto"/>
                <w:highlight w:val="none"/>
              </w:rPr>
            </w:pPr>
            <w:r>
              <w:rPr>
                <w:rFonts w:hint="eastAsia" w:hAnsi="Calibri" w:eastAsia="宋体"/>
                <w:color w:val="auto"/>
                <w:szCs w:val="24"/>
                <w:highlight w:val="none"/>
              </w:rPr>
              <w:t>本项目为30万吨级油码头拖轮应急通道建设项目，项目建设有利于节省拖轮进出油码头码头航程，节省通航时间，大大提高油轮进出港效率，促进钦州港港口航运业及临港石化产业的发展，符合重点开发区域的发展方向与开发原则，符合钦州港经济技术开发区重点开发区域的功能定位。项目符合广西壮族自治区海洋主体功能区规划。</w:t>
            </w:r>
          </w:p>
          <w:p>
            <w:pPr>
              <w:pStyle w:val="55"/>
              <w:jc w:val="both"/>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0"/>
              <w:rPr>
                <w:rFonts w:hAnsi="Times New Roman"/>
                <w:b/>
                <w:color w:val="auto"/>
                <w:sz w:val="30"/>
                <w:szCs w:val="30"/>
                <w:highlight w:val="none"/>
              </w:rPr>
            </w:pPr>
            <w:r>
              <w:rPr>
                <w:rFonts w:hAnsi="Times New Roman"/>
                <w:b/>
                <w:color w:val="auto"/>
                <w:sz w:val="30"/>
                <w:szCs w:val="30"/>
                <w:highlight w:val="none"/>
              </w:rPr>
              <w:t xml:space="preserve">6 </w:t>
            </w:r>
            <w:r>
              <w:rPr>
                <w:rFonts w:hAnsi="宋体"/>
                <w:b/>
                <w:color w:val="auto"/>
                <w:sz w:val="30"/>
                <w:szCs w:val="30"/>
                <w:highlight w:val="none"/>
              </w:rPr>
              <w:t>项目用海合理性</w:t>
            </w:r>
            <w:r>
              <w:rPr>
                <w:rFonts w:hint="eastAsia" w:hAnsi="宋体"/>
                <w:b/>
                <w:color w:val="auto"/>
                <w:sz w:val="30"/>
                <w:szCs w:val="30"/>
                <w:highlight w:val="none"/>
              </w:rPr>
              <w:t>分析</w:t>
            </w:r>
          </w:p>
          <w:p>
            <w:pPr>
              <w:pStyle w:val="55"/>
              <w:ind w:firstLine="0"/>
              <w:rPr>
                <w:b/>
                <w:color w:val="auto"/>
                <w:highlight w:val="none"/>
              </w:rPr>
            </w:pPr>
            <w:r>
              <w:rPr>
                <w:rFonts w:hint="eastAsia"/>
                <w:b/>
                <w:color w:val="auto"/>
                <w:highlight w:val="none"/>
              </w:rPr>
              <w:t>6.1项目用海选址合理性</w:t>
            </w:r>
          </w:p>
          <w:p>
            <w:pPr>
              <w:pStyle w:val="55"/>
              <w:ind w:firstLine="638" w:firstLineChars="266"/>
              <w:rPr>
                <w:color w:val="auto"/>
                <w:highlight w:val="none"/>
              </w:rPr>
            </w:pPr>
            <w:r>
              <w:rPr>
                <w:rFonts w:hint="eastAsia"/>
                <w:color w:val="auto"/>
                <w:highlight w:val="none"/>
              </w:rPr>
              <w:t>（1）与社会经济条件的适宜性</w:t>
            </w:r>
          </w:p>
          <w:p>
            <w:pPr>
              <w:spacing w:line="360" w:lineRule="auto"/>
              <w:ind w:firstLine="638" w:firstLineChars="266"/>
              <w:jc w:val="left"/>
              <w:rPr>
                <w:rFonts w:ascii="Times New Roman"/>
                <w:color w:val="auto"/>
                <w:sz w:val="24"/>
                <w:szCs w:val="24"/>
                <w:highlight w:val="none"/>
              </w:rPr>
            </w:pPr>
            <w:r>
              <w:rPr>
                <w:rFonts w:hint="eastAsia" w:ascii="Times New Roman"/>
                <w:color w:val="auto"/>
                <w:sz w:val="24"/>
                <w:szCs w:val="24"/>
                <w:highlight w:val="none"/>
              </w:rPr>
              <w:t>钦州港是广西北部湾港重要枢纽港，是西部陆海新通道国际门户的重要枢纽，是推动中国（广西）自由贸易试验区建设和广西北部湾经济区发展的重要支撑。本项目选址在钦州港区，可促进广西北部湾港国际门户港建设，有利于广西区位优势进一步凸显，从而推动和落实广西“西向、北联、东融、西合”开放发展新格局和“三大定位”新使命。项目选址符合所在区位定位和发展趋势。随着钦州港大型石化产业园的快速发展，三墩作业区30万吨级油轮码头迎来越来越多的油轮，对拖轮作业的需求必然持续增加。项目建设拖轮临时应急通道是服务邮轮码头及起皱石化产业发展的紧迫需要，是节约航程、缩短通航时间的重要措施。</w:t>
            </w:r>
          </w:p>
          <w:p>
            <w:pPr>
              <w:pStyle w:val="30"/>
              <w:ind w:firstLine="638" w:firstLineChars="266"/>
              <w:rPr>
                <w:rStyle w:val="26"/>
                <w:rFonts w:eastAsia="宋体"/>
                <w:color w:val="auto"/>
                <w:sz w:val="24"/>
                <w:highlight w:val="none"/>
              </w:rPr>
            </w:pPr>
            <w:r>
              <w:rPr>
                <w:rFonts w:hint="eastAsia" w:hAnsi="Calibri" w:eastAsia="宋体"/>
                <w:color w:val="auto"/>
                <w:szCs w:val="24"/>
                <w:highlight w:val="none"/>
              </w:rPr>
              <w:t>因此，项目选址位于已建钦州港东航道扩建工程（扩建10万吨级双向航道）和30万吨级油轮支航道之间，连接东西两侧大型深槽航道，使</w:t>
            </w:r>
            <w:r>
              <w:rPr>
                <w:rStyle w:val="26"/>
                <w:rFonts w:hint="eastAsia" w:eastAsia="宋体"/>
                <w:color w:val="auto"/>
                <w:sz w:val="24"/>
                <w:highlight w:val="none"/>
              </w:rPr>
              <w:t>拖轮进出</w:t>
            </w:r>
            <w:r>
              <w:rPr>
                <w:rFonts w:hint="eastAsia" w:hAnsi="Calibri" w:eastAsia="宋体"/>
                <w:color w:val="auto"/>
                <w:szCs w:val="24"/>
                <w:highlight w:val="none"/>
              </w:rPr>
              <w:t>30万吨级油轮</w:t>
            </w:r>
            <w:r>
              <w:rPr>
                <w:rStyle w:val="26"/>
                <w:rFonts w:hint="eastAsia" w:eastAsia="宋体"/>
                <w:color w:val="auto"/>
                <w:sz w:val="24"/>
                <w:highlight w:val="none"/>
              </w:rPr>
              <w:t>码头节省航程约12公里，节省通航时间约0.8小时。项目建设可大大提高油轮进出港效率，促进</w:t>
            </w:r>
            <w:r>
              <w:rPr>
                <w:rFonts w:hint="eastAsia" w:hAnsi="Calibri" w:eastAsia="宋体"/>
                <w:color w:val="auto"/>
                <w:szCs w:val="24"/>
                <w:highlight w:val="none"/>
              </w:rPr>
              <w:t>钦州港快速发展和临港石化</w:t>
            </w:r>
            <w:r>
              <w:rPr>
                <w:rStyle w:val="26"/>
                <w:rFonts w:hint="eastAsia" w:eastAsia="宋体"/>
                <w:color w:val="auto"/>
                <w:sz w:val="24"/>
                <w:highlight w:val="none"/>
              </w:rPr>
              <w:t>产业的发展，对钦州市经济发展有重大意义。</w:t>
            </w:r>
          </w:p>
          <w:p>
            <w:pPr>
              <w:spacing w:line="360" w:lineRule="auto"/>
              <w:ind w:firstLine="638" w:firstLineChars="266"/>
              <w:jc w:val="left"/>
              <w:rPr>
                <w:rStyle w:val="26"/>
                <w:rFonts w:ascii="Times New Roman" w:hAnsi="Times New Roman" w:eastAsia="宋体"/>
                <w:color w:val="auto"/>
                <w:sz w:val="24"/>
                <w:highlight w:val="none"/>
              </w:rPr>
            </w:pPr>
            <w:r>
              <w:rPr>
                <w:rStyle w:val="26"/>
                <w:rFonts w:hint="eastAsia" w:ascii="Times New Roman" w:hAnsi="Times New Roman" w:eastAsia="宋体"/>
                <w:color w:val="auto"/>
                <w:sz w:val="24"/>
                <w:highlight w:val="none"/>
              </w:rPr>
              <w:t>项目位于钦州港，区域内码头泊位、航道等港航设施工程建设较多，附近区域的供电、供水、通信等配套基础设施完善，海事、海洋、港口管理等协作单位齐全；施工单位常年在北部湾地区施工，熟悉该地区的地形地貌及施工特点，具有丰富的施工经验，施工设备齐全，施工技术有保障。本项目选址施工建设条件较好。</w:t>
            </w:r>
          </w:p>
          <w:p>
            <w:pPr>
              <w:pStyle w:val="30"/>
              <w:ind w:firstLine="638" w:firstLineChars="266"/>
              <w:rPr>
                <w:rFonts w:hAnsi="Calibri" w:eastAsia="宋体"/>
                <w:color w:val="auto"/>
                <w:szCs w:val="24"/>
                <w:highlight w:val="none"/>
              </w:rPr>
            </w:pPr>
            <w:r>
              <w:rPr>
                <w:rFonts w:hint="eastAsia" w:hAnsi="Calibri" w:eastAsia="宋体"/>
                <w:color w:val="auto"/>
                <w:szCs w:val="24"/>
                <w:highlight w:val="none"/>
              </w:rPr>
              <w:t>项目的选址与区域经济产业和社会条件的发展现状相适宜。</w:t>
            </w:r>
          </w:p>
          <w:p>
            <w:pPr>
              <w:pStyle w:val="55"/>
              <w:ind w:firstLine="638" w:firstLineChars="266"/>
              <w:rPr>
                <w:color w:val="auto"/>
                <w:highlight w:val="none"/>
              </w:rPr>
            </w:pPr>
            <w:r>
              <w:rPr>
                <w:rFonts w:hint="eastAsia"/>
                <w:color w:val="auto"/>
                <w:highlight w:val="none"/>
              </w:rPr>
              <w:t>（2）与所在海域自然资源和环境条件适宜性</w:t>
            </w:r>
          </w:p>
          <w:p>
            <w:pPr>
              <w:spacing w:line="360" w:lineRule="auto"/>
              <w:ind w:firstLine="638" w:firstLineChars="266"/>
              <w:jc w:val="left"/>
              <w:rPr>
                <w:rFonts w:ascii="Times New Roman"/>
                <w:color w:val="auto"/>
                <w:sz w:val="24"/>
                <w:szCs w:val="24"/>
                <w:highlight w:val="none"/>
              </w:rPr>
            </w:pPr>
            <w:r>
              <w:rPr>
                <w:rFonts w:hint="eastAsia" w:ascii="Times New Roman"/>
                <w:color w:val="auto"/>
                <w:sz w:val="24"/>
                <w:szCs w:val="24"/>
                <w:highlight w:val="none"/>
              </w:rPr>
              <w:t>项目选址钦州港水域掩护条件好、水深流顺、深水岸线长、潮差大、淤积小、水域宽阔，具有建设港口航运设施的自然环境条件。项目所在海域开阔，施工通航条件较好；拟建区域工程地质条件较好，通道区域土层较易于开挖，疏浚施工难度较小；项目所在海域水动力和冲淤较稳定，满足施工气候条件天数多。根据工程影响分析，项目采用其他开放式用海方式对所在区域水动力影响较小。工程区域内没有红树林、海草床等生态敏感目标。项目距离周边生态敏感区较远，因正常施工引发的生态风险和环境污染程度较低，总体上可满足所在海区生态环境管控要求。</w:t>
            </w:r>
          </w:p>
          <w:p>
            <w:pPr>
              <w:spacing w:line="360" w:lineRule="auto"/>
              <w:ind w:firstLine="638" w:firstLineChars="266"/>
              <w:jc w:val="left"/>
              <w:rPr>
                <w:rFonts w:ascii="Times New Roman"/>
                <w:color w:val="auto"/>
                <w:sz w:val="24"/>
                <w:szCs w:val="24"/>
                <w:highlight w:val="none"/>
              </w:rPr>
            </w:pPr>
            <w:r>
              <w:rPr>
                <w:rFonts w:hint="eastAsia" w:ascii="Times New Roman"/>
                <w:color w:val="auto"/>
                <w:sz w:val="24"/>
                <w:szCs w:val="24"/>
                <w:highlight w:val="none"/>
              </w:rPr>
              <w:t>项目施工需注意与周边油轮危化品运输船的通航协调和安全。通过落实相应的交通安全保障措施、环保措施措施，项目用海风险较小。</w:t>
            </w:r>
          </w:p>
          <w:p>
            <w:pPr>
              <w:pStyle w:val="55"/>
              <w:ind w:firstLine="638" w:firstLineChars="266"/>
              <w:rPr>
                <w:color w:val="auto"/>
                <w:highlight w:val="none"/>
              </w:rPr>
            </w:pPr>
            <w:r>
              <w:rPr>
                <w:rFonts w:hint="eastAsia"/>
                <w:color w:val="auto"/>
                <w:highlight w:val="none"/>
              </w:rPr>
              <w:t>因此，项目选址与所在海域自然资源和环境条件相适宜。</w:t>
            </w:r>
          </w:p>
          <w:p>
            <w:pPr>
              <w:spacing w:line="360" w:lineRule="auto"/>
              <w:ind w:firstLine="638" w:firstLineChars="266"/>
              <w:jc w:val="left"/>
              <w:rPr>
                <w:rFonts w:ascii="Times New Roman"/>
                <w:color w:val="auto"/>
                <w:sz w:val="24"/>
                <w:szCs w:val="24"/>
                <w:highlight w:val="none"/>
              </w:rPr>
            </w:pPr>
            <w:r>
              <w:rPr>
                <w:rFonts w:hint="eastAsia" w:ascii="Times New Roman"/>
                <w:color w:val="auto"/>
                <w:sz w:val="24"/>
                <w:szCs w:val="24"/>
                <w:highlight w:val="none"/>
              </w:rPr>
              <w:t>（3）与周边海域开发利用的协调性分析</w:t>
            </w:r>
          </w:p>
          <w:p>
            <w:pPr>
              <w:spacing w:line="360" w:lineRule="auto"/>
              <w:ind w:firstLine="638" w:firstLineChars="266"/>
              <w:jc w:val="left"/>
              <w:rPr>
                <w:rFonts w:ascii="Times New Roman"/>
                <w:color w:val="auto"/>
                <w:sz w:val="24"/>
                <w:szCs w:val="24"/>
                <w:highlight w:val="none"/>
              </w:rPr>
            </w:pPr>
            <w:r>
              <w:rPr>
                <w:rFonts w:hint="eastAsia" w:ascii="Times New Roman"/>
                <w:color w:val="auto"/>
                <w:sz w:val="24"/>
                <w:szCs w:val="24"/>
                <w:highlight w:val="none"/>
              </w:rPr>
              <w:t>根据项目与海洋功能区划和相关规划符合性分析结果，项目与广西海洋功能区划、钦州市国土空间规划、《钦州港总体规划（2035 年）》相协调，符合广西海洋主体功能区规划要求，不涉及海洋生态红线。根据开发利用现状和利益相关者分析，工程区域内没有军事设施、海底管线、海洋自然保护区、养殖网箱等敏感目标，项目与其他周边用海协调性较好。项目建设有利于港口规划的落实和促进向海经济发展。通过落实本报告提出的相关开发利用协调措施，项目可与利益相关者相协调。项目建设对周边临港工业和港口及其公共配套设施开发建设有积极促进作用。</w:t>
            </w:r>
          </w:p>
          <w:p>
            <w:pPr>
              <w:spacing w:line="360" w:lineRule="auto"/>
              <w:jc w:val="left"/>
              <w:rPr>
                <w:rFonts w:ascii="Times New Roman"/>
                <w:color w:val="auto"/>
                <w:sz w:val="24"/>
                <w:szCs w:val="24"/>
                <w:highlight w:val="none"/>
              </w:rPr>
            </w:pPr>
            <w:r>
              <w:rPr>
                <w:rFonts w:hint="eastAsia" w:ascii="Times New Roman"/>
                <w:color w:val="auto"/>
                <w:sz w:val="24"/>
                <w:szCs w:val="24"/>
                <w:highlight w:val="none"/>
              </w:rPr>
              <w:t>因此，项目选址与周边用海活动相协调。</w:t>
            </w:r>
          </w:p>
          <w:p>
            <w:pPr>
              <w:pStyle w:val="55"/>
              <w:ind w:firstLine="420" w:firstLineChars="175"/>
              <w:outlineLvl w:val="0"/>
              <w:rPr>
                <w:color w:val="auto"/>
                <w:highlight w:val="none"/>
              </w:rPr>
            </w:pPr>
            <w:r>
              <w:rPr>
                <w:rFonts w:hint="eastAsia"/>
                <w:color w:val="auto"/>
                <w:highlight w:val="none"/>
              </w:rPr>
              <w:t>（4）选址唯一性分析</w:t>
            </w:r>
          </w:p>
          <w:p>
            <w:pPr>
              <w:spacing w:line="360" w:lineRule="auto"/>
              <w:ind w:firstLine="418" w:firstLineChars="179"/>
              <w:jc w:val="left"/>
              <w:rPr>
                <w:rFonts w:ascii="宋体" w:hAnsi="宋体" w:eastAsia="Times New Roman" w:cs="宋体"/>
                <w:color w:val="auto"/>
                <w:spacing w:val="-3"/>
                <w:sz w:val="24"/>
                <w:highlight w:val="none"/>
              </w:rPr>
            </w:pPr>
            <w:r>
              <w:rPr>
                <w:rFonts w:hint="eastAsia" w:ascii="宋体" w:hAnsi="宋体" w:eastAsia="Times New Roman" w:cs="宋体"/>
                <w:color w:val="auto"/>
                <w:spacing w:val="-3"/>
                <w:sz w:val="24"/>
                <w:highlight w:val="none"/>
              </w:rPr>
              <w:t>项目建设拖轮临时应急通道，通道选址与周边航道、码头港池位置密切相关。项目拖轮服务于油轮进出港作业，东侧连接30万吨级油轮支航道</w:t>
            </w:r>
            <w:r>
              <w:rPr>
                <w:rFonts w:hint="eastAsia" w:ascii="宋体" w:hAnsi="宋体" w:eastAsia="Times New Roman" w:cs="宋体"/>
                <w:color w:val="auto"/>
                <w:spacing w:val="-3"/>
                <w:sz w:val="24"/>
                <w:highlight w:val="none"/>
                <w:lang w:val="zh-CN"/>
              </w:rPr>
              <w:t>末端与港池连接处</w:t>
            </w:r>
            <w:r>
              <w:rPr>
                <w:rFonts w:hint="eastAsia" w:ascii="宋体" w:hAnsi="宋体" w:eastAsia="Times New Roman" w:cs="宋体"/>
                <w:color w:val="auto"/>
                <w:spacing w:val="-3"/>
                <w:sz w:val="24"/>
                <w:highlight w:val="none"/>
              </w:rPr>
              <w:t>，若连接处往北布置则影响油轮在港池靠泊作业，影响通航和作业安全；若连接处往南布置，则拖轮航程增加，通航时间延长。东侧连接点的选择静定了临时应急通道的选址布置，项目所选区域是综合考虑通航距离、通航时间、通航安全等多方面因素，是最佳选址方案。项目选址参考《钦州港总体规划（2035 年）》确定的码头泊位、航道设置要求，选址于钦州港三墩作业区南侧海域，不影响周边港航设施正常使用。</w:t>
            </w:r>
          </w:p>
          <w:p>
            <w:pPr>
              <w:spacing w:line="360" w:lineRule="auto"/>
              <w:ind w:firstLine="418" w:firstLineChars="179"/>
              <w:jc w:val="left"/>
              <w:rPr>
                <w:rFonts w:ascii="宋体" w:hAnsi="宋体" w:eastAsia="Times New Roman" w:cs="宋体"/>
                <w:color w:val="auto"/>
                <w:spacing w:val="-3"/>
                <w:sz w:val="24"/>
                <w:highlight w:val="none"/>
              </w:rPr>
            </w:pPr>
            <w:r>
              <w:rPr>
                <w:rFonts w:hint="eastAsia" w:ascii="宋体" w:hAnsi="宋体" w:eastAsia="Times New Roman" w:cs="宋体"/>
                <w:color w:val="auto"/>
                <w:spacing w:val="-3"/>
                <w:sz w:val="24"/>
                <w:highlight w:val="none"/>
              </w:rPr>
              <w:t>项目选址已征求广西北部湾港口管理局钦州分局、钦州海事局、钦州市海洋局等相关部门意见。因此，项目选址唯一。</w:t>
            </w:r>
          </w:p>
          <w:p>
            <w:pPr>
              <w:pStyle w:val="55"/>
              <w:ind w:firstLine="500" w:firstLineChars="214"/>
              <w:outlineLvl w:val="0"/>
              <w:rPr>
                <w:color w:val="auto"/>
                <w:highlight w:val="none"/>
              </w:rPr>
            </w:pPr>
            <w:r>
              <w:rPr>
                <w:rFonts w:ascii="宋体" w:hAnsi="宋体" w:eastAsia="Times New Roman" w:cs="宋体"/>
                <w:color w:val="auto"/>
                <w:spacing w:val="-3"/>
                <w:szCs w:val="22"/>
                <w:highlight w:val="none"/>
              </w:rPr>
              <w:t>综上所述，</w:t>
            </w:r>
            <w:r>
              <w:rPr>
                <w:rFonts w:hint="eastAsia"/>
                <w:color w:val="auto"/>
                <w:highlight w:val="none"/>
              </w:rPr>
              <w:t>本项目选址是合理可行的。</w:t>
            </w:r>
          </w:p>
          <w:p>
            <w:pPr>
              <w:pStyle w:val="55"/>
              <w:ind w:firstLine="34"/>
              <w:outlineLvl w:val="0"/>
              <w:rPr>
                <w:b/>
                <w:color w:val="auto"/>
                <w:highlight w:val="none"/>
              </w:rPr>
            </w:pPr>
            <w:r>
              <w:rPr>
                <w:rFonts w:hint="eastAsia"/>
                <w:b/>
                <w:color w:val="auto"/>
                <w:highlight w:val="none"/>
              </w:rPr>
              <w:t>6.2 项目用海平面布置的合理性</w:t>
            </w:r>
          </w:p>
          <w:p>
            <w:pPr>
              <w:pStyle w:val="55"/>
              <w:rPr>
                <w:rFonts w:ascii="宋体" w:hAnsi="宋体"/>
                <w:color w:val="auto"/>
                <w:highlight w:val="none"/>
              </w:rPr>
            </w:pPr>
            <w:r>
              <w:rPr>
                <w:rFonts w:hint="eastAsia" w:ascii="宋体" w:hAnsi="宋体"/>
                <w:color w:val="auto"/>
                <w:highlight w:val="none"/>
              </w:rPr>
              <w:t>项目拖轮通道布置于</w:t>
            </w:r>
            <w:r>
              <w:rPr>
                <w:rFonts w:hint="eastAsia"/>
                <w:color w:val="auto"/>
                <w:highlight w:val="none"/>
              </w:rPr>
              <w:t>已建钦州港东航道扩建工程（扩建10万吨级双向航道）和30万吨级油轮支航道</w:t>
            </w:r>
            <w:r>
              <w:rPr>
                <w:rFonts w:hint="eastAsia" w:ascii="宋体" w:hAnsi="宋体"/>
                <w:color w:val="auto"/>
                <w:highlight w:val="none"/>
              </w:rPr>
              <w:t>两条大型航道之间，呈东西向直线型，通道顺直，避免拐弯转向，符合规范要求，满足船舶安全通航要求。</w:t>
            </w:r>
          </w:p>
          <w:p>
            <w:pPr>
              <w:pStyle w:val="30"/>
              <w:rPr>
                <w:rFonts w:eastAsia="宋体"/>
                <w:color w:val="auto"/>
                <w:szCs w:val="24"/>
                <w:highlight w:val="none"/>
              </w:rPr>
            </w:pPr>
            <w:r>
              <w:rPr>
                <w:rFonts w:eastAsia="宋体"/>
                <w:color w:val="auto"/>
                <w:szCs w:val="24"/>
                <w:highlight w:val="none"/>
              </w:rPr>
              <w:t>本项目拟建为拖轮专用单向通道，参照航道设计要求确定通道宽度。根据《海港总体设计规范》（JTS 165-2013），单向航道有效宽度按下式进行计算：</w:t>
            </w:r>
          </w:p>
          <w:p>
            <w:pPr>
              <w:pStyle w:val="30"/>
              <w:rPr>
                <w:rFonts w:eastAsia="宋体"/>
                <w:color w:val="auto"/>
                <w:szCs w:val="24"/>
                <w:highlight w:val="none"/>
              </w:rPr>
            </w:pPr>
            <w:r>
              <w:rPr>
                <w:rFonts w:eastAsia="宋体"/>
                <w:color w:val="auto"/>
                <w:szCs w:val="24"/>
                <w:highlight w:val="none"/>
              </w:rPr>
              <w:t>W=A+2c</w:t>
            </w:r>
          </w:p>
          <w:p>
            <w:pPr>
              <w:pStyle w:val="30"/>
              <w:rPr>
                <w:rFonts w:eastAsia="宋体"/>
                <w:color w:val="auto"/>
                <w:szCs w:val="24"/>
                <w:highlight w:val="none"/>
              </w:rPr>
            </w:pPr>
            <w:r>
              <w:rPr>
                <w:rFonts w:eastAsia="宋体"/>
                <w:color w:val="auto"/>
                <w:szCs w:val="24"/>
                <w:highlight w:val="none"/>
              </w:rPr>
              <w:t>其中，A=n(Lsin</w:t>
            </w:r>
            <w:r>
              <w:rPr>
                <w:rFonts w:eastAsia="宋体"/>
                <w:color w:val="auto"/>
                <w:szCs w:val="24"/>
                <w:highlight w:val="none"/>
              </w:rPr>
              <w:sym w:font="Symbol" w:char="F0A1"/>
            </w:r>
            <w:r>
              <w:rPr>
                <w:rFonts w:eastAsia="宋体"/>
                <w:color w:val="auto"/>
                <w:szCs w:val="24"/>
                <w:highlight w:val="none"/>
              </w:rPr>
              <w:t>+B)</w:t>
            </w:r>
          </w:p>
          <w:p>
            <w:pPr>
              <w:pStyle w:val="30"/>
              <w:rPr>
                <w:rFonts w:eastAsia="宋体"/>
                <w:color w:val="auto"/>
                <w:szCs w:val="24"/>
                <w:highlight w:val="none"/>
              </w:rPr>
            </w:pPr>
            <w:r>
              <w:rPr>
                <w:rFonts w:eastAsia="宋体"/>
                <w:color w:val="auto"/>
                <w:szCs w:val="24"/>
                <w:highlight w:val="none"/>
              </w:rPr>
              <w:t>式中：W—航道有效宽度(m)；</w:t>
            </w:r>
          </w:p>
          <w:p>
            <w:pPr>
              <w:pStyle w:val="30"/>
              <w:rPr>
                <w:rFonts w:eastAsia="宋体"/>
                <w:color w:val="auto"/>
                <w:szCs w:val="24"/>
                <w:highlight w:val="none"/>
              </w:rPr>
            </w:pPr>
            <w:r>
              <w:rPr>
                <w:rFonts w:eastAsia="宋体"/>
                <w:color w:val="auto"/>
                <w:szCs w:val="24"/>
                <w:highlight w:val="none"/>
              </w:rPr>
              <w:t>A—航迹带宽度(m)；</w:t>
            </w:r>
          </w:p>
          <w:p>
            <w:pPr>
              <w:pStyle w:val="30"/>
              <w:rPr>
                <w:rFonts w:eastAsia="宋体"/>
                <w:color w:val="auto"/>
                <w:szCs w:val="24"/>
                <w:highlight w:val="none"/>
              </w:rPr>
            </w:pPr>
            <w:r>
              <w:rPr>
                <w:rFonts w:eastAsia="宋体"/>
                <w:color w:val="auto"/>
                <w:szCs w:val="24"/>
                <w:highlight w:val="none"/>
              </w:rPr>
              <w:t>L—设计船长(m)，本项目拖轮型线长37.5m；</w:t>
            </w:r>
          </w:p>
          <w:p>
            <w:pPr>
              <w:pStyle w:val="30"/>
              <w:rPr>
                <w:rFonts w:eastAsia="宋体"/>
                <w:color w:val="auto"/>
                <w:szCs w:val="24"/>
                <w:highlight w:val="none"/>
              </w:rPr>
            </w:pPr>
            <w:r>
              <w:rPr>
                <w:rFonts w:eastAsia="宋体"/>
                <w:color w:val="auto"/>
                <w:szCs w:val="24"/>
                <w:highlight w:val="none"/>
              </w:rPr>
              <w:t>B—设计船宽(m)，本项目拖轮型宽11.0m；</w:t>
            </w:r>
          </w:p>
          <w:p>
            <w:pPr>
              <w:pStyle w:val="30"/>
              <w:rPr>
                <w:rFonts w:eastAsia="宋体"/>
                <w:color w:val="auto"/>
                <w:szCs w:val="24"/>
                <w:highlight w:val="none"/>
              </w:rPr>
            </w:pPr>
            <w:r>
              <w:rPr>
                <w:rFonts w:eastAsia="宋体"/>
                <w:color w:val="auto"/>
                <w:szCs w:val="24"/>
                <w:highlight w:val="none"/>
              </w:rPr>
              <w:t>n—船舶漂移倍数；</w:t>
            </w:r>
            <w:r>
              <w:rPr>
                <w:rFonts w:eastAsia="宋体"/>
                <w:color w:val="auto"/>
                <w:szCs w:val="24"/>
                <w:highlight w:val="none"/>
              </w:rPr>
              <w:sym w:font="Symbol" w:char="F0A1"/>
            </w:r>
            <w:r>
              <w:rPr>
                <w:rFonts w:eastAsia="宋体"/>
                <w:color w:val="auto"/>
                <w:szCs w:val="24"/>
                <w:highlight w:val="none"/>
              </w:rPr>
              <w:t>—风、流压偏角(°)；根据参考取值表，这里船舶漂移倍数n取1.</w:t>
            </w:r>
            <w:r>
              <w:rPr>
                <w:rFonts w:hint="eastAsia" w:eastAsia="宋体"/>
                <w:color w:val="auto"/>
                <w:szCs w:val="24"/>
                <w:highlight w:val="none"/>
              </w:rPr>
              <w:t>45</w:t>
            </w:r>
            <w:r>
              <w:rPr>
                <w:rFonts w:eastAsia="宋体"/>
                <w:color w:val="auto"/>
                <w:szCs w:val="24"/>
                <w:highlight w:val="none"/>
              </w:rPr>
              <w:t>，风、流压偏角</w:t>
            </w:r>
            <w:r>
              <w:rPr>
                <w:rFonts w:eastAsia="宋体"/>
                <w:color w:val="auto"/>
                <w:szCs w:val="24"/>
                <w:highlight w:val="none"/>
              </w:rPr>
              <w:sym w:font="Symbol" w:char="F0A1"/>
            </w:r>
            <w:r>
              <w:rPr>
                <w:rFonts w:eastAsia="宋体"/>
                <w:color w:val="auto"/>
                <w:szCs w:val="24"/>
                <w:highlight w:val="none"/>
              </w:rPr>
              <w:t>取</w:t>
            </w:r>
            <w:r>
              <w:rPr>
                <w:rFonts w:hint="eastAsia" w:eastAsia="宋体"/>
                <w:color w:val="auto"/>
                <w:szCs w:val="24"/>
                <w:highlight w:val="none"/>
              </w:rPr>
              <w:t>14</w:t>
            </w:r>
            <w:r>
              <w:rPr>
                <w:rFonts w:eastAsia="宋体"/>
                <w:color w:val="auto"/>
                <w:szCs w:val="24"/>
                <w:highlight w:val="none"/>
              </w:rPr>
              <w:t>°。</w:t>
            </w:r>
          </w:p>
          <w:p>
            <w:pPr>
              <w:pStyle w:val="30"/>
              <w:rPr>
                <w:rFonts w:eastAsia="宋体"/>
                <w:color w:val="auto"/>
                <w:szCs w:val="24"/>
                <w:highlight w:val="none"/>
              </w:rPr>
            </w:pPr>
            <w:r>
              <w:rPr>
                <w:rFonts w:eastAsia="宋体"/>
                <w:color w:val="auto"/>
                <w:szCs w:val="24"/>
                <w:highlight w:val="none"/>
              </w:rPr>
              <w:t>c—船舶与航道底边线间的富裕宽度(m)，根据参考取值表，</w:t>
            </w:r>
            <w:r>
              <w:rPr>
                <w:rFonts w:hint="eastAsia" w:eastAsia="宋体"/>
                <w:color w:val="auto"/>
                <w:szCs w:val="24"/>
                <w:highlight w:val="none"/>
              </w:rPr>
              <w:t>拖轮</w:t>
            </w:r>
            <w:r>
              <w:rPr>
                <w:rFonts w:eastAsia="宋体"/>
                <w:color w:val="auto"/>
                <w:szCs w:val="24"/>
                <w:highlight w:val="none"/>
              </w:rPr>
              <w:t>航速按8kn计，这里</w:t>
            </w:r>
            <w:r>
              <w:rPr>
                <w:rFonts w:hint="eastAsia" w:eastAsia="宋体"/>
                <w:color w:val="auto"/>
                <w:szCs w:val="24"/>
                <w:highlight w:val="none"/>
              </w:rPr>
              <w:t>以杂货船</w:t>
            </w:r>
            <w:r>
              <w:rPr>
                <w:rFonts w:eastAsia="宋体"/>
                <w:color w:val="auto"/>
                <w:szCs w:val="24"/>
                <w:highlight w:val="none"/>
              </w:rPr>
              <w:t>取c=</w:t>
            </w:r>
            <w:r>
              <w:rPr>
                <w:rFonts w:hint="eastAsia" w:eastAsia="宋体"/>
                <w:color w:val="auto"/>
                <w:szCs w:val="24"/>
                <w:highlight w:val="none"/>
              </w:rPr>
              <w:t>0.75</w:t>
            </w:r>
            <w:r>
              <w:rPr>
                <w:rFonts w:eastAsia="宋体"/>
                <w:color w:val="auto"/>
                <w:szCs w:val="24"/>
                <w:highlight w:val="none"/>
              </w:rPr>
              <w:t>B</w:t>
            </w:r>
            <w:r>
              <w:rPr>
                <w:rFonts w:hint="eastAsia" w:eastAsia="宋体"/>
                <w:color w:val="auto"/>
                <w:szCs w:val="24"/>
                <w:highlight w:val="none"/>
              </w:rPr>
              <w:t>，即8.25</w:t>
            </w:r>
            <w:r>
              <w:rPr>
                <w:rFonts w:eastAsia="宋体"/>
                <w:color w:val="auto"/>
                <w:szCs w:val="24"/>
                <w:highlight w:val="none"/>
              </w:rPr>
              <w:t>m。</w:t>
            </w:r>
          </w:p>
          <w:p>
            <w:pPr>
              <w:pStyle w:val="55"/>
              <w:rPr>
                <w:rFonts w:hAnsi="Times New Roman"/>
                <w:color w:val="auto"/>
                <w:highlight w:val="none"/>
              </w:rPr>
            </w:pPr>
            <w:r>
              <w:rPr>
                <w:rFonts w:hAnsi="Times New Roman"/>
                <w:color w:val="auto"/>
                <w:highlight w:val="none"/>
              </w:rPr>
              <w:t>计算结果为：</w:t>
            </w:r>
            <w:r>
              <w:rPr>
                <w:rFonts w:hint="eastAsia" w:hAnsi="Times New Roman"/>
                <w:color w:val="auto"/>
                <w:highlight w:val="none"/>
              </w:rPr>
              <w:t>A=29.10</w:t>
            </w:r>
            <w:r>
              <w:rPr>
                <w:rFonts w:hAnsi="Times New Roman"/>
                <w:color w:val="auto"/>
                <w:highlight w:val="none"/>
              </w:rPr>
              <w:t>m</w:t>
            </w:r>
            <w:r>
              <w:rPr>
                <w:rFonts w:hint="eastAsia" w:hAnsi="Times New Roman"/>
                <w:color w:val="auto"/>
                <w:highlight w:val="none"/>
              </w:rPr>
              <w:t>，</w:t>
            </w:r>
            <w:r>
              <w:rPr>
                <w:rFonts w:hAnsi="Times New Roman"/>
                <w:color w:val="auto"/>
                <w:highlight w:val="none"/>
              </w:rPr>
              <w:t>W=</w:t>
            </w:r>
            <w:r>
              <w:rPr>
                <w:rFonts w:hint="eastAsia" w:hAnsi="Times New Roman"/>
                <w:color w:val="auto"/>
                <w:highlight w:val="none"/>
              </w:rPr>
              <w:t>29.10</w:t>
            </w:r>
            <w:r>
              <w:rPr>
                <w:rFonts w:hAnsi="Times New Roman"/>
                <w:color w:val="auto"/>
                <w:highlight w:val="none"/>
              </w:rPr>
              <w:t>+2</w:t>
            </w:r>
            <w:r>
              <w:rPr>
                <w:rFonts w:hint="eastAsia" w:hAnsi="Times New Roman"/>
                <w:color w:val="auto"/>
                <w:highlight w:val="none"/>
              </w:rPr>
              <w:t>*8.25=45.6</w:t>
            </w:r>
            <w:r>
              <w:rPr>
                <w:rFonts w:hAnsi="Times New Roman"/>
                <w:color w:val="auto"/>
                <w:highlight w:val="none"/>
              </w:rPr>
              <w:t>m</w:t>
            </w:r>
            <w:r>
              <w:rPr>
                <w:rFonts w:hint="eastAsia" w:hAnsi="Times New Roman"/>
                <w:color w:val="auto"/>
                <w:highlight w:val="none"/>
              </w:rPr>
              <w:t>，</w:t>
            </w:r>
            <w:r>
              <w:rPr>
                <w:rFonts w:hAnsi="Times New Roman"/>
                <w:color w:val="auto"/>
                <w:highlight w:val="none"/>
              </w:rPr>
              <w:t>拖轮单向通航有效宽度为</w:t>
            </w:r>
            <w:r>
              <w:rPr>
                <w:rFonts w:hint="eastAsia" w:hAnsi="Times New Roman"/>
                <w:color w:val="auto"/>
                <w:highlight w:val="none"/>
              </w:rPr>
              <w:t>45.6</w:t>
            </w:r>
            <w:r>
              <w:rPr>
                <w:rFonts w:hAnsi="Times New Roman"/>
                <w:color w:val="auto"/>
                <w:highlight w:val="none"/>
              </w:rPr>
              <w:t>m，</w:t>
            </w:r>
            <w:r>
              <w:rPr>
                <w:rFonts w:hint="eastAsia" w:hAnsi="Times New Roman"/>
                <w:color w:val="auto"/>
                <w:highlight w:val="none"/>
              </w:rPr>
              <w:t>本</w:t>
            </w:r>
            <w:r>
              <w:rPr>
                <w:rFonts w:hAnsi="Times New Roman"/>
                <w:color w:val="auto"/>
                <w:highlight w:val="none"/>
              </w:rPr>
              <w:t>项目</w:t>
            </w:r>
            <w:r>
              <w:rPr>
                <w:rFonts w:hAnsi="Times New Roman"/>
                <w:color w:val="auto"/>
                <w:highlight w:val="none"/>
                <w:lang w:val="zh-CN"/>
              </w:rPr>
              <w:t>通道</w:t>
            </w:r>
            <w:r>
              <w:rPr>
                <w:rFonts w:hint="eastAsia" w:hAnsi="Times New Roman"/>
                <w:color w:val="auto"/>
                <w:highlight w:val="none"/>
              </w:rPr>
              <w:t>设计</w:t>
            </w:r>
            <w:r>
              <w:rPr>
                <w:rFonts w:hAnsi="Times New Roman"/>
                <w:color w:val="auto"/>
                <w:highlight w:val="none"/>
                <w:lang w:val="zh-CN"/>
              </w:rPr>
              <w:t>宽度4</w:t>
            </w:r>
            <w:r>
              <w:rPr>
                <w:rFonts w:hint="eastAsia" w:hAnsi="Times New Roman"/>
                <w:color w:val="auto"/>
                <w:highlight w:val="none"/>
              </w:rPr>
              <w:t>6</w:t>
            </w:r>
            <w:r>
              <w:rPr>
                <w:rFonts w:hAnsi="Times New Roman"/>
                <w:color w:val="auto"/>
                <w:highlight w:val="none"/>
                <w:lang w:val="zh-CN"/>
              </w:rPr>
              <w:t>m，</w:t>
            </w:r>
            <w:r>
              <w:rPr>
                <w:rFonts w:hAnsi="Times New Roman"/>
                <w:color w:val="auto"/>
                <w:highlight w:val="none"/>
              </w:rPr>
              <w:t>略</w:t>
            </w:r>
            <w:r>
              <w:rPr>
                <w:rFonts w:hint="eastAsia" w:hAnsi="Times New Roman"/>
                <w:color w:val="auto"/>
                <w:highlight w:val="none"/>
              </w:rPr>
              <w:t>大</w:t>
            </w:r>
            <w:r>
              <w:rPr>
                <w:rFonts w:hAnsi="Times New Roman"/>
                <w:color w:val="auto"/>
                <w:highlight w:val="none"/>
              </w:rPr>
              <w:t>于计算值，</w:t>
            </w:r>
            <w:r>
              <w:rPr>
                <w:rFonts w:hint="eastAsia" w:ascii="宋体" w:hAnsi="宋体"/>
                <w:color w:val="auto"/>
                <w:highlight w:val="none"/>
              </w:rPr>
              <w:t>通道宽度满足拖轮单项通航需要，</w:t>
            </w:r>
            <w:r>
              <w:rPr>
                <w:rFonts w:hAnsi="Times New Roman"/>
                <w:color w:val="auto"/>
                <w:highlight w:val="none"/>
              </w:rPr>
              <w:t>是符合设计规范要求的。</w:t>
            </w:r>
          </w:p>
          <w:p>
            <w:pPr>
              <w:pStyle w:val="55"/>
              <w:jc w:val="both"/>
              <w:rPr>
                <w:rFonts w:ascii="宋体" w:hAnsi="宋体"/>
                <w:color w:val="auto"/>
                <w:highlight w:val="none"/>
              </w:rPr>
            </w:pPr>
            <w:r>
              <w:rPr>
                <w:rFonts w:hint="eastAsia" w:ascii="宋体" w:hAnsi="宋体"/>
                <w:color w:val="auto"/>
                <w:highlight w:val="none"/>
              </w:rPr>
              <w:t>临时通道起止端与</w:t>
            </w:r>
            <w:r>
              <w:rPr>
                <w:rFonts w:hint="eastAsia"/>
                <w:color w:val="auto"/>
                <w:highlight w:val="none"/>
              </w:rPr>
              <w:t>钦州港东航道、30万吨级油轮支航道</w:t>
            </w:r>
            <w:r>
              <w:rPr>
                <w:rFonts w:hint="eastAsia" w:ascii="宋体" w:hAnsi="宋体"/>
                <w:color w:val="auto"/>
                <w:highlight w:val="none"/>
              </w:rPr>
              <w:t>连接处船舶转弯部分，根据</w:t>
            </w:r>
            <w:r>
              <w:rPr>
                <w:rFonts w:hAnsi="Times New Roman"/>
                <w:color w:val="auto"/>
                <w:highlight w:val="none"/>
              </w:rPr>
              <w:t>《海港总体设计规范》（JTS 165-2013）</w:t>
            </w:r>
            <w:r>
              <w:rPr>
                <w:rFonts w:hint="eastAsia" w:hAnsi="Times New Roman"/>
                <w:color w:val="auto"/>
                <w:highlight w:val="none"/>
              </w:rPr>
              <w:t>设计弯曲半径采用R=380m，</w:t>
            </w:r>
            <w:r>
              <w:rPr>
                <w:rFonts w:hint="eastAsia" w:ascii="宋体" w:hAnsi="宋体"/>
                <w:color w:val="auto"/>
                <w:highlight w:val="none"/>
              </w:rPr>
              <w:t>保证拖轮进出航道顺畅安全。</w:t>
            </w:r>
          </w:p>
          <w:p>
            <w:pPr>
              <w:pStyle w:val="55"/>
              <w:rPr>
                <w:rFonts w:ascii="宋体" w:hAnsi="宋体"/>
                <w:color w:val="auto"/>
                <w:highlight w:val="none"/>
              </w:rPr>
            </w:pPr>
            <w:r>
              <w:rPr>
                <w:rFonts w:hint="eastAsia" w:ascii="宋体" w:hAnsi="宋体"/>
                <w:color w:val="auto"/>
                <w:highlight w:val="none"/>
              </w:rPr>
              <w:t>本项目开挖土层考虑主要以淤泥为主（含少量疏浚物），结合30万吨级油码头工程施工图设计，本项目通道两侧</w:t>
            </w:r>
            <w:r>
              <w:rPr>
                <w:color w:val="auto"/>
                <w:highlight w:val="none"/>
              </w:rPr>
              <w:t>边坡设计取1</w:t>
            </w:r>
            <w:r>
              <w:rPr>
                <w:rFonts w:hAnsi="Times New Roman"/>
                <w:color w:val="auto"/>
                <w:highlight w:val="none"/>
              </w:rPr>
              <w:t>:</w:t>
            </w:r>
            <w:r>
              <w:rPr>
                <w:rFonts w:hint="eastAsia"/>
                <w:color w:val="auto"/>
                <w:highlight w:val="none"/>
              </w:rPr>
              <w:t>5</w:t>
            </w:r>
            <w:r>
              <w:rPr>
                <w:color w:val="auto"/>
                <w:highlight w:val="none"/>
              </w:rPr>
              <w:t>，</w:t>
            </w:r>
            <w:r>
              <w:rPr>
                <w:rFonts w:hint="eastAsia"/>
                <w:color w:val="auto"/>
                <w:highlight w:val="none"/>
              </w:rPr>
              <w:t>通道底标高-</w:t>
            </w:r>
            <w:r>
              <w:rPr>
                <w:rFonts w:hint="eastAsia" w:hAnsi="Times New Roman"/>
                <w:color w:val="auto"/>
                <w:highlight w:val="none"/>
              </w:rPr>
              <w:t>5.60m，</w:t>
            </w:r>
            <w:r>
              <w:rPr>
                <w:color w:val="auto"/>
                <w:highlight w:val="none"/>
              </w:rPr>
              <w:t>边坡</w:t>
            </w:r>
            <w:r>
              <w:rPr>
                <w:rFonts w:hint="eastAsia"/>
                <w:color w:val="auto"/>
                <w:highlight w:val="none"/>
              </w:rPr>
              <w:t>设置合理，</w:t>
            </w:r>
            <w:r>
              <w:rPr>
                <w:color w:val="auto"/>
                <w:highlight w:val="none"/>
              </w:rPr>
              <w:t>不会滑坡及崩塌。</w:t>
            </w:r>
          </w:p>
          <w:p>
            <w:pPr>
              <w:pStyle w:val="55"/>
              <w:rPr>
                <w:color w:val="auto"/>
                <w:highlight w:val="none"/>
              </w:rPr>
            </w:pPr>
            <w:r>
              <w:rPr>
                <w:rFonts w:hint="eastAsia"/>
                <w:color w:val="auto"/>
                <w:szCs w:val="21"/>
                <w:highlight w:val="none"/>
              </w:rPr>
              <w:t>综上，项目航道走向、宽度、边坡设计合理，用海平面布置合理。</w:t>
            </w:r>
          </w:p>
          <w:p>
            <w:pPr>
              <w:pStyle w:val="55"/>
              <w:ind w:firstLine="34"/>
              <w:outlineLvl w:val="0"/>
              <w:rPr>
                <w:b/>
                <w:color w:val="auto"/>
                <w:highlight w:val="none"/>
              </w:rPr>
            </w:pPr>
            <w:r>
              <w:rPr>
                <w:rFonts w:hint="eastAsia"/>
                <w:b/>
                <w:color w:val="auto"/>
                <w:highlight w:val="none"/>
              </w:rPr>
              <w:t>6.3 项目用海方式的合理性</w:t>
            </w:r>
          </w:p>
          <w:p>
            <w:pPr>
              <w:pStyle w:val="55"/>
              <w:rPr>
                <w:color w:val="auto"/>
                <w:highlight w:val="none"/>
              </w:rPr>
            </w:pPr>
            <w:r>
              <w:rPr>
                <w:rFonts w:hint="eastAsia"/>
                <w:color w:val="auto"/>
                <w:highlight w:val="none"/>
              </w:rPr>
              <w:t>本项目建设拖轮临时应急通道，不开展围海填海，不设置围栏、平台等海上构筑物，不改变海域自然属性。根据</w:t>
            </w:r>
            <w:r>
              <w:rPr>
                <w:color w:val="auto"/>
                <w:highlight w:val="none"/>
              </w:rPr>
              <w:t>《海域使用分类》（HY/T123-2009），项目用海方式</w:t>
            </w:r>
            <w:r>
              <w:rPr>
                <w:rFonts w:hint="eastAsia"/>
                <w:color w:val="auto"/>
                <w:highlight w:val="none"/>
              </w:rPr>
              <w:t>界定</w:t>
            </w:r>
            <w:r>
              <w:rPr>
                <w:color w:val="auto"/>
                <w:highlight w:val="none"/>
              </w:rPr>
              <w:t>为</w:t>
            </w:r>
            <w:r>
              <w:rPr>
                <w:rFonts w:hint="eastAsia" w:ascii="宋体" w:hAnsi="宋体" w:cs="宋体"/>
                <w:color w:val="auto"/>
                <w:highlight w:val="none"/>
              </w:rPr>
              <w:t>“开放式”（一级方式）中的“专用航道、锚地及其他开放式”（二级方式）；</w:t>
            </w:r>
            <w:r>
              <w:rPr>
                <w:rFonts w:hint="eastAsia"/>
                <w:color w:val="auto"/>
                <w:highlight w:val="none"/>
              </w:rPr>
              <w:t>根据《</w:t>
            </w:r>
            <w:r>
              <w:rPr>
                <w:color w:val="auto"/>
                <w:highlight w:val="none"/>
              </w:rPr>
              <w:t>财政部国家海洋局印发</w:t>
            </w:r>
            <w:r>
              <w:rPr>
                <w:rFonts w:hint="eastAsia"/>
                <w:color w:val="auto"/>
                <w:highlight w:val="none"/>
              </w:rPr>
              <w:t>&lt;</w:t>
            </w:r>
            <w:r>
              <w:rPr>
                <w:color w:val="auto"/>
                <w:highlight w:val="none"/>
              </w:rPr>
              <w:t>关于调整海域无居民海岛使用金征收标准</w:t>
            </w:r>
            <w:r>
              <w:rPr>
                <w:rFonts w:hint="eastAsia"/>
                <w:color w:val="auto"/>
                <w:highlight w:val="none"/>
              </w:rPr>
              <w:t>&gt;</w:t>
            </w:r>
            <w:r>
              <w:rPr>
                <w:color w:val="auto"/>
                <w:highlight w:val="none"/>
              </w:rPr>
              <w:t>的通知</w:t>
            </w:r>
            <w:r>
              <w:rPr>
                <w:rFonts w:hint="eastAsia"/>
                <w:color w:val="auto"/>
                <w:highlight w:val="none"/>
              </w:rPr>
              <w:t>》</w:t>
            </w:r>
            <w:r>
              <w:rPr>
                <w:color w:val="auto"/>
                <w:highlight w:val="none"/>
              </w:rPr>
              <w:t>（财综〔2018〕15号），</w:t>
            </w:r>
            <w:r>
              <w:rPr>
                <w:rFonts w:hint="eastAsia" w:ascii="宋体" w:hAnsi="宋体" w:cs="宋体"/>
                <w:color w:val="auto"/>
                <w:highlight w:val="none"/>
              </w:rPr>
              <w:t>开放式用海界定为：不进行填海造地、围海或设置构筑物，直接利用海域进行开发活动的用海。本项目通道不属于港口规划中的专用航道，不用于船舶锚泊，仅为满足连接航道之间的拖轮临时应急通航需要的直接利用开放式水域，因此，</w:t>
            </w:r>
            <w:r>
              <w:rPr>
                <w:color w:val="auto"/>
                <w:highlight w:val="none"/>
              </w:rPr>
              <w:t>项目用海方式</w:t>
            </w:r>
            <w:r>
              <w:rPr>
                <w:rFonts w:hint="eastAsia"/>
                <w:color w:val="auto"/>
                <w:highlight w:val="none"/>
              </w:rPr>
              <w:t>依据</w:t>
            </w:r>
            <w:r>
              <w:rPr>
                <w:color w:val="auto"/>
                <w:highlight w:val="none"/>
              </w:rPr>
              <w:t>财综〔2018〕15号</w:t>
            </w:r>
            <w:r>
              <w:rPr>
                <w:rFonts w:hint="eastAsia"/>
                <w:color w:val="auto"/>
                <w:highlight w:val="none"/>
              </w:rPr>
              <w:t>界定</w:t>
            </w:r>
            <w:r>
              <w:rPr>
                <w:color w:val="auto"/>
                <w:highlight w:val="none"/>
              </w:rPr>
              <w:t>为</w:t>
            </w:r>
            <w:r>
              <w:rPr>
                <w:rFonts w:hint="eastAsia" w:ascii="宋体" w:hAnsi="宋体" w:cs="宋体"/>
                <w:color w:val="auto"/>
                <w:highlight w:val="none"/>
              </w:rPr>
              <w:t>“开放式用海”中的“其他开放式用海”，</w:t>
            </w:r>
            <w:r>
              <w:rPr>
                <w:rFonts w:hint="eastAsia"/>
                <w:color w:val="auto"/>
                <w:highlight w:val="none"/>
              </w:rPr>
              <w:t>用海方式界定合理。</w:t>
            </w:r>
          </w:p>
          <w:p>
            <w:pPr>
              <w:pStyle w:val="55"/>
              <w:rPr>
                <w:rFonts w:hAnsi="宋体"/>
                <w:color w:val="auto"/>
                <w:highlight w:val="none"/>
              </w:rPr>
            </w:pPr>
            <w:r>
              <w:rPr>
                <w:rFonts w:hint="eastAsia"/>
                <w:color w:val="auto"/>
                <w:highlight w:val="none"/>
              </w:rPr>
              <w:t>项目采用</w:t>
            </w:r>
            <w:r>
              <w:rPr>
                <w:rFonts w:hint="eastAsia" w:ascii="宋体" w:hAnsi="宋体" w:cs="宋体"/>
                <w:color w:val="auto"/>
                <w:highlight w:val="none"/>
              </w:rPr>
              <w:t>开放式用海方式，</w:t>
            </w:r>
            <w:r>
              <w:rPr>
                <w:rFonts w:hint="eastAsia"/>
                <w:color w:val="auto"/>
                <w:highlight w:val="none"/>
              </w:rPr>
              <w:t>不改变海域自然属性，对</w:t>
            </w:r>
            <w:r>
              <w:rPr>
                <w:rFonts w:hint="eastAsia" w:hAnsi="宋体"/>
                <w:color w:val="auto"/>
                <w:highlight w:val="none"/>
              </w:rPr>
              <w:t>水文动力环境、冲淤环境影响较小，</w:t>
            </w:r>
            <w:r>
              <w:rPr>
                <w:rFonts w:hint="eastAsia"/>
                <w:color w:val="auto"/>
                <w:highlight w:val="none"/>
              </w:rPr>
              <w:t>对海洋生态环境影响较小，不影响周边港口航运、农渔业建设用海需要，有利于钦州港海域自然资源的合理开发利用。</w:t>
            </w:r>
          </w:p>
          <w:p>
            <w:pPr>
              <w:pStyle w:val="55"/>
              <w:rPr>
                <w:color w:val="auto"/>
                <w:highlight w:val="none"/>
              </w:rPr>
            </w:pPr>
            <w:r>
              <w:rPr>
                <w:rFonts w:hint="eastAsia"/>
                <w:color w:val="auto"/>
                <w:highlight w:val="none"/>
              </w:rPr>
              <w:t>因此，项目用海方式是合理的。</w:t>
            </w:r>
          </w:p>
          <w:p>
            <w:pPr>
              <w:pStyle w:val="55"/>
              <w:ind w:firstLine="0"/>
              <w:outlineLvl w:val="0"/>
              <w:rPr>
                <w:b/>
                <w:color w:val="auto"/>
                <w:highlight w:val="none"/>
              </w:rPr>
            </w:pPr>
            <w:r>
              <w:rPr>
                <w:rFonts w:hint="eastAsia"/>
                <w:b/>
                <w:color w:val="auto"/>
                <w:highlight w:val="none"/>
              </w:rPr>
              <w:t>6.4 项目用海面积的合理性</w:t>
            </w:r>
          </w:p>
          <w:p>
            <w:pPr>
              <w:pStyle w:val="54"/>
              <w:rPr>
                <w:color w:val="auto"/>
                <w:highlight w:val="none"/>
              </w:rPr>
            </w:pPr>
            <w:r>
              <w:rPr>
                <w:rFonts w:hint="eastAsia"/>
                <w:color w:val="auto"/>
                <w:highlight w:val="none"/>
              </w:rPr>
              <w:t>（1）用海面积与实际需求分析</w:t>
            </w:r>
          </w:p>
          <w:p>
            <w:pPr>
              <w:pStyle w:val="57"/>
              <w:rPr>
                <w:color w:val="auto"/>
                <w:highlight w:val="none"/>
              </w:rPr>
            </w:pPr>
            <w:r>
              <w:rPr>
                <w:rFonts w:hint="eastAsia" w:hAnsi="宋体"/>
                <w:color w:val="auto"/>
                <w:highlight w:val="none"/>
              </w:rPr>
              <w:t>本项目为市场化海域使用权出让用海，拟市场化出让用海面积27.1569hm</w:t>
            </w:r>
            <w:r>
              <w:rPr>
                <w:rFonts w:hint="eastAsia" w:hAnsi="宋体"/>
                <w:color w:val="auto"/>
                <w:highlight w:val="none"/>
                <w:vertAlign w:val="superscript"/>
              </w:rPr>
              <w:t>2</w:t>
            </w:r>
            <w:r>
              <w:rPr>
                <w:rFonts w:hint="eastAsia" w:hAnsi="宋体"/>
                <w:color w:val="auto"/>
                <w:highlight w:val="none"/>
              </w:rPr>
              <w:t>。</w:t>
            </w:r>
            <w:r>
              <w:rPr>
                <w:color w:val="auto"/>
                <w:highlight w:val="none"/>
              </w:rPr>
              <w:t>根据《海籍调查规范》</w:t>
            </w:r>
            <w:r>
              <w:rPr>
                <w:rFonts w:hint="eastAsia"/>
                <w:color w:val="auto"/>
                <w:highlight w:val="none"/>
              </w:rPr>
              <w:t>，项目临时通道不设置保护范围，</w:t>
            </w:r>
            <w:r>
              <w:rPr>
                <w:color w:val="auto"/>
                <w:highlight w:val="none"/>
              </w:rPr>
              <w:t>应以实际设计使用的范围为界。</w:t>
            </w:r>
            <w:r>
              <w:rPr>
                <w:rFonts w:hint="eastAsia"/>
                <w:color w:val="auto"/>
                <w:highlight w:val="none"/>
              </w:rPr>
              <w:t>本项目以拖轮公司最大吃水拖轮新北部湾港22号拖轮作为参考设计船型，根据该设计船型长37.5m、宽：11.0m、型深5.1m以及设计吃水4.1m进行单向通道尺度设计，结合</w:t>
            </w:r>
            <w:r>
              <w:rPr>
                <w:color w:val="auto"/>
                <w:highlight w:val="none"/>
              </w:rPr>
              <w:t>《海港总体设计规范》（JTS 165-2013）</w:t>
            </w:r>
            <w:r>
              <w:rPr>
                <w:rFonts w:hint="eastAsia"/>
                <w:color w:val="auto"/>
                <w:highlight w:val="none"/>
              </w:rPr>
              <w:t>，项目</w:t>
            </w:r>
            <w:r>
              <w:rPr>
                <w:rFonts w:hint="eastAsia"/>
                <w:color w:val="auto"/>
                <w:highlight w:val="none"/>
                <w:lang w:val="zh-CN"/>
              </w:rPr>
              <w:t>拖轮应急通道宽度4</w:t>
            </w:r>
            <w:r>
              <w:rPr>
                <w:rFonts w:hint="eastAsia"/>
                <w:color w:val="auto"/>
                <w:highlight w:val="none"/>
              </w:rPr>
              <w:t>6</w:t>
            </w:r>
            <w:r>
              <w:rPr>
                <w:rFonts w:hint="eastAsia"/>
                <w:color w:val="auto"/>
                <w:highlight w:val="none"/>
                <w:lang w:val="zh-CN"/>
              </w:rPr>
              <w:t>m，</w:t>
            </w:r>
            <w:r>
              <w:rPr>
                <w:rFonts w:hint="eastAsia"/>
                <w:color w:val="auto"/>
                <w:highlight w:val="none"/>
              </w:rPr>
              <w:t>可以满足拖轮安全通航需要。项目选址位置以及平面布置确定了通道的具体走向布置，也就确定了通道的设计长度，本项目</w:t>
            </w:r>
            <w:r>
              <w:rPr>
                <w:rFonts w:hint="eastAsia"/>
                <w:color w:val="auto"/>
                <w:highlight w:val="none"/>
                <w:lang w:val="zh-CN"/>
              </w:rPr>
              <w:t>通道</w:t>
            </w:r>
            <w:r>
              <w:rPr>
                <w:rFonts w:hint="eastAsia"/>
                <w:color w:val="auto"/>
                <w:highlight w:val="none"/>
              </w:rPr>
              <w:t>总</w:t>
            </w:r>
            <w:r>
              <w:rPr>
                <w:rFonts w:hint="eastAsia"/>
                <w:color w:val="auto"/>
                <w:highlight w:val="none"/>
                <w:lang w:val="zh-CN"/>
              </w:rPr>
              <w:t>长度</w:t>
            </w:r>
            <w:r>
              <w:rPr>
                <w:rFonts w:hint="eastAsia"/>
                <w:color w:val="auto"/>
                <w:highlight w:val="none"/>
              </w:rPr>
              <w:t>3.082</w:t>
            </w:r>
            <w:r>
              <w:rPr>
                <w:rFonts w:hint="eastAsia" w:eastAsiaTheme="majorEastAsia"/>
                <w:color w:val="auto"/>
                <w:highlight w:val="none"/>
              </w:rPr>
              <w:t>k</w:t>
            </w:r>
            <w:r>
              <w:rPr>
                <w:rFonts w:eastAsiaTheme="majorEastAsia"/>
                <w:color w:val="auto"/>
                <w:highlight w:val="none"/>
              </w:rPr>
              <w:t>m</w:t>
            </w:r>
            <w:r>
              <w:rPr>
                <w:rFonts w:hint="eastAsia"/>
                <w:color w:val="auto"/>
                <w:highlight w:val="none"/>
                <w:lang w:val="zh-CN"/>
              </w:rPr>
              <w:t>。</w:t>
            </w:r>
            <w:r>
              <w:rPr>
                <w:rFonts w:hint="eastAsia"/>
                <w:color w:val="auto"/>
                <w:highlight w:val="none"/>
              </w:rPr>
              <w:t>根据通道长度、宽度以及连接处扩宽，确定得到项目</w:t>
            </w:r>
            <w:r>
              <w:rPr>
                <w:rFonts w:hint="eastAsia" w:hAnsi="宋体"/>
                <w:color w:val="auto"/>
                <w:highlight w:val="none"/>
              </w:rPr>
              <w:t>用海面积27.1569hm</w:t>
            </w:r>
            <w:r>
              <w:rPr>
                <w:rFonts w:hint="eastAsia" w:hAnsi="宋体"/>
                <w:color w:val="auto"/>
                <w:highlight w:val="none"/>
                <w:vertAlign w:val="superscript"/>
              </w:rPr>
              <w:t>2</w:t>
            </w:r>
            <w:r>
              <w:rPr>
                <w:rFonts w:hint="eastAsia" w:hAnsi="宋体"/>
                <w:color w:val="auto"/>
                <w:highlight w:val="none"/>
              </w:rPr>
              <w:t>，可以保证项目建设拖轮临时应急通道的需要，单项通道以及合理边坡比例也</w:t>
            </w:r>
            <w:r>
              <w:rPr>
                <w:color w:val="auto"/>
                <w:highlight w:val="none"/>
              </w:rPr>
              <w:t>体</w:t>
            </w:r>
            <w:r>
              <w:rPr>
                <w:rFonts w:hint="eastAsia" w:ascii="宋体" w:hAnsi="宋体" w:cs="宋体"/>
                <w:color w:val="auto"/>
                <w:highlight w:val="none"/>
              </w:rPr>
              <w:t>现“集约、节约用海”的</w:t>
            </w:r>
            <w:r>
              <w:rPr>
                <w:color w:val="auto"/>
                <w:highlight w:val="none"/>
              </w:rPr>
              <w:t>原则，</w:t>
            </w:r>
            <w:r>
              <w:rPr>
                <w:rFonts w:hint="eastAsia"/>
                <w:color w:val="auto"/>
                <w:highlight w:val="none"/>
              </w:rPr>
              <w:t>项目海域使用出让面积</w:t>
            </w:r>
            <w:r>
              <w:rPr>
                <w:color w:val="auto"/>
                <w:highlight w:val="none"/>
              </w:rPr>
              <w:t>是合理的</w:t>
            </w:r>
            <w:r>
              <w:rPr>
                <w:rFonts w:hint="eastAsia"/>
                <w:color w:val="auto"/>
                <w:highlight w:val="none"/>
              </w:rPr>
              <w:t>。</w:t>
            </w:r>
          </w:p>
          <w:p>
            <w:pPr>
              <w:pStyle w:val="57"/>
              <w:ind w:firstLine="422" w:firstLineChars="175"/>
              <w:rPr>
                <w:rFonts w:ascii="宋体" w:hAnsi="宋体"/>
                <w:b/>
                <w:color w:val="auto"/>
                <w:highlight w:val="none"/>
              </w:rPr>
            </w:pPr>
            <w:r>
              <w:rPr>
                <w:rFonts w:hint="eastAsia" w:ascii="宋体" w:hAnsi="宋体"/>
                <w:b/>
                <w:color w:val="auto"/>
                <w:highlight w:val="none"/>
              </w:rPr>
              <w:t>（2）用海界址点和面积量算的规范性</w:t>
            </w:r>
          </w:p>
          <w:p>
            <w:pPr>
              <w:spacing w:line="500" w:lineRule="exact"/>
              <w:ind w:firstLine="480" w:firstLineChars="200"/>
              <w:rPr>
                <w:rFonts w:ascii="Times New Roman" w:hAnsi="宋体"/>
                <w:color w:val="auto"/>
                <w:sz w:val="24"/>
                <w:szCs w:val="24"/>
                <w:highlight w:val="none"/>
              </w:rPr>
            </w:pPr>
            <w:r>
              <w:rPr>
                <w:rFonts w:hint="eastAsia" w:ascii="Times New Roman" w:hAnsi="宋体"/>
                <w:color w:val="auto"/>
                <w:sz w:val="24"/>
                <w:szCs w:val="24"/>
                <w:highlight w:val="none"/>
              </w:rPr>
              <w:t>本项目宗海图由南宁市天诺科技有限责任公司绘制，该公司的测绘资质证书为：乙测资字45504188。</w:t>
            </w:r>
          </w:p>
          <w:p>
            <w:pPr>
              <w:spacing w:line="500" w:lineRule="exact"/>
              <w:ind w:firstLine="480" w:firstLineChars="200"/>
              <w:rPr>
                <w:rFonts w:ascii="Times New Roman" w:hAnsi="宋体"/>
                <w:color w:val="auto"/>
                <w:sz w:val="24"/>
                <w:szCs w:val="24"/>
                <w:highlight w:val="none"/>
              </w:rPr>
            </w:pPr>
            <w:r>
              <w:rPr>
                <w:rFonts w:hint="eastAsia" w:ascii="Times New Roman" w:hAnsi="宋体"/>
                <w:color w:val="auto"/>
                <w:sz w:val="24"/>
                <w:szCs w:val="24"/>
                <w:highlight w:val="none"/>
              </w:rPr>
              <w:t>根据项目《海域使用勘测定界技术报告书》，宗海界址点勘测方法为：测量仪器采用中海达V30型GPS接收机，起算控制点是北部湾CORS站；根据海域使用权出让规划，按必要的勘测程序用定位法施测，项目共勘测确定界址点21个；宗海图按《海籍调查规范》及《海域使用面积测量规范》要求绘制，坐标系为CGCS2000，采用高斯—克吕格投影，中央经线108度30分；界址点测量数据经计算机处理，采用解析方法量</w:t>
            </w:r>
            <w:r>
              <w:rPr>
                <w:rFonts w:ascii="Times New Roman" w:hAnsi="宋体"/>
                <w:color w:val="auto"/>
                <w:sz w:val="24"/>
                <w:szCs w:val="24"/>
                <w:highlight w:val="none"/>
              </w:rPr>
              <w:t>算面积为27.156</w:t>
            </w:r>
            <w:r>
              <w:rPr>
                <w:rFonts w:ascii="Times New Roman" w:hAnsi="Times New Roman"/>
                <w:color w:val="auto"/>
                <w:sz w:val="24"/>
                <w:szCs w:val="24"/>
                <w:highlight w:val="none"/>
              </w:rPr>
              <w:t>9hm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w:t>
            </w:r>
          </w:p>
          <w:p>
            <w:pPr>
              <w:pStyle w:val="55"/>
              <w:jc w:val="both"/>
              <w:rPr>
                <w:color w:val="auto"/>
                <w:highlight w:val="none"/>
              </w:rPr>
            </w:pPr>
            <w:r>
              <w:rPr>
                <w:rFonts w:hint="eastAsia" w:hAnsi="宋体"/>
                <w:color w:val="auto"/>
                <w:highlight w:val="none"/>
              </w:rPr>
              <w:t>综上所述，本项目申请用海面积27.1569hm</w:t>
            </w:r>
            <w:r>
              <w:rPr>
                <w:rFonts w:hint="eastAsia" w:hAnsi="宋体"/>
                <w:color w:val="auto"/>
                <w:highlight w:val="none"/>
                <w:vertAlign w:val="superscript"/>
              </w:rPr>
              <w:t>2</w:t>
            </w:r>
            <w:r>
              <w:rPr>
                <w:rFonts w:hint="eastAsia" w:hAnsi="宋体"/>
                <w:color w:val="auto"/>
                <w:highlight w:val="none"/>
              </w:rPr>
              <w:t>，</w:t>
            </w:r>
            <w:r>
              <w:rPr>
                <w:color w:val="auto"/>
                <w:highlight w:val="none"/>
              </w:rPr>
              <w:t>满足本</w:t>
            </w:r>
            <w:r>
              <w:rPr>
                <w:rFonts w:hint="eastAsia"/>
                <w:color w:val="auto"/>
                <w:highlight w:val="none"/>
              </w:rPr>
              <w:t>项目</w:t>
            </w:r>
            <w:r>
              <w:rPr>
                <w:color w:val="auto"/>
                <w:highlight w:val="none"/>
              </w:rPr>
              <w:t>平面布置要求</w:t>
            </w:r>
            <w:r>
              <w:rPr>
                <w:rFonts w:hint="eastAsia"/>
                <w:color w:val="auto"/>
                <w:highlight w:val="none"/>
              </w:rPr>
              <w:t>，</w:t>
            </w:r>
            <w:r>
              <w:rPr>
                <w:color w:val="auto"/>
                <w:highlight w:val="none"/>
              </w:rPr>
              <w:t>界址点的选择及面积的量算符合《海籍调查</w:t>
            </w:r>
            <w:r>
              <w:rPr>
                <w:rFonts w:hint="eastAsia"/>
                <w:color w:val="auto"/>
                <w:highlight w:val="none"/>
              </w:rPr>
              <w:t>规范</w:t>
            </w:r>
            <w:r>
              <w:rPr>
                <w:color w:val="auto"/>
                <w:highlight w:val="none"/>
              </w:rPr>
              <w:t>》</w:t>
            </w:r>
            <w:r>
              <w:rPr>
                <w:rFonts w:hint="eastAsia"/>
                <w:color w:val="auto"/>
                <w:kern w:val="0"/>
                <w:highlight w:val="none"/>
              </w:rPr>
              <w:t>（</w:t>
            </w:r>
            <w:r>
              <w:rPr>
                <w:color w:val="auto"/>
                <w:kern w:val="0"/>
                <w:highlight w:val="none"/>
              </w:rPr>
              <w:t>HY/T 124-2009</w:t>
            </w:r>
            <w:r>
              <w:rPr>
                <w:rFonts w:hint="eastAsia"/>
                <w:color w:val="auto"/>
                <w:kern w:val="0"/>
                <w:highlight w:val="none"/>
              </w:rPr>
              <w:t>）、</w:t>
            </w:r>
            <w:r>
              <w:rPr>
                <w:color w:val="auto"/>
                <w:kern w:val="0"/>
                <w:highlight w:val="none"/>
              </w:rPr>
              <w:t>《海域使用面积测量规范》</w:t>
            </w:r>
            <w:r>
              <w:rPr>
                <w:rFonts w:hint="eastAsia"/>
                <w:color w:val="auto"/>
                <w:kern w:val="0"/>
                <w:highlight w:val="none"/>
              </w:rPr>
              <w:t>（</w:t>
            </w:r>
            <w:r>
              <w:rPr>
                <w:color w:val="auto"/>
                <w:kern w:val="0"/>
                <w:highlight w:val="none"/>
              </w:rPr>
              <w:t>HY070-2003</w:t>
            </w:r>
            <w:r>
              <w:rPr>
                <w:rFonts w:hint="eastAsia"/>
                <w:color w:val="auto"/>
                <w:kern w:val="0"/>
                <w:highlight w:val="none"/>
              </w:rPr>
              <w:t>）</w:t>
            </w:r>
            <w:r>
              <w:rPr>
                <w:color w:val="auto"/>
                <w:highlight w:val="none"/>
              </w:rPr>
              <w:t>和《</w:t>
            </w:r>
            <w:r>
              <w:rPr>
                <w:rFonts w:hint="eastAsia"/>
                <w:color w:val="auto"/>
                <w:highlight w:val="none"/>
              </w:rPr>
              <w:t>宗海图编绘技术规范</w:t>
            </w:r>
            <w:r>
              <w:rPr>
                <w:color w:val="auto"/>
                <w:highlight w:val="none"/>
              </w:rPr>
              <w:t>》</w:t>
            </w:r>
            <w:r>
              <w:rPr>
                <w:rFonts w:hint="eastAsia"/>
                <w:color w:val="auto"/>
                <w:highlight w:val="none"/>
              </w:rPr>
              <w:t>（</w:t>
            </w:r>
            <w:r>
              <w:rPr>
                <w:color w:val="auto"/>
                <w:kern w:val="0"/>
                <w:highlight w:val="none"/>
              </w:rPr>
              <w:t>HY/T251</w:t>
            </w:r>
            <w:r>
              <w:rPr>
                <w:rFonts w:hint="eastAsia"/>
                <w:color w:val="auto"/>
                <w:kern w:val="0"/>
                <w:highlight w:val="none"/>
              </w:rPr>
              <w:t>-</w:t>
            </w:r>
            <w:r>
              <w:rPr>
                <w:color w:val="auto"/>
                <w:kern w:val="0"/>
                <w:highlight w:val="none"/>
              </w:rPr>
              <w:t>2018</w:t>
            </w:r>
            <w:r>
              <w:rPr>
                <w:rFonts w:hint="eastAsia"/>
                <w:color w:val="auto"/>
                <w:highlight w:val="none"/>
              </w:rPr>
              <w:t>）</w:t>
            </w:r>
            <w:r>
              <w:rPr>
                <w:color w:val="auto"/>
                <w:highlight w:val="none"/>
              </w:rPr>
              <w:t>。项目用海面积合理。</w:t>
            </w:r>
          </w:p>
          <w:p>
            <w:pPr>
              <w:pStyle w:val="55"/>
              <w:ind w:firstLine="0"/>
              <w:jc w:val="both"/>
              <w:outlineLvl w:val="0"/>
              <w:rPr>
                <w:b/>
                <w:color w:val="auto"/>
                <w:highlight w:val="none"/>
              </w:rPr>
            </w:pPr>
            <w:r>
              <w:rPr>
                <w:rFonts w:hint="eastAsia"/>
                <w:b/>
                <w:color w:val="auto"/>
                <w:highlight w:val="none"/>
              </w:rPr>
              <w:t>6.5 项目用海期限的合理性</w:t>
            </w:r>
          </w:p>
          <w:p>
            <w:pPr>
              <w:pStyle w:val="55"/>
              <w:jc w:val="both"/>
              <w:rPr>
                <w:color w:val="auto"/>
                <w:highlight w:val="none"/>
              </w:rPr>
            </w:pPr>
            <w:r>
              <w:rPr>
                <w:color w:val="auto"/>
                <w:highlight w:val="none"/>
              </w:rPr>
              <w:t>本项目用海</w:t>
            </w:r>
            <w:r>
              <w:rPr>
                <w:rFonts w:hint="eastAsia"/>
                <w:color w:val="auto"/>
                <w:highlight w:val="none"/>
              </w:rPr>
              <w:t>出让</w:t>
            </w:r>
            <w:r>
              <w:rPr>
                <w:color w:val="auto"/>
                <w:highlight w:val="none"/>
              </w:rPr>
              <w:t>期限为</w:t>
            </w:r>
            <w:r>
              <w:rPr>
                <w:rFonts w:hint="eastAsia"/>
                <w:color w:val="auto"/>
                <w:highlight w:val="none"/>
              </w:rPr>
              <w:t>五</w:t>
            </w:r>
            <w:r>
              <w:rPr>
                <w:color w:val="auto"/>
                <w:highlight w:val="none"/>
              </w:rPr>
              <w:t>年，符合</w:t>
            </w:r>
            <w:r>
              <w:rPr>
                <w:rFonts w:hint="eastAsia"/>
                <w:color w:val="auto"/>
                <w:highlight w:val="none"/>
              </w:rPr>
              <w:t>项目投资运营临时应急通道的</w:t>
            </w:r>
            <w:r>
              <w:rPr>
                <w:color w:val="auto"/>
                <w:highlight w:val="none"/>
              </w:rPr>
              <w:t>实际需要</w:t>
            </w:r>
            <w:r>
              <w:rPr>
                <w:rFonts w:hint="eastAsia"/>
                <w:color w:val="auto"/>
                <w:highlight w:val="none"/>
              </w:rPr>
              <w:t>，符合</w:t>
            </w:r>
            <w:r>
              <w:rPr>
                <w:rFonts w:hint="eastAsia" w:ascii="宋体" w:hAnsi="宋体" w:cs="宋体"/>
                <w:color w:val="auto"/>
                <w:highlight w:val="none"/>
              </w:rPr>
              <w:t>钦州港30万吨级油码头</w:t>
            </w:r>
            <w:r>
              <w:rPr>
                <w:rFonts w:hint="eastAsia"/>
                <w:color w:val="auto"/>
                <w:highlight w:val="none"/>
              </w:rPr>
              <w:t>的拖轮使用基本要求，并考虑到该区域中远期规划的港口码头建设用海需求。</w:t>
            </w:r>
          </w:p>
          <w:p>
            <w:pPr>
              <w:pStyle w:val="55"/>
              <w:jc w:val="both"/>
              <w:rPr>
                <w:color w:val="auto"/>
                <w:highlight w:val="none"/>
              </w:rPr>
            </w:pPr>
            <w:r>
              <w:rPr>
                <w:color w:val="auto"/>
                <w:highlight w:val="none"/>
              </w:rPr>
              <w:t>根据《中华人民共和国海域使用管理法》第二十五条的规定，</w:t>
            </w:r>
            <w:r>
              <w:rPr>
                <w:rFonts w:hint="eastAsia"/>
                <w:color w:val="auto"/>
                <w:highlight w:val="none"/>
              </w:rPr>
              <w:t>港口、修造船厂等建设工程</w:t>
            </w:r>
            <w:r>
              <w:rPr>
                <w:color w:val="auto"/>
                <w:highlight w:val="none"/>
              </w:rPr>
              <w:t>用海</w:t>
            </w:r>
            <w:r>
              <w:rPr>
                <w:rFonts w:hint="eastAsia"/>
                <w:color w:val="auto"/>
                <w:highlight w:val="none"/>
              </w:rPr>
              <w:t>的海域使用权</w:t>
            </w:r>
            <w:r>
              <w:rPr>
                <w:color w:val="auto"/>
                <w:highlight w:val="none"/>
              </w:rPr>
              <w:t>最高期限为</w:t>
            </w:r>
            <w:r>
              <w:rPr>
                <w:rFonts w:hint="eastAsia"/>
                <w:color w:val="auto"/>
                <w:highlight w:val="none"/>
              </w:rPr>
              <w:t>五十</w:t>
            </w:r>
            <w:r>
              <w:rPr>
                <w:color w:val="auto"/>
                <w:highlight w:val="none"/>
              </w:rPr>
              <w:t>年。</w:t>
            </w:r>
            <w:r>
              <w:rPr>
                <w:rStyle w:val="26"/>
                <w:rFonts w:hint="eastAsia" w:hAnsi="宋体" w:eastAsia="宋体"/>
                <w:bCs w:val="0"/>
                <w:color w:val="auto"/>
                <w:sz w:val="24"/>
                <w:highlight w:val="none"/>
              </w:rPr>
              <w:t>《广西壮族自治区海域使用管理条例》</w:t>
            </w:r>
            <w:r>
              <w:rPr>
                <w:rFonts w:hint="eastAsia" w:ascii="宋体" w:hAnsi="宋体" w:cs="宋体"/>
                <w:color w:val="auto"/>
                <w:kern w:val="0"/>
                <w:highlight w:val="none"/>
              </w:rPr>
              <w:t>第二十四条</w:t>
            </w:r>
            <w:r>
              <w:rPr>
                <w:rFonts w:hint="eastAsia" w:ascii="Calibri" w:cs="宋体"/>
                <w:color w:val="auto"/>
                <w:kern w:val="0"/>
                <w:highlight w:val="none"/>
              </w:rPr>
              <w:t>规定，</w:t>
            </w:r>
            <w:r>
              <w:rPr>
                <w:rFonts w:hint="eastAsia" w:ascii="宋体" w:hAnsi="宋体" w:cs="宋体"/>
                <w:color w:val="auto"/>
                <w:kern w:val="0"/>
                <w:highlight w:val="none"/>
              </w:rPr>
              <w:t>海域使用权期限不得超过《中华人民共和国海域使用管理法》规定的最高期限。</w:t>
            </w:r>
            <w:r>
              <w:rPr>
                <w:color w:val="auto"/>
                <w:highlight w:val="none"/>
              </w:rPr>
              <w:t>本项目</w:t>
            </w:r>
            <w:r>
              <w:rPr>
                <w:rFonts w:hint="eastAsia"/>
                <w:color w:val="auto"/>
                <w:highlight w:val="none"/>
              </w:rPr>
              <w:t>建设临时通道其他开放式用海，属于港口类建设工程，项目海域使用权出让</w:t>
            </w:r>
            <w:r>
              <w:rPr>
                <w:color w:val="auto"/>
                <w:highlight w:val="none"/>
              </w:rPr>
              <w:t>期限</w:t>
            </w:r>
            <w:r>
              <w:rPr>
                <w:rFonts w:hint="eastAsia"/>
                <w:color w:val="auto"/>
                <w:highlight w:val="none"/>
              </w:rPr>
              <w:t>为五年，低于</w:t>
            </w:r>
            <w:r>
              <w:rPr>
                <w:color w:val="auto"/>
                <w:highlight w:val="none"/>
              </w:rPr>
              <w:t>《中华人民共和国海域使用管理法》的最高期限规定，符合</w:t>
            </w:r>
            <w:r>
              <w:rPr>
                <w:rFonts w:hint="eastAsia"/>
                <w:color w:val="auto"/>
                <w:highlight w:val="none"/>
              </w:rPr>
              <w:t>法律法规要求，用海期限</w:t>
            </w:r>
            <w:r>
              <w:rPr>
                <w:color w:val="auto"/>
                <w:highlight w:val="none"/>
              </w:rPr>
              <w:t>合理。</w:t>
            </w:r>
          </w:p>
          <w:p>
            <w:pPr>
              <w:pStyle w:val="55"/>
              <w:jc w:val="both"/>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0"/>
              <w:jc w:val="both"/>
              <w:rPr>
                <w:b/>
                <w:color w:val="auto"/>
                <w:sz w:val="30"/>
                <w:szCs w:val="30"/>
                <w:highlight w:val="none"/>
              </w:rPr>
            </w:pPr>
            <w:r>
              <w:rPr>
                <w:rFonts w:hint="eastAsia"/>
                <w:b/>
                <w:color w:val="auto"/>
                <w:sz w:val="30"/>
                <w:szCs w:val="30"/>
                <w:highlight w:val="none"/>
              </w:rPr>
              <w:t>7生态用海对策措施</w:t>
            </w:r>
          </w:p>
          <w:p>
            <w:pPr>
              <w:pStyle w:val="55"/>
              <w:ind w:firstLine="0"/>
              <w:jc w:val="both"/>
              <w:rPr>
                <w:rFonts w:hAnsi="Times New Roman"/>
                <w:b/>
                <w:color w:val="auto"/>
                <w:highlight w:val="none"/>
              </w:rPr>
            </w:pPr>
            <w:r>
              <w:rPr>
                <w:rFonts w:hint="eastAsia" w:hAnsi="Times New Roman"/>
                <w:b/>
                <w:color w:val="auto"/>
                <w:highlight w:val="none"/>
              </w:rPr>
              <w:t>7.1 项目用海的主要生态问题</w:t>
            </w:r>
          </w:p>
          <w:p>
            <w:pPr>
              <w:pStyle w:val="55"/>
              <w:jc w:val="both"/>
              <w:rPr>
                <w:color w:val="auto"/>
                <w:highlight w:val="none"/>
              </w:rPr>
            </w:pPr>
            <w:r>
              <w:rPr>
                <w:rFonts w:hint="eastAsia"/>
                <w:color w:val="auto"/>
                <w:highlight w:val="none"/>
              </w:rPr>
              <w:t>根据前述章节分析，本项目为其他开放式用海，不涉及围海、填海，不设置海上构筑物，营运期不排放水污染物，船舶污染物上岸环保处置，固体废弃物收集上岸环保处置，对海洋生态环境影响较小。</w:t>
            </w:r>
          </w:p>
          <w:p>
            <w:pPr>
              <w:pStyle w:val="55"/>
              <w:jc w:val="both"/>
              <w:rPr>
                <w:color w:val="auto"/>
                <w:highlight w:val="none"/>
              </w:rPr>
            </w:pPr>
            <w:r>
              <w:rPr>
                <w:rFonts w:hint="eastAsia"/>
                <w:color w:val="auto"/>
                <w:highlight w:val="none"/>
              </w:rPr>
              <w:t>项目用海引起的主要生态问题是施工期通道疏浚开挖对海洋底栖生物的破坏影响，以及开挖施工产生的悬浮物污染影响导致的生物资源损失。</w:t>
            </w:r>
          </w:p>
          <w:p>
            <w:pPr>
              <w:pStyle w:val="55"/>
              <w:ind w:firstLine="0"/>
              <w:jc w:val="both"/>
              <w:rPr>
                <w:rFonts w:hAnsi="Times New Roman"/>
                <w:b/>
                <w:color w:val="auto"/>
                <w:highlight w:val="none"/>
              </w:rPr>
            </w:pPr>
            <w:r>
              <w:rPr>
                <w:rFonts w:hint="eastAsia" w:hAnsi="Times New Roman"/>
                <w:b/>
                <w:color w:val="auto"/>
                <w:highlight w:val="none"/>
              </w:rPr>
              <w:t>7.2 生态用海对策</w:t>
            </w:r>
          </w:p>
          <w:p>
            <w:pPr>
              <w:pStyle w:val="55"/>
              <w:jc w:val="both"/>
              <w:rPr>
                <w:color w:val="auto"/>
                <w:highlight w:val="none"/>
              </w:rPr>
            </w:pPr>
            <w:r>
              <w:rPr>
                <w:rFonts w:hint="eastAsia"/>
                <w:color w:val="auto"/>
                <w:highlight w:val="none"/>
              </w:rPr>
              <w:t>项目疏浚开挖量超过10万方，开挖施工将造成明显的海洋生态影响，因此，必须高度重视项目用海可能引起的生态环境问题，在施工和运营全过程采取必要的生态用海对策措施。</w:t>
            </w:r>
          </w:p>
          <w:p>
            <w:pPr>
              <w:widowControl/>
              <w:shd w:val="clear" w:color="auto" w:fill="FFFFFF"/>
              <w:spacing w:line="360" w:lineRule="auto"/>
              <w:ind w:firstLine="420"/>
              <w:jc w:val="left"/>
              <w:rPr>
                <w:rFonts w:ascii="Times New Roman"/>
                <w:color w:val="auto"/>
                <w:sz w:val="24"/>
                <w:szCs w:val="24"/>
                <w:highlight w:val="none"/>
              </w:rPr>
            </w:pPr>
            <w:r>
              <w:rPr>
                <w:rFonts w:hint="eastAsia" w:ascii="Times New Roman"/>
                <w:color w:val="auto"/>
                <w:sz w:val="24"/>
                <w:szCs w:val="24"/>
                <w:highlight w:val="none"/>
              </w:rPr>
              <w:t>（1）海域使用管理</w:t>
            </w:r>
          </w:p>
          <w:p>
            <w:pPr>
              <w:widowControl/>
              <w:shd w:val="clear" w:color="auto" w:fill="FFFFFF"/>
              <w:spacing w:line="360" w:lineRule="auto"/>
              <w:ind w:firstLine="420"/>
              <w:jc w:val="left"/>
              <w:rPr>
                <w:rFonts w:ascii="Times New Roman"/>
                <w:color w:val="auto"/>
                <w:sz w:val="24"/>
                <w:szCs w:val="24"/>
                <w:highlight w:val="none"/>
              </w:rPr>
            </w:pPr>
            <w:r>
              <w:rPr>
                <w:rFonts w:hint="eastAsia" w:ascii="Times New Roman"/>
                <w:color w:val="auto"/>
                <w:sz w:val="24"/>
                <w:szCs w:val="24"/>
                <w:highlight w:val="none"/>
              </w:rPr>
              <w:t>严格按照海域使用权属范围进行用海，不得擅自改变工程疏浚用海范围、位置，不得施工改变通道设计宽度、深度、边坡比例，不得改变航运用海的用海类型，不得改变开放式用海方式进行围海筑堤或设置海上构筑物。</w:t>
            </w:r>
          </w:p>
          <w:p>
            <w:pPr>
              <w:widowControl/>
              <w:shd w:val="clear" w:color="auto" w:fill="FFFFFF"/>
              <w:spacing w:line="360" w:lineRule="auto"/>
              <w:ind w:firstLine="420"/>
              <w:jc w:val="left"/>
              <w:rPr>
                <w:color w:val="auto"/>
                <w:highlight w:val="none"/>
              </w:rPr>
            </w:pPr>
            <w:r>
              <w:rPr>
                <w:rFonts w:hint="eastAsia"/>
                <w:color w:val="auto"/>
                <w:sz w:val="24"/>
                <w:szCs w:val="24"/>
                <w:highlight w:val="none"/>
              </w:rPr>
              <w:t>（2）施工管理</w:t>
            </w:r>
          </w:p>
          <w:p>
            <w:pPr>
              <w:pStyle w:val="30"/>
              <w:rPr>
                <w:rFonts w:hAnsi="Calibri" w:eastAsia="宋体"/>
                <w:bCs/>
                <w:color w:val="auto"/>
                <w:szCs w:val="24"/>
                <w:highlight w:val="none"/>
              </w:rPr>
            </w:pPr>
            <w:r>
              <w:rPr>
                <w:rFonts w:hint="eastAsia" w:hAnsi="Calibri" w:eastAsia="宋体"/>
                <w:bCs/>
                <w:color w:val="auto"/>
                <w:szCs w:val="24"/>
                <w:highlight w:val="none"/>
              </w:rPr>
              <w:t>施工前向钦州海事局依法申请办理水上水下作业许可证，</w:t>
            </w:r>
            <w:r>
              <w:rPr>
                <w:rFonts w:hint="eastAsia" w:hAnsi="Calibri" w:eastAsia="宋体"/>
                <w:color w:val="auto"/>
                <w:szCs w:val="24"/>
                <w:highlight w:val="none"/>
              </w:rPr>
              <w:t>提前发布施工公告并设置水上施工标志（航标等）</w:t>
            </w:r>
            <w:r>
              <w:rPr>
                <w:rFonts w:hint="eastAsia" w:hAnsi="Calibri" w:eastAsia="宋体"/>
                <w:bCs/>
                <w:color w:val="auto"/>
                <w:szCs w:val="24"/>
                <w:highlight w:val="none"/>
              </w:rPr>
              <w:t>。施工前应协调好周边渔船、货船在施工区域以外靠泊以及航行，确保船舶在施工水域的安全，同时避免发生船舶碰撞安全事故。施工单位应按照海事部门批准的作业内容、核定的水域范围和使用核准的船舶进行作业，落实通航安全保障措施，不得妨碍临近航道其他船舶的正常航行。</w:t>
            </w:r>
          </w:p>
          <w:p>
            <w:pPr>
              <w:pStyle w:val="55"/>
              <w:jc w:val="both"/>
              <w:rPr>
                <w:color w:val="auto"/>
                <w:highlight w:val="none"/>
              </w:rPr>
            </w:pPr>
            <w:r>
              <w:rPr>
                <w:rFonts w:hint="eastAsia"/>
                <w:color w:val="auto"/>
                <w:highlight w:val="none"/>
              </w:rPr>
              <w:t>制定详细的疏浚施工作业方案，科学合理组织施工，不得采用炸礁施工工艺，</w:t>
            </w:r>
            <w:r>
              <w:rPr>
                <w:color w:val="auto"/>
                <w:highlight w:val="none"/>
              </w:rPr>
              <w:t>实施施工作业或者活动的船舶、设施应当按照有关规定在明显处昼夜显示规定的号灯号型。在现场作业船舶或者警戒船上配备有效的通信设备，施工作业或者活动期间指派专人警戒，并在指定的频道上守听</w:t>
            </w:r>
            <w:r>
              <w:rPr>
                <w:rFonts w:hint="eastAsia"/>
                <w:color w:val="auto"/>
                <w:highlight w:val="none"/>
              </w:rPr>
              <w:t>。</w:t>
            </w:r>
          </w:p>
          <w:p>
            <w:pPr>
              <w:pStyle w:val="55"/>
              <w:jc w:val="both"/>
              <w:rPr>
                <w:color w:val="auto"/>
                <w:highlight w:val="none"/>
              </w:rPr>
            </w:pPr>
            <w:r>
              <w:rPr>
                <w:rFonts w:hint="eastAsia"/>
                <w:color w:val="auto"/>
                <w:highlight w:val="none"/>
              </w:rPr>
              <w:t>尽量选择</w:t>
            </w:r>
            <w:r>
              <w:rPr>
                <w:color w:val="auto"/>
                <w:highlight w:val="none"/>
              </w:rPr>
              <w:t>在海流平静的潮期</w:t>
            </w:r>
            <w:r>
              <w:rPr>
                <w:rFonts w:hint="eastAsia"/>
                <w:color w:val="auto"/>
                <w:highlight w:val="none"/>
              </w:rPr>
              <w:t>进行疏浚施工，开展施工期海洋环境监测，必要时</w:t>
            </w:r>
            <w:r>
              <w:rPr>
                <w:color w:val="auto"/>
                <w:highlight w:val="none"/>
              </w:rPr>
              <w:t>在施工作业船周边设置</w:t>
            </w:r>
            <w:r>
              <w:rPr>
                <w:color w:val="auto"/>
                <w:highlight w:val="none"/>
                <w:lang w:val="zh-CN"/>
              </w:rPr>
              <w:t>HDPE土工布</w:t>
            </w:r>
            <w:r>
              <w:rPr>
                <w:color w:val="auto"/>
                <w:highlight w:val="none"/>
              </w:rPr>
              <w:t>防污屏</w:t>
            </w:r>
            <w:r>
              <w:rPr>
                <w:rFonts w:hint="eastAsia"/>
                <w:color w:val="auto"/>
                <w:highlight w:val="none"/>
              </w:rPr>
              <w:t>以减少悬浮物污染扩散影响</w:t>
            </w:r>
            <w:r>
              <w:rPr>
                <w:color w:val="auto"/>
                <w:highlight w:val="none"/>
              </w:rPr>
              <w:t>。</w:t>
            </w:r>
          </w:p>
          <w:p>
            <w:pPr>
              <w:pStyle w:val="55"/>
              <w:jc w:val="both"/>
              <w:rPr>
                <w:color w:val="auto"/>
                <w:highlight w:val="none"/>
              </w:rPr>
            </w:pPr>
            <w:r>
              <w:rPr>
                <w:rFonts w:hint="eastAsia"/>
                <w:color w:val="auto"/>
                <w:highlight w:val="none"/>
              </w:rPr>
              <w:t>严格</w:t>
            </w:r>
            <w:r>
              <w:rPr>
                <w:color w:val="auto"/>
                <w:highlight w:val="none"/>
              </w:rPr>
              <w:t>遵守有关防治</w:t>
            </w:r>
            <w:r>
              <w:rPr>
                <w:rFonts w:hint="eastAsia"/>
                <w:color w:val="auto"/>
                <w:highlight w:val="none"/>
              </w:rPr>
              <w:t>海洋环境</w:t>
            </w:r>
            <w:r>
              <w:rPr>
                <w:color w:val="auto"/>
                <w:highlight w:val="none"/>
              </w:rPr>
              <w:t>污染的相关规定，</w:t>
            </w:r>
            <w:r>
              <w:rPr>
                <w:rFonts w:hint="eastAsia"/>
                <w:color w:val="auto"/>
                <w:highlight w:val="none"/>
              </w:rPr>
              <w:t>严禁</w:t>
            </w:r>
            <w:r>
              <w:rPr>
                <w:color w:val="auto"/>
                <w:highlight w:val="none"/>
              </w:rPr>
              <w:t>超载</w:t>
            </w:r>
            <w:r>
              <w:rPr>
                <w:rFonts w:hint="eastAsia"/>
                <w:color w:val="auto"/>
                <w:highlight w:val="none"/>
              </w:rPr>
              <w:t>或在倾倒区外随意倾倒疏浚物，严禁</w:t>
            </w:r>
            <w:r>
              <w:rPr>
                <w:color w:val="auto"/>
                <w:highlight w:val="none"/>
              </w:rPr>
              <w:t>向海排放污染物</w:t>
            </w:r>
            <w:r>
              <w:rPr>
                <w:rFonts w:hint="eastAsia"/>
                <w:color w:val="auto"/>
                <w:highlight w:val="none"/>
              </w:rPr>
              <w:t>。</w:t>
            </w:r>
          </w:p>
          <w:p>
            <w:pPr>
              <w:pStyle w:val="55"/>
              <w:jc w:val="both"/>
              <w:rPr>
                <w:color w:val="auto"/>
                <w:highlight w:val="none"/>
              </w:rPr>
            </w:pPr>
            <w:r>
              <w:rPr>
                <w:rFonts w:hint="eastAsia"/>
                <w:color w:val="auto"/>
                <w:highlight w:val="none"/>
              </w:rPr>
              <w:t>制定船舶防溢油应急预案、防台风应急处置预案等。</w:t>
            </w:r>
          </w:p>
          <w:p>
            <w:pPr>
              <w:pStyle w:val="30"/>
              <w:rPr>
                <w:rFonts w:eastAsia="宋体"/>
                <w:color w:val="auto"/>
                <w:highlight w:val="none"/>
              </w:rPr>
            </w:pPr>
            <w:r>
              <w:rPr>
                <w:rFonts w:hint="eastAsia" w:eastAsia="宋体"/>
                <w:color w:val="auto"/>
                <w:highlight w:val="none"/>
              </w:rPr>
              <w:t>（3）生产经营</w:t>
            </w:r>
          </w:p>
          <w:p>
            <w:pPr>
              <w:pStyle w:val="30"/>
              <w:rPr>
                <w:rFonts w:hAnsi="Calibri" w:eastAsia="宋体"/>
                <w:color w:val="auto"/>
                <w:szCs w:val="24"/>
                <w:highlight w:val="none"/>
              </w:rPr>
            </w:pPr>
            <w:r>
              <w:rPr>
                <w:rFonts w:hint="eastAsia" w:eastAsia="宋体"/>
                <w:color w:val="auto"/>
                <w:highlight w:val="none"/>
              </w:rPr>
              <w:t>施工和运营期间</w:t>
            </w:r>
            <w:r>
              <w:rPr>
                <w:rFonts w:eastAsia="宋体"/>
                <w:color w:val="auto"/>
                <w:highlight w:val="none"/>
              </w:rPr>
              <w:t>若发现附近海域有中华白海豚、绿海龟等国家珍稀水生保护动物活动时，应采取避让、停止作业等措施，避免对保护动物产生惊扰、损伤。</w:t>
            </w:r>
          </w:p>
          <w:p>
            <w:pPr>
              <w:pStyle w:val="55"/>
              <w:jc w:val="both"/>
              <w:rPr>
                <w:color w:val="auto"/>
                <w:highlight w:val="none"/>
              </w:rPr>
            </w:pPr>
            <w:r>
              <w:rPr>
                <w:rFonts w:hint="eastAsia"/>
                <w:color w:val="auto"/>
                <w:highlight w:val="none"/>
              </w:rPr>
              <w:t>严格遵守海洋环境保护的有关规定，</w:t>
            </w:r>
            <w:r>
              <w:rPr>
                <w:rFonts w:hint="eastAsia" w:hAnsi="Times New Roman"/>
                <w:color w:val="auto"/>
                <w:highlight w:val="none"/>
              </w:rPr>
              <w:t>拖轮</w:t>
            </w:r>
            <w:r>
              <w:rPr>
                <w:rFonts w:hAnsi="Times New Roman"/>
                <w:color w:val="auto"/>
                <w:highlight w:val="none"/>
              </w:rPr>
              <w:t>应配备生活垃圾及生活污水收集装置，不在海域排放生活垃圾及污水。定期检查、维修、保养作业</w:t>
            </w:r>
            <w:r>
              <w:rPr>
                <w:rFonts w:hint="eastAsia" w:hAnsi="Times New Roman"/>
                <w:color w:val="auto"/>
                <w:highlight w:val="none"/>
              </w:rPr>
              <w:t>拖轮</w:t>
            </w:r>
            <w:r>
              <w:rPr>
                <w:rFonts w:hAnsi="Times New Roman"/>
                <w:color w:val="auto"/>
                <w:highlight w:val="none"/>
              </w:rPr>
              <w:t>，防止出现</w:t>
            </w:r>
            <w:r>
              <w:rPr>
                <w:rFonts w:hint="eastAsia" w:hAnsi="Times New Roman"/>
                <w:color w:val="auto"/>
                <w:highlight w:val="none"/>
              </w:rPr>
              <w:t>燃油</w:t>
            </w:r>
            <w:r>
              <w:rPr>
                <w:rFonts w:hAnsi="Times New Roman"/>
                <w:color w:val="auto"/>
                <w:highlight w:val="none"/>
              </w:rPr>
              <w:t>跑、冒、滴、漏现象，对</w:t>
            </w:r>
            <w:r>
              <w:rPr>
                <w:rFonts w:hint="eastAsia" w:hAnsi="Times New Roman"/>
                <w:color w:val="auto"/>
                <w:highlight w:val="none"/>
              </w:rPr>
              <w:t>海洋</w:t>
            </w:r>
            <w:r>
              <w:rPr>
                <w:rFonts w:hAnsi="Times New Roman"/>
                <w:color w:val="auto"/>
                <w:highlight w:val="none"/>
              </w:rPr>
              <w:t>生态环境造成破坏</w:t>
            </w:r>
            <w:r>
              <w:rPr>
                <w:rFonts w:hint="eastAsia"/>
                <w:color w:val="auto"/>
                <w:highlight w:val="none"/>
              </w:rPr>
              <w:t>。</w:t>
            </w:r>
          </w:p>
          <w:p>
            <w:pPr>
              <w:pStyle w:val="55"/>
              <w:jc w:val="both"/>
              <w:rPr>
                <w:color w:val="auto"/>
                <w:highlight w:val="none"/>
              </w:rPr>
            </w:pPr>
            <w:r>
              <w:rPr>
                <w:rFonts w:hint="eastAsia"/>
                <w:color w:val="auto"/>
                <w:highlight w:val="none"/>
              </w:rPr>
              <w:t>废弃航标等用品必须在收集上岸进行环保处置，严禁堆放在海滩涂或抛弃于海上。</w:t>
            </w:r>
          </w:p>
          <w:p>
            <w:pPr>
              <w:pStyle w:val="55"/>
              <w:spacing w:line="384" w:lineRule="auto"/>
              <w:rPr>
                <w:rFonts w:hAnsi="Times New Roman"/>
                <w:color w:val="auto"/>
                <w:highlight w:val="none"/>
              </w:rPr>
            </w:pPr>
            <w:r>
              <w:rPr>
                <w:rFonts w:hint="eastAsia" w:hAnsi="Times New Roman"/>
                <w:color w:val="auto"/>
                <w:highlight w:val="none"/>
              </w:rPr>
              <w:t>营运期</w:t>
            </w:r>
            <w:r>
              <w:rPr>
                <w:rFonts w:hAnsi="Times New Roman"/>
                <w:color w:val="auto"/>
                <w:highlight w:val="none"/>
              </w:rPr>
              <w:t>密切注意</w:t>
            </w:r>
            <w:r>
              <w:rPr>
                <w:rFonts w:hint="eastAsia" w:hAnsi="Times New Roman"/>
                <w:color w:val="auto"/>
                <w:highlight w:val="none"/>
              </w:rPr>
              <w:t>钦州港海域</w:t>
            </w:r>
            <w:r>
              <w:rPr>
                <w:rFonts w:hAnsi="Times New Roman"/>
                <w:color w:val="auto"/>
                <w:highlight w:val="none"/>
              </w:rPr>
              <w:t>的水质变化，定期开展区域</w:t>
            </w:r>
            <w:r>
              <w:rPr>
                <w:rFonts w:hint="eastAsia" w:hAnsi="Times New Roman"/>
                <w:color w:val="auto"/>
                <w:highlight w:val="none"/>
              </w:rPr>
              <w:t>海洋环境监测。</w:t>
            </w:r>
          </w:p>
          <w:p>
            <w:pPr>
              <w:pStyle w:val="55"/>
              <w:spacing w:line="384" w:lineRule="auto"/>
              <w:rPr>
                <w:rFonts w:hAnsi="Times New Roman"/>
                <w:color w:val="auto"/>
                <w:highlight w:val="none"/>
              </w:rPr>
            </w:pPr>
            <w:r>
              <w:rPr>
                <w:rFonts w:hint="eastAsia"/>
                <w:color w:val="auto"/>
                <w:highlight w:val="none"/>
              </w:rPr>
              <w:t>自觉接受海洋、渔业、海事、生态环境等相关部门的监督检查，对施工和生产运营中遇到的问题及时与政府部门或相关单位进行沟通协调。</w:t>
            </w:r>
          </w:p>
          <w:p>
            <w:pPr>
              <w:pStyle w:val="55"/>
              <w:ind w:firstLine="0"/>
              <w:jc w:val="both"/>
              <w:rPr>
                <w:rFonts w:hAnsi="Times New Roman"/>
                <w:b/>
                <w:color w:val="auto"/>
                <w:highlight w:val="none"/>
              </w:rPr>
            </w:pPr>
            <w:r>
              <w:rPr>
                <w:rFonts w:hint="eastAsia" w:hAnsi="Times New Roman"/>
                <w:b/>
                <w:color w:val="auto"/>
                <w:highlight w:val="none"/>
              </w:rPr>
              <w:t>7.3生态保护修复措施</w:t>
            </w:r>
          </w:p>
          <w:p>
            <w:pPr>
              <w:pStyle w:val="55"/>
              <w:ind w:firstLine="480" w:firstLineChars="200"/>
              <w:jc w:val="both"/>
              <w:rPr>
                <w:color w:val="auto"/>
                <w:highlight w:val="none"/>
              </w:rPr>
            </w:pPr>
            <w:r>
              <w:rPr>
                <w:rFonts w:hint="eastAsia"/>
                <w:color w:val="auto"/>
                <w:highlight w:val="none"/>
              </w:rPr>
              <w:t>项目疏浚施工将造成礁明显的海洋生物损失。制定海洋生态修复补偿方案，与渔业部门协商落实增殖放流等相关海洋</w:t>
            </w:r>
            <w:r>
              <w:rPr>
                <w:color w:val="auto"/>
                <w:highlight w:val="none"/>
              </w:rPr>
              <w:t>生态补偿措施</w:t>
            </w:r>
            <w:r>
              <w:rPr>
                <w:rFonts w:hint="eastAsia"/>
                <w:color w:val="auto"/>
                <w:highlight w:val="none"/>
              </w:rPr>
              <w:t>。</w:t>
            </w:r>
          </w:p>
          <w:p>
            <w:pPr>
              <w:pStyle w:val="55"/>
              <w:jc w:val="both"/>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8"/>
            <w:vAlign w:val="center"/>
          </w:tcPr>
          <w:p>
            <w:pPr>
              <w:pStyle w:val="55"/>
              <w:ind w:firstLine="34"/>
              <w:jc w:val="both"/>
              <w:rPr>
                <w:rFonts w:hAnsi="Times New Roman"/>
                <w:color w:val="auto"/>
                <w:highlight w:val="none"/>
              </w:rPr>
            </w:pPr>
            <w:r>
              <w:rPr>
                <w:rFonts w:hAnsi="Times New Roman"/>
                <w:b/>
                <w:color w:val="auto"/>
                <w:kern w:val="0"/>
                <w:sz w:val="30"/>
                <w:szCs w:val="30"/>
                <w:highlight w:val="none"/>
              </w:rPr>
              <w:t>8</w:t>
            </w:r>
            <w:r>
              <w:rPr>
                <w:rFonts w:hint="eastAsia" w:ascii="宋体" w:cs="宋体"/>
                <w:b/>
                <w:color w:val="auto"/>
                <w:kern w:val="0"/>
                <w:sz w:val="30"/>
                <w:szCs w:val="30"/>
                <w:highlight w:val="none"/>
              </w:rPr>
              <w:t xml:space="preserve"> 结论</w:t>
            </w:r>
          </w:p>
          <w:p>
            <w:pPr>
              <w:pStyle w:val="30"/>
              <w:rPr>
                <w:rFonts w:ascii="宋体" w:hAnsi="宋体" w:eastAsia="宋体" w:cs="宋体"/>
                <w:color w:val="auto"/>
                <w:highlight w:val="none"/>
              </w:rPr>
            </w:pPr>
            <w:r>
              <w:rPr>
                <w:rFonts w:hint="eastAsia" w:ascii="宋体" w:hAnsi="宋体" w:eastAsia="宋体" w:cs="宋体"/>
                <w:color w:val="auto"/>
                <w:highlight w:val="none"/>
              </w:rPr>
              <w:t>钦州港30万吨级油码头拖轮临时应急通道为经营性海域使用权出让项目，项目建设内容为应急通道。项目用海类型为“交通运输用海”（一级类）中的“航运用海”（二级类），</w:t>
            </w:r>
            <w:r>
              <w:rPr>
                <w:rFonts w:eastAsia="宋体"/>
                <w:color w:val="auto"/>
                <w:highlight w:val="none"/>
              </w:rPr>
              <w:t>用海方式为</w:t>
            </w:r>
            <w:r>
              <w:rPr>
                <w:rFonts w:hint="eastAsia" w:ascii="宋体" w:hAnsi="宋体" w:eastAsia="宋体" w:cs="宋体"/>
                <w:color w:val="auto"/>
                <w:highlight w:val="none"/>
              </w:rPr>
              <w:t>“开放式用海”——“其他开放式用海”。海域使用权出让面积共</w:t>
            </w:r>
            <w:r>
              <w:rPr>
                <w:rFonts w:hint="eastAsia" w:eastAsiaTheme="majorEastAsia"/>
                <w:color w:val="auto"/>
                <w:szCs w:val="24"/>
                <w:highlight w:val="none"/>
              </w:rPr>
              <w:t>27.1569hm</w:t>
            </w:r>
            <w:r>
              <w:rPr>
                <w:rFonts w:hint="eastAsia" w:eastAsiaTheme="majorEastAsia"/>
                <w:color w:val="auto"/>
                <w:szCs w:val="24"/>
                <w:highlight w:val="none"/>
                <w:vertAlign w:val="superscript"/>
              </w:rPr>
              <w:t>2</w:t>
            </w:r>
            <w:r>
              <w:rPr>
                <w:rFonts w:eastAsiaTheme="majorEastAsia"/>
                <w:color w:val="auto"/>
                <w:szCs w:val="24"/>
                <w:highlight w:val="none"/>
              </w:rPr>
              <w:t>，用海范围在东经108°38'19.782"～108°39'58.363"，北纬21°31'57.897"～21°32'39.894"坐标范围内</w:t>
            </w:r>
            <w:r>
              <w:rPr>
                <w:rFonts w:hint="eastAsia" w:ascii="宋体" w:hAnsi="宋体" w:eastAsia="宋体" w:cs="宋体"/>
                <w:color w:val="auto"/>
                <w:highlight w:val="none"/>
              </w:rPr>
              <w:t>。海域使用权出让期限为5年。</w:t>
            </w:r>
          </w:p>
          <w:p>
            <w:pPr>
              <w:pStyle w:val="55"/>
              <w:jc w:val="both"/>
              <w:rPr>
                <w:color w:val="auto"/>
                <w:highlight w:val="none"/>
              </w:rPr>
            </w:pPr>
            <w:r>
              <w:rPr>
                <w:rFonts w:hint="eastAsia" w:ascii="宋体" w:hAnsi="宋体"/>
                <w:color w:val="auto"/>
                <w:highlight w:val="none"/>
              </w:rPr>
              <w:t>项目用海与</w:t>
            </w:r>
            <w:r>
              <w:rPr>
                <w:rFonts w:hint="eastAsia"/>
                <w:color w:val="auto"/>
                <w:highlight w:val="none"/>
              </w:rPr>
              <w:t>广西海洋功能区划的海域使用管理要求相兼容，与周边海域开发活动协调性好</w:t>
            </w:r>
            <w:r>
              <w:rPr>
                <w:rFonts w:hint="eastAsia" w:ascii="宋体" w:hAnsi="宋体"/>
                <w:color w:val="auto"/>
                <w:highlight w:val="none"/>
              </w:rPr>
              <w:t>。项目对海洋运输业具有</w:t>
            </w:r>
            <w:r>
              <w:rPr>
                <w:color w:val="auto"/>
                <w:highlight w:val="none"/>
              </w:rPr>
              <w:t>相互促进</w:t>
            </w:r>
            <w:r>
              <w:rPr>
                <w:rFonts w:hint="eastAsia"/>
                <w:color w:val="auto"/>
                <w:highlight w:val="none"/>
              </w:rPr>
              <w:t>、</w:t>
            </w:r>
            <w:r>
              <w:rPr>
                <w:color w:val="auto"/>
                <w:highlight w:val="none"/>
              </w:rPr>
              <w:t>协调发展的积极作用</w:t>
            </w:r>
            <w:r>
              <w:rPr>
                <w:rFonts w:hint="eastAsia"/>
                <w:color w:val="auto"/>
                <w:highlight w:val="none"/>
              </w:rPr>
              <w:t>，</w:t>
            </w:r>
            <w:r>
              <w:rPr>
                <w:rFonts w:hint="eastAsia" w:ascii="宋体" w:hAnsi="宋体"/>
                <w:color w:val="auto"/>
                <w:highlight w:val="none"/>
              </w:rPr>
              <w:t>对海洋生态环境、海洋资源的影响较小。项目符合钦州市国土空间规划，符合广西“三区三线”划定成果要求，符合广西壮族自治区海洋主体功能区规划的要求。项目选址、用海方式、用海面积和用海期限合理。因此，本项目用海合理、可行。</w:t>
            </w:r>
          </w:p>
        </w:tc>
      </w:tr>
    </w:tbl>
    <w:p>
      <w:pPr>
        <w:pStyle w:val="55"/>
        <w:ind w:firstLine="0"/>
        <w:rPr>
          <w:b/>
        </w:rPr>
      </w:pPr>
    </w:p>
    <w:p>
      <w:pPr>
        <w:pStyle w:val="55"/>
        <w:ind w:firstLine="0"/>
        <w:rPr>
          <w:b/>
        </w:rPr>
        <w:sectPr>
          <w:headerReference r:id="rId4" w:type="default"/>
          <w:footerReference r:id="rId5" w:type="default"/>
          <w:pgSz w:w="11906" w:h="16838"/>
          <w:pgMar w:top="1440" w:right="1418" w:bottom="1440" w:left="1418" w:header="851" w:footer="730" w:gutter="0"/>
          <w:pgNumType w:start="1"/>
          <w:cols w:space="720" w:num="1"/>
          <w:docGrid w:type="lines" w:linePitch="312" w:charSpace="0"/>
        </w:sectPr>
      </w:pPr>
    </w:p>
    <w:p>
      <w:pPr>
        <w:pStyle w:val="55"/>
        <w:ind w:firstLine="0"/>
        <w:rPr>
          <w:b/>
          <w:bCs/>
        </w:rPr>
      </w:pPr>
      <w:r>
        <w:rPr>
          <w:rFonts w:hint="eastAsia" w:hAnsi="宋体"/>
          <w:b/>
        </w:rPr>
        <w:t>附</w:t>
      </w:r>
      <w:r>
        <w:rPr>
          <w:rFonts w:hAnsi="宋体"/>
          <w:b/>
        </w:rPr>
        <w:t>图</w:t>
      </w:r>
      <w:r>
        <w:rPr>
          <w:rFonts w:hint="eastAsia" w:hAnsi="Times New Roman"/>
          <w:b/>
        </w:rPr>
        <w:t xml:space="preserve">1 </w:t>
      </w:r>
      <w:r>
        <w:rPr>
          <w:rFonts w:hint="eastAsia" w:hAnsi="宋体"/>
          <w:b/>
        </w:rPr>
        <w:t>临时通道总平面布置示意图</w:t>
      </w:r>
    </w:p>
    <w:p>
      <w:pPr>
        <w:spacing w:line="360" w:lineRule="auto"/>
        <w:jc w:val="center"/>
        <w:rPr>
          <w:rFonts w:ascii="Times New Roman" w:hAnsi="宋体"/>
          <w:b/>
          <w:sz w:val="24"/>
          <w:szCs w:val="24"/>
        </w:rPr>
      </w:pPr>
      <w:r>
        <w:drawing>
          <wp:inline distT="0" distB="0" distL="114300" distR="114300">
            <wp:extent cx="8855075" cy="4476750"/>
            <wp:effectExtent l="0" t="0" r="3175" b="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77"/>
                    <a:stretch>
                      <a:fillRect/>
                    </a:stretch>
                  </pic:blipFill>
                  <pic:spPr>
                    <a:xfrm>
                      <a:off x="0" y="0"/>
                      <a:ext cx="8855075" cy="4476750"/>
                    </a:xfrm>
                    <a:prstGeom prst="rect">
                      <a:avLst/>
                    </a:prstGeom>
                    <a:noFill/>
                    <a:ln>
                      <a:noFill/>
                    </a:ln>
                  </pic:spPr>
                </pic:pic>
              </a:graphicData>
            </a:graphic>
          </wp:inline>
        </w:drawing>
      </w:r>
    </w:p>
    <w:p>
      <w:pPr>
        <w:spacing w:line="360" w:lineRule="auto"/>
        <w:jc w:val="center"/>
        <w:rPr>
          <w:rFonts w:ascii="Times New Roman" w:hAnsi="宋体"/>
          <w:b/>
          <w:sz w:val="24"/>
          <w:szCs w:val="24"/>
        </w:rPr>
      </w:pPr>
    </w:p>
    <w:p>
      <w:pPr>
        <w:tabs>
          <w:tab w:val="left" w:pos="7144"/>
        </w:tabs>
        <w:sectPr>
          <w:headerReference r:id="rId6" w:type="default"/>
          <w:footerReference r:id="rId7" w:type="default"/>
          <w:pgSz w:w="16839" w:h="11907" w:orient="landscape"/>
          <w:pgMar w:top="1800" w:right="1440" w:bottom="1800" w:left="1440" w:header="851" w:footer="992" w:gutter="0"/>
          <w:cols w:space="720" w:num="1"/>
          <w:docGrid w:type="lines" w:linePitch="312" w:charSpace="0"/>
        </w:sectPr>
      </w:pPr>
    </w:p>
    <w:p>
      <w:pPr>
        <w:spacing w:line="360" w:lineRule="auto"/>
        <w:rPr>
          <w:rFonts w:ascii="Times New Roman" w:hAnsi="宋体"/>
          <w:b/>
          <w:sz w:val="24"/>
          <w:szCs w:val="24"/>
        </w:rPr>
      </w:pPr>
      <w:r>
        <w:rPr>
          <w:rFonts w:hint="eastAsia" w:hAnsi="宋体"/>
          <w:b/>
        </w:rPr>
        <w:t>附</w:t>
      </w:r>
      <w:r>
        <w:rPr>
          <w:rFonts w:hAnsi="宋体"/>
          <w:b/>
        </w:rPr>
        <w:t>图</w:t>
      </w:r>
      <w:r>
        <w:rPr>
          <w:rFonts w:hint="eastAsia" w:hAnsi="Times New Roman"/>
          <w:b/>
        </w:rPr>
        <w:t xml:space="preserve">1 </w:t>
      </w:r>
      <w:r>
        <w:rPr>
          <w:rFonts w:hint="eastAsia" w:hAnsi="宋体"/>
          <w:b/>
        </w:rPr>
        <w:t>钦州港海域海底地形</w:t>
      </w:r>
      <w:r>
        <w:rPr>
          <w:rFonts w:hAnsi="宋体"/>
          <w:b/>
        </w:rPr>
        <w:t>图</w:t>
      </w:r>
      <w:r>
        <w:rPr>
          <w:rFonts w:hint="eastAsia" w:hAnsi="宋体"/>
          <w:b/>
        </w:rPr>
        <w:t>（1985国家高程基准）</w:t>
      </w:r>
    </w:p>
    <w:p>
      <w:pPr>
        <w:spacing w:line="360" w:lineRule="auto"/>
        <w:rPr>
          <w:rFonts w:ascii="Times New Roman" w:hAnsi="宋体"/>
          <w:b/>
          <w:sz w:val="24"/>
          <w:szCs w:val="24"/>
        </w:rPr>
      </w:pPr>
      <w:r>
        <w:rPr>
          <w:rFonts w:ascii="Times New Roman" w:hAnsi="宋体"/>
          <w:b/>
          <w:sz w:val="24"/>
          <w:szCs w:val="24"/>
        </w:rPr>
        <w:drawing>
          <wp:inline distT="0" distB="0" distL="0" distR="0">
            <wp:extent cx="5223510" cy="5015865"/>
            <wp:effectExtent l="19050" t="0" r="0" b="0"/>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noChangeArrowheads="1"/>
                    </pic:cNvPicPr>
                  </pic:nvPicPr>
                  <pic:blipFill>
                    <a:blip r:embed="rId78"/>
                    <a:srcRect/>
                    <a:stretch>
                      <a:fillRect/>
                    </a:stretch>
                  </pic:blipFill>
                  <pic:spPr>
                    <a:xfrm>
                      <a:off x="0" y="0"/>
                      <a:ext cx="5224669" cy="5017566"/>
                    </a:xfrm>
                    <a:prstGeom prst="rect">
                      <a:avLst/>
                    </a:prstGeom>
                    <a:noFill/>
                    <a:ln w="9525">
                      <a:noFill/>
                      <a:miter lim="800000"/>
                      <a:headEnd/>
                      <a:tailEnd/>
                    </a:ln>
                  </pic:spPr>
                </pic:pic>
              </a:graphicData>
            </a:graphic>
          </wp:inline>
        </w:drawing>
      </w:r>
    </w:p>
    <w:p>
      <w:pPr>
        <w:spacing w:line="360" w:lineRule="auto"/>
        <w:ind w:left="-1"/>
        <w:rPr>
          <w:rFonts w:ascii="Times New Roman" w:hAnsi="Times New Roman"/>
          <w:b/>
          <w:sz w:val="24"/>
          <w:szCs w:val="24"/>
        </w:rPr>
        <w:sectPr>
          <w:footerReference r:id="rId8" w:type="default"/>
          <w:pgSz w:w="11906" w:h="16838"/>
          <w:pgMar w:top="1440" w:right="1800" w:bottom="1440" w:left="1800" w:header="851" w:footer="992" w:gutter="0"/>
          <w:cols w:space="720" w:num="1"/>
          <w:docGrid w:type="lines" w:linePitch="312" w:charSpace="0"/>
        </w:sectPr>
      </w:pPr>
    </w:p>
    <w:p>
      <w:pPr>
        <w:spacing w:line="360" w:lineRule="auto"/>
        <w:ind w:left="-1"/>
        <w:rPr>
          <w:rFonts w:ascii="Times New Roman" w:hAnsi="Times New Roman"/>
          <w:b/>
          <w:sz w:val="24"/>
          <w:szCs w:val="24"/>
        </w:rPr>
      </w:pPr>
      <w:r>
        <w:rPr>
          <w:rFonts w:hint="eastAsia" w:ascii="Times New Roman" w:hAnsi="Times New Roman"/>
          <w:b/>
          <w:sz w:val="24"/>
          <w:szCs w:val="24"/>
        </w:rPr>
        <w:t>附图4广西壮族自治区海洋主体功能区规划图</w:t>
      </w:r>
    </w:p>
    <w:p>
      <w:pPr>
        <w:spacing w:line="360" w:lineRule="auto"/>
        <w:ind w:left="-1"/>
        <w:jc w:val="center"/>
        <w:rPr>
          <w:rFonts w:ascii="Times New Roman" w:hAnsi="Times New Roman"/>
          <w:sz w:val="24"/>
          <w:szCs w:val="24"/>
        </w:rPr>
      </w:pPr>
      <w:r>
        <w:rPr>
          <w:rFonts w:hint="eastAsia" w:ascii="Times New Roman" w:hAnsi="Times New Roman"/>
          <w:b/>
          <w:sz w:val="24"/>
          <w:szCs w:val="24"/>
        </w:rPr>
        <w:drawing>
          <wp:inline distT="0" distB="0" distL="114300" distR="114300">
            <wp:extent cx="7761605" cy="5160645"/>
            <wp:effectExtent l="0" t="0" r="10795" b="1905"/>
            <wp:docPr id="9" name="图片 9" descr="涠洲-主体功能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涠洲-主体功能区"/>
                    <pic:cNvPicPr>
                      <a:picLocks noChangeAspect="1"/>
                    </pic:cNvPicPr>
                  </pic:nvPicPr>
                  <pic:blipFill>
                    <a:blip r:embed="rId79"/>
                    <a:stretch>
                      <a:fillRect/>
                    </a:stretch>
                  </pic:blipFill>
                  <pic:spPr>
                    <a:xfrm>
                      <a:off x="0" y="0"/>
                      <a:ext cx="7761605" cy="5160645"/>
                    </a:xfrm>
                    <a:prstGeom prst="rect">
                      <a:avLst/>
                    </a:prstGeom>
                  </pic:spPr>
                </pic:pic>
              </a:graphicData>
            </a:graphic>
          </wp:inline>
        </w:drawing>
      </w:r>
    </w:p>
    <w:p>
      <w:pPr>
        <w:spacing w:line="360" w:lineRule="auto"/>
        <w:ind w:firstLine="480"/>
        <w:rPr>
          <w:rFonts w:hAnsi="宋体"/>
          <w:b/>
          <w:sz w:val="24"/>
          <w:szCs w:val="24"/>
        </w:rPr>
        <w:sectPr>
          <w:pgSz w:w="16838" w:h="11906" w:orient="landscape"/>
          <w:pgMar w:top="1519" w:right="1327" w:bottom="1349" w:left="1327" w:header="851" w:footer="992" w:gutter="0"/>
          <w:cols w:space="720" w:num="1"/>
          <w:docGrid w:type="lines" w:linePitch="312" w:charSpace="0"/>
        </w:sectPr>
      </w:pPr>
    </w:p>
    <w:p>
      <w:pPr>
        <w:spacing w:line="360" w:lineRule="auto"/>
        <w:ind w:left="1" w:leftChars="-135" w:hanging="284" w:hangingChars="118"/>
        <w:rPr>
          <w:rFonts w:ascii="Times New Roman" w:hAnsi="Times New Roman"/>
          <w:b/>
          <w:sz w:val="24"/>
          <w:szCs w:val="24"/>
        </w:rPr>
      </w:pPr>
      <w:r>
        <w:rPr>
          <w:rFonts w:hint="eastAsia" w:ascii="Times New Roman" w:hAnsi="Times New Roman"/>
          <w:b/>
          <w:sz w:val="24"/>
          <w:szCs w:val="24"/>
        </w:rPr>
        <w:t>附件1  委托书</w:t>
      </w:r>
    </w:p>
    <w:p>
      <w:pPr>
        <w:widowControl/>
        <w:spacing w:line="480" w:lineRule="auto"/>
        <w:jc w:val="center"/>
        <w:rPr>
          <w:rFonts w:hint="eastAsia" w:ascii="Times New Roman" w:hAnsi="Times New Roman"/>
          <w:color w:val="auto"/>
        </w:rPr>
      </w:pPr>
    </w:p>
    <w:p>
      <w:pPr>
        <w:widowControl/>
        <w:spacing w:line="480" w:lineRule="auto"/>
        <w:jc w:val="center"/>
        <w:rPr>
          <w:rFonts w:hint="eastAsia" w:ascii="Times New Roman" w:hAnsi="Times New Roman"/>
          <w:color w:val="auto"/>
        </w:rPr>
      </w:pPr>
    </w:p>
    <w:p>
      <w:pPr>
        <w:widowControl/>
        <w:spacing w:line="480" w:lineRule="auto"/>
        <w:jc w:val="center"/>
        <w:rPr>
          <w:rFonts w:hint="eastAsia" w:ascii="Times New Roman" w:hAnsi="Times New Roman"/>
          <w:color w:val="auto"/>
        </w:rPr>
      </w:pPr>
    </w:p>
    <w:p>
      <w:pPr>
        <w:widowControl/>
        <w:spacing w:line="480" w:lineRule="auto"/>
        <w:jc w:val="center"/>
        <w:rPr>
          <w:rFonts w:hint="eastAsia" w:ascii="Times New Roman" w:hAnsi="Times New Roman"/>
          <w:b/>
          <w:bCs/>
          <w:color w:val="auto"/>
          <w:sz w:val="24"/>
          <w:szCs w:val="28"/>
        </w:rPr>
      </w:pPr>
      <w:r>
        <w:rPr>
          <w:rFonts w:hint="eastAsia" w:ascii="Times New Roman" w:hAnsi="Times New Roman"/>
          <w:b/>
          <w:bCs/>
          <w:color w:val="auto"/>
          <w:sz w:val="24"/>
          <w:szCs w:val="28"/>
          <w:lang w:eastAsia="zh-CN"/>
        </w:rPr>
        <w:t>项目</w:t>
      </w:r>
      <w:r>
        <w:rPr>
          <w:rFonts w:hint="eastAsia" w:ascii="Times New Roman" w:hAnsi="Times New Roman"/>
          <w:b/>
          <w:bCs/>
          <w:color w:val="auto"/>
          <w:sz w:val="24"/>
          <w:szCs w:val="28"/>
        </w:rPr>
        <w:t>委托书</w:t>
      </w:r>
    </w:p>
    <w:p>
      <w:pPr>
        <w:widowControl/>
        <w:spacing w:line="480" w:lineRule="auto"/>
        <w:jc w:val="center"/>
        <w:rPr>
          <w:rFonts w:hint="eastAsia" w:ascii="Times New Roman" w:hAnsi="Times New Roman"/>
          <w:color w:val="auto"/>
          <w:sz w:val="24"/>
          <w:szCs w:val="28"/>
        </w:rPr>
      </w:pPr>
    </w:p>
    <w:p>
      <w:pPr>
        <w:widowControl/>
        <w:spacing w:line="480" w:lineRule="auto"/>
        <w:jc w:val="center"/>
        <w:rPr>
          <w:rFonts w:hint="eastAsia" w:ascii="Times New Roman" w:hAnsi="Times New Roman"/>
          <w:color w:val="auto"/>
          <w:sz w:val="24"/>
          <w:szCs w:val="28"/>
        </w:rPr>
      </w:pPr>
    </w:p>
    <w:p>
      <w:pPr>
        <w:widowControl/>
        <w:spacing w:line="480" w:lineRule="auto"/>
        <w:jc w:val="left"/>
        <w:rPr>
          <w:rFonts w:hint="eastAsia" w:ascii="Times New Roman" w:hAnsi="Times New Roman" w:eastAsia="宋体"/>
          <w:color w:val="auto"/>
          <w:sz w:val="24"/>
          <w:szCs w:val="28"/>
          <w:lang w:eastAsia="zh-CN"/>
        </w:rPr>
      </w:pPr>
      <w:r>
        <w:rPr>
          <w:rFonts w:hint="eastAsia" w:ascii="Times New Roman" w:hAnsi="Times New Roman"/>
          <w:color w:val="auto"/>
          <w:sz w:val="24"/>
          <w:szCs w:val="28"/>
        </w:rPr>
        <w:t>广西中冠智合生态环境有限公司</w:t>
      </w:r>
      <w:r>
        <w:rPr>
          <w:rFonts w:hint="eastAsia" w:ascii="Times New Roman" w:hAnsi="Times New Roman"/>
          <w:color w:val="auto"/>
          <w:sz w:val="24"/>
          <w:szCs w:val="28"/>
          <w:lang w:eastAsia="zh-CN"/>
        </w:rPr>
        <w:t>：</w:t>
      </w:r>
    </w:p>
    <w:p>
      <w:pPr>
        <w:widowControl/>
        <w:spacing w:line="480" w:lineRule="auto"/>
        <w:ind w:firstLine="480" w:firstLineChars="200"/>
        <w:jc w:val="left"/>
        <w:rPr>
          <w:rFonts w:hint="eastAsia" w:ascii="Times New Roman" w:hAnsi="Times New Roman"/>
          <w:color w:val="auto"/>
          <w:sz w:val="24"/>
          <w:szCs w:val="28"/>
        </w:rPr>
      </w:pPr>
      <w:r>
        <w:rPr>
          <w:rFonts w:hint="eastAsia" w:ascii="Times New Roman" w:hAnsi="Times New Roman"/>
          <w:color w:val="auto"/>
          <w:sz w:val="24"/>
          <w:szCs w:val="28"/>
        </w:rPr>
        <w:t>根据《中华人民共和国海域使用管理法》和《海域使用论证管理规定》的有关规定，我单位拟建设的钦州港30万吨级油码头拖轮临时应急通道项目需编制海域使用论证报告，现委托贵司根据国家有关法律、法规的要求编制该项目海域使用论证报告书。</w:t>
      </w:r>
    </w:p>
    <w:p>
      <w:pPr>
        <w:widowControl/>
        <w:spacing w:line="480" w:lineRule="auto"/>
        <w:ind w:firstLine="480" w:firstLineChars="200"/>
        <w:jc w:val="left"/>
        <w:rPr>
          <w:rFonts w:hint="eastAsia" w:ascii="Times New Roman" w:hAnsi="Times New Roman"/>
          <w:color w:val="auto"/>
          <w:sz w:val="24"/>
          <w:szCs w:val="28"/>
          <w:lang w:eastAsia="zh-CN"/>
        </w:rPr>
      </w:pPr>
      <w:r>
        <w:rPr>
          <w:rFonts w:hint="eastAsia" w:ascii="Times New Roman" w:hAnsi="Times New Roman"/>
          <w:color w:val="auto"/>
          <w:sz w:val="24"/>
          <w:szCs w:val="28"/>
        </w:rPr>
        <w:t>特此委托</w:t>
      </w:r>
      <w:r>
        <w:rPr>
          <w:rFonts w:hint="eastAsia" w:ascii="Times New Roman" w:hAnsi="Times New Roman"/>
          <w:color w:val="auto"/>
          <w:sz w:val="24"/>
          <w:szCs w:val="28"/>
          <w:lang w:eastAsia="zh-CN"/>
        </w:rPr>
        <w:t>！</w:t>
      </w:r>
    </w:p>
    <w:p>
      <w:pPr>
        <w:widowControl/>
        <w:spacing w:line="480" w:lineRule="auto"/>
        <w:ind w:firstLine="480" w:firstLineChars="200"/>
        <w:jc w:val="left"/>
        <w:rPr>
          <w:rFonts w:hint="eastAsia" w:ascii="Times New Roman" w:hAnsi="Times New Roman"/>
          <w:color w:val="auto"/>
          <w:sz w:val="24"/>
          <w:szCs w:val="28"/>
          <w:lang w:eastAsia="zh-CN"/>
        </w:rPr>
      </w:pPr>
    </w:p>
    <w:p>
      <w:pPr>
        <w:widowControl/>
        <w:spacing w:line="480" w:lineRule="auto"/>
        <w:ind w:firstLine="480" w:firstLineChars="200"/>
        <w:jc w:val="left"/>
        <w:rPr>
          <w:rFonts w:hint="eastAsia" w:ascii="Times New Roman" w:hAnsi="Times New Roman"/>
          <w:color w:val="auto"/>
          <w:sz w:val="24"/>
          <w:szCs w:val="28"/>
          <w:lang w:eastAsia="zh-CN"/>
        </w:rPr>
      </w:pPr>
    </w:p>
    <w:p>
      <w:pPr>
        <w:widowControl/>
        <w:spacing w:line="480" w:lineRule="auto"/>
        <w:jc w:val="right"/>
        <w:rPr>
          <w:rFonts w:hint="eastAsia" w:ascii="Times New Roman" w:hAnsi="Times New Roman"/>
          <w:color w:val="auto"/>
          <w:sz w:val="24"/>
          <w:szCs w:val="28"/>
        </w:rPr>
      </w:pPr>
      <w:r>
        <w:rPr>
          <w:rFonts w:hint="eastAsia" w:ascii="Times New Roman" w:hAnsi="Times New Roman"/>
          <w:color w:val="auto"/>
          <w:sz w:val="24"/>
          <w:szCs w:val="28"/>
        </w:rPr>
        <w:t>广西钦州保税港区泰港石化码头有限公司</w:t>
      </w:r>
    </w:p>
    <w:p>
      <w:pPr>
        <w:widowControl/>
        <w:spacing w:line="480" w:lineRule="auto"/>
        <w:jc w:val="right"/>
        <w:rPr>
          <w:rFonts w:hint="eastAsia" w:ascii="Times New Roman" w:hAnsi="Times New Roman"/>
          <w:color w:val="auto"/>
          <w:sz w:val="24"/>
          <w:szCs w:val="28"/>
        </w:rPr>
      </w:pPr>
      <w:r>
        <w:rPr>
          <w:rFonts w:hint="eastAsia" w:ascii="Times New Roman" w:hAnsi="Times New Roman"/>
          <w:color w:val="auto"/>
          <w:sz w:val="24"/>
          <w:szCs w:val="28"/>
        </w:rPr>
        <w:t>202</w:t>
      </w:r>
      <w:r>
        <w:rPr>
          <w:rFonts w:hint="eastAsia" w:ascii="Times New Roman" w:hAnsi="Times New Roman"/>
          <w:color w:val="auto"/>
          <w:sz w:val="24"/>
          <w:szCs w:val="28"/>
          <w:lang w:val="en-US" w:eastAsia="zh-CN"/>
        </w:rPr>
        <w:t>3</w:t>
      </w:r>
      <w:r>
        <w:rPr>
          <w:rFonts w:hint="eastAsia" w:ascii="Times New Roman" w:hAnsi="Times New Roman"/>
          <w:color w:val="auto"/>
          <w:sz w:val="24"/>
          <w:szCs w:val="28"/>
        </w:rPr>
        <w:t>年</w:t>
      </w:r>
      <w:r>
        <w:rPr>
          <w:rFonts w:hint="eastAsia" w:ascii="Times New Roman" w:hAnsi="Times New Roman"/>
          <w:color w:val="auto"/>
          <w:sz w:val="24"/>
          <w:szCs w:val="28"/>
          <w:lang w:val="en-US" w:eastAsia="zh-CN"/>
        </w:rPr>
        <w:t>11</w:t>
      </w:r>
      <w:r>
        <w:rPr>
          <w:rFonts w:hint="eastAsia" w:ascii="Times New Roman" w:hAnsi="Times New Roman"/>
          <w:color w:val="auto"/>
          <w:sz w:val="24"/>
          <w:szCs w:val="28"/>
        </w:rPr>
        <w:t>月</w:t>
      </w:r>
      <w:r>
        <w:rPr>
          <w:rFonts w:hint="eastAsia" w:ascii="Times New Roman" w:hAnsi="Times New Roman"/>
          <w:color w:val="auto"/>
          <w:sz w:val="24"/>
          <w:szCs w:val="28"/>
          <w:lang w:val="en-US" w:eastAsia="zh-CN"/>
        </w:rPr>
        <w:t>15</w:t>
      </w:r>
      <w:r>
        <w:rPr>
          <w:rFonts w:hint="eastAsia" w:ascii="Times New Roman" w:hAnsi="Times New Roman"/>
          <w:color w:val="auto"/>
          <w:sz w:val="24"/>
          <w:szCs w:val="28"/>
        </w:rPr>
        <w:t>日</w:t>
      </w:r>
    </w:p>
    <w:p>
      <w:pPr>
        <w:widowControl/>
        <w:spacing w:line="480" w:lineRule="auto"/>
        <w:jc w:val="left"/>
        <w:rPr>
          <w:rFonts w:ascii="Times New Roman" w:hAnsi="Times New Roman"/>
        </w:rPr>
      </w:pPr>
    </w:p>
    <w:p>
      <w:pPr>
        <w:widowControl/>
        <w:spacing w:line="480" w:lineRule="auto"/>
        <w:jc w:val="left"/>
        <w:rPr>
          <w:rFonts w:hint="eastAsia" w:ascii="Times New Roman" w:hAnsi="Times New Roman"/>
          <w:b/>
          <w:sz w:val="24"/>
          <w:szCs w:val="24"/>
        </w:rPr>
      </w:pPr>
      <w:r>
        <w:rPr>
          <w:rFonts w:ascii="Times New Roman" w:hAnsi="Times New Roman"/>
        </w:rPr>
        <w:br w:type="page"/>
      </w:r>
      <w:r>
        <w:rPr>
          <w:rFonts w:hint="eastAsia" w:ascii="Times New Roman" w:hAnsi="Times New Roman"/>
          <w:b/>
          <w:sz w:val="24"/>
          <w:szCs w:val="24"/>
        </w:rPr>
        <w:t>附件2现场勘察记录表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9"/>
        <w:gridCol w:w="2299"/>
        <w:gridCol w:w="2299"/>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项目名称</w:t>
            </w:r>
          </w:p>
        </w:tc>
        <w:tc>
          <w:tcPr>
            <w:tcW w:w="6898" w:type="dxa"/>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b w:val="0"/>
                <w:bCs/>
                <w:color w:val="auto"/>
                <w:sz w:val="24"/>
                <w:szCs w:val="24"/>
                <w:vertAlign w:val="baseline"/>
              </w:rPr>
            </w:pPr>
            <w:r>
              <w:rPr>
                <w:rFonts w:hint="eastAsia" w:ascii="Times New Roman" w:hAnsi="Times New Roman"/>
                <w:b w:val="0"/>
                <w:bCs/>
                <w:color w:val="auto"/>
                <w:sz w:val="24"/>
                <w:szCs w:val="24"/>
                <w:vertAlign w:val="baseline"/>
              </w:rPr>
              <w:t>钦州港30万吨级油码头拖轮临时应急通道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勘察人员</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lang w:eastAsia="zh-CN"/>
              </w:rPr>
              <w:t>谢懂、梁骥</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勘察负责单位</w:t>
            </w:r>
          </w:p>
        </w:tc>
        <w:tc>
          <w:tcPr>
            <w:tcW w:w="23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b w:val="0"/>
                <w:bCs/>
                <w:color w:val="auto"/>
                <w:sz w:val="24"/>
                <w:szCs w:val="24"/>
                <w:vertAlign w:val="baseline"/>
              </w:rPr>
            </w:pPr>
            <w:r>
              <w:rPr>
                <w:rFonts w:hint="eastAsia" w:ascii="Times New Roman" w:hAnsi="Times New Roman"/>
                <w:b w:val="0"/>
                <w:bCs/>
                <w:color w:val="auto"/>
                <w:sz w:val="24"/>
                <w:szCs w:val="24"/>
                <w:vertAlign w:val="baseline"/>
              </w:rPr>
              <w:t>广西中冠智合生态环境有限公司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勘察时间</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b w:val="0"/>
                <w:bCs/>
                <w:color w:val="auto"/>
                <w:sz w:val="24"/>
                <w:szCs w:val="24"/>
                <w:vertAlign w:val="baseline"/>
                <w:lang w:val="en-US" w:eastAsia="zh-CN"/>
              </w:rPr>
            </w:pPr>
            <w:r>
              <w:rPr>
                <w:rFonts w:hint="eastAsia" w:ascii="Times New Roman" w:hAnsi="Times New Roman"/>
                <w:b w:val="0"/>
                <w:bCs/>
                <w:color w:val="auto"/>
                <w:sz w:val="24"/>
                <w:szCs w:val="24"/>
                <w:vertAlign w:val="baseline"/>
                <w:lang w:val="en-US" w:eastAsia="zh-CN"/>
              </w:rPr>
              <w:t>2023.11.20</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勘察地点</w:t>
            </w:r>
          </w:p>
        </w:tc>
        <w:tc>
          <w:tcPr>
            <w:tcW w:w="23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lang w:eastAsia="zh-CN"/>
              </w:rPr>
              <w:t>项目用海区级周边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勘察内容简述</w:t>
            </w:r>
          </w:p>
        </w:tc>
        <w:tc>
          <w:tcPr>
            <w:tcW w:w="6898" w:type="dxa"/>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rPr>
              <w:t>1、项目地理位置，采用GPS 定位与核准</w:t>
            </w:r>
            <w:r>
              <w:rPr>
                <w:rFonts w:hint="eastAsia" w:ascii="Times New Roman" w:hAnsi="Times New Roman"/>
                <w:b w:val="0"/>
                <w:bCs/>
                <w:color w:val="auto"/>
                <w:sz w:val="24"/>
                <w:szCs w:val="24"/>
                <w:vertAlign w:val="baseline"/>
                <w:lang w:eastAsia="zh-CN"/>
              </w:rPr>
              <w:t>；</w:t>
            </w:r>
          </w:p>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rPr>
              <w:t>2、记录项目所在海域及其周边环境现状概况与开发利用情况</w:t>
            </w:r>
            <w:r>
              <w:rPr>
                <w:rFonts w:hint="eastAsia" w:ascii="Times New Roman" w:hAnsi="Times New Roman"/>
                <w:b w:val="0"/>
                <w:bCs/>
                <w:color w:val="auto"/>
                <w:sz w:val="24"/>
                <w:szCs w:val="24"/>
                <w:vertAlign w:val="baseline"/>
                <w:lang w:eastAsia="zh-CN"/>
              </w:rPr>
              <w:t>；</w:t>
            </w:r>
          </w:p>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rPr>
              <w:t>3、项目现场及其周边现场照片</w:t>
            </w:r>
            <w:r>
              <w:rPr>
                <w:rFonts w:hint="eastAsia" w:ascii="Times New Roman" w:hAnsi="Times New Roman"/>
                <w:b w:val="0"/>
                <w:bCs/>
                <w:color w:val="auto"/>
                <w:sz w:val="24"/>
                <w:szCs w:val="24"/>
                <w:vertAlign w:val="baseline"/>
                <w:lang w:eastAsia="zh-CN"/>
              </w:rPr>
              <w:t>；</w:t>
            </w:r>
          </w:p>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rPr>
              <w:t>4、了解目写阔边利益者的关系</w:t>
            </w:r>
            <w:r>
              <w:rPr>
                <w:rFonts w:hint="eastAsia" w:ascii="Times New Roman" w:hAnsi="Times New Roman"/>
                <w:b w:val="0"/>
                <w:bCs/>
                <w:color w:val="auto"/>
                <w:sz w:val="24"/>
                <w:szCs w:val="24"/>
                <w:vertAlign w:val="baseline"/>
                <w:lang w:eastAsia="zh-CN"/>
              </w:rPr>
              <w:t>；</w:t>
            </w:r>
          </w:p>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Times New Roman" w:hAnsi="Times New Roman"/>
                <w:b w:val="0"/>
                <w:bCs/>
                <w:color w:val="auto"/>
                <w:sz w:val="24"/>
                <w:szCs w:val="24"/>
                <w:vertAlign w:val="baseline"/>
              </w:rPr>
            </w:pPr>
            <w:r>
              <w:rPr>
                <w:rFonts w:hint="eastAsia" w:ascii="Times New Roman" w:hAnsi="Times New Roman"/>
                <w:b w:val="0"/>
                <w:bCs/>
                <w:color w:val="auto"/>
                <w:sz w:val="24"/>
                <w:szCs w:val="24"/>
                <w:vertAlign w:val="baseline"/>
              </w:rPr>
              <w:t>5、收集相关资料，包括自然概况、社会概括及相关规划等内容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勘察设备</w:t>
            </w:r>
          </w:p>
        </w:tc>
        <w:tc>
          <w:tcPr>
            <w:tcW w:w="6898" w:type="dxa"/>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b w:val="0"/>
                <w:bCs/>
                <w:color w:val="auto"/>
                <w:sz w:val="24"/>
                <w:szCs w:val="24"/>
                <w:vertAlign w:val="baseline"/>
              </w:rPr>
            </w:pPr>
            <w:r>
              <w:rPr>
                <w:rFonts w:hint="eastAsia" w:ascii="Times New Roman" w:hAnsi="Times New Roman"/>
                <w:b w:val="0"/>
                <w:bCs/>
                <w:color w:val="auto"/>
                <w:sz w:val="24"/>
                <w:szCs w:val="24"/>
                <w:vertAlign w:val="baseline"/>
              </w:rPr>
              <w:t>便携式 GPS、无人机、望远镜、相机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bCs w:val="0"/>
                <w:color w:val="auto"/>
                <w:sz w:val="24"/>
                <w:szCs w:val="24"/>
                <w:vertAlign w:val="baseline"/>
                <w:lang w:eastAsia="zh-CN"/>
              </w:rPr>
            </w:pPr>
            <w:r>
              <w:rPr>
                <w:rFonts w:hint="eastAsia" w:ascii="Times New Roman" w:hAnsi="Times New Roman"/>
                <w:b/>
                <w:bCs w:val="0"/>
                <w:color w:val="auto"/>
                <w:sz w:val="24"/>
                <w:szCs w:val="24"/>
                <w:vertAlign w:val="baseline"/>
                <w:lang w:eastAsia="zh-CN"/>
              </w:rPr>
              <w:t>项目负责人</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lang w:eastAsia="zh-CN"/>
              </w:rPr>
              <w:t>谢懂</w:t>
            </w:r>
          </w:p>
        </w:tc>
        <w:tc>
          <w:tcPr>
            <w:tcW w:w="229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lang w:eastAsia="zh-CN"/>
              </w:rPr>
              <w:t>项目负责人</w:t>
            </w:r>
          </w:p>
        </w:tc>
        <w:tc>
          <w:tcPr>
            <w:tcW w:w="23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 w:val="0"/>
                <w:bCs/>
                <w:color w:val="auto"/>
                <w:sz w:val="24"/>
                <w:szCs w:val="24"/>
                <w:vertAlign w:val="baseline"/>
                <w:lang w:eastAsia="zh-CN"/>
              </w:rPr>
            </w:pPr>
            <w:r>
              <w:rPr>
                <w:rFonts w:hint="eastAsia" w:ascii="Times New Roman" w:hAnsi="Times New Roman"/>
                <w:b w:val="0"/>
                <w:bCs/>
                <w:color w:val="auto"/>
                <w:sz w:val="24"/>
                <w:szCs w:val="24"/>
                <w:vertAlign w:val="baseline"/>
                <w:lang w:eastAsia="zh-CN"/>
              </w:rPr>
              <w:t>梁骥</w:t>
            </w:r>
          </w:p>
        </w:tc>
      </w:tr>
    </w:tbl>
    <w:p>
      <w:pPr>
        <w:widowControl/>
        <w:spacing w:line="480" w:lineRule="auto"/>
        <w:jc w:val="left"/>
        <w:rPr>
          <w:rFonts w:hint="eastAsia" w:ascii="Times New Roman" w:hAnsi="Times New Roman"/>
          <w:b/>
          <w:sz w:val="24"/>
          <w:szCs w:val="24"/>
        </w:rPr>
      </w:pPr>
    </w:p>
    <w:sectPr>
      <w:pgSz w:w="11906" w:h="16838"/>
      <w:pgMar w:top="1440" w:right="1406" w:bottom="1440" w:left="1519"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0000000000000000000"/>
    <w:charset w:val="86"/>
    <w:family w:val="roman"/>
    <w:pitch w:val="default"/>
    <w:sig w:usb0="00000000" w:usb1="00000000" w:usb2="00000000" w:usb3="00000000" w:csb0="00040000" w:csb1="00000000"/>
  </w:font>
  <w:font w:name="Arial">
    <w:panose1 w:val="020B0604020202020204"/>
    <w:charset w:val="00"/>
    <w:family w:val="swiss"/>
    <w:pitch w:val="default"/>
    <w:sig w:usb0="E0002EFF" w:usb1="C000785B" w:usb2="00000009" w:usb3="00000000" w:csb0="400001FF" w:csb1="FFFF0000"/>
  </w:font>
  <w:font w:name="Microsoft JhengHei">
    <w:panose1 w:val="020B0604030504040204"/>
    <w:charset w:val="88"/>
    <w:family w:val="swiss"/>
    <w:pitch w:val="default"/>
    <w:sig w:usb0="000002A7" w:usb1="28CF4400" w:usb2="00000016" w:usb3="00000000" w:csb0="00100009"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w:rPr>
        <w:rFonts w:ascii="Times New Roman" w:hAnsi="Times New Roman"/>
      </w:rPr>
      <w:t>—</w:t>
    </w: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lang w:val="zh-CN"/>
      </w:rPr>
      <w:t>71</w:t>
    </w:r>
    <w:r>
      <w:rPr>
        <w:rFonts w:ascii="Times New Roman" w:hAnsi="Times New Roman"/>
        <w:lang w:val="zh-CN"/>
      </w:rPr>
      <w:fldChar w:fldCharType="end"/>
    </w:r>
    <w:r>
      <w:rPr>
        <w:rFonts w:ascii="Times New Roman" w:hAnsi="Times New Roman"/>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rFonts w:ascii="Times New Roman" w:hAnsi="Times New Roman"/>
        <w:sz w:val="21"/>
        <w:szCs w:val="22"/>
      </w:rPr>
    </w:pPr>
    <w:r>
      <w:rPr>
        <w:rFonts w:ascii="Times New Roman" w:hAnsi="Times New Roman"/>
      </w:rPr>
      <w:t>—</w:t>
    </w: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lang w:val="zh-CN"/>
      </w:rPr>
      <w:t>94</w:t>
    </w:r>
    <w:r>
      <w:rPr>
        <w:rFonts w:ascii="Times New Roman" w:hAnsi="Times New Roman"/>
        <w:lang w:val="zh-CN"/>
      </w:rPr>
      <w:fldChar w:fldCharType="end"/>
    </w:r>
    <w:r>
      <w:rPr>
        <w:rFonts w:ascii="Times New Roman" w:hAnsi="Times New Roman"/>
      </w:rPr>
      <w:t>—</w:t>
    </w:r>
  </w:p>
  <w:p>
    <w:pPr>
      <w:pStyle w:val="14"/>
      <w:jc w:val="center"/>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rFonts w:ascii="Times New Roman" w:hAnsi="Times New Roman"/>
      </w:rPr>
    </w:pPr>
    <w:r>
      <w:rPr>
        <w:rFonts w:ascii="Times New Roman" w:hAnsi="Times New Roman"/>
      </w:rPr>
      <w:t>—</w:t>
    </w: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lang w:val="zh-CN"/>
      </w:rPr>
      <w:t>109</w:t>
    </w:r>
    <w:r>
      <w:rPr>
        <w:rFonts w:ascii="Times New Roman" w:hAnsi="Times New Roman"/>
        <w:lang w:val="zh-CN"/>
      </w:rPr>
      <w:fldChar w:fldCharType="end"/>
    </w:r>
    <w:r>
      <w:rPr>
        <w:rFonts w:ascii="Times New Roman" w:hAnsi="Times New Roman"/>
      </w:rPr>
      <w:t>—</w:t>
    </w:r>
  </w:p>
  <w:p>
    <w:pPr>
      <w:pStyle w:val="14"/>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62578E9"/>
    <w:multiLevelType w:val="multilevel"/>
    <w:tmpl w:val="362578E9"/>
    <w:lvl w:ilvl="0" w:tentative="0">
      <w:start w:val="1"/>
      <w:numFmt w:val="decimal"/>
      <w:pStyle w:val="96"/>
      <w:lvlText w:val="%1."/>
      <w:lvlJc w:val="left"/>
      <w:pPr>
        <w:tabs>
          <w:tab w:val="left" w:pos="420"/>
        </w:tabs>
        <w:ind w:left="420" w:hanging="420"/>
      </w:pPr>
      <w:rPr>
        <w:rFonts w:hint="eastAsia"/>
      </w:rPr>
    </w:lvl>
    <w:lvl w:ilvl="1" w:tentative="0">
      <w:start w:val="2"/>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2U1NGU4MGQ5YTQ4ZmNmYjk5MDZmZDg1MmM3M2Q3MzYifQ=="/>
  </w:docVars>
  <w:rsids>
    <w:rsidRoot w:val="00AD0338"/>
    <w:rsid w:val="00002893"/>
    <w:rsid w:val="00004BF6"/>
    <w:rsid w:val="00005966"/>
    <w:rsid w:val="000077A8"/>
    <w:rsid w:val="0001045F"/>
    <w:rsid w:val="000207C8"/>
    <w:rsid w:val="00026A29"/>
    <w:rsid w:val="000308BE"/>
    <w:rsid w:val="00030A0B"/>
    <w:rsid w:val="00032396"/>
    <w:rsid w:val="00032438"/>
    <w:rsid w:val="00033CD3"/>
    <w:rsid w:val="00034B87"/>
    <w:rsid w:val="000406A8"/>
    <w:rsid w:val="0004083C"/>
    <w:rsid w:val="00042E21"/>
    <w:rsid w:val="00042EDB"/>
    <w:rsid w:val="00043C70"/>
    <w:rsid w:val="000446BB"/>
    <w:rsid w:val="00050D0D"/>
    <w:rsid w:val="0005282E"/>
    <w:rsid w:val="00053215"/>
    <w:rsid w:val="00053FD1"/>
    <w:rsid w:val="00054E81"/>
    <w:rsid w:val="00055710"/>
    <w:rsid w:val="0005595E"/>
    <w:rsid w:val="000608B2"/>
    <w:rsid w:val="00063C2F"/>
    <w:rsid w:val="000648E3"/>
    <w:rsid w:val="00071D22"/>
    <w:rsid w:val="00071DBC"/>
    <w:rsid w:val="0007587A"/>
    <w:rsid w:val="0008045B"/>
    <w:rsid w:val="00081C70"/>
    <w:rsid w:val="00081E1D"/>
    <w:rsid w:val="00082F4F"/>
    <w:rsid w:val="000866FC"/>
    <w:rsid w:val="000904D4"/>
    <w:rsid w:val="00090C01"/>
    <w:rsid w:val="00094083"/>
    <w:rsid w:val="000952D5"/>
    <w:rsid w:val="000961A4"/>
    <w:rsid w:val="000A044C"/>
    <w:rsid w:val="000A1709"/>
    <w:rsid w:val="000A27D6"/>
    <w:rsid w:val="000A3E14"/>
    <w:rsid w:val="000A5B5E"/>
    <w:rsid w:val="000B5DB3"/>
    <w:rsid w:val="000B62AC"/>
    <w:rsid w:val="000B6764"/>
    <w:rsid w:val="000B680E"/>
    <w:rsid w:val="000B76C5"/>
    <w:rsid w:val="000B7A0F"/>
    <w:rsid w:val="000B7A7F"/>
    <w:rsid w:val="000C58BC"/>
    <w:rsid w:val="000D60B8"/>
    <w:rsid w:val="000E0E18"/>
    <w:rsid w:val="000E341E"/>
    <w:rsid w:val="000E3931"/>
    <w:rsid w:val="000E6FAD"/>
    <w:rsid w:val="000F1118"/>
    <w:rsid w:val="001038C3"/>
    <w:rsid w:val="001038DE"/>
    <w:rsid w:val="00104FE2"/>
    <w:rsid w:val="0011087C"/>
    <w:rsid w:val="00110BF5"/>
    <w:rsid w:val="0011350F"/>
    <w:rsid w:val="00113D56"/>
    <w:rsid w:val="00114E5F"/>
    <w:rsid w:val="001160E8"/>
    <w:rsid w:val="00120882"/>
    <w:rsid w:val="0012159C"/>
    <w:rsid w:val="00121D7D"/>
    <w:rsid w:val="00122506"/>
    <w:rsid w:val="00130828"/>
    <w:rsid w:val="00130D9A"/>
    <w:rsid w:val="0013407E"/>
    <w:rsid w:val="00134928"/>
    <w:rsid w:val="00134E55"/>
    <w:rsid w:val="00145AAF"/>
    <w:rsid w:val="00153133"/>
    <w:rsid w:val="001539B6"/>
    <w:rsid w:val="00154E2A"/>
    <w:rsid w:val="0015531E"/>
    <w:rsid w:val="001556E1"/>
    <w:rsid w:val="00161C5B"/>
    <w:rsid w:val="00167B4D"/>
    <w:rsid w:val="00167D30"/>
    <w:rsid w:val="001726BB"/>
    <w:rsid w:val="00177070"/>
    <w:rsid w:val="00183615"/>
    <w:rsid w:val="0018375B"/>
    <w:rsid w:val="00184C85"/>
    <w:rsid w:val="001857F9"/>
    <w:rsid w:val="00190FC4"/>
    <w:rsid w:val="00192102"/>
    <w:rsid w:val="00194B82"/>
    <w:rsid w:val="00197F1C"/>
    <w:rsid w:val="001A1894"/>
    <w:rsid w:val="001A42D6"/>
    <w:rsid w:val="001A7131"/>
    <w:rsid w:val="001B3752"/>
    <w:rsid w:val="001C26F5"/>
    <w:rsid w:val="001C2C10"/>
    <w:rsid w:val="001C338D"/>
    <w:rsid w:val="001C3CFA"/>
    <w:rsid w:val="001C4CD0"/>
    <w:rsid w:val="001C53CE"/>
    <w:rsid w:val="001C63D9"/>
    <w:rsid w:val="001C7201"/>
    <w:rsid w:val="001D1E6C"/>
    <w:rsid w:val="001D42CD"/>
    <w:rsid w:val="001D52B0"/>
    <w:rsid w:val="001E020D"/>
    <w:rsid w:val="001E162A"/>
    <w:rsid w:val="001E2B95"/>
    <w:rsid w:val="001E3278"/>
    <w:rsid w:val="001F310C"/>
    <w:rsid w:val="001F3ADA"/>
    <w:rsid w:val="001F4D71"/>
    <w:rsid w:val="00205399"/>
    <w:rsid w:val="002116DE"/>
    <w:rsid w:val="0021329E"/>
    <w:rsid w:val="002171E7"/>
    <w:rsid w:val="00224AEF"/>
    <w:rsid w:val="00230677"/>
    <w:rsid w:val="00235A10"/>
    <w:rsid w:val="0023684D"/>
    <w:rsid w:val="0023727D"/>
    <w:rsid w:val="00237B2E"/>
    <w:rsid w:val="002421E4"/>
    <w:rsid w:val="00242BD2"/>
    <w:rsid w:val="00243AC8"/>
    <w:rsid w:val="002443CA"/>
    <w:rsid w:val="00250860"/>
    <w:rsid w:val="00251C32"/>
    <w:rsid w:val="0025298D"/>
    <w:rsid w:val="002560BC"/>
    <w:rsid w:val="00256452"/>
    <w:rsid w:val="00263A1F"/>
    <w:rsid w:val="00264056"/>
    <w:rsid w:val="0026563F"/>
    <w:rsid w:val="00271D8A"/>
    <w:rsid w:val="00271EAA"/>
    <w:rsid w:val="00272EDB"/>
    <w:rsid w:val="00274372"/>
    <w:rsid w:val="00276013"/>
    <w:rsid w:val="00276A18"/>
    <w:rsid w:val="0027711D"/>
    <w:rsid w:val="00277CA2"/>
    <w:rsid w:val="00280ACD"/>
    <w:rsid w:val="00280D43"/>
    <w:rsid w:val="00282F7F"/>
    <w:rsid w:val="00285548"/>
    <w:rsid w:val="00286938"/>
    <w:rsid w:val="00286CA0"/>
    <w:rsid w:val="00287FA2"/>
    <w:rsid w:val="002A1CBF"/>
    <w:rsid w:val="002A2D8E"/>
    <w:rsid w:val="002A3D78"/>
    <w:rsid w:val="002A3E7B"/>
    <w:rsid w:val="002A4660"/>
    <w:rsid w:val="002B02F4"/>
    <w:rsid w:val="002B0987"/>
    <w:rsid w:val="002B0BD1"/>
    <w:rsid w:val="002B15DA"/>
    <w:rsid w:val="002B38DD"/>
    <w:rsid w:val="002B4D31"/>
    <w:rsid w:val="002B77F0"/>
    <w:rsid w:val="002C0C18"/>
    <w:rsid w:val="002C2441"/>
    <w:rsid w:val="002C3888"/>
    <w:rsid w:val="002C48D6"/>
    <w:rsid w:val="002C7288"/>
    <w:rsid w:val="002D2032"/>
    <w:rsid w:val="002D50FF"/>
    <w:rsid w:val="002D61D3"/>
    <w:rsid w:val="002D7B73"/>
    <w:rsid w:val="002E038D"/>
    <w:rsid w:val="002E0AA2"/>
    <w:rsid w:val="002E0E4D"/>
    <w:rsid w:val="002E203B"/>
    <w:rsid w:val="002E4DF2"/>
    <w:rsid w:val="002E53BD"/>
    <w:rsid w:val="002E5532"/>
    <w:rsid w:val="002E64C8"/>
    <w:rsid w:val="002E6C40"/>
    <w:rsid w:val="002E755D"/>
    <w:rsid w:val="002E7D1F"/>
    <w:rsid w:val="002F10BF"/>
    <w:rsid w:val="002F1E8C"/>
    <w:rsid w:val="002F45AE"/>
    <w:rsid w:val="002F4DF7"/>
    <w:rsid w:val="002F5BDD"/>
    <w:rsid w:val="0030126D"/>
    <w:rsid w:val="00301CD3"/>
    <w:rsid w:val="00303608"/>
    <w:rsid w:val="00304845"/>
    <w:rsid w:val="003053EB"/>
    <w:rsid w:val="0031124A"/>
    <w:rsid w:val="00317E63"/>
    <w:rsid w:val="0032438B"/>
    <w:rsid w:val="00324CD5"/>
    <w:rsid w:val="00334C07"/>
    <w:rsid w:val="00340403"/>
    <w:rsid w:val="00343C94"/>
    <w:rsid w:val="0034606D"/>
    <w:rsid w:val="0034784A"/>
    <w:rsid w:val="00347E37"/>
    <w:rsid w:val="00351284"/>
    <w:rsid w:val="00352AE5"/>
    <w:rsid w:val="0035422D"/>
    <w:rsid w:val="0035627B"/>
    <w:rsid w:val="00360042"/>
    <w:rsid w:val="00360505"/>
    <w:rsid w:val="00360E98"/>
    <w:rsid w:val="00363678"/>
    <w:rsid w:val="00364E1A"/>
    <w:rsid w:val="003657C5"/>
    <w:rsid w:val="00366FB9"/>
    <w:rsid w:val="00367142"/>
    <w:rsid w:val="00370A19"/>
    <w:rsid w:val="00371CB2"/>
    <w:rsid w:val="00372A29"/>
    <w:rsid w:val="003767DA"/>
    <w:rsid w:val="00382C05"/>
    <w:rsid w:val="0039065A"/>
    <w:rsid w:val="003949C7"/>
    <w:rsid w:val="00395B49"/>
    <w:rsid w:val="00395B5D"/>
    <w:rsid w:val="003963DA"/>
    <w:rsid w:val="003A1520"/>
    <w:rsid w:val="003A39E6"/>
    <w:rsid w:val="003A5B4F"/>
    <w:rsid w:val="003A7A56"/>
    <w:rsid w:val="003B31CE"/>
    <w:rsid w:val="003B534E"/>
    <w:rsid w:val="003B5EAD"/>
    <w:rsid w:val="003B7854"/>
    <w:rsid w:val="003C20E1"/>
    <w:rsid w:val="003C59C7"/>
    <w:rsid w:val="003C7B53"/>
    <w:rsid w:val="003D1E4D"/>
    <w:rsid w:val="003D31C7"/>
    <w:rsid w:val="003D657C"/>
    <w:rsid w:val="003D79DD"/>
    <w:rsid w:val="003E2C03"/>
    <w:rsid w:val="003E58B5"/>
    <w:rsid w:val="003E6251"/>
    <w:rsid w:val="003E75C4"/>
    <w:rsid w:val="003F1738"/>
    <w:rsid w:val="003F26BB"/>
    <w:rsid w:val="003F3BD8"/>
    <w:rsid w:val="00405028"/>
    <w:rsid w:val="00406D44"/>
    <w:rsid w:val="00407EE1"/>
    <w:rsid w:val="00412CCA"/>
    <w:rsid w:val="00413459"/>
    <w:rsid w:val="00416957"/>
    <w:rsid w:val="004171CE"/>
    <w:rsid w:val="00420020"/>
    <w:rsid w:val="0042034A"/>
    <w:rsid w:val="00421F7B"/>
    <w:rsid w:val="004225C2"/>
    <w:rsid w:val="00422DBC"/>
    <w:rsid w:val="004252A3"/>
    <w:rsid w:val="00425BEC"/>
    <w:rsid w:val="0043381B"/>
    <w:rsid w:val="00434671"/>
    <w:rsid w:val="0043628D"/>
    <w:rsid w:val="0044011F"/>
    <w:rsid w:val="00440ABF"/>
    <w:rsid w:val="004412D8"/>
    <w:rsid w:val="00441D6B"/>
    <w:rsid w:val="004476D5"/>
    <w:rsid w:val="00453D56"/>
    <w:rsid w:val="00454940"/>
    <w:rsid w:val="00454DB7"/>
    <w:rsid w:val="0046392A"/>
    <w:rsid w:val="00463CF2"/>
    <w:rsid w:val="0046546F"/>
    <w:rsid w:val="00465C28"/>
    <w:rsid w:val="00467D0B"/>
    <w:rsid w:val="0047380B"/>
    <w:rsid w:val="00473D75"/>
    <w:rsid w:val="00475370"/>
    <w:rsid w:val="00480653"/>
    <w:rsid w:val="00483424"/>
    <w:rsid w:val="004838B0"/>
    <w:rsid w:val="00483996"/>
    <w:rsid w:val="00486636"/>
    <w:rsid w:val="0049279C"/>
    <w:rsid w:val="00492C72"/>
    <w:rsid w:val="00494D45"/>
    <w:rsid w:val="004A0D51"/>
    <w:rsid w:val="004A2659"/>
    <w:rsid w:val="004A2D9F"/>
    <w:rsid w:val="004A2F13"/>
    <w:rsid w:val="004A5C00"/>
    <w:rsid w:val="004A6D26"/>
    <w:rsid w:val="004B04BE"/>
    <w:rsid w:val="004B12B9"/>
    <w:rsid w:val="004B2C4D"/>
    <w:rsid w:val="004B4040"/>
    <w:rsid w:val="004B4693"/>
    <w:rsid w:val="004C4762"/>
    <w:rsid w:val="004D0AE5"/>
    <w:rsid w:val="004D1400"/>
    <w:rsid w:val="004D3B94"/>
    <w:rsid w:val="004E05E7"/>
    <w:rsid w:val="004E4C3D"/>
    <w:rsid w:val="004E75E4"/>
    <w:rsid w:val="004F0A51"/>
    <w:rsid w:val="004F42F2"/>
    <w:rsid w:val="004F55F9"/>
    <w:rsid w:val="004F6A39"/>
    <w:rsid w:val="005007A9"/>
    <w:rsid w:val="00501F5D"/>
    <w:rsid w:val="00505D77"/>
    <w:rsid w:val="00506864"/>
    <w:rsid w:val="00512C91"/>
    <w:rsid w:val="00515982"/>
    <w:rsid w:val="00516A87"/>
    <w:rsid w:val="00521AC0"/>
    <w:rsid w:val="00523992"/>
    <w:rsid w:val="00530859"/>
    <w:rsid w:val="005314E3"/>
    <w:rsid w:val="00533014"/>
    <w:rsid w:val="00533348"/>
    <w:rsid w:val="00533E23"/>
    <w:rsid w:val="005349AD"/>
    <w:rsid w:val="00541CA5"/>
    <w:rsid w:val="005522DF"/>
    <w:rsid w:val="005528F5"/>
    <w:rsid w:val="00553C3A"/>
    <w:rsid w:val="0056045E"/>
    <w:rsid w:val="00561384"/>
    <w:rsid w:val="005654D1"/>
    <w:rsid w:val="005671EF"/>
    <w:rsid w:val="005715F0"/>
    <w:rsid w:val="0057240A"/>
    <w:rsid w:val="00574CC2"/>
    <w:rsid w:val="0058075C"/>
    <w:rsid w:val="00580F02"/>
    <w:rsid w:val="005850D4"/>
    <w:rsid w:val="00586B10"/>
    <w:rsid w:val="00587319"/>
    <w:rsid w:val="005878DD"/>
    <w:rsid w:val="005908C8"/>
    <w:rsid w:val="00591CA0"/>
    <w:rsid w:val="0059450B"/>
    <w:rsid w:val="005957EA"/>
    <w:rsid w:val="005964F7"/>
    <w:rsid w:val="005A2DE7"/>
    <w:rsid w:val="005A36B6"/>
    <w:rsid w:val="005A38D0"/>
    <w:rsid w:val="005A6C33"/>
    <w:rsid w:val="005B5877"/>
    <w:rsid w:val="005C2272"/>
    <w:rsid w:val="005C3022"/>
    <w:rsid w:val="005C4F05"/>
    <w:rsid w:val="005C5AC5"/>
    <w:rsid w:val="005D1197"/>
    <w:rsid w:val="005D1334"/>
    <w:rsid w:val="005D2D50"/>
    <w:rsid w:val="005D3E26"/>
    <w:rsid w:val="005D7C66"/>
    <w:rsid w:val="005E0F10"/>
    <w:rsid w:val="005E12BF"/>
    <w:rsid w:val="005E44EF"/>
    <w:rsid w:val="005E4599"/>
    <w:rsid w:val="005E5427"/>
    <w:rsid w:val="005E6406"/>
    <w:rsid w:val="0060248D"/>
    <w:rsid w:val="00604F87"/>
    <w:rsid w:val="00605316"/>
    <w:rsid w:val="00605476"/>
    <w:rsid w:val="0060566F"/>
    <w:rsid w:val="006065B1"/>
    <w:rsid w:val="0061028F"/>
    <w:rsid w:val="00614B41"/>
    <w:rsid w:val="006159DC"/>
    <w:rsid w:val="0061675B"/>
    <w:rsid w:val="006167D7"/>
    <w:rsid w:val="00617D0F"/>
    <w:rsid w:val="00624151"/>
    <w:rsid w:val="0062526F"/>
    <w:rsid w:val="006254B0"/>
    <w:rsid w:val="006271DE"/>
    <w:rsid w:val="00633374"/>
    <w:rsid w:val="00636C01"/>
    <w:rsid w:val="00641C96"/>
    <w:rsid w:val="00644360"/>
    <w:rsid w:val="00647E1A"/>
    <w:rsid w:val="00650D46"/>
    <w:rsid w:val="00651D9D"/>
    <w:rsid w:val="00653481"/>
    <w:rsid w:val="00656767"/>
    <w:rsid w:val="00656EBF"/>
    <w:rsid w:val="00665FD8"/>
    <w:rsid w:val="0067131B"/>
    <w:rsid w:val="0067323D"/>
    <w:rsid w:val="00673664"/>
    <w:rsid w:val="006754F5"/>
    <w:rsid w:val="00676912"/>
    <w:rsid w:val="00677834"/>
    <w:rsid w:val="00677A34"/>
    <w:rsid w:val="00680812"/>
    <w:rsid w:val="0068411F"/>
    <w:rsid w:val="00693329"/>
    <w:rsid w:val="006935E2"/>
    <w:rsid w:val="0069365F"/>
    <w:rsid w:val="006A0376"/>
    <w:rsid w:val="006A2060"/>
    <w:rsid w:val="006A2234"/>
    <w:rsid w:val="006A4489"/>
    <w:rsid w:val="006A651E"/>
    <w:rsid w:val="006A6BA4"/>
    <w:rsid w:val="006B06D1"/>
    <w:rsid w:val="006B0F96"/>
    <w:rsid w:val="006B19B8"/>
    <w:rsid w:val="006B2AA5"/>
    <w:rsid w:val="006B40A2"/>
    <w:rsid w:val="006B4675"/>
    <w:rsid w:val="006B4EC8"/>
    <w:rsid w:val="006B5883"/>
    <w:rsid w:val="006C3E1F"/>
    <w:rsid w:val="006C66EC"/>
    <w:rsid w:val="006D2C24"/>
    <w:rsid w:val="006D392A"/>
    <w:rsid w:val="006D3E04"/>
    <w:rsid w:val="006D5723"/>
    <w:rsid w:val="006D63D1"/>
    <w:rsid w:val="006E3591"/>
    <w:rsid w:val="006E3DAC"/>
    <w:rsid w:val="006F0AB4"/>
    <w:rsid w:val="006F29C8"/>
    <w:rsid w:val="006F4FAE"/>
    <w:rsid w:val="006F6B87"/>
    <w:rsid w:val="006F6F6D"/>
    <w:rsid w:val="006F79BE"/>
    <w:rsid w:val="00702224"/>
    <w:rsid w:val="00702E61"/>
    <w:rsid w:val="00702FF7"/>
    <w:rsid w:val="00707F0D"/>
    <w:rsid w:val="0071181E"/>
    <w:rsid w:val="00712B43"/>
    <w:rsid w:val="00712B7B"/>
    <w:rsid w:val="00713B42"/>
    <w:rsid w:val="007173E6"/>
    <w:rsid w:val="00717DFD"/>
    <w:rsid w:val="0072314B"/>
    <w:rsid w:val="00726544"/>
    <w:rsid w:val="00726F61"/>
    <w:rsid w:val="00730342"/>
    <w:rsid w:val="00733821"/>
    <w:rsid w:val="007346ED"/>
    <w:rsid w:val="00734B81"/>
    <w:rsid w:val="007404B4"/>
    <w:rsid w:val="00741822"/>
    <w:rsid w:val="00742244"/>
    <w:rsid w:val="0074471A"/>
    <w:rsid w:val="00753440"/>
    <w:rsid w:val="00756347"/>
    <w:rsid w:val="00756F9F"/>
    <w:rsid w:val="00757873"/>
    <w:rsid w:val="0076098D"/>
    <w:rsid w:val="00772932"/>
    <w:rsid w:val="00773CA3"/>
    <w:rsid w:val="00774BBE"/>
    <w:rsid w:val="00780905"/>
    <w:rsid w:val="00780D35"/>
    <w:rsid w:val="00780F69"/>
    <w:rsid w:val="00781CEC"/>
    <w:rsid w:val="00782392"/>
    <w:rsid w:val="007863C4"/>
    <w:rsid w:val="00792FBC"/>
    <w:rsid w:val="00793FCB"/>
    <w:rsid w:val="00795ED5"/>
    <w:rsid w:val="00795F05"/>
    <w:rsid w:val="007A17D7"/>
    <w:rsid w:val="007A1926"/>
    <w:rsid w:val="007A6010"/>
    <w:rsid w:val="007A6E82"/>
    <w:rsid w:val="007A7FA8"/>
    <w:rsid w:val="007B11D8"/>
    <w:rsid w:val="007B5CC8"/>
    <w:rsid w:val="007C0023"/>
    <w:rsid w:val="007C3144"/>
    <w:rsid w:val="007C37EC"/>
    <w:rsid w:val="007C385E"/>
    <w:rsid w:val="007C6FD5"/>
    <w:rsid w:val="007C72E7"/>
    <w:rsid w:val="007D2685"/>
    <w:rsid w:val="007D4151"/>
    <w:rsid w:val="007E0A68"/>
    <w:rsid w:val="007E4559"/>
    <w:rsid w:val="007E5FCD"/>
    <w:rsid w:val="007E6A93"/>
    <w:rsid w:val="007E6B09"/>
    <w:rsid w:val="007E714E"/>
    <w:rsid w:val="007F119A"/>
    <w:rsid w:val="007F14A1"/>
    <w:rsid w:val="007F3039"/>
    <w:rsid w:val="007F48AD"/>
    <w:rsid w:val="007F4F6A"/>
    <w:rsid w:val="007F5FAF"/>
    <w:rsid w:val="00801831"/>
    <w:rsid w:val="008022C6"/>
    <w:rsid w:val="00802569"/>
    <w:rsid w:val="00802CE1"/>
    <w:rsid w:val="00803394"/>
    <w:rsid w:val="008067BA"/>
    <w:rsid w:val="0080787D"/>
    <w:rsid w:val="0081007B"/>
    <w:rsid w:val="00812960"/>
    <w:rsid w:val="0081331F"/>
    <w:rsid w:val="00816329"/>
    <w:rsid w:val="008167FA"/>
    <w:rsid w:val="008205B0"/>
    <w:rsid w:val="008251E4"/>
    <w:rsid w:val="00825229"/>
    <w:rsid w:val="008261B6"/>
    <w:rsid w:val="008319A3"/>
    <w:rsid w:val="008335E1"/>
    <w:rsid w:val="00833BFE"/>
    <w:rsid w:val="00837CE7"/>
    <w:rsid w:val="00840B38"/>
    <w:rsid w:val="008501D7"/>
    <w:rsid w:val="00850BF7"/>
    <w:rsid w:val="00852DFC"/>
    <w:rsid w:val="008553CB"/>
    <w:rsid w:val="0085675D"/>
    <w:rsid w:val="00857FF1"/>
    <w:rsid w:val="00860C07"/>
    <w:rsid w:val="00862960"/>
    <w:rsid w:val="00870948"/>
    <w:rsid w:val="00870B62"/>
    <w:rsid w:val="00871C81"/>
    <w:rsid w:val="008730A0"/>
    <w:rsid w:val="00874FA9"/>
    <w:rsid w:val="00882240"/>
    <w:rsid w:val="008860C0"/>
    <w:rsid w:val="00893045"/>
    <w:rsid w:val="00893C13"/>
    <w:rsid w:val="008965DC"/>
    <w:rsid w:val="008974F5"/>
    <w:rsid w:val="00897EE7"/>
    <w:rsid w:val="008A1CC9"/>
    <w:rsid w:val="008A1D31"/>
    <w:rsid w:val="008A21E6"/>
    <w:rsid w:val="008A5056"/>
    <w:rsid w:val="008A5A5C"/>
    <w:rsid w:val="008A5B74"/>
    <w:rsid w:val="008B12D6"/>
    <w:rsid w:val="008B2834"/>
    <w:rsid w:val="008B3F57"/>
    <w:rsid w:val="008B5A7C"/>
    <w:rsid w:val="008B61A5"/>
    <w:rsid w:val="008B7DD4"/>
    <w:rsid w:val="008C0485"/>
    <w:rsid w:val="008C2F07"/>
    <w:rsid w:val="008C4346"/>
    <w:rsid w:val="008C4536"/>
    <w:rsid w:val="008D4C47"/>
    <w:rsid w:val="008E0B8A"/>
    <w:rsid w:val="008E10EF"/>
    <w:rsid w:val="008E1489"/>
    <w:rsid w:val="008E32A2"/>
    <w:rsid w:val="008E42A2"/>
    <w:rsid w:val="008E47AB"/>
    <w:rsid w:val="008F00FA"/>
    <w:rsid w:val="008F09AC"/>
    <w:rsid w:val="008F1BDA"/>
    <w:rsid w:val="008F1F72"/>
    <w:rsid w:val="008F2779"/>
    <w:rsid w:val="008F2795"/>
    <w:rsid w:val="008F2DA2"/>
    <w:rsid w:val="008F4AEC"/>
    <w:rsid w:val="008F722D"/>
    <w:rsid w:val="00902D97"/>
    <w:rsid w:val="00903DC0"/>
    <w:rsid w:val="009157C0"/>
    <w:rsid w:val="009159AE"/>
    <w:rsid w:val="0091786F"/>
    <w:rsid w:val="00924225"/>
    <w:rsid w:val="00927050"/>
    <w:rsid w:val="0093336B"/>
    <w:rsid w:val="00936AD7"/>
    <w:rsid w:val="00943A9A"/>
    <w:rsid w:val="00944226"/>
    <w:rsid w:val="009460B3"/>
    <w:rsid w:val="009463DA"/>
    <w:rsid w:val="0095030A"/>
    <w:rsid w:val="00953A2E"/>
    <w:rsid w:val="009540B9"/>
    <w:rsid w:val="00964A82"/>
    <w:rsid w:val="00965576"/>
    <w:rsid w:val="009658F7"/>
    <w:rsid w:val="00965F00"/>
    <w:rsid w:val="00971E5A"/>
    <w:rsid w:val="00980B6A"/>
    <w:rsid w:val="009825E2"/>
    <w:rsid w:val="0098413D"/>
    <w:rsid w:val="00984D20"/>
    <w:rsid w:val="00996141"/>
    <w:rsid w:val="00996C94"/>
    <w:rsid w:val="009A0E87"/>
    <w:rsid w:val="009A1013"/>
    <w:rsid w:val="009A51F0"/>
    <w:rsid w:val="009A66CD"/>
    <w:rsid w:val="009A674B"/>
    <w:rsid w:val="009B3B06"/>
    <w:rsid w:val="009B7614"/>
    <w:rsid w:val="009C019C"/>
    <w:rsid w:val="009C103C"/>
    <w:rsid w:val="009C2F59"/>
    <w:rsid w:val="009D06BA"/>
    <w:rsid w:val="009D0B39"/>
    <w:rsid w:val="009D0CB5"/>
    <w:rsid w:val="009D0F76"/>
    <w:rsid w:val="009D2AAB"/>
    <w:rsid w:val="009D44EA"/>
    <w:rsid w:val="009E0068"/>
    <w:rsid w:val="009E00DD"/>
    <w:rsid w:val="009E3AB8"/>
    <w:rsid w:val="009E3CFE"/>
    <w:rsid w:val="009E592C"/>
    <w:rsid w:val="009F5F1F"/>
    <w:rsid w:val="00A01021"/>
    <w:rsid w:val="00A0110A"/>
    <w:rsid w:val="00A04EC2"/>
    <w:rsid w:val="00A053BA"/>
    <w:rsid w:val="00A067E7"/>
    <w:rsid w:val="00A07E54"/>
    <w:rsid w:val="00A07E7E"/>
    <w:rsid w:val="00A12844"/>
    <w:rsid w:val="00A12E6F"/>
    <w:rsid w:val="00A13E6D"/>
    <w:rsid w:val="00A146D4"/>
    <w:rsid w:val="00A15A79"/>
    <w:rsid w:val="00A2095B"/>
    <w:rsid w:val="00A21397"/>
    <w:rsid w:val="00A2545B"/>
    <w:rsid w:val="00A309A7"/>
    <w:rsid w:val="00A322C7"/>
    <w:rsid w:val="00A34600"/>
    <w:rsid w:val="00A35EBD"/>
    <w:rsid w:val="00A363D1"/>
    <w:rsid w:val="00A438C1"/>
    <w:rsid w:val="00A50017"/>
    <w:rsid w:val="00A52E7E"/>
    <w:rsid w:val="00A53797"/>
    <w:rsid w:val="00A56672"/>
    <w:rsid w:val="00A56B74"/>
    <w:rsid w:val="00A57025"/>
    <w:rsid w:val="00A6044E"/>
    <w:rsid w:val="00A61BA1"/>
    <w:rsid w:val="00A61E0B"/>
    <w:rsid w:val="00A623E3"/>
    <w:rsid w:val="00A63D06"/>
    <w:rsid w:val="00A655F3"/>
    <w:rsid w:val="00A7170C"/>
    <w:rsid w:val="00A71782"/>
    <w:rsid w:val="00A72D43"/>
    <w:rsid w:val="00A74B92"/>
    <w:rsid w:val="00A75B19"/>
    <w:rsid w:val="00A7614B"/>
    <w:rsid w:val="00A77B5E"/>
    <w:rsid w:val="00A77D1C"/>
    <w:rsid w:val="00A82D36"/>
    <w:rsid w:val="00A85F23"/>
    <w:rsid w:val="00A87F74"/>
    <w:rsid w:val="00A950CF"/>
    <w:rsid w:val="00A95D65"/>
    <w:rsid w:val="00A973A2"/>
    <w:rsid w:val="00A97D7E"/>
    <w:rsid w:val="00AA1599"/>
    <w:rsid w:val="00AA428D"/>
    <w:rsid w:val="00AB2821"/>
    <w:rsid w:val="00AB4536"/>
    <w:rsid w:val="00AB5F2E"/>
    <w:rsid w:val="00AB6680"/>
    <w:rsid w:val="00AB7458"/>
    <w:rsid w:val="00AC05D6"/>
    <w:rsid w:val="00AC395A"/>
    <w:rsid w:val="00AC459E"/>
    <w:rsid w:val="00AD0338"/>
    <w:rsid w:val="00AD0885"/>
    <w:rsid w:val="00AD28B4"/>
    <w:rsid w:val="00AD499B"/>
    <w:rsid w:val="00AD7883"/>
    <w:rsid w:val="00AE0A9E"/>
    <w:rsid w:val="00AE18B1"/>
    <w:rsid w:val="00AE3E64"/>
    <w:rsid w:val="00AE7873"/>
    <w:rsid w:val="00AF0723"/>
    <w:rsid w:val="00AF328C"/>
    <w:rsid w:val="00AF353C"/>
    <w:rsid w:val="00AF3CF7"/>
    <w:rsid w:val="00AF3D6B"/>
    <w:rsid w:val="00AF55B2"/>
    <w:rsid w:val="00AF62B4"/>
    <w:rsid w:val="00B06144"/>
    <w:rsid w:val="00B0618B"/>
    <w:rsid w:val="00B136B9"/>
    <w:rsid w:val="00B151D3"/>
    <w:rsid w:val="00B15873"/>
    <w:rsid w:val="00B15F34"/>
    <w:rsid w:val="00B16F3C"/>
    <w:rsid w:val="00B1715C"/>
    <w:rsid w:val="00B2173E"/>
    <w:rsid w:val="00B24549"/>
    <w:rsid w:val="00B24FF3"/>
    <w:rsid w:val="00B26C42"/>
    <w:rsid w:val="00B3044D"/>
    <w:rsid w:val="00B32CC6"/>
    <w:rsid w:val="00B37789"/>
    <w:rsid w:val="00B400AA"/>
    <w:rsid w:val="00B40B4B"/>
    <w:rsid w:val="00B41037"/>
    <w:rsid w:val="00B41559"/>
    <w:rsid w:val="00B4782C"/>
    <w:rsid w:val="00B50BEB"/>
    <w:rsid w:val="00B531A2"/>
    <w:rsid w:val="00B55E34"/>
    <w:rsid w:val="00B6165E"/>
    <w:rsid w:val="00B63274"/>
    <w:rsid w:val="00B634A6"/>
    <w:rsid w:val="00B669C9"/>
    <w:rsid w:val="00B724A5"/>
    <w:rsid w:val="00B727BB"/>
    <w:rsid w:val="00B7311A"/>
    <w:rsid w:val="00B73C28"/>
    <w:rsid w:val="00B76F70"/>
    <w:rsid w:val="00B77513"/>
    <w:rsid w:val="00B77C7C"/>
    <w:rsid w:val="00B838A4"/>
    <w:rsid w:val="00B84D40"/>
    <w:rsid w:val="00B8612B"/>
    <w:rsid w:val="00B91D01"/>
    <w:rsid w:val="00B9551C"/>
    <w:rsid w:val="00B9738F"/>
    <w:rsid w:val="00B97EEB"/>
    <w:rsid w:val="00BA1BDA"/>
    <w:rsid w:val="00BA4602"/>
    <w:rsid w:val="00BA7BE8"/>
    <w:rsid w:val="00BB1726"/>
    <w:rsid w:val="00BB174A"/>
    <w:rsid w:val="00BB245B"/>
    <w:rsid w:val="00BB6550"/>
    <w:rsid w:val="00BB6B03"/>
    <w:rsid w:val="00BB6C1C"/>
    <w:rsid w:val="00BC037D"/>
    <w:rsid w:val="00BC0E3B"/>
    <w:rsid w:val="00BC19D1"/>
    <w:rsid w:val="00BC1DCF"/>
    <w:rsid w:val="00BC281F"/>
    <w:rsid w:val="00BD15C4"/>
    <w:rsid w:val="00BD3046"/>
    <w:rsid w:val="00BE799C"/>
    <w:rsid w:val="00BE7A5A"/>
    <w:rsid w:val="00BF06EC"/>
    <w:rsid w:val="00BF48FE"/>
    <w:rsid w:val="00C022F2"/>
    <w:rsid w:val="00C0468B"/>
    <w:rsid w:val="00C07959"/>
    <w:rsid w:val="00C10AC8"/>
    <w:rsid w:val="00C11C8D"/>
    <w:rsid w:val="00C1472F"/>
    <w:rsid w:val="00C17CD5"/>
    <w:rsid w:val="00C2721D"/>
    <w:rsid w:val="00C27753"/>
    <w:rsid w:val="00C30791"/>
    <w:rsid w:val="00C31497"/>
    <w:rsid w:val="00C31D17"/>
    <w:rsid w:val="00C324BE"/>
    <w:rsid w:val="00C374F3"/>
    <w:rsid w:val="00C4066C"/>
    <w:rsid w:val="00C46E2B"/>
    <w:rsid w:val="00C478C3"/>
    <w:rsid w:val="00C47AEF"/>
    <w:rsid w:val="00C50FB9"/>
    <w:rsid w:val="00C53789"/>
    <w:rsid w:val="00C5505E"/>
    <w:rsid w:val="00C558AC"/>
    <w:rsid w:val="00C5785B"/>
    <w:rsid w:val="00C612AD"/>
    <w:rsid w:val="00C62A0D"/>
    <w:rsid w:val="00C62F6F"/>
    <w:rsid w:val="00C65BBD"/>
    <w:rsid w:val="00C66DF1"/>
    <w:rsid w:val="00C70F8D"/>
    <w:rsid w:val="00C74D70"/>
    <w:rsid w:val="00C8277B"/>
    <w:rsid w:val="00C828A6"/>
    <w:rsid w:val="00C84ACA"/>
    <w:rsid w:val="00C84DFF"/>
    <w:rsid w:val="00C90AE8"/>
    <w:rsid w:val="00C90D16"/>
    <w:rsid w:val="00C917C2"/>
    <w:rsid w:val="00C92802"/>
    <w:rsid w:val="00C95C1C"/>
    <w:rsid w:val="00C97E04"/>
    <w:rsid w:val="00CA2BA4"/>
    <w:rsid w:val="00CA56D8"/>
    <w:rsid w:val="00CB1155"/>
    <w:rsid w:val="00CB38FF"/>
    <w:rsid w:val="00CB5E42"/>
    <w:rsid w:val="00CB7592"/>
    <w:rsid w:val="00CC004C"/>
    <w:rsid w:val="00CC2780"/>
    <w:rsid w:val="00CC336E"/>
    <w:rsid w:val="00CC3393"/>
    <w:rsid w:val="00CC3B6A"/>
    <w:rsid w:val="00CC6A76"/>
    <w:rsid w:val="00CC7C01"/>
    <w:rsid w:val="00CD1886"/>
    <w:rsid w:val="00CD59F9"/>
    <w:rsid w:val="00CD621C"/>
    <w:rsid w:val="00CD7397"/>
    <w:rsid w:val="00CD763D"/>
    <w:rsid w:val="00CD78A9"/>
    <w:rsid w:val="00CE0698"/>
    <w:rsid w:val="00CE15D0"/>
    <w:rsid w:val="00CF069A"/>
    <w:rsid w:val="00CF1D70"/>
    <w:rsid w:val="00CF3693"/>
    <w:rsid w:val="00CF3F6C"/>
    <w:rsid w:val="00CF44D7"/>
    <w:rsid w:val="00CF554A"/>
    <w:rsid w:val="00CF5B05"/>
    <w:rsid w:val="00CF5BC9"/>
    <w:rsid w:val="00CF6E12"/>
    <w:rsid w:val="00CF6E2E"/>
    <w:rsid w:val="00CF7597"/>
    <w:rsid w:val="00D012B3"/>
    <w:rsid w:val="00D065CD"/>
    <w:rsid w:val="00D06711"/>
    <w:rsid w:val="00D10744"/>
    <w:rsid w:val="00D11530"/>
    <w:rsid w:val="00D123DE"/>
    <w:rsid w:val="00D13F0B"/>
    <w:rsid w:val="00D155FA"/>
    <w:rsid w:val="00D15A06"/>
    <w:rsid w:val="00D17988"/>
    <w:rsid w:val="00D222C0"/>
    <w:rsid w:val="00D252DA"/>
    <w:rsid w:val="00D25373"/>
    <w:rsid w:val="00D25DAA"/>
    <w:rsid w:val="00D26237"/>
    <w:rsid w:val="00D3276E"/>
    <w:rsid w:val="00D33ADD"/>
    <w:rsid w:val="00D35133"/>
    <w:rsid w:val="00D3582B"/>
    <w:rsid w:val="00D35E92"/>
    <w:rsid w:val="00D37158"/>
    <w:rsid w:val="00D37277"/>
    <w:rsid w:val="00D4236E"/>
    <w:rsid w:val="00D4426E"/>
    <w:rsid w:val="00D46A6B"/>
    <w:rsid w:val="00D500EE"/>
    <w:rsid w:val="00D50904"/>
    <w:rsid w:val="00D54BE1"/>
    <w:rsid w:val="00D61146"/>
    <w:rsid w:val="00D63443"/>
    <w:rsid w:val="00D65C85"/>
    <w:rsid w:val="00D67027"/>
    <w:rsid w:val="00D707E2"/>
    <w:rsid w:val="00D73F21"/>
    <w:rsid w:val="00D750CE"/>
    <w:rsid w:val="00D76235"/>
    <w:rsid w:val="00D7632E"/>
    <w:rsid w:val="00D76659"/>
    <w:rsid w:val="00D77DCC"/>
    <w:rsid w:val="00D77E09"/>
    <w:rsid w:val="00D8014C"/>
    <w:rsid w:val="00D81F9C"/>
    <w:rsid w:val="00D87DCA"/>
    <w:rsid w:val="00D929FA"/>
    <w:rsid w:val="00D94EED"/>
    <w:rsid w:val="00D95441"/>
    <w:rsid w:val="00D95AEB"/>
    <w:rsid w:val="00D962D8"/>
    <w:rsid w:val="00DA0087"/>
    <w:rsid w:val="00DA2DF7"/>
    <w:rsid w:val="00DA5C83"/>
    <w:rsid w:val="00DA77B3"/>
    <w:rsid w:val="00DB3DEE"/>
    <w:rsid w:val="00DB759C"/>
    <w:rsid w:val="00DB79E3"/>
    <w:rsid w:val="00DB7F83"/>
    <w:rsid w:val="00DC01DF"/>
    <w:rsid w:val="00DC023C"/>
    <w:rsid w:val="00DC1D68"/>
    <w:rsid w:val="00DC274B"/>
    <w:rsid w:val="00DC3B8D"/>
    <w:rsid w:val="00DC54EE"/>
    <w:rsid w:val="00DC6638"/>
    <w:rsid w:val="00DC7A1E"/>
    <w:rsid w:val="00DC7BAA"/>
    <w:rsid w:val="00DD6A7E"/>
    <w:rsid w:val="00DE4B05"/>
    <w:rsid w:val="00DE4EEE"/>
    <w:rsid w:val="00DE5DF9"/>
    <w:rsid w:val="00DF5042"/>
    <w:rsid w:val="00DF59C6"/>
    <w:rsid w:val="00DF71E8"/>
    <w:rsid w:val="00DF7F55"/>
    <w:rsid w:val="00E06D09"/>
    <w:rsid w:val="00E11688"/>
    <w:rsid w:val="00E13EC0"/>
    <w:rsid w:val="00E14F33"/>
    <w:rsid w:val="00E16CDB"/>
    <w:rsid w:val="00E202A6"/>
    <w:rsid w:val="00E20975"/>
    <w:rsid w:val="00E2190B"/>
    <w:rsid w:val="00E21D42"/>
    <w:rsid w:val="00E268DA"/>
    <w:rsid w:val="00E271E7"/>
    <w:rsid w:val="00E34BA1"/>
    <w:rsid w:val="00E41C55"/>
    <w:rsid w:val="00E51A13"/>
    <w:rsid w:val="00E527AF"/>
    <w:rsid w:val="00E52BA7"/>
    <w:rsid w:val="00E600C3"/>
    <w:rsid w:val="00E62350"/>
    <w:rsid w:val="00E649AB"/>
    <w:rsid w:val="00E658BA"/>
    <w:rsid w:val="00E66B21"/>
    <w:rsid w:val="00E67463"/>
    <w:rsid w:val="00E67E43"/>
    <w:rsid w:val="00E72DA4"/>
    <w:rsid w:val="00E740E5"/>
    <w:rsid w:val="00E75528"/>
    <w:rsid w:val="00E8016C"/>
    <w:rsid w:val="00E81E4A"/>
    <w:rsid w:val="00E91CEB"/>
    <w:rsid w:val="00E93442"/>
    <w:rsid w:val="00E93C92"/>
    <w:rsid w:val="00E93CB3"/>
    <w:rsid w:val="00EA2E29"/>
    <w:rsid w:val="00EA4E3D"/>
    <w:rsid w:val="00EA60FD"/>
    <w:rsid w:val="00EB0CE3"/>
    <w:rsid w:val="00EB31B4"/>
    <w:rsid w:val="00EB3E23"/>
    <w:rsid w:val="00EB5324"/>
    <w:rsid w:val="00EB5F2D"/>
    <w:rsid w:val="00EB7EC4"/>
    <w:rsid w:val="00EC17C2"/>
    <w:rsid w:val="00EC51E7"/>
    <w:rsid w:val="00EC76A3"/>
    <w:rsid w:val="00ED50AB"/>
    <w:rsid w:val="00ED63D1"/>
    <w:rsid w:val="00ED73C3"/>
    <w:rsid w:val="00EE2715"/>
    <w:rsid w:val="00EE3254"/>
    <w:rsid w:val="00EE3909"/>
    <w:rsid w:val="00EE5BE2"/>
    <w:rsid w:val="00EE6C25"/>
    <w:rsid w:val="00EF048B"/>
    <w:rsid w:val="00EF2A7A"/>
    <w:rsid w:val="00EF39A2"/>
    <w:rsid w:val="00EF579E"/>
    <w:rsid w:val="00EF6EDD"/>
    <w:rsid w:val="00EF7FEF"/>
    <w:rsid w:val="00F0186C"/>
    <w:rsid w:val="00F02263"/>
    <w:rsid w:val="00F05DDE"/>
    <w:rsid w:val="00F05F0D"/>
    <w:rsid w:val="00F105AE"/>
    <w:rsid w:val="00F123E7"/>
    <w:rsid w:val="00F1349B"/>
    <w:rsid w:val="00F139B4"/>
    <w:rsid w:val="00F15B13"/>
    <w:rsid w:val="00F15E93"/>
    <w:rsid w:val="00F16DBF"/>
    <w:rsid w:val="00F1761A"/>
    <w:rsid w:val="00F21495"/>
    <w:rsid w:val="00F22B95"/>
    <w:rsid w:val="00F22D85"/>
    <w:rsid w:val="00F3189A"/>
    <w:rsid w:val="00F31B9B"/>
    <w:rsid w:val="00F326ED"/>
    <w:rsid w:val="00F3556E"/>
    <w:rsid w:val="00F363EE"/>
    <w:rsid w:val="00F4141C"/>
    <w:rsid w:val="00F43591"/>
    <w:rsid w:val="00F44A1B"/>
    <w:rsid w:val="00F468AF"/>
    <w:rsid w:val="00F5080C"/>
    <w:rsid w:val="00F515FC"/>
    <w:rsid w:val="00F51DAF"/>
    <w:rsid w:val="00F6107A"/>
    <w:rsid w:val="00F62BDC"/>
    <w:rsid w:val="00F66D15"/>
    <w:rsid w:val="00F67BD3"/>
    <w:rsid w:val="00F71178"/>
    <w:rsid w:val="00F72103"/>
    <w:rsid w:val="00F72CDA"/>
    <w:rsid w:val="00F74688"/>
    <w:rsid w:val="00F74ECF"/>
    <w:rsid w:val="00F80C06"/>
    <w:rsid w:val="00F83968"/>
    <w:rsid w:val="00F84AF0"/>
    <w:rsid w:val="00F8514A"/>
    <w:rsid w:val="00F85AC7"/>
    <w:rsid w:val="00F86073"/>
    <w:rsid w:val="00F92022"/>
    <w:rsid w:val="00F95F7B"/>
    <w:rsid w:val="00F96CD6"/>
    <w:rsid w:val="00F97065"/>
    <w:rsid w:val="00F97ED2"/>
    <w:rsid w:val="00FA047C"/>
    <w:rsid w:val="00FA0B04"/>
    <w:rsid w:val="00FA17D9"/>
    <w:rsid w:val="00FB0ABD"/>
    <w:rsid w:val="00FB3477"/>
    <w:rsid w:val="00FC3E45"/>
    <w:rsid w:val="00FC41F8"/>
    <w:rsid w:val="00FC6647"/>
    <w:rsid w:val="00FC742B"/>
    <w:rsid w:val="00FD0390"/>
    <w:rsid w:val="00FD0DED"/>
    <w:rsid w:val="00FD1C32"/>
    <w:rsid w:val="00FE5A7F"/>
    <w:rsid w:val="00FF1D45"/>
    <w:rsid w:val="00FF30F5"/>
    <w:rsid w:val="00FF3848"/>
    <w:rsid w:val="00FF4066"/>
    <w:rsid w:val="020F621C"/>
    <w:rsid w:val="02EB05EB"/>
    <w:rsid w:val="031762EC"/>
    <w:rsid w:val="05B01966"/>
    <w:rsid w:val="060379FA"/>
    <w:rsid w:val="073B0D7B"/>
    <w:rsid w:val="07E46E2F"/>
    <w:rsid w:val="09646A02"/>
    <w:rsid w:val="097F383C"/>
    <w:rsid w:val="0B3643CE"/>
    <w:rsid w:val="0C2A0BF5"/>
    <w:rsid w:val="0C9E2818"/>
    <w:rsid w:val="0D0D7854"/>
    <w:rsid w:val="0E3C427F"/>
    <w:rsid w:val="0E3E39CE"/>
    <w:rsid w:val="0F41445B"/>
    <w:rsid w:val="0FA40278"/>
    <w:rsid w:val="128F5369"/>
    <w:rsid w:val="136C3083"/>
    <w:rsid w:val="13851B38"/>
    <w:rsid w:val="13900EE8"/>
    <w:rsid w:val="17FF2717"/>
    <w:rsid w:val="1A18186E"/>
    <w:rsid w:val="1B191E86"/>
    <w:rsid w:val="1B261BFA"/>
    <w:rsid w:val="1B85284F"/>
    <w:rsid w:val="1B9B0F04"/>
    <w:rsid w:val="1C1B3CDE"/>
    <w:rsid w:val="1C805068"/>
    <w:rsid w:val="1D497F91"/>
    <w:rsid w:val="1E075E82"/>
    <w:rsid w:val="1EB1097C"/>
    <w:rsid w:val="21754EB3"/>
    <w:rsid w:val="21C7260F"/>
    <w:rsid w:val="22044D56"/>
    <w:rsid w:val="22F1685F"/>
    <w:rsid w:val="23037999"/>
    <w:rsid w:val="23164DB9"/>
    <w:rsid w:val="231C2B3E"/>
    <w:rsid w:val="237D4381"/>
    <w:rsid w:val="23B2360D"/>
    <w:rsid w:val="246D5C4F"/>
    <w:rsid w:val="28003176"/>
    <w:rsid w:val="28AB77F9"/>
    <w:rsid w:val="28AD3ACA"/>
    <w:rsid w:val="28C108D4"/>
    <w:rsid w:val="2AB0164F"/>
    <w:rsid w:val="2AB54EB7"/>
    <w:rsid w:val="2AF72711"/>
    <w:rsid w:val="2BD458DF"/>
    <w:rsid w:val="2C8F6EEA"/>
    <w:rsid w:val="2DBD030B"/>
    <w:rsid w:val="2E684F6D"/>
    <w:rsid w:val="2FB13E9F"/>
    <w:rsid w:val="2FD15864"/>
    <w:rsid w:val="2FEA115F"/>
    <w:rsid w:val="30A30BAD"/>
    <w:rsid w:val="31C511CC"/>
    <w:rsid w:val="328D3B33"/>
    <w:rsid w:val="32AC088E"/>
    <w:rsid w:val="33897906"/>
    <w:rsid w:val="33AF5350"/>
    <w:rsid w:val="34AE07E1"/>
    <w:rsid w:val="350835E1"/>
    <w:rsid w:val="355754E9"/>
    <w:rsid w:val="355A0B35"/>
    <w:rsid w:val="35847A4B"/>
    <w:rsid w:val="368F6DB0"/>
    <w:rsid w:val="37AA0E19"/>
    <w:rsid w:val="385555E4"/>
    <w:rsid w:val="38BA50CE"/>
    <w:rsid w:val="39570A5F"/>
    <w:rsid w:val="3BB371F1"/>
    <w:rsid w:val="3BCA747E"/>
    <w:rsid w:val="3CEE3CDE"/>
    <w:rsid w:val="3D956BAE"/>
    <w:rsid w:val="3DF8471D"/>
    <w:rsid w:val="3E9E7CE5"/>
    <w:rsid w:val="3EC040FF"/>
    <w:rsid w:val="3EE14D9B"/>
    <w:rsid w:val="3EFE390D"/>
    <w:rsid w:val="3F0044FB"/>
    <w:rsid w:val="3F8618F2"/>
    <w:rsid w:val="40984D90"/>
    <w:rsid w:val="422474A1"/>
    <w:rsid w:val="42D17381"/>
    <w:rsid w:val="42DC25A8"/>
    <w:rsid w:val="455305AC"/>
    <w:rsid w:val="46B954BA"/>
    <w:rsid w:val="47855EE6"/>
    <w:rsid w:val="48FB35B8"/>
    <w:rsid w:val="492C30FE"/>
    <w:rsid w:val="49402818"/>
    <w:rsid w:val="49A50424"/>
    <w:rsid w:val="4A253068"/>
    <w:rsid w:val="4B6834E6"/>
    <w:rsid w:val="4B6C4969"/>
    <w:rsid w:val="4B7B7ABD"/>
    <w:rsid w:val="4C63282F"/>
    <w:rsid w:val="4E275F56"/>
    <w:rsid w:val="4E7D1C38"/>
    <w:rsid w:val="4E850579"/>
    <w:rsid w:val="506444E3"/>
    <w:rsid w:val="50985523"/>
    <w:rsid w:val="50AF18DD"/>
    <w:rsid w:val="54B81330"/>
    <w:rsid w:val="54C47CB2"/>
    <w:rsid w:val="55E76517"/>
    <w:rsid w:val="562724C3"/>
    <w:rsid w:val="56B952F1"/>
    <w:rsid w:val="57681298"/>
    <w:rsid w:val="58331046"/>
    <w:rsid w:val="590F3861"/>
    <w:rsid w:val="5A2F601B"/>
    <w:rsid w:val="5AC60AD3"/>
    <w:rsid w:val="5B334EB2"/>
    <w:rsid w:val="5D044814"/>
    <w:rsid w:val="5F4B5204"/>
    <w:rsid w:val="60E4627A"/>
    <w:rsid w:val="616404C2"/>
    <w:rsid w:val="61C50478"/>
    <w:rsid w:val="626F6A50"/>
    <w:rsid w:val="63057A83"/>
    <w:rsid w:val="63B22608"/>
    <w:rsid w:val="645A468B"/>
    <w:rsid w:val="6498572D"/>
    <w:rsid w:val="6517172B"/>
    <w:rsid w:val="66E87583"/>
    <w:rsid w:val="67C10A0E"/>
    <w:rsid w:val="681C5653"/>
    <w:rsid w:val="68642178"/>
    <w:rsid w:val="68E343C2"/>
    <w:rsid w:val="6A8D0A8A"/>
    <w:rsid w:val="6AAE6584"/>
    <w:rsid w:val="6AB260E2"/>
    <w:rsid w:val="6C800BEF"/>
    <w:rsid w:val="6CDA6EB3"/>
    <w:rsid w:val="6D3E5114"/>
    <w:rsid w:val="6DDB506D"/>
    <w:rsid w:val="6F8E1B3D"/>
    <w:rsid w:val="70187047"/>
    <w:rsid w:val="704A264D"/>
    <w:rsid w:val="71FD7E80"/>
    <w:rsid w:val="724C4EAE"/>
    <w:rsid w:val="7533633F"/>
    <w:rsid w:val="75D25BAD"/>
    <w:rsid w:val="77010B1C"/>
    <w:rsid w:val="77C96E79"/>
    <w:rsid w:val="79520299"/>
    <w:rsid w:val="7A30183B"/>
    <w:rsid w:val="7AEF4E49"/>
    <w:rsid w:val="7C93004B"/>
    <w:rsid w:val="7C9931A2"/>
    <w:rsid w:val="7F6F0DC6"/>
    <w:rsid w:val="7FF204C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uiPriority="1"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link w:val="29"/>
    <w:qFormat/>
    <w:uiPriority w:val="9"/>
    <w:pPr>
      <w:widowControl/>
      <w:spacing w:before="87" w:line="480" w:lineRule="auto"/>
      <w:contextualSpacing/>
      <w:jc w:val="left"/>
      <w:outlineLvl w:val="0"/>
    </w:pPr>
    <w:rPr>
      <w:rFonts w:ascii="宋体" w:hAnsi="宋体" w:cs="宋体"/>
      <w:b/>
      <w:bCs/>
      <w:color w:val="CC3300"/>
      <w:kern w:val="36"/>
      <w:sz w:val="28"/>
      <w:szCs w:val="28"/>
    </w:rPr>
  </w:style>
  <w:style w:type="paragraph" w:styleId="3">
    <w:name w:val="heading 2"/>
    <w:basedOn w:val="1"/>
    <w:next w:val="1"/>
    <w:link w:val="33"/>
    <w:qFormat/>
    <w:uiPriority w:val="9"/>
    <w:pPr>
      <w:keepNext/>
      <w:keepLines/>
      <w:spacing w:before="120" w:after="120"/>
      <w:outlineLvl w:val="1"/>
    </w:pPr>
    <w:rPr>
      <w:rFonts w:ascii="Times New Roman" w:hAnsi="Times New Roman" w:eastAsia="黑体"/>
      <w:b/>
      <w:color w:val="000000"/>
      <w:kern w:val="32"/>
      <w:sz w:val="30"/>
      <w:szCs w:val="30"/>
    </w:rPr>
  </w:style>
  <w:style w:type="paragraph" w:styleId="4">
    <w:name w:val="heading 3"/>
    <w:basedOn w:val="1"/>
    <w:next w:val="1"/>
    <w:link w:val="34"/>
    <w:qFormat/>
    <w:uiPriority w:val="9"/>
    <w:pPr>
      <w:keepNext/>
      <w:keepLines/>
      <w:spacing w:before="260" w:after="260" w:line="416" w:lineRule="auto"/>
      <w:ind w:firstLine="200" w:firstLineChars="200"/>
      <w:contextualSpacing/>
      <w:jc w:val="left"/>
      <w:outlineLvl w:val="2"/>
    </w:pPr>
    <w:rPr>
      <w:rFonts w:ascii="Times New Roman" w:hAnsi="Times New Roman"/>
      <w:b/>
      <w:bCs/>
      <w:sz w:val="32"/>
      <w:szCs w:val="32"/>
    </w:rPr>
  </w:style>
  <w:style w:type="paragraph" w:styleId="5">
    <w:name w:val="heading 4"/>
    <w:basedOn w:val="1"/>
    <w:next w:val="1"/>
    <w:qFormat/>
    <w:uiPriority w:val="0"/>
    <w:pPr>
      <w:keepNext/>
      <w:keepLines/>
      <w:spacing w:before="10" w:after="10" w:line="360" w:lineRule="auto"/>
      <w:outlineLvl w:val="3"/>
    </w:pPr>
    <w:rPr>
      <w:rFonts w:ascii="Times New Roman" w:hAnsi="Times New Roman" w:eastAsia="黑体"/>
      <w:b/>
      <w:bCs/>
      <w:sz w:val="24"/>
      <w:szCs w:val="28"/>
      <w:lang w:val="zh-CN"/>
    </w:rPr>
  </w:style>
  <w:style w:type="character" w:default="1" w:styleId="25">
    <w:name w:val="Default Paragraph Font"/>
    <w:semiHidden/>
    <w:unhideWhenUsed/>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85"/>
    <w:qFormat/>
    <w:uiPriority w:val="0"/>
    <w:pPr>
      <w:ind w:firstLine="420"/>
    </w:pPr>
    <w:rPr>
      <w:sz w:val="28"/>
      <w:szCs w:val="28"/>
    </w:rPr>
  </w:style>
  <w:style w:type="paragraph" w:styleId="7">
    <w:name w:val="Document Map"/>
    <w:basedOn w:val="1"/>
    <w:link w:val="79"/>
    <w:unhideWhenUsed/>
    <w:qFormat/>
    <w:uiPriority w:val="99"/>
    <w:rPr>
      <w:rFonts w:ascii="宋体"/>
      <w:sz w:val="18"/>
      <w:szCs w:val="18"/>
    </w:rPr>
  </w:style>
  <w:style w:type="paragraph" w:styleId="8">
    <w:name w:val="annotation text"/>
    <w:basedOn w:val="1"/>
    <w:link w:val="42"/>
    <w:unhideWhenUsed/>
    <w:qFormat/>
    <w:uiPriority w:val="99"/>
    <w:pPr>
      <w:jc w:val="left"/>
    </w:pPr>
  </w:style>
  <w:style w:type="paragraph" w:styleId="9">
    <w:name w:val="Body Text"/>
    <w:basedOn w:val="1"/>
    <w:link w:val="62"/>
    <w:unhideWhenUsed/>
    <w:qFormat/>
    <w:uiPriority w:val="99"/>
    <w:pPr>
      <w:spacing w:after="120"/>
    </w:pPr>
  </w:style>
  <w:style w:type="paragraph" w:styleId="10">
    <w:name w:val="Body Text Indent"/>
    <w:basedOn w:val="1"/>
    <w:link w:val="60"/>
    <w:unhideWhenUsed/>
    <w:qFormat/>
    <w:uiPriority w:val="99"/>
    <w:pPr>
      <w:spacing w:after="120"/>
      <w:ind w:left="420" w:leftChars="200"/>
    </w:pPr>
  </w:style>
  <w:style w:type="paragraph" w:styleId="11">
    <w:name w:val="Block Text"/>
    <w:basedOn w:val="1"/>
    <w:qFormat/>
    <w:uiPriority w:val="0"/>
    <w:pPr>
      <w:ind w:left="1440" w:leftChars="700" w:right="700" w:rightChars="700"/>
    </w:pPr>
  </w:style>
  <w:style w:type="paragraph" w:styleId="12">
    <w:name w:val="Date"/>
    <w:basedOn w:val="1"/>
    <w:next w:val="1"/>
    <w:link w:val="66"/>
    <w:unhideWhenUsed/>
    <w:qFormat/>
    <w:uiPriority w:val="99"/>
    <w:pPr>
      <w:spacing w:line="360" w:lineRule="auto"/>
      <w:ind w:left="100" w:leftChars="2500" w:firstLine="200" w:firstLineChars="200"/>
      <w:contextualSpacing/>
      <w:jc w:val="left"/>
    </w:pPr>
    <w:rPr>
      <w:rFonts w:ascii="Times New Roman" w:hAnsi="Times New Roman"/>
      <w:sz w:val="24"/>
      <w:szCs w:val="24"/>
    </w:rPr>
  </w:style>
  <w:style w:type="paragraph" w:styleId="13">
    <w:name w:val="Balloon Text"/>
    <w:basedOn w:val="1"/>
    <w:link w:val="68"/>
    <w:unhideWhenUsed/>
    <w:qFormat/>
    <w:uiPriority w:val="99"/>
    <w:rPr>
      <w:sz w:val="18"/>
      <w:szCs w:val="18"/>
    </w:rPr>
  </w:style>
  <w:style w:type="paragraph" w:styleId="14">
    <w:name w:val="footer"/>
    <w:basedOn w:val="1"/>
    <w:link w:val="67"/>
    <w:unhideWhenUsed/>
    <w:qFormat/>
    <w:uiPriority w:val="0"/>
    <w:pPr>
      <w:tabs>
        <w:tab w:val="center" w:pos="4153"/>
        <w:tab w:val="right" w:pos="8306"/>
      </w:tabs>
      <w:snapToGrid w:val="0"/>
      <w:jc w:val="left"/>
    </w:pPr>
    <w:rPr>
      <w:sz w:val="18"/>
      <w:szCs w:val="18"/>
    </w:rPr>
  </w:style>
  <w:style w:type="paragraph" w:styleId="15">
    <w:name w:val="header"/>
    <w:basedOn w:val="1"/>
    <w:next w:val="11"/>
    <w:link w:val="45"/>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HTML Preformatted"/>
    <w:basedOn w:val="1"/>
    <w:link w:val="80"/>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黑体"/>
      <w:color w:val="000000"/>
    </w:rPr>
  </w:style>
  <w:style w:type="paragraph" w:styleId="17">
    <w:name w:val="Normal (Web)"/>
    <w:basedOn w:val="1"/>
    <w:qFormat/>
    <w:uiPriority w:val="99"/>
    <w:pPr>
      <w:widowControl/>
      <w:spacing w:before="100" w:beforeAutospacing="1" w:after="100" w:afterAutospacing="1"/>
      <w:jc w:val="left"/>
    </w:pPr>
    <w:rPr>
      <w:rFonts w:ascii="宋体" w:hAnsi="宋体" w:cs="宋体"/>
      <w:color w:val="000000"/>
      <w:kern w:val="0"/>
      <w:sz w:val="24"/>
      <w:szCs w:val="24"/>
    </w:rPr>
  </w:style>
  <w:style w:type="paragraph" w:styleId="18">
    <w:name w:val="Title"/>
    <w:basedOn w:val="1"/>
    <w:next w:val="1"/>
    <w:link w:val="58"/>
    <w:qFormat/>
    <w:uiPriority w:val="1"/>
    <w:pPr>
      <w:spacing w:before="240" w:after="60"/>
      <w:ind w:firstLine="640" w:firstLineChars="200"/>
      <w:jc w:val="left"/>
      <w:outlineLvl w:val="2"/>
    </w:pPr>
    <w:rPr>
      <w:rFonts w:ascii="Cambria" w:hAnsi="Cambria" w:eastAsia="黑体"/>
      <w:bCs/>
      <w:sz w:val="28"/>
      <w:szCs w:val="32"/>
    </w:rPr>
  </w:style>
  <w:style w:type="paragraph" w:styleId="19">
    <w:name w:val="annotation subject"/>
    <w:basedOn w:val="8"/>
    <w:next w:val="8"/>
    <w:link w:val="41"/>
    <w:unhideWhenUsed/>
    <w:qFormat/>
    <w:uiPriority w:val="99"/>
    <w:rPr>
      <w:b/>
      <w:bCs/>
    </w:rPr>
  </w:style>
  <w:style w:type="paragraph" w:styleId="20">
    <w:name w:val="Body Text First Indent"/>
    <w:basedOn w:val="9"/>
    <w:link w:val="61"/>
    <w:unhideWhenUsed/>
    <w:qFormat/>
    <w:uiPriority w:val="99"/>
    <w:pPr>
      <w:ind w:firstLine="420" w:firstLineChars="100"/>
    </w:pPr>
  </w:style>
  <w:style w:type="paragraph" w:styleId="21">
    <w:name w:val="Body Text First Indent 2"/>
    <w:basedOn w:val="10"/>
    <w:next w:val="22"/>
    <w:qFormat/>
    <w:uiPriority w:val="0"/>
    <w:pPr>
      <w:ind w:firstLine="420" w:firstLineChars="200"/>
    </w:pPr>
    <w:rPr>
      <w:szCs w:val="24"/>
    </w:rPr>
  </w:style>
  <w:style w:type="paragraph" w:customStyle="1" w:styleId="22">
    <w:name w:val="Default"/>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table" w:styleId="24">
    <w:name w:val="Table Grid"/>
    <w:basedOn w:val="23"/>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6">
    <w:name w:val="Strong"/>
    <w:basedOn w:val="25"/>
    <w:qFormat/>
    <w:uiPriority w:val="22"/>
    <w:rPr>
      <w:rFonts w:eastAsia="黑体"/>
      <w:bCs/>
      <w:sz w:val="28"/>
    </w:rPr>
  </w:style>
  <w:style w:type="character" w:styleId="27">
    <w:name w:val="Hyperlink"/>
    <w:basedOn w:val="25"/>
    <w:unhideWhenUsed/>
    <w:qFormat/>
    <w:uiPriority w:val="99"/>
    <w:rPr>
      <w:color w:val="0000FF"/>
      <w:u w:val="single"/>
    </w:rPr>
  </w:style>
  <w:style w:type="character" w:styleId="28">
    <w:name w:val="annotation reference"/>
    <w:basedOn w:val="25"/>
    <w:unhideWhenUsed/>
    <w:qFormat/>
    <w:uiPriority w:val="99"/>
    <w:rPr>
      <w:sz w:val="21"/>
      <w:szCs w:val="21"/>
    </w:rPr>
  </w:style>
  <w:style w:type="character" w:customStyle="1" w:styleId="29">
    <w:name w:val="标题 1 Char"/>
    <w:basedOn w:val="25"/>
    <w:link w:val="2"/>
    <w:qFormat/>
    <w:uiPriority w:val="9"/>
    <w:rPr>
      <w:rFonts w:ascii="宋体" w:hAnsi="宋体" w:eastAsia="宋体" w:cs="宋体"/>
      <w:b/>
      <w:bCs/>
      <w:color w:val="CC3300"/>
      <w:kern w:val="36"/>
      <w:sz w:val="28"/>
      <w:szCs w:val="28"/>
    </w:rPr>
  </w:style>
  <w:style w:type="paragraph" w:customStyle="1" w:styleId="30">
    <w:name w:val="样式18"/>
    <w:basedOn w:val="31"/>
    <w:link w:val="32"/>
    <w:qFormat/>
    <w:uiPriority w:val="0"/>
    <w:pPr>
      <w:spacing w:line="360" w:lineRule="auto"/>
      <w:ind w:firstLine="480"/>
    </w:pPr>
    <w:rPr>
      <w:rFonts w:ascii="Times New Roman" w:hAnsi="Times New Roman" w:eastAsia="仿宋_GB2312"/>
      <w:sz w:val="24"/>
    </w:rPr>
  </w:style>
  <w:style w:type="paragraph" w:styleId="31">
    <w:name w:val="List Paragraph"/>
    <w:basedOn w:val="1"/>
    <w:link w:val="63"/>
    <w:qFormat/>
    <w:uiPriority w:val="1"/>
    <w:pPr>
      <w:ind w:firstLine="420" w:firstLineChars="200"/>
    </w:pPr>
  </w:style>
  <w:style w:type="character" w:customStyle="1" w:styleId="32">
    <w:name w:val="样式18 Char"/>
    <w:basedOn w:val="25"/>
    <w:link w:val="30"/>
    <w:qFormat/>
    <w:uiPriority w:val="0"/>
    <w:rPr>
      <w:rFonts w:ascii="Times New Roman" w:hAnsi="Times New Roman" w:eastAsia="仿宋_GB2312" w:cs="Times New Roman"/>
      <w:sz w:val="24"/>
    </w:rPr>
  </w:style>
  <w:style w:type="character" w:customStyle="1" w:styleId="33">
    <w:name w:val="标题 2 Char"/>
    <w:basedOn w:val="25"/>
    <w:link w:val="3"/>
    <w:qFormat/>
    <w:uiPriority w:val="9"/>
    <w:rPr>
      <w:rFonts w:ascii="Times New Roman" w:hAnsi="Times New Roman" w:eastAsia="黑体" w:cs="Times New Roman"/>
      <w:b/>
      <w:color w:val="000000"/>
      <w:kern w:val="32"/>
      <w:sz w:val="30"/>
      <w:szCs w:val="30"/>
    </w:rPr>
  </w:style>
  <w:style w:type="character" w:customStyle="1" w:styleId="34">
    <w:name w:val="标题 3 Char"/>
    <w:basedOn w:val="25"/>
    <w:link w:val="4"/>
    <w:qFormat/>
    <w:uiPriority w:val="9"/>
    <w:rPr>
      <w:rFonts w:ascii="Times New Roman" w:hAnsi="Times New Roman" w:eastAsia="宋体" w:cs="Times New Roman"/>
      <w:b/>
      <w:bCs/>
      <w:sz w:val="32"/>
      <w:szCs w:val="32"/>
    </w:rPr>
  </w:style>
  <w:style w:type="character" w:customStyle="1" w:styleId="35">
    <w:name w:val="样式25 Char"/>
    <w:basedOn w:val="25"/>
    <w:link w:val="36"/>
    <w:qFormat/>
    <w:uiPriority w:val="0"/>
    <w:rPr>
      <w:rFonts w:ascii="Times New Roman" w:hAnsi="Times New Roman" w:eastAsia="黑体" w:cs="Times New Roman"/>
      <w:b/>
      <w:bCs/>
      <w:sz w:val="28"/>
      <w:szCs w:val="32"/>
    </w:rPr>
  </w:style>
  <w:style w:type="paragraph" w:customStyle="1" w:styleId="36">
    <w:name w:val="样式25"/>
    <w:basedOn w:val="3"/>
    <w:link w:val="35"/>
    <w:qFormat/>
    <w:uiPriority w:val="0"/>
    <w:pPr>
      <w:spacing w:before="0"/>
    </w:pPr>
    <w:rPr>
      <w:bCs/>
      <w:color w:val="auto"/>
      <w:kern w:val="2"/>
      <w:sz w:val="28"/>
      <w:szCs w:val="32"/>
    </w:rPr>
  </w:style>
  <w:style w:type="character" w:customStyle="1" w:styleId="37">
    <w:name w:val="样式7 Char"/>
    <w:basedOn w:val="25"/>
    <w:link w:val="38"/>
    <w:qFormat/>
    <w:uiPriority w:val="0"/>
    <w:rPr>
      <w:rFonts w:ascii="Times New Roman" w:hAnsi="Times New Roman" w:eastAsia="Times New Roman" w:cs="Times New Roman"/>
      <w:sz w:val="24"/>
      <w:szCs w:val="24"/>
    </w:rPr>
  </w:style>
  <w:style w:type="paragraph" w:customStyle="1" w:styleId="38">
    <w:name w:val="样式7"/>
    <w:basedOn w:val="1"/>
    <w:link w:val="37"/>
    <w:qFormat/>
    <w:uiPriority w:val="0"/>
    <w:pPr>
      <w:spacing w:line="360" w:lineRule="auto"/>
      <w:ind w:firstLine="560" w:firstLineChars="200"/>
    </w:pPr>
    <w:rPr>
      <w:rFonts w:ascii="Times New Roman" w:hAnsi="Times New Roman" w:eastAsia="Times New Roman"/>
      <w:sz w:val="24"/>
      <w:szCs w:val="24"/>
    </w:rPr>
  </w:style>
  <w:style w:type="character" w:customStyle="1" w:styleId="39">
    <w:name w:val="图表标题 Char"/>
    <w:basedOn w:val="25"/>
    <w:link w:val="40"/>
    <w:qFormat/>
    <w:uiPriority w:val="0"/>
    <w:rPr>
      <w:rFonts w:ascii="Times New Roman" w:hAnsi="Times New Roman" w:eastAsia="宋体" w:cs="Times New Roman"/>
      <w:b/>
      <w:kern w:val="0"/>
      <w:sz w:val="24"/>
      <w:szCs w:val="28"/>
    </w:rPr>
  </w:style>
  <w:style w:type="paragraph" w:customStyle="1" w:styleId="40">
    <w:name w:val="图表标题"/>
    <w:basedOn w:val="17"/>
    <w:link w:val="39"/>
    <w:qFormat/>
    <w:uiPriority w:val="0"/>
    <w:pPr>
      <w:widowControl w:val="0"/>
      <w:adjustRightInd w:val="0"/>
      <w:spacing w:before="0" w:beforeAutospacing="0" w:after="0" w:afterAutospacing="0" w:line="360" w:lineRule="auto"/>
      <w:jc w:val="center"/>
    </w:pPr>
    <w:rPr>
      <w:rFonts w:ascii="Times New Roman" w:hAnsi="Times New Roman" w:cs="Times New Roman"/>
      <w:b/>
      <w:color w:val="auto"/>
      <w:szCs w:val="28"/>
    </w:rPr>
  </w:style>
  <w:style w:type="character" w:customStyle="1" w:styleId="41">
    <w:name w:val="批注主题 Char"/>
    <w:basedOn w:val="42"/>
    <w:link w:val="19"/>
    <w:semiHidden/>
    <w:qFormat/>
    <w:uiPriority w:val="99"/>
    <w:rPr>
      <w:b/>
      <w:bCs/>
    </w:rPr>
  </w:style>
  <w:style w:type="character" w:customStyle="1" w:styleId="42">
    <w:name w:val="批注文字 Char"/>
    <w:basedOn w:val="25"/>
    <w:link w:val="8"/>
    <w:semiHidden/>
    <w:qFormat/>
    <w:uiPriority w:val="99"/>
  </w:style>
  <w:style w:type="character" w:customStyle="1" w:styleId="43">
    <w:name w:val="样式16 Char"/>
    <w:basedOn w:val="25"/>
    <w:link w:val="44"/>
    <w:qFormat/>
    <w:locked/>
    <w:uiPriority w:val="0"/>
    <w:rPr>
      <w:rFonts w:ascii="Times New Roman" w:hAnsi="Times New Roman" w:eastAsia="仿宋_GB2312" w:cs="Times New Roman"/>
      <w:b/>
      <w:sz w:val="28"/>
      <w:szCs w:val="28"/>
    </w:rPr>
  </w:style>
  <w:style w:type="paragraph" w:customStyle="1" w:styleId="44">
    <w:name w:val="样式16"/>
    <w:basedOn w:val="1"/>
    <w:link w:val="43"/>
    <w:qFormat/>
    <w:uiPriority w:val="0"/>
    <w:pPr>
      <w:outlineLvl w:val="1"/>
    </w:pPr>
    <w:rPr>
      <w:rFonts w:ascii="Times New Roman" w:hAnsi="Times New Roman" w:eastAsia="仿宋_GB2312"/>
      <w:b/>
      <w:sz w:val="28"/>
      <w:szCs w:val="28"/>
    </w:rPr>
  </w:style>
  <w:style w:type="character" w:customStyle="1" w:styleId="45">
    <w:name w:val="页眉 Char"/>
    <w:basedOn w:val="25"/>
    <w:link w:val="15"/>
    <w:qFormat/>
    <w:uiPriority w:val="99"/>
    <w:rPr>
      <w:sz w:val="18"/>
      <w:szCs w:val="18"/>
    </w:rPr>
  </w:style>
  <w:style w:type="character" w:customStyle="1" w:styleId="46">
    <w:name w:val="样式4 Char"/>
    <w:basedOn w:val="25"/>
    <w:link w:val="47"/>
    <w:qFormat/>
    <w:uiPriority w:val="0"/>
    <w:rPr>
      <w:rFonts w:ascii="Times New Roman" w:hAnsi="Calibri" w:eastAsia="宋体" w:cs="Times New Roman"/>
      <w:sz w:val="24"/>
      <w:szCs w:val="24"/>
    </w:rPr>
  </w:style>
  <w:style w:type="paragraph" w:customStyle="1" w:styleId="47">
    <w:name w:val="样式4"/>
    <w:basedOn w:val="1"/>
    <w:link w:val="46"/>
    <w:qFormat/>
    <w:uiPriority w:val="0"/>
    <w:pPr>
      <w:spacing w:line="360" w:lineRule="auto"/>
      <w:ind w:firstLine="485" w:firstLineChars="202"/>
      <w:contextualSpacing/>
    </w:pPr>
    <w:rPr>
      <w:rFonts w:ascii="Times New Roman"/>
      <w:sz w:val="24"/>
      <w:szCs w:val="24"/>
    </w:rPr>
  </w:style>
  <w:style w:type="character" w:customStyle="1" w:styleId="48">
    <w:name w:val="样式17 Char"/>
    <w:basedOn w:val="25"/>
    <w:link w:val="49"/>
    <w:qFormat/>
    <w:locked/>
    <w:uiPriority w:val="99"/>
    <w:rPr>
      <w:rFonts w:ascii="Times New Roman" w:hAnsi="Times New Roman" w:eastAsia="黑体" w:cs="Times New Roman"/>
      <w:b/>
      <w:sz w:val="24"/>
      <w:szCs w:val="24"/>
    </w:rPr>
  </w:style>
  <w:style w:type="paragraph" w:customStyle="1" w:styleId="49">
    <w:name w:val="样式17"/>
    <w:basedOn w:val="1"/>
    <w:link w:val="48"/>
    <w:qFormat/>
    <w:uiPriority w:val="99"/>
    <w:pPr>
      <w:spacing w:line="480" w:lineRule="auto"/>
      <w:outlineLvl w:val="2"/>
    </w:pPr>
    <w:rPr>
      <w:rFonts w:ascii="Times New Roman" w:hAnsi="Times New Roman" w:eastAsia="黑体"/>
      <w:b/>
      <w:sz w:val="24"/>
      <w:szCs w:val="24"/>
    </w:rPr>
  </w:style>
  <w:style w:type="character" w:customStyle="1" w:styleId="50">
    <w:name w:val="样式30 Char"/>
    <w:basedOn w:val="25"/>
    <w:link w:val="51"/>
    <w:qFormat/>
    <w:uiPriority w:val="0"/>
    <w:rPr>
      <w:rFonts w:ascii="Times New Roman" w:hAnsi="Times New Roman" w:eastAsia="楷体_GB2312" w:cs="Times New Roman"/>
      <w:b/>
      <w:sz w:val="30"/>
      <w:szCs w:val="30"/>
    </w:rPr>
  </w:style>
  <w:style w:type="paragraph" w:customStyle="1" w:styleId="51">
    <w:name w:val="样式30"/>
    <w:basedOn w:val="1"/>
    <w:link w:val="50"/>
    <w:qFormat/>
    <w:uiPriority w:val="0"/>
    <w:pPr>
      <w:spacing w:line="360" w:lineRule="auto"/>
      <w:outlineLvl w:val="1"/>
    </w:pPr>
    <w:rPr>
      <w:rFonts w:ascii="Times New Roman" w:hAnsi="Times New Roman" w:eastAsia="楷体_GB2312"/>
      <w:b/>
      <w:sz w:val="30"/>
      <w:szCs w:val="30"/>
    </w:rPr>
  </w:style>
  <w:style w:type="character" w:customStyle="1" w:styleId="52">
    <w:name w:val="apple-converted-space"/>
    <w:basedOn w:val="25"/>
    <w:qFormat/>
    <w:uiPriority w:val="0"/>
  </w:style>
  <w:style w:type="character" w:customStyle="1" w:styleId="53">
    <w:name w:val="样式1 Char"/>
    <w:basedOn w:val="32"/>
    <w:link w:val="54"/>
    <w:qFormat/>
    <w:uiPriority w:val="0"/>
    <w:rPr>
      <w:rFonts w:ascii="Times New Roman" w:hAnsi="Calibri" w:eastAsia="宋体" w:cs="Times New Roman"/>
      <w:b/>
      <w:sz w:val="24"/>
      <w:szCs w:val="24"/>
    </w:rPr>
  </w:style>
  <w:style w:type="paragraph" w:customStyle="1" w:styleId="54">
    <w:name w:val="样式1"/>
    <w:basedOn w:val="55"/>
    <w:link w:val="53"/>
    <w:qFormat/>
    <w:uiPriority w:val="0"/>
    <w:rPr>
      <w:b/>
    </w:rPr>
  </w:style>
  <w:style w:type="paragraph" w:customStyle="1" w:styleId="55">
    <w:name w:val="样式2"/>
    <w:basedOn w:val="1"/>
    <w:link w:val="59"/>
    <w:qFormat/>
    <w:uiPriority w:val="0"/>
    <w:pPr>
      <w:widowControl/>
      <w:spacing w:line="360" w:lineRule="auto"/>
      <w:ind w:firstLine="465"/>
      <w:jc w:val="left"/>
    </w:pPr>
    <w:rPr>
      <w:rFonts w:ascii="Times New Roman"/>
      <w:sz w:val="24"/>
      <w:szCs w:val="24"/>
    </w:rPr>
  </w:style>
  <w:style w:type="character" w:customStyle="1" w:styleId="56">
    <w:name w:val="样式27 Char"/>
    <w:basedOn w:val="25"/>
    <w:link w:val="57"/>
    <w:qFormat/>
    <w:uiPriority w:val="0"/>
    <w:rPr>
      <w:rFonts w:ascii="Times New Roman" w:hAnsi="Times New Roman" w:eastAsia="宋体" w:cs="Times New Roman"/>
      <w:sz w:val="24"/>
      <w:szCs w:val="24"/>
    </w:rPr>
  </w:style>
  <w:style w:type="paragraph" w:customStyle="1" w:styleId="57">
    <w:name w:val="样式27"/>
    <w:basedOn w:val="1"/>
    <w:link w:val="56"/>
    <w:qFormat/>
    <w:uiPriority w:val="0"/>
    <w:pPr>
      <w:spacing w:line="360" w:lineRule="auto"/>
      <w:ind w:firstLine="480" w:firstLineChars="200"/>
    </w:pPr>
    <w:rPr>
      <w:rFonts w:ascii="Times New Roman" w:hAnsi="Times New Roman"/>
      <w:sz w:val="24"/>
      <w:szCs w:val="24"/>
    </w:rPr>
  </w:style>
  <w:style w:type="character" w:customStyle="1" w:styleId="58">
    <w:name w:val="标题 Char"/>
    <w:basedOn w:val="25"/>
    <w:link w:val="18"/>
    <w:qFormat/>
    <w:uiPriority w:val="0"/>
    <w:rPr>
      <w:rFonts w:ascii="Cambria" w:hAnsi="Cambria" w:eastAsia="黑体" w:cs="Times New Roman"/>
      <w:bCs/>
      <w:sz w:val="28"/>
      <w:szCs w:val="32"/>
    </w:rPr>
  </w:style>
  <w:style w:type="character" w:customStyle="1" w:styleId="59">
    <w:name w:val="样式2 Char"/>
    <w:basedOn w:val="25"/>
    <w:link w:val="55"/>
    <w:qFormat/>
    <w:uiPriority w:val="0"/>
    <w:rPr>
      <w:rFonts w:ascii="Times New Roman" w:hAnsi="Calibri" w:eastAsia="宋体" w:cs="Times New Roman"/>
      <w:sz w:val="24"/>
      <w:szCs w:val="24"/>
    </w:rPr>
  </w:style>
  <w:style w:type="character" w:customStyle="1" w:styleId="60">
    <w:name w:val="正文文本缩进 Char"/>
    <w:basedOn w:val="25"/>
    <w:link w:val="10"/>
    <w:semiHidden/>
    <w:qFormat/>
    <w:uiPriority w:val="99"/>
  </w:style>
  <w:style w:type="character" w:customStyle="1" w:styleId="61">
    <w:name w:val="正文首行缩进 Char"/>
    <w:basedOn w:val="62"/>
    <w:link w:val="20"/>
    <w:semiHidden/>
    <w:qFormat/>
    <w:uiPriority w:val="99"/>
  </w:style>
  <w:style w:type="character" w:customStyle="1" w:styleId="62">
    <w:name w:val="正文文本 Char"/>
    <w:basedOn w:val="25"/>
    <w:link w:val="9"/>
    <w:semiHidden/>
    <w:qFormat/>
    <w:uiPriority w:val="99"/>
  </w:style>
  <w:style w:type="character" w:customStyle="1" w:styleId="63">
    <w:name w:val="列出段落 Char"/>
    <w:basedOn w:val="25"/>
    <w:link w:val="31"/>
    <w:qFormat/>
    <w:uiPriority w:val="0"/>
    <w:rPr>
      <w:rFonts w:ascii="Calibri" w:hAnsi="Calibri" w:eastAsia="宋体" w:cs="Times New Roman"/>
    </w:rPr>
  </w:style>
  <w:style w:type="character" w:customStyle="1" w:styleId="64">
    <w:name w:val="样式21 Char"/>
    <w:basedOn w:val="25"/>
    <w:link w:val="65"/>
    <w:qFormat/>
    <w:uiPriority w:val="0"/>
    <w:rPr>
      <w:rFonts w:ascii="Times New Roman" w:hAnsi="Times New Roman" w:eastAsia="黑体" w:cs="Times New Roman"/>
      <w:sz w:val="28"/>
      <w:szCs w:val="20"/>
    </w:rPr>
  </w:style>
  <w:style w:type="paragraph" w:customStyle="1" w:styleId="65">
    <w:name w:val="样式21"/>
    <w:basedOn w:val="1"/>
    <w:link w:val="64"/>
    <w:qFormat/>
    <w:uiPriority w:val="0"/>
    <w:pPr>
      <w:spacing w:line="360" w:lineRule="auto"/>
      <w:ind w:firstLine="200" w:firstLineChars="200"/>
      <w:outlineLvl w:val="2"/>
    </w:pPr>
    <w:rPr>
      <w:rFonts w:ascii="Times New Roman" w:hAnsi="Times New Roman" w:eastAsia="黑体"/>
      <w:sz w:val="28"/>
      <w:szCs w:val="20"/>
    </w:rPr>
  </w:style>
  <w:style w:type="character" w:customStyle="1" w:styleId="66">
    <w:name w:val="日期 Char"/>
    <w:basedOn w:val="25"/>
    <w:link w:val="12"/>
    <w:qFormat/>
    <w:uiPriority w:val="99"/>
    <w:rPr>
      <w:rFonts w:ascii="Times New Roman" w:hAnsi="Times New Roman" w:eastAsia="宋体" w:cs="Times New Roman"/>
      <w:sz w:val="24"/>
      <w:szCs w:val="24"/>
    </w:rPr>
  </w:style>
  <w:style w:type="character" w:customStyle="1" w:styleId="67">
    <w:name w:val="页脚 Char"/>
    <w:basedOn w:val="25"/>
    <w:link w:val="14"/>
    <w:qFormat/>
    <w:uiPriority w:val="99"/>
    <w:rPr>
      <w:sz w:val="18"/>
      <w:szCs w:val="18"/>
    </w:rPr>
  </w:style>
  <w:style w:type="character" w:customStyle="1" w:styleId="68">
    <w:name w:val="批注框文本 Char"/>
    <w:basedOn w:val="25"/>
    <w:link w:val="13"/>
    <w:semiHidden/>
    <w:qFormat/>
    <w:uiPriority w:val="99"/>
    <w:rPr>
      <w:sz w:val="18"/>
      <w:szCs w:val="18"/>
    </w:rPr>
  </w:style>
  <w:style w:type="character" w:customStyle="1" w:styleId="69">
    <w:name w:val="样式13 Char"/>
    <w:basedOn w:val="25"/>
    <w:link w:val="70"/>
    <w:qFormat/>
    <w:uiPriority w:val="0"/>
    <w:rPr>
      <w:rFonts w:ascii="Times New Roman" w:hAnsi="Times New Roman" w:eastAsia="宋体" w:cs="Times New Roman"/>
      <w:sz w:val="24"/>
      <w:szCs w:val="24"/>
    </w:rPr>
  </w:style>
  <w:style w:type="paragraph" w:customStyle="1" w:styleId="70">
    <w:name w:val="样式13"/>
    <w:basedOn w:val="1"/>
    <w:link w:val="69"/>
    <w:qFormat/>
    <w:uiPriority w:val="0"/>
    <w:pPr>
      <w:spacing w:line="360" w:lineRule="auto"/>
      <w:ind w:firstLine="480" w:firstLineChars="200"/>
    </w:pPr>
    <w:rPr>
      <w:rFonts w:ascii="Times New Roman" w:hAnsi="Times New Roman"/>
      <w:sz w:val="24"/>
      <w:szCs w:val="24"/>
    </w:rPr>
  </w:style>
  <w:style w:type="character" w:customStyle="1" w:styleId="71">
    <w:name w:val="样式31 Char"/>
    <w:basedOn w:val="25"/>
    <w:link w:val="72"/>
    <w:qFormat/>
    <w:uiPriority w:val="0"/>
    <w:rPr>
      <w:rFonts w:ascii="Times New Roman" w:hAnsi="Times New Roman" w:eastAsia="黑体" w:cs="Times New Roman"/>
      <w:b/>
      <w:sz w:val="24"/>
      <w:szCs w:val="28"/>
    </w:rPr>
  </w:style>
  <w:style w:type="paragraph" w:customStyle="1" w:styleId="72">
    <w:name w:val="样式31"/>
    <w:basedOn w:val="1"/>
    <w:link w:val="71"/>
    <w:qFormat/>
    <w:uiPriority w:val="0"/>
    <w:pPr>
      <w:spacing w:line="360" w:lineRule="auto"/>
      <w:outlineLvl w:val="2"/>
    </w:pPr>
    <w:rPr>
      <w:rFonts w:ascii="Times New Roman" w:hAnsi="Times New Roman" w:eastAsia="黑体"/>
      <w:b/>
      <w:sz w:val="24"/>
      <w:szCs w:val="28"/>
    </w:rPr>
  </w:style>
  <w:style w:type="character" w:customStyle="1" w:styleId="73">
    <w:name w:val="apple-style-span"/>
    <w:basedOn w:val="25"/>
    <w:qFormat/>
    <w:uiPriority w:val="0"/>
  </w:style>
  <w:style w:type="character" w:customStyle="1" w:styleId="74">
    <w:name w:val="样式26 Char"/>
    <w:basedOn w:val="25"/>
    <w:link w:val="75"/>
    <w:qFormat/>
    <w:uiPriority w:val="0"/>
    <w:rPr>
      <w:rFonts w:ascii="Times New Roman" w:hAnsi="Times New Roman" w:eastAsia="仿宋_GB2312" w:cs="Times New Roman"/>
      <w:sz w:val="24"/>
    </w:rPr>
  </w:style>
  <w:style w:type="paragraph" w:customStyle="1" w:styleId="75">
    <w:name w:val="样式26"/>
    <w:basedOn w:val="1"/>
    <w:link w:val="74"/>
    <w:qFormat/>
    <w:uiPriority w:val="0"/>
    <w:pPr>
      <w:spacing w:line="360" w:lineRule="auto"/>
      <w:ind w:firstLine="480" w:firstLineChars="200"/>
    </w:pPr>
    <w:rPr>
      <w:rFonts w:ascii="Times New Roman" w:hAnsi="Times New Roman" w:eastAsia="仿宋_GB2312"/>
      <w:sz w:val="24"/>
    </w:rPr>
  </w:style>
  <w:style w:type="character" w:customStyle="1" w:styleId="76">
    <w:name w:val="highlight1"/>
    <w:basedOn w:val="25"/>
    <w:qFormat/>
    <w:uiPriority w:val="0"/>
    <w:rPr>
      <w:sz w:val="21"/>
      <w:szCs w:val="21"/>
    </w:rPr>
  </w:style>
  <w:style w:type="character" w:customStyle="1" w:styleId="77">
    <w:name w:val="样式32 Char"/>
    <w:basedOn w:val="25"/>
    <w:link w:val="78"/>
    <w:qFormat/>
    <w:uiPriority w:val="0"/>
    <w:rPr>
      <w:rFonts w:ascii="Times New Roman" w:hAnsi="Times New Roman" w:eastAsia="宋体" w:cs="Times New Roman"/>
      <w:kern w:val="0"/>
      <w:sz w:val="24"/>
      <w:szCs w:val="24"/>
    </w:rPr>
  </w:style>
  <w:style w:type="paragraph" w:customStyle="1" w:styleId="78">
    <w:name w:val="样式32"/>
    <w:basedOn w:val="1"/>
    <w:link w:val="77"/>
    <w:qFormat/>
    <w:uiPriority w:val="0"/>
    <w:pPr>
      <w:spacing w:line="360" w:lineRule="auto"/>
      <w:ind w:firstLine="480" w:firstLineChars="200"/>
    </w:pPr>
    <w:rPr>
      <w:rFonts w:ascii="Times New Roman" w:hAnsi="Times New Roman"/>
      <w:kern w:val="0"/>
      <w:sz w:val="24"/>
      <w:szCs w:val="24"/>
    </w:rPr>
  </w:style>
  <w:style w:type="character" w:customStyle="1" w:styleId="79">
    <w:name w:val="文档结构图 Char"/>
    <w:basedOn w:val="25"/>
    <w:link w:val="7"/>
    <w:semiHidden/>
    <w:qFormat/>
    <w:uiPriority w:val="99"/>
    <w:rPr>
      <w:rFonts w:ascii="宋体" w:eastAsia="宋体"/>
      <w:sz w:val="18"/>
      <w:szCs w:val="18"/>
    </w:rPr>
  </w:style>
  <w:style w:type="character" w:customStyle="1" w:styleId="80">
    <w:name w:val="HTML 预设格式 Char"/>
    <w:basedOn w:val="25"/>
    <w:link w:val="16"/>
    <w:qFormat/>
    <w:uiPriority w:val="99"/>
    <w:rPr>
      <w:rFonts w:ascii="宋体" w:hAnsi="宋体" w:eastAsia="宋体" w:cs="黑体"/>
      <w:color w:val="000000"/>
    </w:rPr>
  </w:style>
  <w:style w:type="character" w:customStyle="1" w:styleId="81">
    <w:name w:val="样式5 Char"/>
    <w:basedOn w:val="25"/>
    <w:link w:val="82"/>
    <w:qFormat/>
    <w:uiPriority w:val="0"/>
    <w:rPr>
      <w:rFonts w:ascii="Times New Roman" w:hAnsi="Times New Roman" w:eastAsia="宋体" w:cs="Times New Roman"/>
      <w:sz w:val="24"/>
      <w:szCs w:val="24"/>
    </w:rPr>
  </w:style>
  <w:style w:type="paragraph" w:customStyle="1" w:styleId="82">
    <w:name w:val="样式5"/>
    <w:basedOn w:val="1"/>
    <w:link w:val="81"/>
    <w:qFormat/>
    <w:uiPriority w:val="0"/>
    <w:pPr>
      <w:spacing w:line="360" w:lineRule="auto"/>
      <w:ind w:firstLine="480" w:firstLineChars="200"/>
      <w:contextualSpacing/>
      <w:jc w:val="left"/>
    </w:pPr>
    <w:rPr>
      <w:rFonts w:ascii="Times New Roman" w:hAnsi="Times New Roman"/>
      <w:sz w:val="24"/>
      <w:szCs w:val="24"/>
    </w:rPr>
  </w:style>
  <w:style w:type="character" w:customStyle="1" w:styleId="83">
    <w:name w:val="样式8 Char"/>
    <w:basedOn w:val="25"/>
    <w:link w:val="84"/>
    <w:qFormat/>
    <w:uiPriority w:val="0"/>
    <w:rPr>
      <w:rFonts w:ascii="Times New Roman" w:hAnsi="Times New Roman" w:eastAsia="仿宋_GB2312" w:cs="Times New Roman"/>
      <w:sz w:val="24"/>
    </w:rPr>
  </w:style>
  <w:style w:type="paragraph" w:customStyle="1" w:styleId="84">
    <w:name w:val="样式8"/>
    <w:basedOn w:val="1"/>
    <w:link w:val="83"/>
    <w:qFormat/>
    <w:uiPriority w:val="0"/>
    <w:pPr>
      <w:spacing w:line="360" w:lineRule="auto"/>
      <w:ind w:firstLine="480" w:firstLineChars="200"/>
    </w:pPr>
    <w:rPr>
      <w:rFonts w:ascii="Times New Roman" w:hAnsi="Times New Roman" w:eastAsia="仿宋_GB2312"/>
      <w:sz w:val="24"/>
    </w:rPr>
  </w:style>
  <w:style w:type="character" w:customStyle="1" w:styleId="85">
    <w:name w:val="正文缩进 Char"/>
    <w:basedOn w:val="25"/>
    <w:link w:val="6"/>
    <w:qFormat/>
    <w:uiPriority w:val="0"/>
    <w:rPr>
      <w:rFonts w:eastAsia="宋体"/>
      <w:sz w:val="28"/>
      <w:szCs w:val="28"/>
    </w:rPr>
  </w:style>
  <w:style w:type="paragraph" w:styleId="86">
    <w:name w:val="No Spacing"/>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87">
    <w:name w:val="样式 仿宋_GB2312 四号 行距: 固定值 25 磅"/>
    <w:basedOn w:val="1"/>
    <w:qFormat/>
    <w:uiPriority w:val="0"/>
    <w:pPr>
      <w:spacing w:line="500" w:lineRule="exact"/>
      <w:ind w:firstLine="560" w:firstLineChars="200"/>
    </w:pPr>
    <w:rPr>
      <w:rFonts w:ascii="Times New Roman" w:hAnsi="Times New Roman" w:eastAsia="仿宋_GB2312" w:cs="宋体"/>
      <w:sz w:val="28"/>
      <w:szCs w:val="28"/>
    </w:rPr>
  </w:style>
  <w:style w:type="paragraph" w:customStyle="1" w:styleId="88">
    <w:name w:val="附录表标题"/>
    <w:next w:val="89"/>
    <w:qFormat/>
    <w:uiPriority w:val="0"/>
    <w:pPr>
      <w:jc w:val="center"/>
      <w:textAlignment w:val="baseline"/>
    </w:pPr>
    <w:rPr>
      <w:rFonts w:ascii="黑体" w:hAnsi="Times New Roman" w:eastAsia="黑体" w:cs="Times New Roman"/>
      <w:kern w:val="21"/>
      <w:sz w:val="21"/>
      <w:lang w:val="en-US" w:eastAsia="zh-CN" w:bidi="ar-SA"/>
    </w:rPr>
  </w:style>
  <w:style w:type="paragraph" w:customStyle="1" w:styleId="8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90">
    <w:name w:val="章标题"/>
    <w:next w:val="1"/>
    <w:qFormat/>
    <w:uiPriority w:val="0"/>
    <w:pPr>
      <w:spacing w:before="50" w:after="50"/>
      <w:jc w:val="both"/>
      <w:outlineLvl w:val="1"/>
    </w:pPr>
    <w:rPr>
      <w:rFonts w:ascii="黑体" w:hAnsi="Times New Roman" w:eastAsia="黑体" w:cs="Times New Roman"/>
      <w:sz w:val="21"/>
      <w:lang w:val="en-US" w:eastAsia="zh-CN" w:bidi="ar-SA"/>
    </w:rPr>
  </w:style>
  <w:style w:type="paragraph" w:customStyle="1" w:styleId="91">
    <w:name w:val="Char Char Char Char Char Char Char Char Char Char Char"/>
    <w:basedOn w:val="1"/>
    <w:qFormat/>
    <w:uiPriority w:val="99"/>
    <w:rPr>
      <w:rFonts w:ascii="Times New Roman" w:hAnsi="Times New Roman"/>
      <w:szCs w:val="24"/>
    </w:rPr>
  </w:style>
  <w:style w:type="paragraph" w:customStyle="1" w:styleId="92">
    <w:name w:val="样式 仿宋_GB2312 首行缩进:  2 字符 行距: 1.5 倍行距"/>
    <w:basedOn w:val="1"/>
    <w:qFormat/>
    <w:uiPriority w:val="0"/>
    <w:pPr>
      <w:spacing w:line="360" w:lineRule="auto"/>
      <w:ind w:firstLine="640" w:firstLineChars="200"/>
    </w:pPr>
    <w:rPr>
      <w:rFonts w:ascii="仿宋_GB2312" w:hAnsi="宋体" w:eastAsia="仿宋_GB2312" w:cs="宋体"/>
      <w:sz w:val="28"/>
      <w:szCs w:val="20"/>
    </w:rPr>
  </w:style>
  <w:style w:type="paragraph" w:customStyle="1" w:styleId="93">
    <w:name w:val="样式 仿宋_GB23122"/>
    <w:basedOn w:val="1"/>
    <w:qFormat/>
    <w:uiPriority w:val="0"/>
    <w:pPr>
      <w:ind w:firstLine="627" w:firstLineChars="196"/>
    </w:pPr>
    <w:rPr>
      <w:rFonts w:ascii="仿宋_GB2312" w:hAnsi="Times New Roman" w:eastAsia="仿宋_GB2312" w:cs="宋体"/>
      <w:sz w:val="28"/>
      <w:szCs w:val="20"/>
    </w:rPr>
  </w:style>
  <w:style w:type="paragraph" w:customStyle="1" w:styleId="94">
    <w:name w:val="样式 仿宋_GB2312"/>
    <w:basedOn w:val="1"/>
    <w:qFormat/>
    <w:uiPriority w:val="0"/>
    <w:pPr>
      <w:ind w:firstLine="576" w:firstLineChars="180"/>
    </w:pPr>
    <w:rPr>
      <w:rFonts w:ascii="仿宋_GB2312" w:hAnsi="宋体" w:eastAsia="仿宋_GB2312" w:cs="宋体"/>
      <w:sz w:val="28"/>
      <w:szCs w:val="20"/>
    </w:rPr>
  </w:style>
  <w:style w:type="paragraph" w:customStyle="1" w:styleId="95">
    <w:name w:val="标题1"/>
    <w:basedOn w:val="1"/>
    <w:qFormat/>
    <w:uiPriority w:val="0"/>
    <w:pPr>
      <w:keepNext/>
      <w:keepLines/>
      <w:tabs>
        <w:tab w:val="left" w:pos="420"/>
      </w:tabs>
      <w:spacing w:before="340" w:after="330" w:line="578" w:lineRule="auto"/>
      <w:ind w:left="420" w:hanging="420"/>
      <w:outlineLvl w:val="0"/>
    </w:pPr>
    <w:rPr>
      <w:rFonts w:ascii="黑体" w:hAnsi="Times New Roman" w:eastAsia="黑体" w:cs="宋体"/>
      <w:bCs/>
      <w:kern w:val="44"/>
      <w:sz w:val="32"/>
      <w:szCs w:val="32"/>
    </w:rPr>
  </w:style>
  <w:style w:type="paragraph" w:customStyle="1" w:styleId="96">
    <w:name w:val="标题3"/>
    <w:basedOn w:val="1"/>
    <w:qFormat/>
    <w:uiPriority w:val="0"/>
    <w:pPr>
      <w:numPr>
        <w:ilvl w:val="0"/>
        <w:numId w:val="1"/>
      </w:numPr>
    </w:pPr>
    <w:rPr>
      <w:rFonts w:ascii="黑体" w:hAnsi="宋体" w:eastAsia="黑体" w:cs="宋体"/>
      <w:sz w:val="28"/>
      <w:szCs w:val="32"/>
    </w:rPr>
  </w:style>
  <w:style w:type="paragraph" w:customStyle="1" w:styleId="97">
    <w:name w:val="表内小四中"/>
    <w:basedOn w:val="1"/>
    <w:qFormat/>
    <w:uiPriority w:val="99"/>
    <w:pPr>
      <w:adjustRightInd w:val="0"/>
      <w:snapToGrid w:val="0"/>
      <w:ind w:left="-131" w:right="-132"/>
      <w:jc w:val="center"/>
      <w:textAlignment w:val="baseline"/>
    </w:pPr>
    <w:rPr>
      <w:rFonts w:ascii="Times New Roman" w:hAnsi="Times New Roman"/>
      <w:kern w:val="0"/>
      <w:sz w:val="24"/>
      <w:szCs w:val="20"/>
    </w:rPr>
  </w:style>
  <w:style w:type="paragraph" w:customStyle="1" w:styleId="98">
    <w:name w:val="样式 首行缩进:  2 字符"/>
    <w:basedOn w:val="1"/>
    <w:semiHidden/>
    <w:qFormat/>
    <w:uiPriority w:val="0"/>
    <w:pPr>
      <w:ind w:firstLine="640" w:firstLineChars="200"/>
    </w:pPr>
    <w:rPr>
      <w:rFonts w:ascii="Times New Roman" w:hAnsi="Times New Roman" w:eastAsia="仿宋_GB2312" w:cs="宋体"/>
      <w:sz w:val="28"/>
      <w:szCs w:val="20"/>
    </w:rPr>
  </w:style>
  <w:style w:type="paragraph" w:customStyle="1" w:styleId="99">
    <w:name w:val="无间隔1"/>
    <w:qFormat/>
    <w:uiPriority w:val="1"/>
    <w:pPr>
      <w:widowControl w:val="0"/>
      <w:adjustRightInd w:val="0"/>
      <w:contextualSpacing/>
      <w:jc w:val="both"/>
    </w:pPr>
    <w:rPr>
      <w:rFonts w:ascii="Times New Roman" w:hAnsi="Times New Roman" w:eastAsia="宋体" w:cs="Times New Roman"/>
      <w:kern w:val="2"/>
      <w:sz w:val="24"/>
      <w:szCs w:val="22"/>
      <w:lang w:val="en-US" w:eastAsia="zh-CN" w:bidi="ar-SA"/>
    </w:rPr>
  </w:style>
  <w:style w:type="paragraph" w:customStyle="1" w:styleId="100">
    <w:name w:val="列出段落1"/>
    <w:basedOn w:val="1"/>
    <w:qFormat/>
    <w:uiPriority w:val="0"/>
    <w:pPr>
      <w:spacing w:line="360" w:lineRule="auto"/>
      <w:ind w:firstLine="420" w:firstLineChars="200"/>
      <w:contextualSpacing/>
      <w:jc w:val="left"/>
    </w:pPr>
    <w:rPr>
      <w:rFonts w:ascii="Times New Roman" w:hAnsi="Times New Roman"/>
      <w:sz w:val="24"/>
      <w:szCs w:val="24"/>
    </w:rPr>
  </w:style>
  <w:style w:type="character" w:customStyle="1" w:styleId="101">
    <w:name w:val="正文缩进 Char1"/>
    <w:qFormat/>
    <w:uiPriority w:val="0"/>
    <w:rPr>
      <w:rFonts w:ascii="Arial" w:hAnsi="Arial" w:eastAsia="宋体"/>
      <w:lang w:bidi="ar-SA"/>
    </w:rPr>
  </w:style>
  <w:style w:type="paragraph" w:customStyle="1" w:styleId="102">
    <w:name w:val="样式3"/>
    <w:basedOn w:val="30"/>
    <w:qFormat/>
    <w:uiPriority w:val="0"/>
    <w:pPr>
      <w:ind w:firstLine="482"/>
      <w:outlineLvl w:val="2"/>
    </w:pPr>
    <w:rPr>
      <w:b/>
      <w:kern w:val="28"/>
    </w:rPr>
  </w:style>
  <w:style w:type="paragraph" w:customStyle="1" w:styleId="103">
    <w:name w:val="正文1"/>
    <w:basedOn w:val="1"/>
    <w:qFormat/>
    <w:uiPriority w:val="0"/>
    <w:pPr>
      <w:widowControl/>
      <w:spacing w:line="360" w:lineRule="auto"/>
    </w:pPr>
    <w:rPr>
      <w:rFonts w:ascii="Times New Roman" w:hAnsi="Times New Roman"/>
      <w:sz w:val="24"/>
      <w:lang w:eastAsia="en-US" w:bidi="en-US"/>
    </w:rPr>
  </w:style>
  <w:style w:type="paragraph" w:customStyle="1" w:styleId="104">
    <w:name w:val="正文首行缩进 2 + Times New Roman"/>
    <w:basedOn w:val="1"/>
    <w:qFormat/>
    <w:uiPriority w:val="0"/>
    <w:pPr>
      <w:tabs>
        <w:tab w:val="left" w:pos="0"/>
        <w:tab w:val="left" w:pos="870"/>
        <w:tab w:val="left" w:pos="3150"/>
      </w:tabs>
      <w:autoSpaceDE w:val="0"/>
      <w:autoSpaceDN w:val="0"/>
      <w:ind w:firstLine="480" w:firstLineChars="200"/>
    </w:pPr>
    <w:rPr>
      <w:rFonts w:ascii="宋体" w:hAnsi="宋体"/>
      <w:color w:val="000000"/>
      <w:kern w:val="13"/>
      <w:sz w:val="24"/>
      <w:szCs w:val="24"/>
      <w:lang w:val="zh-CN"/>
    </w:rPr>
  </w:style>
  <w:style w:type="character" w:customStyle="1" w:styleId="105">
    <w:name w:val="font31"/>
    <w:basedOn w:val="25"/>
    <w:qFormat/>
    <w:uiPriority w:val="0"/>
    <w:rPr>
      <w:rFonts w:hint="default" w:ascii="Times New Roman" w:hAnsi="Times New Roman" w:cs="Times New Roman"/>
      <w:color w:val="000000"/>
      <w:sz w:val="21"/>
      <w:szCs w:val="21"/>
      <w:u w:val="none"/>
    </w:rPr>
  </w:style>
  <w:style w:type="paragraph" w:customStyle="1" w:styleId="106">
    <w:name w:val="列表段落1"/>
    <w:basedOn w:val="1"/>
    <w:qFormat/>
    <w:uiPriority w:val="34"/>
    <w:pPr>
      <w:widowControl/>
      <w:spacing w:line="300" w:lineRule="auto"/>
      <w:ind w:firstLine="420" w:firstLineChars="200"/>
      <w:jc w:val="left"/>
    </w:pPr>
    <w:rPr>
      <w:rFonts w:asciiTheme="minorHAnsi" w:hAnsiTheme="minorHAnsi" w:eastAsiaTheme="minorEastAsia" w:cstheme="minorBidi"/>
      <w:sz w:val="24"/>
    </w:rPr>
  </w:style>
  <w:style w:type="paragraph" w:customStyle="1" w:styleId="107">
    <w:name w:val="Table Paragraph"/>
    <w:basedOn w:val="1"/>
    <w:qFormat/>
    <w:uiPriority w:val="1"/>
    <w:pPr>
      <w:autoSpaceDE w:val="0"/>
      <w:autoSpaceDN w:val="0"/>
      <w:jc w:val="center"/>
    </w:pPr>
    <w:rPr>
      <w:rFonts w:ascii="Times New Roman" w:hAnsi="Times New Roman" w:eastAsia="Times New Roman"/>
      <w:kern w:val="0"/>
      <w:sz w:val="22"/>
    </w:rPr>
  </w:style>
  <w:style w:type="paragraph" w:customStyle="1" w:styleId="108">
    <w:name w:val="0-shiw-表格"/>
    <w:qFormat/>
    <w:uiPriority w:val="0"/>
    <w:pPr>
      <w:spacing w:line="300" w:lineRule="exact"/>
    </w:pPr>
    <w:rPr>
      <w:rFonts w:ascii="宋体" w:hAnsi="宋体" w:cs="宋体" w:eastAsiaTheme="minorEastAsia"/>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3" Type="http://schemas.openxmlformats.org/officeDocument/2006/relationships/fontTable" Target="fontTable.xml"/><Relationship Id="rId82" Type="http://schemas.openxmlformats.org/officeDocument/2006/relationships/customXml" Target="../customXml/item2.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4.xml"/><Relationship Id="rId79" Type="http://schemas.openxmlformats.org/officeDocument/2006/relationships/image" Target="media/image70.png"/><Relationship Id="rId78" Type="http://schemas.openxmlformats.org/officeDocument/2006/relationships/image" Target="media/image69.emf"/><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3.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emf"/><Relationship Id="rId27" Type="http://schemas.openxmlformats.org/officeDocument/2006/relationships/image" Target="media/image18.png"/><Relationship Id="rId26" Type="http://schemas.openxmlformats.org/officeDocument/2006/relationships/image" Target="media/image17.emf"/><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image" Target="media/image9.jpeg"/><Relationship Id="rId17" Type="http://schemas.openxmlformats.org/officeDocument/2006/relationships/image" Target="media/image8.emf"/><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emf"/><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emf"/><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33"/>
    <customShpInfo spid="_x0000_s1026"/>
    <customShpInfo spid="_x0000_s103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01CEA30-7E11-41B1-AAE2-37792B43ADD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Pages>
  <Words>7653</Words>
  <Characters>43624</Characters>
  <Lines>363</Lines>
  <Paragraphs>102</Paragraphs>
  <TotalTime>0</TotalTime>
  <ScaleCrop>false</ScaleCrop>
  <LinksUpToDate>false</LinksUpToDate>
  <CharactersWithSpaces>51175</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2023-12-01T03:10:00Z</dcterms:created>
  <dc:creator>微软用户</dc:creator>
  <cp:lastModifiedBy>答案</cp:lastModifiedBy>
  <cp:lastPrinted>2011-05-11T02:53:00Z</cp:lastPrinted>
  <dcterms:modified xsi:type="dcterms:W3CDTF">2023-12-07T02:32:16Z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3BD47900AC8B494C8F233BBCAB610776_13</vt:lpwstr>
  </property>
</Properties>
</file>